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media/image1.jpg" ContentType="image/jpg"/>
  <Override PartName="/word/media/image2.png" ContentType="image/png"/>
  <Override PartName="/word/media/image3.png" ContentType="image/png"/>
  <Override PartName="/word/media/image4.png" ContentType="image/png"/>
  <Override PartName="/word/media/image5.png" ContentType="image/pn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body>
    <w:p>
      <w:pPr>
        <w:spacing w:before="0" w:after="0" w:line="464" w:lineRule="exact"/>
        <w:ind w:right="0" w:left="0" w:firstLine="0"/>
        <w:jc w:val="center"/>
        <w:textAlignment w:val="baseline"/>
        <w:rPr>
          <w:rFonts w:ascii="Arial" w:hAnsi="Arial" w:eastAsia="Arial"/>
          <w:b w:val="true"/>
          <w:color w:val="000000"/>
          <w:spacing w:val="0"/>
          <w:w w:val="100"/>
          <w:sz w:val="39"/>
          <w:vertAlign w:val="baseline"/>
          <w:lang w:val="en-US"/>
        </w:rPr>
      </w:pPr>
      <w:r>
        <w:rPr>
          <w:rFonts w:ascii="Arial" w:hAnsi="Arial" w:eastAsia="Arial"/>
          <w:b w:val="true"/>
          <w:color w:val="000000"/>
          <w:spacing w:val="0"/>
          <w:w w:val="100"/>
          <w:sz w:val="39"/>
          <w:vertAlign w:val="baseline"/>
          <w:lang w:val="en-US"/>
        </w:rPr>
        <w:t xml:space="preserve">Model Work Health and Safety</w:t>
        <w:br/>
      </w:r>
      <w:r>
        <w:rPr>
          <w:rFonts w:ascii="Arial" w:hAnsi="Arial" w:eastAsia="Arial"/>
          <w:b w:val="true"/>
          <w:color w:val="000000"/>
          <w:spacing w:val="0"/>
          <w:w w:val="100"/>
          <w:sz w:val="39"/>
          <w:vertAlign w:val="baseline"/>
          <w:lang w:val="en-US"/>
        </w:rPr>
        <w:t xml:space="preserve">Regulations</w:t>
      </w:r>
    </w:p>
    <w:p>
      <w:pPr>
        <w:spacing w:before="1075" w:after="0" w:line="321" w:lineRule="exact"/>
        <w:ind w:right="0" w:left="0" w:firstLine="0"/>
        <w:jc w:val="center"/>
        <w:textAlignment w:val="baseline"/>
        <w:rPr>
          <w:rFonts w:ascii="Arial" w:hAnsi="Arial" w:eastAsia="Arial"/>
          <w:color w:val="000000"/>
          <w:spacing w:val="0"/>
          <w:w w:val="100"/>
          <w:sz w:val="28"/>
          <w:vertAlign w:val="baseline"/>
          <w:lang w:val="en-US"/>
        </w:rPr>
      </w:pPr>
      <w:r>
        <w:rPr>
          <w:rFonts w:ascii="Arial" w:hAnsi="Arial" w:eastAsia="Arial"/>
          <w:color w:val="000000"/>
          <w:spacing w:val="0"/>
          <w:w w:val="100"/>
          <w:sz w:val="28"/>
          <w:vertAlign w:val="baseline"/>
          <w:lang w:val="en-US"/>
        </w:rPr>
        <w:t xml:space="preserve">as at 14 April 2022</w:t>
      </w:r>
    </w:p>
    <w:p>
      <w:pPr>
        <w:spacing w:before="769" w:after="0" w:line="321" w:lineRule="exact"/>
        <w:ind w:right="0" w:left="0" w:firstLine="0"/>
        <w:jc w:val="center"/>
        <w:textAlignment w:val="baseline"/>
        <w:rPr>
          <w:rFonts w:ascii="Arial" w:hAnsi="Arial" w:eastAsia="Arial"/>
          <w:color w:val="000000"/>
          <w:spacing w:val="0"/>
          <w:w w:val="100"/>
          <w:sz w:val="28"/>
          <w:vertAlign w:val="baseline"/>
          <w:lang w:val="en-US"/>
        </w:rPr>
      </w:pPr>
      <w:r>
        <w:rPr>
          <w:rFonts w:ascii="Arial" w:hAnsi="Arial" w:eastAsia="Arial"/>
          <w:color w:val="000000"/>
          <w:spacing w:val="0"/>
          <w:w w:val="100"/>
          <w:sz w:val="28"/>
          <w:vertAlign w:val="baseline"/>
          <w:lang w:val="en-US"/>
        </w:rPr>
        <w:t xml:space="preserve">As released by Safe Work Australia</w:t>
      </w:r>
    </w:p>
    <w:p>
      <w:pPr>
        <w:spacing w:before="120" w:after="0" w:line="321" w:lineRule="exact"/>
        <w:ind w:right="0" w:left="936" w:firstLine="0"/>
        <w:jc w:val="left"/>
        <w:textAlignment w:val="baseline"/>
        <w:rPr>
          <w:rFonts w:ascii="Arial" w:hAnsi="Arial" w:eastAsia="Arial"/>
          <w:color w:val="000000"/>
          <w:spacing w:val="0"/>
          <w:w w:val="100"/>
          <w:sz w:val="28"/>
          <w:vertAlign w:val="baseline"/>
          <w:lang w:val="en-US"/>
        </w:rPr>
      </w:pPr>
      <w:r>
        <w:rPr>
          <w:rFonts w:ascii="Arial" w:hAnsi="Arial" w:eastAsia="Arial"/>
          <w:color w:val="000000"/>
          <w:spacing w:val="0"/>
          <w:w w:val="100"/>
          <w:sz w:val="28"/>
          <w:vertAlign w:val="baseline"/>
          <w:lang w:val="en-US"/>
        </w:rPr>
        <w:t xml:space="preserve">Published by the Parliamentary Counsel’s Committee</w:t>
      </w:r>
    </w:p>
    <w:p>
      <w:pPr>
        <w:spacing w:before="468" w:after="0" w:line="228" w:lineRule="exact"/>
        <w:ind w:right="0" w:left="0" w:firstLine="0"/>
        <w:jc w:val="right"/>
        <w:textAlignment w:val="baseline"/>
        <w:rPr>
          <w:rFonts w:ascii="Arial" w:hAnsi="Arial" w:eastAsia="Arial"/>
          <w:color w:val="000000"/>
          <w:spacing w:val="0"/>
          <w:w w:val="100"/>
          <w:sz w:val="20"/>
          <w:vertAlign w:val="baseline"/>
          <w:lang w:val="en-US"/>
        </w:rPr>
      </w:pPr>
      <w:r>
        <w:rPr>
          <w:rFonts w:ascii="Arial" w:hAnsi="Arial" w:eastAsia="Arial"/>
          <w:color w:val="000000"/>
          <w:spacing w:val="0"/>
          <w:w w:val="100"/>
          <w:sz w:val="20"/>
          <w:vertAlign w:val="baseline"/>
          <w:lang w:val="en-US"/>
        </w:rPr>
        <w:t xml:space="preserve">This is a consolidated version of the </w:t>
      </w:r>
      <w:r>
        <w:rPr>
          <w:rFonts w:ascii="Arial" w:hAnsi="Arial" w:eastAsia="Arial"/>
          <w:i w:val="true"/>
          <w:color w:val="000000"/>
          <w:spacing w:val="0"/>
          <w:w w:val="100"/>
          <w:sz w:val="20"/>
          <w:vertAlign w:val="baseline"/>
          <w:lang w:val="en-US"/>
        </w:rPr>
        <w:t xml:space="preserve">Model Work Health and Safety Regulations</w:t>
      </w:r>
      <w:r>
        <w:rPr>
          <w:rFonts w:ascii="Arial" w:hAnsi="Arial" w:eastAsia="Arial"/>
          <w:color w:val="000000"/>
          <w:spacing w:val="0"/>
          <w:w w:val="100"/>
          <w:sz w:val="20"/>
          <w:vertAlign w:val="baseline"/>
          <w:lang w:val="en-US"/>
        </w:rPr>
        <w:t xml:space="preserve">. These Regulations are a national model law and are intended to provide the basis for nationally consistent work health and safety laws. These Regulations do not, by themselves, have any legal effect.</w:t>
      </w:r>
    </w:p>
    <w:p>
      <w:pPr>
        <w:sectPr>
          <w:type w:val="nextPage"/>
          <w:pgSz w:w="11909" w:h="16838" w:orient="portrait"/>
          <w:pgMar w:bottom="7582" w:top="3620" w:right="1925" w:left="2064" w:header="720" w:footer="720"/>
          <w:titlePg w:val="false"/>
          <w:textDirection w:val="lrTb"/>
        </w:sectPr>
      </w:pPr>
    </w:p>
    <w:p>
      <w:pPr>
        <w:spacing w:before="22" w:after="0" w:line="412" w:lineRule="exact"/>
        <w:ind w:right="0" w:left="0" w:firstLine="0"/>
        <w:jc w:val="left"/>
        <w:textAlignment w:val="baseline"/>
        <w:rPr>
          <w:rFonts w:ascii="Times New Roman" w:hAnsi="Times New Roman" w:eastAsia="Times New Roman"/>
          <w:b w:val="true"/>
          <w:color w:val="000000"/>
          <w:spacing w:val="0"/>
          <w:w w:val="100"/>
          <w:sz w:val="36"/>
          <w:vertAlign w:val="baseline"/>
          <w:lang w:val="en-US"/>
        </w:rPr>
      </w:pPr>
      <w:r>
        <w:rPr>
          <w:rFonts w:ascii="Times New Roman" w:hAnsi="Times New Roman" w:eastAsia="Times New Roman"/>
          <w:b w:val="true"/>
          <w:color w:val="000000"/>
          <w:spacing w:val="0"/>
          <w:w w:val="100"/>
          <w:sz w:val="36"/>
          <w:vertAlign w:val="baseline"/>
          <w:lang w:val="en-US"/>
        </w:rPr>
        <w:t xml:space="preserve">Model Work Health and Safety Regulations</w:t>
      </w:r>
    </w:p>
    <w:p>
      <w:pPr>
        <w:spacing w:before="241" w:after="0" w:line="316" w:lineRule="exact"/>
        <w:ind w:right="0" w:left="0" w:firstLine="0"/>
        <w:jc w:val="left"/>
        <w:textAlignment w:val="baseline"/>
        <w:rPr>
          <w:rFonts w:ascii="Times New Roman" w:hAnsi="Times New Roman" w:eastAsia="Times New Roman"/>
          <w:b w:val="true"/>
          <w:color w:val="000000"/>
          <w:spacing w:val="-2"/>
          <w:w w:val="100"/>
          <w:sz w:val="28"/>
          <w:vertAlign w:val="baseline"/>
          <w:lang w:val="en-US"/>
        </w:rPr>
      </w:pPr>
      <w:r>
        <w:rPr>
          <w:rFonts w:ascii="Times New Roman" w:hAnsi="Times New Roman" w:eastAsia="Times New Roman"/>
          <w:b w:val="true"/>
          <w:color w:val="000000"/>
          <w:spacing w:val="-2"/>
          <w:w w:val="100"/>
          <w:sz w:val="28"/>
          <w:vertAlign w:val="baseline"/>
          <w:lang w:val="en-US"/>
        </w:rPr>
        <w:t xml:space="preserve">Contents</w:t>
      </w:r>
    </w:p>
    <w:p>
      <w:pPr>
        <w:spacing w:before="123" w:after="0" w:line="228" w:lineRule="exact"/>
        <w:ind w:right="108" w:left="0" w:firstLine="0"/>
        <w:jc w:val="right"/>
        <w:textAlignment w:val="baseline"/>
        <w:rPr>
          <w:rFonts w:ascii="Times New Roman" w:hAnsi="Times New Roman" w:eastAsia="Times New Roman"/>
          <w:i w:val="true"/>
          <w:color w:val="000000"/>
          <w:spacing w:val="0"/>
          <w:w w:val="100"/>
          <w:sz w:val="20"/>
          <w:vertAlign w:val="baseline"/>
          <w:lang w:val="en-US"/>
        </w:rPr>
      </w:pPr>
      <w:r>
        <w:rPr>
          <w:rFonts w:ascii="Times New Roman" w:hAnsi="Times New Roman" w:eastAsia="Times New Roman"/>
          <w:i w:val="true"/>
          <w:color w:val="000000"/>
          <w:spacing w:val="0"/>
          <w:w w:val="100"/>
          <w:sz w:val="20"/>
          <w:vertAlign w:val="baseline"/>
          <w:lang w:val="en-US"/>
        </w:rPr>
        <w:t xml:space="preserve">Page</w:t>
      </w:r>
    </w:p>
    <w:p>
      <w:pPr>
        <w:tabs>
          <w:tab w:val="left" w:leader="none" w:pos="1944"/>
          <w:tab w:val="right" w:leader="none" w:pos="7704"/>
        </w:tabs>
        <w:spacing w:before="242"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CHAPTER 1	</w:t>
      </w:r>
      <w:r>
        <w:rPr>
          <w:rFonts w:ascii="Times New Roman" w:hAnsi="Times New Roman" w:eastAsia="Times New Roman"/>
          <w:b w:val="true"/>
          <w:color w:val="000000"/>
          <w:spacing w:val="0"/>
          <w:w w:val="100"/>
          <w:sz w:val="20"/>
          <w:vertAlign w:val="baseline"/>
          <w:lang w:val="en-US"/>
        </w:rPr>
        <w:t xml:space="preserve">PRELIMINARY	</w:t>
      </w:r>
      <w:r>
        <w:rPr>
          <w:rFonts w:ascii="Times New Roman" w:hAnsi="Times New Roman" w:eastAsia="Times New Roman"/>
          <w:b w:val="true"/>
          <w:color w:val="000000"/>
          <w:spacing w:val="0"/>
          <w:w w:val="100"/>
          <w:sz w:val="20"/>
          <w:vertAlign w:val="baseline"/>
          <w:lang w:val="en-US"/>
        </w:rPr>
        <w:t xml:space="preserve">1</w:t>
      </w:r>
    </w:p>
    <w:p>
      <w:pPr>
        <w:tabs>
          <w:tab w:val="left" w:leader="none" w:pos="1368"/>
          <w:tab w:val="right" w:leader="none" w:pos="7704"/>
        </w:tabs>
        <w:spacing w:before="244"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1.1	</w:t>
      </w:r>
      <w:r>
        <w:rPr>
          <w:rFonts w:ascii="Times New Roman" w:hAnsi="Times New Roman" w:eastAsia="Times New Roman"/>
          <w:b w:val="true"/>
          <w:color w:val="000000"/>
          <w:spacing w:val="0"/>
          <w:w w:val="100"/>
          <w:sz w:val="20"/>
          <w:vertAlign w:val="baseline"/>
          <w:lang w:val="en-US"/>
        </w:rPr>
        <w:t xml:space="preserve">INTRODUCTORY MATTERS	</w:t>
      </w:r>
      <w:r>
        <w:rPr>
          <w:rFonts w:ascii="Times New Roman" w:hAnsi="Times New Roman" w:eastAsia="Times New Roman"/>
          <w:b w:val="true"/>
          <w:color w:val="000000"/>
          <w:spacing w:val="0"/>
          <w:w w:val="100"/>
          <w:sz w:val="20"/>
          <w:vertAlign w:val="baseline"/>
          <w:lang w:val="en-US"/>
        </w:rPr>
        <w:t xml:space="preserve">1</w:t>
      </w:r>
    </w:p>
    <w:p>
      <w:pPr>
        <w:tabs>
          <w:tab w:val="left" w:leader="none" w:pos="720"/>
          <w:tab w:val="right" w:leader="none" w:pos="7704"/>
        </w:tabs>
        <w:spacing w:before="115"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Citation	</w:t>
      </w:r>
      <w:r>
        <w:rPr>
          <w:rFonts w:ascii="Times New Roman" w:hAnsi="Times New Roman" w:eastAsia="Times New Roman"/>
          <w:color w:val="000000"/>
          <w:spacing w:val="0"/>
          <w:w w:val="100"/>
          <w:sz w:val="20"/>
          <w:vertAlign w:val="baseline"/>
          <w:lang w:val="en-US"/>
        </w:rPr>
        <w:t xml:space="preserve">1</w:t>
      </w:r>
    </w:p>
    <w:p>
      <w:pPr>
        <w:tabs>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Commencement	</w:t>
      </w:r>
      <w:r>
        <w:rPr>
          <w:rFonts w:ascii="Times New Roman" w:hAnsi="Times New Roman" w:eastAsia="Times New Roman"/>
          <w:color w:val="000000"/>
          <w:spacing w:val="0"/>
          <w:w w:val="100"/>
          <w:sz w:val="20"/>
          <w:vertAlign w:val="baseline"/>
          <w:lang w:val="en-US"/>
        </w:rPr>
        <w:t xml:space="preserve">1</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	</w:t>
      </w:r>
      <w:r>
        <w:rPr>
          <w:rFonts w:ascii="Times New Roman" w:hAnsi="Times New Roman" w:eastAsia="Times New Roman"/>
          <w:color w:val="000000"/>
          <w:spacing w:val="0"/>
          <w:w w:val="100"/>
          <w:sz w:val="20"/>
          <w:vertAlign w:val="baseline"/>
          <w:lang w:val="en-US"/>
        </w:rPr>
        <w:t xml:space="preserve">Authorising provisions	</w:t>
      </w:r>
      <w:r>
        <w:rPr>
          <w:rFonts w:ascii="Times New Roman" w:hAnsi="Times New Roman" w:eastAsia="Times New Roman"/>
          <w:color w:val="000000"/>
          <w:spacing w:val="0"/>
          <w:w w:val="100"/>
          <w:sz w:val="20"/>
          <w:vertAlign w:val="baseline"/>
          <w:lang w:val="en-US"/>
        </w:rPr>
        <w:t xml:space="preserve">1</w:t>
      </w:r>
    </w:p>
    <w:p>
      <w:pPr>
        <w:tabs>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 Revocation	</w:t>
      </w:r>
      <w:r>
        <w:rPr>
          <w:rFonts w:ascii="Times New Roman" w:hAnsi="Times New Roman" w:eastAsia="Times New Roman"/>
          <w:color w:val="000000"/>
          <w:spacing w:val="0"/>
          <w:w w:val="100"/>
          <w:sz w:val="20"/>
          <w:vertAlign w:val="baseline"/>
          <w:lang w:val="en-US"/>
        </w:rPr>
        <w:t xml:space="preserve">1</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	</w:t>
      </w:r>
      <w:r>
        <w:rPr>
          <w:rFonts w:ascii="Times New Roman" w:hAnsi="Times New Roman" w:eastAsia="Times New Roman"/>
          <w:color w:val="000000"/>
          <w:spacing w:val="0"/>
          <w:w w:val="100"/>
          <w:sz w:val="20"/>
          <w:vertAlign w:val="baseline"/>
          <w:lang w:val="en-US"/>
        </w:rPr>
        <w:t xml:space="preserve">Definitions	</w:t>
      </w:r>
      <w:r>
        <w:rPr>
          <w:rFonts w:ascii="Times New Roman" w:hAnsi="Times New Roman" w:eastAsia="Times New Roman"/>
          <w:color w:val="000000"/>
          <w:spacing w:val="0"/>
          <w:w w:val="100"/>
          <w:sz w:val="20"/>
          <w:vertAlign w:val="baseline"/>
          <w:lang w:val="en-US"/>
        </w:rPr>
        <w:t xml:space="preserve">1</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	</w:t>
      </w:r>
      <w:r>
        <w:rPr>
          <w:rFonts w:ascii="Times New Roman" w:hAnsi="Times New Roman" w:eastAsia="Times New Roman"/>
          <w:color w:val="000000"/>
          <w:spacing w:val="0"/>
          <w:w w:val="100"/>
          <w:sz w:val="20"/>
          <w:vertAlign w:val="baseline"/>
          <w:lang w:val="en-US"/>
        </w:rPr>
        <w:t xml:space="preserve">Determination of safety management system	</w:t>
      </w:r>
      <w:r>
        <w:rPr>
          <w:rFonts w:ascii="Times New Roman" w:hAnsi="Times New Roman" w:eastAsia="Times New Roman"/>
          <w:color w:val="000000"/>
          <w:spacing w:val="0"/>
          <w:w w:val="100"/>
          <w:sz w:val="20"/>
          <w:vertAlign w:val="baseline"/>
          <w:lang w:val="en-US"/>
        </w:rPr>
        <w:t xml:space="preserve">33</w:t>
      </w:r>
    </w:p>
    <w:p>
      <w:pPr>
        <w:tabs>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7	</w:t>
      </w:r>
      <w:r>
        <w:rPr>
          <w:rFonts w:ascii="Times New Roman" w:hAnsi="Times New Roman" w:eastAsia="Times New Roman"/>
          <w:color w:val="000000"/>
          <w:spacing w:val="0"/>
          <w:w w:val="100"/>
          <w:sz w:val="20"/>
          <w:vertAlign w:val="baseline"/>
          <w:lang w:val="en-US"/>
        </w:rPr>
        <w:t xml:space="preserve">Meaning of person conducting a business or undertaking—persons excluded	</w:t>
      </w:r>
      <w:r>
        <w:rPr>
          <w:rFonts w:ascii="Times New Roman" w:hAnsi="Times New Roman" w:eastAsia="Times New Roman"/>
          <w:color w:val="000000"/>
          <w:spacing w:val="0"/>
          <w:w w:val="100"/>
          <w:sz w:val="20"/>
          <w:vertAlign w:val="baseline"/>
          <w:lang w:val="en-US"/>
        </w:rPr>
        <w:t xml:space="preserve">33</w:t>
      </w:r>
    </w:p>
    <w:p>
      <w:pPr>
        <w:tabs>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8	</w:t>
      </w:r>
      <w:r>
        <w:rPr>
          <w:rFonts w:ascii="Times New Roman" w:hAnsi="Times New Roman" w:eastAsia="Times New Roman"/>
          <w:color w:val="000000"/>
          <w:spacing w:val="0"/>
          <w:w w:val="100"/>
          <w:sz w:val="20"/>
          <w:vertAlign w:val="baseline"/>
          <w:lang w:val="en-US"/>
        </w:rPr>
        <w:t xml:space="preserve">Meaning of </w:t>
      </w:r>
      <w:r>
        <w:rPr>
          <w:rFonts w:ascii="Times New Roman" w:hAnsi="Times New Roman" w:eastAsia="Times New Roman"/>
          <w:i w:val="true"/>
          <w:color w:val="000000"/>
          <w:spacing w:val="0"/>
          <w:w w:val="100"/>
          <w:sz w:val="20"/>
          <w:vertAlign w:val="baseline"/>
          <w:lang w:val="en-US"/>
        </w:rPr>
        <w:t xml:space="preserve">supply	</w:t>
      </w:r>
      <w:r>
        <w:rPr>
          <w:rFonts w:ascii="Times New Roman" w:hAnsi="Times New Roman" w:eastAsia="Times New Roman"/>
          <w:color w:val="000000"/>
          <w:spacing w:val="0"/>
          <w:w w:val="100"/>
          <w:sz w:val="20"/>
          <w:vertAlign w:val="baseline"/>
          <w:lang w:val="en-US"/>
        </w:rPr>
        <w:t xml:space="preserve">34</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9	</w:t>
      </w:r>
      <w:r>
        <w:rPr>
          <w:rFonts w:ascii="Times New Roman" w:hAnsi="Times New Roman" w:eastAsia="Times New Roman"/>
          <w:color w:val="000000"/>
          <w:spacing w:val="0"/>
          <w:w w:val="100"/>
          <w:sz w:val="20"/>
          <w:vertAlign w:val="baseline"/>
          <w:lang w:val="en-US"/>
        </w:rPr>
        <w:t xml:space="preserve">Provisions linked to health and safety duties in Act	</w:t>
      </w:r>
      <w:r>
        <w:rPr>
          <w:rFonts w:ascii="Times New Roman" w:hAnsi="Times New Roman" w:eastAsia="Times New Roman"/>
          <w:color w:val="000000"/>
          <w:spacing w:val="0"/>
          <w:w w:val="100"/>
          <w:sz w:val="20"/>
          <w:vertAlign w:val="baseline"/>
          <w:lang w:val="en-US"/>
        </w:rPr>
        <w:t xml:space="preserve">34</w:t>
      </w:r>
    </w:p>
    <w:p>
      <w:pPr>
        <w:tabs>
          <w:tab w:val="left" w:leader="none" w:pos="1368"/>
          <w:tab w:val="right" w:leader="none" w:pos="7704"/>
        </w:tabs>
        <w:spacing w:before="243"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1.2	</w:t>
      </w:r>
      <w:r>
        <w:rPr>
          <w:rFonts w:ascii="Times New Roman" w:hAnsi="Times New Roman" w:eastAsia="Times New Roman"/>
          <w:b w:val="true"/>
          <w:color w:val="000000"/>
          <w:spacing w:val="0"/>
          <w:w w:val="100"/>
          <w:sz w:val="20"/>
          <w:vertAlign w:val="baseline"/>
          <w:lang w:val="en-US"/>
        </w:rPr>
        <w:t xml:space="preserve">APPLICATION	</w:t>
      </w:r>
      <w:r>
        <w:rPr>
          <w:rFonts w:ascii="Times New Roman" w:hAnsi="Times New Roman" w:eastAsia="Times New Roman"/>
          <w:b w:val="true"/>
          <w:color w:val="000000"/>
          <w:spacing w:val="0"/>
          <w:w w:val="100"/>
          <w:sz w:val="20"/>
          <w:vertAlign w:val="baseline"/>
          <w:lang w:val="en-US"/>
        </w:rPr>
        <w:t xml:space="preserve">35</w:t>
      </w:r>
    </w:p>
    <w:p>
      <w:pPr>
        <w:tabs>
          <w:tab w:val="left" w:leader="none" w:pos="720"/>
          <w:tab w:val="right" w:leader="none" w:pos="7704"/>
        </w:tabs>
        <w:spacing w:before="12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	</w:t>
      </w:r>
      <w:r>
        <w:rPr>
          <w:rFonts w:ascii="Times New Roman" w:hAnsi="Times New Roman" w:eastAsia="Times New Roman"/>
          <w:color w:val="000000"/>
          <w:spacing w:val="0"/>
          <w:w w:val="100"/>
          <w:sz w:val="20"/>
          <w:vertAlign w:val="baseline"/>
          <w:lang w:val="en-US"/>
        </w:rPr>
        <w:t xml:space="preserve">Application of the Act to dangerous goods and high risk plant	</w:t>
      </w:r>
      <w:r>
        <w:rPr>
          <w:rFonts w:ascii="Times New Roman" w:hAnsi="Times New Roman" w:eastAsia="Times New Roman"/>
          <w:color w:val="000000"/>
          <w:spacing w:val="0"/>
          <w:w w:val="100"/>
          <w:sz w:val="20"/>
          <w:vertAlign w:val="baseline"/>
          <w:lang w:val="en-US"/>
        </w:rPr>
        <w:t xml:space="preserve">35</w:t>
      </w:r>
    </w:p>
    <w:p>
      <w:pPr>
        <w:tabs>
          <w:tab w:val="left" w:leader="none" w:pos="720"/>
          <w:tab w:val="right" w:leader="none" w:pos="7704"/>
        </w:tabs>
        <w:spacing w:before="0" w:after="0" w:line="226"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11	</w:t>
      </w:r>
      <w:r>
        <w:rPr>
          <w:rFonts w:ascii="Times New Roman" w:hAnsi="Times New Roman" w:eastAsia="Times New Roman"/>
          <w:color w:val="000000"/>
          <w:spacing w:val="0"/>
          <w:w w:val="100"/>
          <w:sz w:val="20"/>
          <w:vertAlign w:val="baseline"/>
          <w:lang w:val="en-US"/>
        </w:rPr>
        <w:t xml:space="preserve">Application of these Regulations	</w:t>
      </w:r>
      <w:r>
        <w:rPr>
          <w:rFonts w:ascii="Times New Roman" w:hAnsi="Times New Roman" w:eastAsia="Times New Roman"/>
          <w:color w:val="000000"/>
          <w:spacing w:val="0"/>
          <w:w w:val="100"/>
          <w:sz w:val="20"/>
          <w:vertAlign w:val="baseline"/>
          <w:lang w:val="en-US"/>
        </w:rPr>
        <w:t xml:space="preserve">35</w:t>
      </w:r>
    </w:p>
    <w:p>
      <w:pPr>
        <w:tabs>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12	</w:t>
      </w:r>
      <w:r>
        <w:rPr>
          <w:rFonts w:ascii="Times New Roman" w:hAnsi="Times New Roman" w:eastAsia="Times New Roman"/>
          <w:color w:val="000000"/>
          <w:spacing w:val="0"/>
          <w:w w:val="100"/>
          <w:sz w:val="20"/>
          <w:vertAlign w:val="baseline"/>
          <w:lang w:val="en-US"/>
        </w:rPr>
        <w:t xml:space="preserve">Assessment of risk in relation to a class of hazards, tasks, circumstances or things 35</w:t>
      </w:r>
    </w:p>
    <w:p>
      <w:pPr>
        <w:tabs>
          <w:tab w:val="left" w:leader="none" w:pos="1368"/>
          <w:tab w:val="right" w:leader="none" w:pos="7704"/>
        </w:tabs>
        <w:spacing w:before="244"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1.3	</w:t>
      </w:r>
      <w:r>
        <w:rPr>
          <w:rFonts w:ascii="Times New Roman" w:hAnsi="Times New Roman" w:eastAsia="Times New Roman"/>
          <w:b w:val="true"/>
          <w:color w:val="000000"/>
          <w:spacing w:val="0"/>
          <w:w w:val="100"/>
          <w:sz w:val="20"/>
          <w:vertAlign w:val="baseline"/>
          <w:lang w:val="en-US"/>
        </w:rPr>
        <w:t xml:space="preserve">INCORPORATED DOCUMENTS	</w:t>
      </w:r>
      <w:r>
        <w:rPr>
          <w:rFonts w:ascii="Times New Roman" w:hAnsi="Times New Roman" w:eastAsia="Times New Roman"/>
          <w:b w:val="true"/>
          <w:color w:val="000000"/>
          <w:spacing w:val="0"/>
          <w:w w:val="100"/>
          <w:sz w:val="20"/>
          <w:vertAlign w:val="baseline"/>
          <w:lang w:val="en-US"/>
        </w:rPr>
        <w:t xml:space="preserve">36</w:t>
      </w:r>
    </w:p>
    <w:p>
      <w:pPr>
        <w:tabs>
          <w:tab w:val="left" w:leader="none" w:pos="720"/>
          <w:tab w:val="right" w:leader="none" w:pos="7704"/>
        </w:tabs>
        <w:spacing w:before="12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13	</w:t>
      </w:r>
      <w:r>
        <w:rPr>
          <w:rFonts w:ascii="Times New Roman" w:hAnsi="Times New Roman" w:eastAsia="Times New Roman"/>
          <w:color w:val="000000"/>
          <w:spacing w:val="0"/>
          <w:w w:val="100"/>
          <w:sz w:val="20"/>
          <w:vertAlign w:val="baseline"/>
          <w:lang w:val="en-US"/>
        </w:rPr>
        <w:t xml:space="preserve">Documents incorporated as in force when incorporated	</w:t>
      </w:r>
      <w:r>
        <w:rPr>
          <w:rFonts w:ascii="Times New Roman" w:hAnsi="Times New Roman" w:eastAsia="Times New Roman"/>
          <w:color w:val="000000"/>
          <w:spacing w:val="0"/>
          <w:w w:val="100"/>
          <w:sz w:val="20"/>
          <w:vertAlign w:val="baseline"/>
          <w:lang w:val="en-US"/>
        </w:rPr>
        <w:t xml:space="preserve">36</w:t>
      </w:r>
    </w:p>
    <w:p>
      <w:pPr>
        <w:tabs>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14	</w:t>
      </w:r>
      <w:r>
        <w:rPr>
          <w:rFonts w:ascii="Times New Roman" w:hAnsi="Times New Roman" w:eastAsia="Times New Roman"/>
          <w:color w:val="000000"/>
          <w:spacing w:val="0"/>
          <w:w w:val="100"/>
          <w:sz w:val="20"/>
          <w:vertAlign w:val="baseline"/>
          <w:lang w:val="en-US"/>
        </w:rPr>
        <w:t xml:space="preserve">Inconsistencies between provisions	</w:t>
      </w:r>
      <w:r>
        <w:rPr>
          <w:rFonts w:ascii="Times New Roman" w:hAnsi="Times New Roman" w:eastAsia="Times New Roman"/>
          <w:color w:val="000000"/>
          <w:spacing w:val="0"/>
          <w:w w:val="100"/>
          <w:sz w:val="20"/>
          <w:vertAlign w:val="baseline"/>
          <w:lang w:val="en-US"/>
        </w:rPr>
        <w:t xml:space="preserve">36</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15	</w:t>
      </w:r>
      <w:r>
        <w:rPr>
          <w:rFonts w:ascii="Times New Roman" w:hAnsi="Times New Roman" w:eastAsia="Times New Roman"/>
          <w:color w:val="000000"/>
          <w:spacing w:val="0"/>
          <w:w w:val="100"/>
          <w:sz w:val="20"/>
          <w:vertAlign w:val="baseline"/>
          <w:lang w:val="en-US"/>
        </w:rPr>
        <w:t xml:space="preserve">References to standards	</w:t>
      </w:r>
      <w:r>
        <w:rPr>
          <w:rFonts w:ascii="Times New Roman" w:hAnsi="Times New Roman" w:eastAsia="Times New Roman"/>
          <w:color w:val="000000"/>
          <w:spacing w:val="0"/>
          <w:w w:val="100"/>
          <w:sz w:val="20"/>
          <w:vertAlign w:val="baseline"/>
          <w:lang w:val="en-US"/>
        </w:rPr>
        <w:t xml:space="preserve">36</w:t>
      </w:r>
    </w:p>
    <w:p>
      <w:pPr>
        <w:tabs>
          <w:tab w:val="left" w:leader="none" w:pos="1944"/>
          <w:tab w:val="right" w:leader="none" w:pos="7704"/>
        </w:tabs>
        <w:spacing w:before="243"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CHAPTER 2	</w:t>
      </w:r>
      <w:r>
        <w:rPr>
          <w:rFonts w:ascii="Times New Roman" w:hAnsi="Times New Roman" w:eastAsia="Times New Roman"/>
          <w:b w:val="true"/>
          <w:color w:val="000000"/>
          <w:spacing w:val="0"/>
          <w:w w:val="100"/>
          <w:sz w:val="20"/>
          <w:vertAlign w:val="baseline"/>
          <w:lang w:val="en-US"/>
        </w:rPr>
        <w:t xml:space="preserve">REPRESENTATION AND PARTICIPATION	</w:t>
      </w:r>
      <w:r>
        <w:rPr>
          <w:rFonts w:ascii="Times New Roman" w:hAnsi="Times New Roman" w:eastAsia="Times New Roman"/>
          <w:b w:val="true"/>
          <w:color w:val="000000"/>
          <w:spacing w:val="0"/>
          <w:w w:val="100"/>
          <w:sz w:val="20"/>
          <w:vertAlign w:val="baseline"/>
          <w:lang w:val="en-US"/>
        </w:rPr>
        <w:t xml:space="preserve">37</w:t>
      </w:r>
    </w:p>
    <w:p>
      <w:pPr>
        <w:tabs>
          <w:tab w:val="left" w:leader="none" w:pos="1368"/>
          <w:tab w:val="right" w:leader="none" w:pos="7704"/>
        </w:tabs>
        <w:spacing w:before="244"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2.1	</w:t>
      </w:r>
      <w:r>
        <w:rPr>
          <w:rFonts w:ascii="Times New Roman" w:hAnsi="Times New Roman" w:eastAsia="Times New Roman"/>
          <w:b w:val="true"/>
          <w:color w:val="000000"/>
          <w:spacing w:val="0"/>
          <w:w w:val="100"/>
          <w:sz w:val="20"/>
          <w:vertAlign w:val="baseline"/>
          <w:lang w:val="en-US"/>
        </w:rPr>
        <w:t xml:space="preserve">REPRESENTATION	</w:t>
      </w:r>
      <w:r>
        <w:rPr>
          <w:rFonts w:ascii="Times New Roman" w:hAnsi="Times New Roman" w:eastAsia="Times New Roman"/>
          <w:b w:val="true"/>
          <w:color w:val="000000"/>
          <w:spacing w:val="0"/>
          <w:w w:val="100"/>
          <w:sz w:val="20"/>
          <w:vertAlign w:val="baseline"/>
          <w:lang w:val="en-US"/>
        </w:rPr>
        <w:t xml:space="preserve">37</w:t>
      </w:r>
    </w:p>
    <w:p>
      <w:pPr>
        <w:tabs>
          <w:tab w:val="left" w:leader="none" w:pos="1368"/>
          <w:tab w:val="right" w:leader="none" w:pos="7704"/>
        </w:tabs>
        <w:spacing w:before="123"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1	</w:t>
      </w:r>
      <w:r>
        <w:rPr>
          <w:rFonts w:ascii="Times New Roman" w:hAnsi="Times New Roman" w:eastAsia="Times New Roman"/>
          <w:b w:val="true"/>
          <w:color w:val="000000"/>
          <w:spacing w:val="0"/>
          <w:w w:val="100"/>
          <w:sz w:val="20"/>
          <w:vertAlign w:val="baseline"/>
          <w:lang w:val="en-US"/>
        </w:rPr>
        <w:t xml:space="preserve">Work groups	</w:t>
      </w:r>
      <w:r>
        <w:rPr>
          <w:rFonts w:ascii="Times New Roman" w:hAnsi="Times New Roman" w:eastAsia="Times New Roman"/>
          <w:b w:val="true"/>
          <w:color w:val="000000"/>
          <w:spacing w:val="0"/>
          <w:w w:val="100"/>
          <w:sz w:val="20"/>
          <w:vertAlign w:val="baseline"/>
          <w:lang w:val="en-US"/>
        </w:rPr>
        <w:t xml:space="preserve">37</w:t>
      </w:r>
    </w:p>
    <w:p>
      <w:pPr>
        <w:tabs>
          <w:tab w:val="left" w:leader="none" w:pos="720"/>
          <w:tab w:val="right" w:leader="none" w:pos="7704"/>
        </w:tabs>
        <w:spacing w:before="12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16	</w:t>
      </w:r>
      <w:r>
        <w:rPr>
          <w:rFonts w:ascii="Times New Roman" w:hAnsi="Times New Roman" w:eastAsia="Times New Roman"/>
          <w:color w:val="000000"/>
          <w:spacing w:val="0"/>
          <w:w w:val="100"/>
          <w:sz w:val="20"/>
          <w:vertAlign w:val="baseline"/>
          <w:lang w:val="en-US"/>
        </w:rPr>
        <w:t xml:space="preserve">Negotiations for and determination of work groups	</w:t>
      </w:r>
      <w:r>
        <w:rPr>
          <w:rFonts w:ascii="Times New Roman" w:hAnsi="Times New Roman" w:eastAsia="Times New Roman"/>
          <w:color w:val="000000"/>
          <w:spacing w:val="0"/>
          <w:w w:val="100"/>
          <w:sz w:val="20"/>
          <w:vertAlign w:val="baseline"/>
          <w:lang w:val="en-US"/>
        </w:rPr>
        <w:t xml:space="preserve">37</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17	</w:t>
      </w:r>
      <w:r>
        <w:rPr>
          <w:rFonts w:ascii="Times New Roman" w:hAnsi="Times New Roman" w:eastAsia="Times New Roman"/>
          <w:color w:val="000000"/>
          <w:spacing w:val="0"/>
          <w:w w:val="100"/>
          <w:sz w:val="20"/>
          <w:vertAlign w:val="baseline"/>
          <w:lang w:val="en-US"/>
        </w:rPr>
        <w:t xml:space="preserve">Matters to be taken into account in negotiations	</w:t>
      </w:r>
      <w:r>
        <w:rPr>
          <w:rFonts w:ascii="Times New Roman" w:hAnsi="Times New Roman" w:eastAsia="Times New Roman"/>
          <w:color w:val="000000"/>
          <w:spacing w:val="0"/>
          <w:w w:val="100"/>
          <w:sz w:val="20"/>
          <w:vertAlign w:val="baseline"/>
          <w:lang w:val="en-US"/>
        </w:rPr>
        <w:t xml:space="preserve">37</w:t>
      </w:r>
    </w:p>
    <w:p>
      <w:pPr>
        <w:tabs>
          <w:tab w:val="left" w:leader="none" w:pos="1368"/>
          <w:tab w:val="right" w:leader="none" w:pos="7704"/>
        </w:tabs>
        <w:spacing w:before="3"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2	</w:t>
      </w:r>
      <w:r>
        <w:rPr>
          <w:rFonts w:ascii="Times New Roman" w:hAnsi="Times New Roman" w:eastAsia="Times New Roman"/>
          <w:b w:val="true"/>
          <w:color w:val="000000"/>
          <w:spacing w:val="0"/>
          <w:w w:val="100"/>
          <w:sz w:val="20"/>
          <w:vertAlign w:val="baseline"/>
          <w:lang w:val="en-US"/>
        </w:rPr>
        <w:t xml:space="preserve">Health and safety representatives	</w:t>
      </w:r>
      <w:r>
        <w:rPr>
          <w:rFonts w:ascii="Times New Roman" w:hAnsi="Times New Roman" w:eastAsia="Times New Roman"/>
          <w:b w:val="true"/>
          <w:color w:val="000000"/>
          <w:spacing w:val="0"/>
          <w:w w:val="100"/>
          <w:sz w:val="20"/>
          <w:vertAlign w:val="baseline"/>
          <w:lang w:val="en-US"/>
        </w:rPr>
        <w:t xml:space="preserve">38</w:t>
      </w:r>
    </w:p>
    <w:p>
      <w:pPr>
        <w:tabs>
          <w:tab w:val="left" w:leader="none" w:pos="720"/>
          <w:tab w:val="right" w:leader="none" w:pos="7704"/>
        </w:tabs>
        <w:spacing w:before="116"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18	</w:t>
      </w:r>
      <w:r>
        <w:rPr>
          <w:rFonts w:ascii="Times New Roman" w:hAnsi="Times New Roman" w:eastAsia="Times New Roman"/>
          <w:color w:val="000000"/>
          <w:spacing w:val="0"/>
          <w:w w:val="100"/>
          <w:sz w:val="20"/>
          <w:vertAlign w:val="baseline"/>
          <w:lang w:val="en-US"/>
        </w:rPr>
        <w:t xml:space="preserve">Procedures for election of health and safety representatives	</w:t>
      </w:r>
      <w:r>
        <w:rPr>
          <w:rFonts w:ascii="Times New Roman" w:hAnsi="Times New Roman" w:eastAsia="Times New Roman"/>
          <w:color w:val="000000"/>
          <w:spacing w:val="0"/>
          <w:w w:val="100"/>
          <w:sz w:val="20"/>
          <w:vertAlign w:val="baseline"/>
          <w:lang w:val="en-US"/>
        </w:rPr>
        <w:t xml:space="preserve">38</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19	</w:t>
      </w:r>
      <w:r>
        <w:rPr>
          <w:rFonts w:ascii="Times New Roman" w:hAnsi="Times New Roman" w:eastAsia="Times New Roman"/>
          <w:color w:val="000000"/>
          <w:spacing w:val="0"/>
          <w:w w:val="100"/>
          <w:sz w:val="20"/>
          <w:vertAlign w:val="baseline"/>
          <w:lang w:val="en-US"/>
        </w:rPr>
        <w:t xml:space="preserve">Person conducting business or undertaking must not delay election	</w:t>
      </w:r>
      <w:r>
        <w:rPr>
          <w:rFonts w:ascii="Times New Roman" w:hAnsi="Times New Roman" w:eastAsia="Times New Roman"/>
          <w:color w:val="000000"/>
          <w:spacing w:val="0"/>
          <w:w w:val="100"/>
          <w:sz w:val="20"/>
          <w:vertAlign w:val="baseline"/>
          <w:lang w:val="en-US"/>
        </w:rPr>
        <w:t xml:space="preserve">38</w:t>
      </w:r>
    </w:p>
    <w:p>
      <w:pPr>
        <w:tabs>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	</w:t>
      </w:r>
      <w:r>
        <w:rPr>
          <w:rFonts w:ascii="Times New Roman" w:hAnsi="Times New Roman" w:eastAsia="Times New Roman"/>
          <w:color w:val="000000"/>
          <w:spacing w:val="0"/>
          <w:w w:val="100"/>
          <w:sz w:val="20"/>
          <w:vertAlign w:val="baseline"/>
          <w:lang w:val="en-US"/>
        </w:rPr>
        <w:t xml:space="preserve">Removal of health and safety representatives	</w:t>
      </w:r>
      <w:r>
        <w:rPr>
          <w:rFonts w:ascii="Times New Roman" w:hAnsi="Times New Roman" w:eastAsia="Times New Roman"/>
          <w:color w:val="000000"/>
          <w:spacing w:val="0"/>
          <w:w w:val="100"/>
          <w:sz w:val="20"/>
          <w:vertAlign w:val="baseline"/>
          <w:lang w:val="en-US"/>
        </w:rPr>
        <w:t xml:space="preserve">39</w:t>
      </w:r>
    </w:p>
    <w:p>
      <w:pPr>
        <w:tabs>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20A Notice of entry for person assisting health and safety representative	</w:t>
      </w:r>
      <w:r>
        <w:rPr>
          <w:rFonts w:ascii="Times New Roman" w:hAnsi="Times New Roman" w:eastAsia="Times New Roman"/>
          <w:color w:val="000000"/>
          <w:spacing w:val="0"/>
          <w:w w:val="100"/>
          <w:sz w:val="20"/>
          <w:vertAlign w:val="baseline"/>
          <w:lang w:val="en-US"/>
        </w:rPr>
        <w:t xml:space="preserve">39</w:t>
      </w:r>
    </w:p>
    <w:p>
      <w:pPr>
        <w:tabs>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21	</w:t>
      </w:r>
      <w:r>
        <w:rPr>
          <w:rFonts w:ascii="Times New Roman" w:hAnsi="Times New Roman" w:eastAsia="Times New Roman"/>
          <w:color w:val="000000"/>
          <w:spacing w:val="0"/>
          <w:w w:val="100"/>
          <w:sz w:val="20"/>
          <w:vertAlign w:val="baseline"/>
          <w:lang w:val="en-US"/>
        </w:rPr>
        <w:t xml:space="preserve">Training for health and safety representatives	</w:t>
      </w:r>
      <w:r>
        <w:rPr>
          <w:rFonts w:ascii="Times New Roman" w:hAnsi="Times New Roman" w:eastAsia="Times New Roman"/>
          <w:color w:val="000000"/>
          <w:spacing w:val="0"/>
          <w:w w:val="100"/>
          <w:sz w:val="20"/>
          <w:vertAlign w:val="baseline"/>
          <w:lang w:val="en-US"/>
        </w:rPr>
        <w:t xml:space="preserve">40</w:t>
      </w:r>
    </w:p>
    <w:p>
      <w:pPr>
        <w:tabs>
          <w:tab w:val="left" w:leader="none" w:pos="1368"/>
          <w:tab w:val="right" w:leader="none" w:pos="7704"/>
        </w:tabs>
        <w:spacing w:before="243"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2.2	</w:t>
      </w:r>
      <w:r>
        <w:rPr>
          <w:rFonts w:ascii="Times New Roman" w:hAnsi="Times New Roman" w:eastAsia="Times New Roman"/>
          <w:b w:val="true"/>
          <w:color w:val="000000"/>
          <w:spacing w:val="0"/>
          <w:w w:val="100"/>
          <w:sz w:val="20"/>
          <w:vertAlign w:val="baseline"/>
          <w:lang w:val="en-US"/>
        </w:rPr>
        <w:t xml:space="preserve">ISSUE RESOLUTION	</w:t>
      </w:r>
      <w:r>
        <w:rPr>
          <w:rFonts w:ascii="Times New Roman" w:hAnsi="Times New Roman" w:eastAsia="Times New Roman"/>
          <w:b w:val="true"/>
          <w:color w:val="000000"/>
          <w:spacing w:val="0"/>
          <w:w w:val="100"/>
          <w:sz w:val="20"/>
          <w:vertAlign w:val="baseline"/>
          <w:lang w:val="en-US"/>
        </w:rPr>
        <w:t xml:space="preserve">41</w:t>
      </w:r>
    </w:p>
    <w:p>
      <w:pPr>
        <w:tabs>
          <w:tab w:val="left" w:leader="none" w:pos="720"/>
          <w:tab w:val="right" w:leader="none" w:pos="7704"/>
        </w:tabs>
        <w:spacing w:before="12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22	</w:t>
      </w:r>
      <w:r>
        <w:rPr>
          <w:rFonts w:ascii="Times New Roman" w:hAnsi="Times New Roman" w:eastAsia="Times New Roman"/>
          <w:color w:val="000000"/>
          <w:spacing w:val="0"/>
          <w:w w:val="100"/>
          <w:sz w:val="20"/>
          <w:vertAlign w:val="baseline"/>
          <w:lang w:val="en-US"/>
        </w:rPr>
        <w:t xml:space="preserve">Agreed procedure—minimum requirements	</w:t>
      </w:r>
      <w:r>
        <w:rPr>
          <w:rFonts w:ascii="Times New Roman" w:hAnsi="Times New Roman" w:eastAsia="Times New Roman"/>
          <w:color w:val="000000"/>
          <w:spacing w:val="0"/>
          <w:w w:val="100"/>
          <w:sz w:val="20"/>
          <w:vertAlign w:val="baseline"/>
          <w:lang w:val="en-US"/>
        </w:rPr>
        <w:t xml:space="preserve">41</w:t>
      </w:r>
    </w:p>
    <w:p>
      <w:pPr>
        <w:tabs>
          <w:tab w:val="left" w:leader="none" w:pos="720"/>
          <w:tab w:val="right" w:leader="none" w:pos="7704"/>
        </w:tabs>
        <w:spacing w:before="1" w:after="628"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23	</w:t>
      </w:r>
      <w:r>
        <w:rPr>
          <w:rFonts w:ascii="Times New Roman" w:hAnsi="Times New Roman" w:eastAsia="Times New Roman"/>
          <w:color w:val="000000"/>
          <w:spacing w:val="0"/>
          <w:w w:val="100"/>
          <w:sz w:val="20"/>
          <w:vertAlign w:val="baseline"/>
          <w:lang w:val="en-US"/>
        </w:rPr>
        <w:t xml:space="preserve">Default procedure	</w:t>
      </w:r>
      <w:r>
        <w:rPr>
          <w:rFonts w:ascii="Times New Roman" w:hAnsi="Times New Roman" w:eastAsia="Times New Roman"/>
          <w:color w:val="000000"/>
          <w:spacing w:val="0"/>
          <w:w w:val="100"/>
          <w:sz w:val="20"/>
          <w:vertAlign w:val="baseline"/>
          <w:lang w:val="en-US"/>
        </w:rPr>
        <w:t xml:space="preserve">41</w:t>
      </w:r>
    </w:p>
    <w:p>
      <w:pPr>
        <w:spacing w:before="323" w:after="0" w:line="211"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pict>
          <v:line strokeweight="0.5pt" strokecolor="#000000" from="97.9pt,710.65pt" to="498.95pt,710.6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1</w:t>
      </w:r>
    </w:p>
    <w:p>
      <w:pPr>
        <w:spacing w:before="0" w:after="0" w:line="105"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1.1.2021</w:t>
      </w:r>
    </w:p>
    <w:p>
      <w:pPr>
        <w:sectPr>
          <w:type w:val="nextPage"/>
          <w:pgSz w:w="11909" w:h="16838" w:orient="portrait"/>
          <w:pgMar w:bottom="1582" w:top="2120" w:right="1931" w:left="1958" w:header="720" w:footer="720"/>
          <w:titlePg w:val="false"/>
          <w:textDirection w:val="lrTb"/>
        </w:sectPr>
      </w:pPr>
    </w:p>
    <w:p>
      <w:pPr>
        <w:spacing w:before="20" w:after="23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368"/>
          <w:tab w:val="left" w:leader="none" w:pos="7416"/>
        </w:tabs>
        <w:spacing w:before="480" w:after="0" w:line="228"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7.45pt,90.95pt" to="498.5pt,90.95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PART 2.3	</w:t>
      </w:r>
      <w:r>
        <w:rPr>
          <w:rFonts w:ascii="Times New Roman" w:hAnsi="Times New Roman" w:eastAsia="Times New Roman"/>
          <w:b w:val="true"/>
          <w:color w:val="000000"/>
          <w:spacing w:val="0"/>
          <w:w w:val="100"/>
          <w:sz w:val="20"/>
          <w:vertAlign w:val="baseline"/>
          <w:lang w:val="en-US"/>
        </w:rPr>
        <w:t xml:space="preserve">CESSATION OF UNSAFE WORK	</w:t>
      </w:r>
      <w:r>
        <w:rPr>
          <w:rFonts w:ascii="Times New Roman" w:hAnsi="Times New Roman" w:eastAsia="Times New Roman"/>
          <w:b w:val="true"/>
          <w:color w:val="000000"/>
          <w:spacing w:val="0"/>
          <w:w w:val="100"/>
          <w:sz w:val="20"/>
          <w:vertAlign w:val="baseline"/>
          <w:lang w:val="en-US"/>
        </w:rPr>
        <w:t xml:space="preserve">43</w:t>
      </w:r>
    </w:p>
    <w:p>
      <w:pPr>
        <w:tabs>
          <w:tab w:val="left" w:leader="none" w:pos="720"/>
          <w:tab w:val="left" w:leader="none" w:pos="7416"/>
        </w:tabs>
        <w:spacing w:before="12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24	</w:t>
      </w:r>
      <w:r>
        <w:rPr>
          <w:rFonts w:ascii="Times New Roman" w:hAnsi="Times New Roman" w:eastAsia="Times New Roman"/>
          <w:color w:val="000000"/>
          <w:spacing w:val="0"/>
          <w:w w:val="100"/>
          <w:sz w:val="20"/>
          <w:vertAlign w:val="baseline"/>
          <w:lang w:val="en-US"/>
        </w:rPr>
        <w:t xml:space="preserve">Continuity of engagement of worker	</w:t>
      </w:r>
      <w:r>
        <w:rPr>
          <w:rFonts w:ascii="Times New Roman" w:hAnsi="Times New Roman" w:eastAsia="Times New Roman"/>
          <w:color w:val="000000"/>
          <w:spacing w:val="0"/>
          <w:w w:val="100"/>
          <w:sz w:val="20"/>
          <w:vertAlign w:val="baseline"/>
          <w:lang w:val="en-US"/>
        </w:rPr>
        <w:t xml:space="preserve">43</w:t>
      </w:r>
    </w:p>
    <w:p>
      <w:pPr>
        <w:tabs>
          <w:tab w:val="left" w:leader="none" w:pos="7416"/>
        </w:tabs>
        <w:spacing w:before="243" w:after="0" w:line="228"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2.4 WORKPLACE ENTRY BY WHS ENTRY PERMIT HOLDERS	</w:t>
      </w:r>
      <w:r>
        <w:rPr>
          <w:rFonts w:ascii="Times New Roman" w:hAnsi="Times New Roman" w:eastAsia="Times New Roman"/>
          <w:b w:val="true"/>
          <w:color w:val="000000"/>
          <w:spacing w:val="0"/>
          <w:w w:val="100"/>
          <w:sz w:val="20"/>
          <w:vertAlign w:val="baseline"/>
          <w:lang w:val="en-US"/>
        </w:rPr>
        <w:t xml:space="preserve">44</w:t>
      </w:r>
    </w:p>
    <w:p>
      <w:pPr>
        <w:tabs>
          <w:tab w:val="left" w:leader="none" w:pos="720"/>
          <w:tab w:val="left" w:leader="none" w:pos="7416"/>
        </w:tabs>
        <w:spacing w:before="119"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25	</w:t>
      </w:r>
      <w:r>
        <w:rPr>
          <w:rFonts w:ascii="Times New Roman" w:hAnsi="Times New Roman" w:eastAsia="Times New Roman"/>
          <w:color w:val="000000"/>
          <w:spacing w:val="0"/>
          <w:w w:val="100"/>
          <w:sz w:val="20"/>
          <w:vertAlign w:val="baseline"/>
          <w:lang w:val="en-US"/>
        </w:rPr>
        <w:t xml:space="preserve">Training requirements for WHS entry permits	</w:t>
      </w:r>
      <w:r>
        <w:rPr>
          <w:rFonts w:ascii="Times New Roman" w:hAnsi="Times New Roman" w:eastAsia="Times New Roman"/>
          <w:color w:val="000000"/>
          <w:spacing w:val="0"/>
          <w:w w:val="100"/>
          <w:sz w:val="20"/>
          <w:vertAlign w:val="baseline"/>
          <w:lang w:val="en-US"/>
        </w:rPr>
        <w:t xml:space="preserve">44</w:t>
      </w:r>
    </w:p>
    <w:p>
      <w:pPr>
        <w:tabs>
          <w:tab w:val="left" w:leader="none" w:pos="720"/>
          <w:tab w:val="left" w:leader="none" w:pos="7416"/>
        </w:tabs>
        <w:spacing w:before="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26	</w:t>
      </w:r>
      <w:r>
        <w:rPr>
          <w:rFonts w:ascii="Times New Roman" w:hAnsi="Times New Roman" w:eastAsia="Times New Roman"/>
          <w:color w:val="000000"/>
          <w:spacing w:val="0"/>
          <w:w w:val="100"/>
          <w:sz w:val="20"/>
          <w:vertAlign w:val="baseline"/>
          <w:lang w:val="en-US"/>
        </w:rPr>
        <w:t xml:space="preserve">Form of WHS entry permit	</w:t>
      </w:r>
      <w:r>
        <w:rPr>
          <w:rFonts w:ascii="Times New Roman" w:hAnsi="Times New Roman" w:eastAsia="Times New Roman"/>
          <w:color w:val="000000"/>
          <w:spacing w:val="0"/>
          <w:w w:val="100"/>
          <w:sz w:val="20"/>
          <w:vertAlign w:val="baseline"/>
          <w:lang w:val="en-US"/>
        </w:rPr>
        <w:t xml:space="preserve">44</w:t>
      </w:r>
    </w:p>
    <w:p>
      <w:pPr>
        <w:tabs>
          <w:tab w:val="left" w:leader="none" w:pos="720"/>
          <w:tab w:val="left" w:leader="none" w:pos="7416"/>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27	</w:t>
      </w:r>
      <w:r>
        <w:rPr>
          <w:rFonts w:ascii="Times New Roman" w:hAnsi="Times New Roman" w:eastAsia="Times New Roman"/>
          <w:color w:val="000000"/>
          <w:spacing w:val="0"/>
          <w:w w:val="100"/>
          <w:sz w:val="20"/>
          <w:vertAlign w:val="baseline"/>
          <w:lang w:val="en-US"/>
        </w:rPr>
        <w:t xml:space="preserve">Notice of entry—general	</w:t>
      </w:r>
      <w:r>
        <w:rPr>
          <w:rFonts w:ascii="Times New Roman" w:hAnsi="Times New Roman" w:eastAsia="Times New Roman"/>
          <w:color w:val="000000"/>
          <w:spacing w:val="0"/>
          <w:w w:val="100"/>
          <w:sz w:val="20"/>
          <w:vertAlign w:val="baseline"/>
          <w:lang w:val="en-US"/>
        </w:rPr>
        <w:t xml:space="preserve">45</w:t>
      </w:r>
    </w:p>
    <w:p>
      <w:pPr>
        <w:tabs>
          <w:tab w:val="left" w:leader="none" w:pos="720"/>
          <w:tab w:val="left" w:leader="none" w:pos="7416"/>
        </w:tabs>
        <w:spacing w:before="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28	</w:t>
      </w:r>
      <w:r>
        <w:rPr>
          <w:rFonts w:ascii="Times New Roman" w:hAnsi="Times New Roman" w:eastAsia="Times New Roman"/>
          <w:color w:val="000000"/>
          <w:spacing w:val="0"/>
          <w:w w:val="100"/>
          <w:sz w:val="20"/>
          <w:vertAlign w:val="baseline"/>
          <w:lang w:val="en-US"/>
        </w:rPr>
        <w:t xml:space="preserve">Additional requirements—entry under Part 7, Division 2	</w:t>
      </w:r>
      <w:r>
        <w:rPr>
          <w:rFonts w:ascii="Times New Roman" w:hAnsi="Times New Roman" w:eastAsia="Times New Roman"/>
          <w:color w:val="000000"/>
          <w:spacing w:val="0"/>
          <w:w w:val="100"/>
          <w:sz w:val="20"/>
          <w:vertAlign w:val="baseline"/>
          <w:lang w:val="en-US"/>
        </w:rPr>
        <w:t xml:space="preserve">45</w:t>
      </w:r>
    </w:p>
    <w:p>
      <w:pPr>
        <w:tabs>
          <w:tab w:val="left" w:leader="none" w:pos="7416"/>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28A (Repealed)	</w:t>
      </w:r>
      <w:r>
        <w:rPr>
          <w:rFonts w:ascii="Times New Roman" w:hAnsi="Times New Roman" w:eastAsia="Times New Roman"/>
          <w:color w:val="000000"/>
          <w:spacing w:val="0"/>
          <w:w w:val="100"/>
          <w:sz w:val="20"/>
          <w:vertAlign w:val="baseline"/>
          <w:lang w:val="en-US"/>
        </w:rPr>
        <w:t xml:space="preserve">46</w:t>
      </w:r>
    </w:p>
    <w:p>
      <w:pPr>
        <w:tabs>
          <w:tab w:val="left" w:leader="none" w:pos="720"/>
          <w:tab w:val="left" w:leader="none" w:pos="7416"/>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29	</w:t>
      </w:r>
      <w:r>
        <w:rPr>
          <w:rFonts w:ascii="Times New Roman" w:hAnsi="Times New Roman" w:eastAsia="Times New Roman"/>
          <w:color w:val="000000"/>
          <w:spacing w:val="0"/>
          <w:w w:val="100"/>
          <w:sz w:val="20"/>
          <w:vertAlign w:val="baseline"/>
          <w:lang w:val="en-US"/>
        </w:rPr>
        <w:t xml:space="preserve">Additional requirements—entry under section 120	</w:t>
      </w:r>
      <w:r>
        <w:rPr>
          <w:rFonts w:ascii="Times New Roman" w:hAnsi="Times New Roman" w:eastAsia="Times New Roman"/>
          <w:color w:val="000000"/>
          <w:spacing w:val="0"/>
          <w:w w:val="100"/>
          <w:sz w:val="20"/>
          <w:vertAlign w:val="baseline"/>
          <w:lang w:val="en-US"/>
        </w:rPr>
        <w:t xml:space="preserve">46</w:t>
      </w:r>
    </w:p>
    <w:p>
      <w:pPr>
        <w:tabs>
          <w:tab w:val="left" w:leader="none" w:pos="720"/>
          <w:tab w:val="left" w:leader="none" w:pos="7416"/>
        </w:tabs>
        <w:spacing w:before="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30	</w:t>
      </w:r>
      <w:r>
        <w:rPr>
          <w:rFonts w:ascii="Times New Roman" w:hAnsi="Times New Roman" w:eastAsia="Times New Roman"/>
          <w:color w:val="000000"/>
          <w:spacing w:val="0"/>
          <w:w w:val="100"/>
          <w:sz w:val="20"/>
          <w:vertAlign w:val="baseline"/>
          <w:lang w:val="en-US"/>
        </w:rPr>
        <w:t xml:space="preserve">Additional requirements—entry under section 121	</w:t>
      </w:r>
      <w:r>
        <w:rPr>
          <w:rFonts w:ascii="Times New Roman" w:hAnsi="Times New Roman" w:eastAsia="Times New Roman"/>
          <w:color w:val="000000"/>
          <w:spacing w:val="0"/>
          <w:w w:val="100"/>
          <w:sz w:val="20"/>
          <w:vertAlign w:val="baseline"/>
          <w:lang w:val="en-US"/>
        </w:rPr>
        <w:t xml:space="preserve">46</w:t>
      </w:r>
    </w:p>
    <w:p>
      <w:pPr>
        <w:tabs>
          <w:tab w:val="left" w:leader="none" w:pos="720"/>
          <w:tab w:val="left" w:leader="none" w:pos="7416"/>
        </w:tabs>
        <w:spacing w:before="0" w:after="0" w:line="225"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31	</w:t>
      </w:r>
      <w:r>
        <w:rPr>
          <w:rFonts w:ascii="Times New Roman" w:hAnsi="Times New Roman" w:eastAsia="Times New Roman"/>
          <w:color w:val="000000"/>
          <w:spacing w:val="0"/>
          <w:w w:val="100"/>
          <w:sz w:val="20"/>
          <w:vertAlign w:val="baseline"/>
          <w:lang w:val="en-US"/>
        </w:rPr>
        <w:t xml:space="preserve">Register of WHS entry permit holders	</w:t>
      </w:r>
      <w:r>
        <w:rPr>
          <w:rFonts w:ascii="Times New Roman" w:hAnsi="Times New Roman" w:eastAsia="Times New Roman"/>
          <w:color w:val="000000"/>
          <w:spacing w:val="0"/>
          <w:w w:val="100"/>
          <w:sz w:val="20"/>
          <w:vertAlign w:val="baseline"/>
          <w:lang w:val="en-US"/>
        </w:rPr>
        <w:t xml:space="preserve">47</w:t>
      </w:r>
    </w:p>
    <w:p>
      <w:pPr>
        <w:tabs>
          <w:tab w:val="left" w:leader="none" w:pos="1944"/>
          <w:tab w:val="left" w:leader="none" w:pos="7416"/>
        </w:tabs>
        <w:spacing w:before="244" w:after="0" w:line="228"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CHAPTER 3	</w:t>
      </w:r>
      <w:r>
        <w:rPr>
          <w:rFonts w:ascii="Times New Roman" w:hAnsi="Times New Roman" w:eastAsia="Times New Roman"/>
          <w:b w:val="true"/>
          <w:color w:val="000000"/>
          <w:spacing w:val="0"/>
          <w:w w:val="100"/>
          <w:sz w:val="20"/>
          <w:vertAlign w:val="baseline"/>
          <w:lang w:val="en-US"/>
        </w:rPr>
        <w:t xml:space="preserve">GENERAL RISK AND WORKPLACE MANAGEMENT	</w:t>
      </w:r>
      <w:r>
        <w:rPr>
          <w:rFonts w:ascii="Times New Roman" w:hAnsi="Times New Roman" w:eastAsia="Times New Roman"/>
          <w:b w:val="true"/>
          <w:color w:val="000000"/>
          <w:spacing w:val="0"/>
          <w:w w:val="100"/>
          <w:sz w:val="20"/>
          <w:vertAlign w:val="baseline"/>
          <w:lang w:val="en-US"/>
        </w:rPr>
        <w:t xml:space="preserve">48</w:t>
      </w:r>
    </w:p>
    <w:p>
      <w:pPr>
        <w:tabs>
          <w:tab w:val="left" w:leader="none" w:pos="1368"/>
          <w:tab w:val="left" w:leader="none" w:pos="7416"/>
        </w:tabs>
        <w:spacing w:before="242" w:after="0" w:line="228"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3.1	</w:t>
      </w:r>
      <w:r>
        <w:rPr>
          <w:rFonts w:ascii="Times New Roman" w:hAnsi="Times New Roman" w:eastAsia="Times New Roman"/>
          <w:b w:val="true"/>
          <w:color w:val="000000"/>
          <w:spacing w:val="0"/>
          <w:w w:val="100"/>
          <w:sz w:val="20"/>
          <w:vertAlign w:val="baseline"/>
          <w:lang w:val="en-US"/>
        </w:rPr>
        <w:t xml:space="preserve">MANAGING RISKS TO HEALTH AND SAFETY	</w:t>
      </w:r>
      <w:r>
        <w:rPr>
          <w:rFonts w:ascii="Times New Roman" w:hAnsi="Times New Roman" w:eastAsia="Times New Roman"/>
          <w:b w:val="true"/>
          <w:color w:val="000000"/>
          <w:spacing w:val="0"/>
          <w:w w:val="100"/>
          <w:sz w:val="20"/>
          <w:vertAlign w:val="baseline"/>
          <w:lang w:val="en-US"/>
        </w:rPr>
        <w:t xml:space="preserve">48</w:t>
      </w:r>
    </w:p>
    <w:p>
      <w:pPr>
        <w:tabs>
          <w:tab w:val="left" w:leader="none" w:pos="720"/>
          <w:tab w:val="left" w:leader="none" w:pos="7416"/>
        </w:tabs>
        <w:spacing w:before="12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32	</w:t>
      </w:r>
      <w:r>
        <w:rPr>
          <w:rFonts w:ascii="Times New Roman" w:hAnsi="Times New Roman" w:eastAsia="Times New Roman"/>
          <w:color w:val="000000"/>
          <w:spacing w:val="0"/>
          <w:w w:val="100"/>
          <w:sz w:val="20"/>
          <w:vertAlign w:val="baseline"/>
          <w:lang w:val="en-US"/>
        </w:rPr>
        <w:t xml:space="preserve">Application of Part 3.1	</w:t>
      </w:r>
      <w:r>
        <w:rPr>
          <w:rFonts w:ascii="Times New Roman" w:hAnsi="Times New Roman" w:eastAsia="Times New Roman"/>
          <w:color w:val="000000"/>
          <w:spacing w:val="0"/>
          <w:w w:val="100"/>
          <w:sz w:val="20"/>
          <w:vertAlign w:val="baseline"/>
          <w:lang w:val="en-US"/>
        </w:rPr>
        <w:t xml:space="preserve">48</w:t>
      </w:r>
    </w:p>
    <w:p>
      <w:pPr>
        <w:tabs>
          <w:tab w:val="left" w:leader="none" w:pos="720"/>
          <w:tab w:val="left" w:leader="none" w:pos="7416"/>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33	</w:t>
      </w:r>
      <w:r>
        <w:rPr>
          <w:rFonts w:ascii="Times New Roman" w:hAnsi="Times New Roman" w:eastAsia="Times New Roman"/>
          <w:color w:val="000000"/>
          <w:spacing w:val="0"/>
          <w:w w:val="100"/>
          <w:sz w:val="20"/>
          <w:vertAlign w:val="baseline"/>
          <w:lang w:val="en-US"/>
        </w:rPr>
        <w:t xml:space="preserve">Specific requirements must be complied with	</w:t>
      </w:r>
      <w:r>
        <w:rPr>
          <w:rFonts w:ascii="Times New Roman" w:hAnsi="Times New Roman" w:eastAsia="Times New Roman"/>
          <w:color w:val="000000"/>
          <w:spacing w:val="0"/>
          <w:w w:val="100"/>
          <w:sz w:val="20"/>
          <w:vertAlign w:val="baseline"/>
          <w:lang w:val="en-US"/>
        </w:rPr>
        <w:t xml:space="preserve">48</w:t>
      </w:r>
    </w:p>
    <w:p>
      <w:pPr>
        <w:tabs>
          <w:tab w:val="left" w:leader="none" w:pos="720"/>
          <w:tab w:val="left" w:leader="none" w:pos="7416"/>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34	</w:t>
      </w:r>
      <w:r>
        <w:rPr>
          <w:rFonts w:ascii="Times New Roman" w:hAnsi="Times New Roman" w:eastAsia="Times New Roman"/>
          <w:color w:val="000000"/>
          <w:spacing w:val="0"/>
          <w:w w:val="100"/>
          <w:sz w:val="20"/>
          <w:vertAlign w:val="baseline"/>
          <w:lang w:val="en-US"/>
        </w:rPr>
        <w:t xml:space="preserve">Duty to identify hazards	</w:t>
      </w:r>
      <w:r>
        <w:rPr>
          <w:rFonts w:ascii="Times New Roman" w:hAnsi="Times New Roman" w:eastAsia="Times New Roman"/>
          <w:color w:val="000000"/>
          <w:spacing w:val="0"/>
          <w:w w:val="100"/>
          <w:sz w:val="20"/>
          <w:vertAlign w:val="baseline"/>
          <w:lang w:val="en-US"/>
        </w:rPr>
        <w:t xml:space="preserve">48</w:t>
      </w:r>
    </w:p>
    <w:p>
      <w:pPr>
        <w:tabs>
          <w:tab w:val="left" w:leader="none" w:pos="720"/>
          <w:tab w:val="left" w:leader="none" w:pos="7416"/>
        </w:tabs>
        <w:spacing w:before="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35	</w:t>
      </w:r>
      <w:r>
        <w:rPr>
          <w:rFonts w:ascii="Times New Roman" w:hAnsi="Times New Roman" w:eastAsia="Times New Roman"/>
          <w:color w:val="000000"/>
          <w:spacing w:val="0"/>
          <w:w w:val="100"/>
          <w:sz w:val="20"/>
          <w:vertAlign w:val="baseline"/>
          <w:lang w:val="en-US"/>
        </w:rPr>
        <w:t xml:space="preserve">Managing risks to health and safety	</w:t>
      </w:r>
      <w:r>
        <w:rPr>
          <w:rFonts w:ascii="Times New Roman" w:hAnsi="Times New Roman" w:eastAsia="Times New Roman"/>
          <w:color w:val="000000"/>
          <w:spacing w:val="0"/>
          <w:w w:val="100"/>
          <w:sz w:val="20"/>
          <w:vertAlign w:val="baseline"/>
          <w:lang w:val="en-US"/>
        </w:rPr>
        <w:t xml:space="preserve">48</w:t>
      </w:r>
    </w:p>
    <w:p>
      <w:pPr>
        <w:tabs>
          <w:tab w:val="left" w:leader="none" w:pos="720"/>
          <w:tab w:val="left" w:leader="none" w:pos="7416"/>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36	</w:t>
      </w:r>
      <w:r>
        <w:rPr>
          <w:rFonts w:ascii="Times New Roman" w:hAnsi="Times New Roman" w:eastAsia="Times New Roman"/>
          <w:color w:val="000000"/>
          <w:spacing w:val="0"/>
          <w:w w:val="100"/>
          <w:sz w:val="20"/>
          <w:vertAlign w:val="baseline"/>
          <w:lang w:val="en-US"/>
        </w:rPr>
        <w:t xml:space="preserve">Hierarchy of control measures	</w:t>
      </w:r>
      <w:r>
        <w:rPr>
          <w:rFonts w:ascii="Times New Roman" w:hAnsi="Times New Roman" w:eastAsia="Times New Roman"/>
          <w:color w:val="000000"/>
          <w:spacing w:val="0"/>
          <w:w w:val="100"/>
          <w:sz w:val="20"/>
          <w:vertAlign w:val="baseline"/>
          <w:lang w:val="en-US"/>
        </w:rPr>
        <w:t xml:space="preserve">48</w:t>
      </w:r>
    </w:p>
    <w:p>
      <w:pPr>
        <w:tabs>
          <w:tab w:val="left" w:leader="none" w:pos="720"/>
          <w:tab w:val="left" w:leader="none" w:pos="7416"/>
        </w:tabs>
        <w:spacing w:before="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37	</w:t>
      </w:r>
      <w:r>
        <w:rPr>
          <w:rFonts w:ascii="Times New Roman" w:hAnsi="Times New Roman" w:eastAsia="Times New Roman"/>
          <w:color w:val="000000"/>
          <w:spacing w:val="0"/>
          <w:w w:val="100"/>
          <w:sz w:val="20"/>
          <w:vertAlign w:val="baseline"/>
          <w:lang w:val="en-US"/>
        </w:rPr>
        <w:t xml:space="preserve">Maintenance of control measures	</w:t>
      </w:r>
      <w:r>
        <w:rPr>
          <w:rFonts w:ascii="Times New Roman" w:hAnsi="Times New Roman" w:eastAsia="Times New Roman"/>
          <w:color w:val="000000"/>
          <w:spacing w:val="0"/>
          <w:w w:val="100"/>
          <w:sz w:val="20"/>
          <w:vertAlign w:val="baseline"/>
          <w:lang w:val="en-US"/>
        </w:rPr>
        <w:t xml:space="preserve">49</w:t>
      </w:r>
    </w:p>
    <w:p>
      <w:pPr>
        <w:tabs>
          <w:tab w:val="left" w:leader="none" w:pos="720"/>
          <w:tab w:val="left" w:leader="none" w:pos="7416"/>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38	</w:t>
      </w:r>
      <w:r>
        <w:rPr>
          <w:rFonts w:ascii="Times New Roman" w:hAnsi="Times New Roman" w:eastAsia="Times New Roman"/>
          <w:color w:val="000000"/>
          <w:spacing w:val="0"/>
          <w:w w:val="100"/>
          <w:sz w:val="20"/>
          <w:vertAlign w:val="baseline"/>
          <w:lang w:val="en-US"/>
        </w:rPr>
        <w:t xml:space="preserve">Review of control measures	</w:t>
      </w:r>
      <w:r>
        <w:rPr>
          <w:rFonts w:ascii="Times New Roman" w:hAnsi="Times New Roman" w:eastAsia="Times New Roman"/>
          <w:color w:val="000000"/>
          <w:spacing w:val="0"/>
          <w:w w:val="100"/>
          <w:sz w:val="20"/>
          <w:vertAlign w:val="baseline"/>
          <w:lang w:val="en-US"/>
        </w:rPr>
        <w:t xml:space="preserve">49</w:t>
      </w:r>
    </w:p>
    <w:p>
      <w:pPr>
        <w:tabs>
          <w:tab w:val="left" w:leader="none" w:pos="7416"/>
        </w:tabs>
        <w:spacing w:before="243" w:after="0" w:line="228"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3.2 GENERAL WORKPLACE MANAGEMENT	</w:t>
      </w:r>
      <w:r>
        <w:rPr>
          <w:rFonts w:ascii="Times New Roman" w:hAnsi="Times New Roman" w:eastAsia="Times New Roman"/>
          <w:b w:val="true"/>
          <w:color w:val="000000"/>
          <w:spacing w:val="0"/>
          <w:w w:val="100"/>
          <w:sz w:val="20"/>
          <w:vertAlign w:val="baseline"/>
          <w:lang w:val="en-US"/>
        </w:rPr>
        <w:t xml:space="preserve">51</w:t>
      </w:r>
    </w:p>
    <w:p>
      <w:pPr>
        <w:tabs>
          <w:tab w:val="left" w:leader="none" w:pos="1368"/>
          <w:tab w:val="left" w:leader="none" w:pos="7416"/>
        </w:tabs>
        <w:spacing w:before="123" w:after="0" w:line="228"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1	</w:t>
      </w:r>
      <w:r>
        <w:rPr>
          <w:rFonts w:ascii="Times New Roman" w:hAnsi="Times New Roman" w:eastAsia="Times New Roman"/>
          <w:b w:val="true"/>
          <w:color w:val="000000"/>
          <w:spacing w:val="0"/>
          <w:w w:val="100"/>
          <w:sz w:val="20"/>
          <w:vertAlign w:val="baseline"/>
          <w:lang w:val="en-US"/>
        </w:rPr>
        <w:t xml:space="preserve">Information, training and instruction	</w:t>
      </w:r>
      <w:r>
        <w:rPr>
          <w:rFonts w:ascii="Times New Roman" w:hAnsi="Times New Roman" w:eastAsia="Times New Roman"/>
          <w:b w:val="true"/>
          <w:color w:val="000000"/>
          <w:spacing w:val="0"/>
          <w:w w:val="100"/>
          <w:sz w:val="20"/>
          <w:vertAlign w:val="baseline"/>
          <w:lang w:val="en-US"/>
        </w:rPr>
        <w:t xml:space="preserve">51</w:t>
      </w:r>
    </w:p>
    <w:p>
      <w:pPr>
        <w:tabs>
          <w:tab w:val="left" w:leader="none" w:pos="720"/>
          <w:tab w:val="left" w:leader="none" w:pos="7416"/>
        </w:tabs>
        <w:spacing w:before="114"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39	</w:t>
      </w:r>
      <w:r>
        <w:rPr>
          <w:rFonts w:ascii="Times New Roman" w:hAnsi="Times New Roman" w:eastAsia="Times New Roman"/>
          <w:color w:val="000000"/>
          <w:spacing w:val="0"/>
          <w:w w:val="100"/>
          <w:sz w:val="20"/>
          <w:vertAlign w:val="baseline"/>
          <w:lang w:val="en-US"/>
        </w:rPr>
        <w:t xml:space="preserve">Provision of information, training and instruction	</w:t>
      </w:r>
      <w:r>
        <w:rPr>
          <w:rFonts w:ascii="Times New Roman" w:hAnsi="Times New Roman" w:eastAsia="Times New Roman"/>
          <w:color w:val="000000"/>
          <w:spacing w:val="0"/>
          <w:w w:val="100"/>
          <w:sz w:val="20"/>
          <w:vertAlign w:val="baseline"/>
          <w:lang w:val="en-US"/>
        </w:rPr>
        <w:t xml:space="preserve">51</w:t>
      </w:r>
    </w:p>
    <w:p>
      <w:pPr>
        <w:tabs>
          <w:tab w:val="left" w:leader="none" w:pos="1368"/>
          <w:tab w:val="left" w:leader="none" w:pos="7416"/>
        </w:tabs>
        <w:spacing w:before="4" w:after="0" w:line="228"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2	</w:t>
      </w:r>
      <w:r>
        <w:rPr>
          <w:rFonts w:ascii="Times New Roman" w:hAnsi="Times New Roman" w:eastAsia="Times New Roman"/>
          <w:b w:val="true"/>
          <w:color w:val="000000"/>
          <w:spacing w:val="0"/>
          <w:w w:val="100"/>
          <w:sz w:val="20"/>
          <w:vertAlign w:val="baseline"/>
          <w:lang w:val="en-US"/>
        </w:rPr>
        <w:t xml:space="preserve">General working environment	</w:t>
      </w:r>
      <w:r>
        <w:rPr>
          <w:rFonts w:ascii="Times New Roman" w:hAnsi="Times New Roman" w:eastAsia="Times New Roman"/>
          <w:b w:val="true"/>
          <w:color w:val="000000"/>
          <w:spacing w:val="0"/>
          <w:w w:val="100"/>
          <w:sz w:val="20"/>
          <w:vertAlign w:val="baseline"/>
          <w:lang w:val="en-US"/>
        </w:rPr>
        <w:t xml:space="preserve">51</w:t>
      </w:r>
    </w:p>
    <w:p>
      <w:pPr>
        <w:tabs>
          <w:tab w:val="left" w:leader="none" w:pos="720"/>
          <w:tab w:val="left" w:leader="none" w:pos="7416"/>
        </w:tabs>
        <w:spacing w:before="119"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40	</w:t>
      </w:r>
      <w:r>
        <w:rPr>
          <w:rFonts w:ascii="Times New Roman" w:hAnsi="Times New Roman" w:eastAsia="Times New Roman"/>
          <w:color w:val="000000"/>
          <w:spacing w:val="0"/>
          <w:w w:val="100"/>
          <w:sz w:val="20"/>
          <w:vertAlign w:val="baseline"/>
          <w:lang w:val="en-US"/>
        </w:rPr>
        <w:t xml:space="preserve">Duty in relation to general workplace facilities	</w:t>
      </w:r>
      <w:r>
        <w:rPr>
          <w:rFonts w:ascii="Times New Roman" w:hAnsi="Times New Roman" w:eastAsia="Times New Roman"/>
          <w:color w:val="000000"/>
          <w:spacing w:val="0"/>
          <w:w w:val="100"/>
          <w:sz w:val="20"/>
          <w:vertAlign w:val="baseline"/>
          <w:lang w:val="en-US"/>
        </w:rPr>
        <w:t xml:space="preserve">51</w:t>
      </w:r>
    </w:p>
    <w:p>
      <w:pPr>
        <w:tabs>
          <w:tab w:val="left" w:leader="none" w:pos="720"/>
          <w:tab w:val="left" w:leader="none" w:pos="7416"/>
        </w:tabs>
        <w:spacing w:before="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41	</w:t>
      </w:r>
      <w:r>
        <w:rPr>
          <w:rFonts w:ascii="Times New Roman" w:hAnsi="Times New Roman" w:eastAsia="Times New Roman"/>
          <w:color w:val="000000"/>
          <w:spacing w:val="0"/>
          <w:w w:val="100"/>
          <w:sz w:val="20"/>
          <w:vertAlign w:val="baseline"/>
          <w:lang w:val="en-US"/>
        </w:rPr>
        <w:t xml:space="preserve">Duty to provide and maintain adequate and accessible facilities	</w:t>
      </w:r>
      <w:r>
        <w:rPr>
          <w:rFonts w:ascii="Times New Roman" w:hAnsi="Times New Roman" w:eastAsia="Times New Roman"/>
          <w:color w:val="000000"/>
          <w:spacing w:val="0"/>
          <w:w w:val="100"/>
          <w:sz w:val="20"/>
          <w:vertAlign w:val="baseline"/>
          <w:lang w:val="en-US"/>
        </w:rPr>
        <w:t xml:space="preserve">52</w:t>
      </w:r>
    </w:p>
    <w:p>
      <w:pPr>
        <w:tabs>
          <w:tab w:val="left" w:leader="none" w:pos="1368"/>
          <w:tab w:val="left" w:leader="none" w:pos="7416"/>
        </w:tabs>
        <w:spacing w:before="3" w:after="0" w:line="228"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3	</w:t>
      </w:r>
      <w:r>
        <w:rPr>
          <w:rFonts w:ascii="Times New Roman" w:hAnsi="Times New Roman" w:eastAsia="Times New Roman"/>
          <w:b w:val="true"/>
          <w:color w:val="000000"/>
          <w:spacing w:val="0"/>
          <w:w w:val="100"/>
          <w:sz w:val="20"/>
          <w:vertAlign w:val="baseline"/>
          <w:lang w:val="en-US"/>
        </w:rPr>
        <w:t xml:space="preserve">First aid	</w:t>
      </w:r>
      <w:r>
        <w:rPr>
          <w:rFonts w:ascii="Times New Roman" w:hAnsi="Times New Roman" w:eastAsia="Times New Roman"/>
          <w:b w:val="true"/>
          <w:color w:val="000000"/>
          <w:spacing w:val="0"/>
          <w:w w:val="100"/>
          <w:sz w:val="20"/>
          <w:vertAlign w:val="baseline"/>
          <w:lang w:val="en-US"/>
        </w:rPr>
        <w:t xml:space="preserve">53</w:t>
      </w:r>
    </w:p>
    <w:p>
      <w:pPr>
        <w:tabs>
          <w:tab w:val="left" w:leader="none" w:pos="720"/>
          <w:tab w:val="left" w:leader="none" w:pos="7416"/>
        </w:tabs>
        <w:spacing w:before="119"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42	</w:t>
      </w:r>
      <w:r>
        <w:rPr>
          <w:rFonts w:ascii="Times New Roman" w:hAnsi="Times New Roman" w:eastAsia="Times New Roman"/>
          <w:color w:val="000000"/>
          <w:spacing w:val="0"/>
          <w:w w:val="100"/>
          <w:sz w:val="20"/>
          <w:vertAlign w:val="baseline"/>
          <w:lang w:val="en-US"/>
        </w:rPr>
        <w:t xml:space="preserve">Duty to provide first aid	</w:t>
      </w:r>
      <w:r>
        <w:rPr>
          <w:rFonts w:ascii="Times New Roman" w:hAnsi="Times New Roman" w:eastAsia="Times New Roman"/>
          <w:color w:val="000000"/>
          <w:spacing w:val="0"/>
          <w:w w:val="100"/>
          <w:sz w:val="20"/>
          <w:vertAlign w:val="baseline"/>
          <w:lang w:val="en-US"/>
        </w:rPr>
        <w:t xml:space="preserve">53</w:t>
      </w:r>
    </w:p>
    <w:p>
      <w:pPr>
        <w:tabs>
          <w:tab w:val="left" w:leader="none" w:pos="1368"/>
          <w:tab w:val="left" w:leader="none" w:pos="7416"/>
        </w:tabs>
        <w:spacing w:before="4" w:after="0" w:line="228"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4	</w:t>
      </w:r>
      <w:r>
        <w:rPr>
          <w:rFonts w:ascii="Times New Roman" w:hAnsi="Times New Roman" w:eastAsia="Times New Roman"/>
          <w:b w:val="true"/>
          <w:color w:val="000000"/>
          <w:spacing w:val="0"/>
          <w:w w:val="100"/>
          <w:sz w:val="20"/>
          <w:vertAlign w:val="baseline"/>
          <w:lang w:val="en-US"/>
        </w:rPr>
        <w:t xml:space="preserve">Emergency plans	</w:t>
      </w:r>
      <w:r>
        <w:rPr>
          <w:rFonts w:ascii="Times New Roman" w:hAnsi="Times New Roman" w:eastAsia="Times New Roman"/>
          <w:b w:val="true"/>
          <w:color w:val="000000"/>
          <w:spacing w:val="0"/>
          <w:w w:val="100"/>
          <w:sz w:val="20"/>
          <w:vertAlign w:val="baseline"/>
          <w:lang w:val="en-US"/>
        </w:rPr>
        <w:t xml:space="preserve">54</w:t>
      </w:r>
    </w:p>
    <w:p>
      <w:pPr>
        <w:tabs>
          <w:tab w:val="left" w:leader="none" w:pos="720"/>
          <w:tab w:val="left" w:leader="none" w:pos="7416"/>
        </w:tabs>
        <w:spacing w:before="119"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43	</w:t>
      </w:r>
      <w:r>
        <w:rPr>
          <w:rFonts w:ascii="Times New Roman" w:hAnsi="Times New Roman" w:eastAsia="Times New Roman"/>
          <w:color w:val="000000"/>
          <w:spacing w:val="0"/>
          <w:w w:val="100"/>
          <w:sz w:val="20"/>
          <w:vertAlign w:val="baseline"/>
          <w:lang w:val="en-US"/>
        </w:rPr>
        <w:t xml:space="preserve">Duty to prepare, maintain and implement emergency plan	</w:t>
      </w:r>
      <w:r>
        <w:rPr>
          <w:rFonts w:ascii="Times New Roman" w:hAnsi="Times New Roman" w:eastAsia="Times New Roman"/>
          <w:color w:val="000000"/>
          <w:spacing w:val="0"/>
          <w:w w:val="100"/>
          <w:sz w:val="20"/>
          <w:vertAlign w:val="baseline"/>
          <w:lang w:val="en-US"/>
        </w:rPr>
        <w:t xml:space="preserve">54</w:t>
      </w:r>
    </w:p>
    <w:p>
      <w:pPr>
        <w:tabs>
          <w:tab w:val="left" w:leader="none" w:pos="1368"/>
          <w:tab w:val="left" w:leader="none" w:pos="7416"/>
        </w:tabs>
        <w:spacing w:before="4" w:after="0" w:line="228"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5	</w:t>
      </w:r>
      <w:r>
        <w:rPr>
          <w:rFonts w:ascii="Times New Roman" w:hAnsi="Times New Roman" w:eastAsia="Times New Roman"/>
          <w:b w:val="true"/>
          <w:color w:val="000000"/>
          <w:spacing w:val="0"/>
          <w:w w:val="100"/>
          <w:sz w:val="20"/>
          <w:vertAlign w:val="baseline"/>
          <w:lang w:val="en-US"/>
        </w:rPr>
        <w:t xml:space="preserve">Personal protective equipment	</w:t>
      </w:r>
      <w:r>
        <w:rPr>
          <w:rFonts w:ascii="Times New Roman" w:hAnsi="Times New Roman" w:eastAsia="Times New Roman"/>
          <w:b w:val="true"/>
          <w:color w:val="000000"/>
          <w:spacing w:val="0"/>
          <w:w w:val="100"/>
          <w:sz w:val="20"/>
          <w:vertAlign w:val="baseline"/>
          <w:lang w:val="en-US"/>
        </w:rPr>
        <w:t xml:space="preserve">55</w:t>
      </w:r>
    </w:p>
    <w:p>
      <w:pPr>
        <w:tabs>
          <w:tab w:val="left" w:leader="none" w:pos="720"/>
          <w:tab w:val="left" w:leader="none" w:pos="7416"/>
        </w:tabs>
        <w:spacing w:before="119"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44	</w:t>
      </w:r>
      <w:r>
        <w:rPr>
          <w:rFonts w:ascii="Times New Roman" w:hAnsi="Times New Roman" w:eastAsia="Times New Roman"/>
          <w:color w:val="000000"/>
          <w:spacing w:val="0"/>
          <w:w w:val="100"/>
          <w:sz w:val="20"/>
          <w:vertAlign w:val="baseline"/>
          <w:lang w:val="en-US"/>
        </w:rPr>
        <w:t xml:space="preserve">Provision to workers and use of personal protective equipment	</w:t>
      </w:r>
      <w:r>
        <w:rPr>
          <w:rFonts w:ascii="Times New Roman" w:hAnsi="Times New Roman" w:eastAsia="Times New Roman"/>
          <w:color w:val="000000"/>
          <w:spacing w:val="0"/>
          <w:w w:val="100"/>
          <w:sz w:val="20"/>
          <w:vertAlign w:val="baseline"/>
          <w:lang w:val="en-US"/>
        </w:rPr>
        <w:t xml:space="preserve">55</w:t>
      </w:r>
    </w:p>
    <w:p>
      <w:pPr>
        <w:tabs>
          <w:tab w:val="left" w:leader="none" w:pos="720"/>
          <w:tab w:val="left" w:leader="none" w:pos="7416"/>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45	</w:t>
      </w:r>
      <w:r>
        <w:rPr>
          <w:rFonts w:ascii="Times New Roman" w:hAnsi="Times New Roman" w:eastAsia="Times New Roman"/>
          <w:color w:val="000000"/>
          <w:spacing w:val="0"/>
          <w:w w:val="100"/>
          <w:sz w:val="20"/>
          <w:vertAlign w:val="baseline"/>
          <w:lang w:val="en-US"/>
        </w:rPr>
        <w:t xml:space="preserve">Personal protective equipment used by other persons	</w:t>
      </w:r>
      <w:r>
        <w:rPr>
          <w:rFonts w:ascii="Times New Roman" w:hAnsi="Times New Roman" w:eastAsia="Times New Roman"/>
          <w:color w:val="000000"/>
          <w:spacing w:val="0"/>
          <w:w w:val="100"/>
          <w:sz w:val="20"/>
          <w:vertAlign w:val="baseline"/>
          <w:lang w:val="en-US"/>
        </w:rPr>
        <w:t xml:space="preserve">56</w:t>
      </w:r>
    </w:p>
    <w:p>
      <w:pPr>
        <w:tabs>
          <w:tab w:val="left" w:leader="none" w:pos="720"/>
          <w:tab w:val="left" w:leader="none" w:pos="7416"/>
        </w:tabs>
        <w:spacing w:before="0" w:after="0" w:line="226"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46	</w:t>
      </w:r>
      <w:r>
        <w:rPr>
          <w:rFonts w:ascii="Times New Roman" w:hAnsi="Times New Roman" w:eastAsia="Times New Roman"/>
          <w:color w:val="000000"/>
          <w:spacing w:val="0"/>
          <w:w w:val="100"/>
          <w:sz w:val="20"/>
          <w:vertAlign w:val="baseline"/>
          <w:lang w:val="en-US"/>
        </w:rPr>
        <w:t xml:space="preserve">Duties of worker	</w:t>
      </w:r>
      <w:r>
        <w:rPr>
          <w:rFonts w:ascii="Times New Roman" w:hAnsi="Times New Roman" w:eastAsia="Times New Roman"/>
          <w:color w:val="000000"/>
          <w:spacing w:val="0"/>
          <w:w w:val="100"/>
          <w:sz w:val="20"/>
          <w:vertAlign w:val="baseline"/>
          <w:lang w:val="en-US"/>
        </w:rPr>
        <w:t xml:space="preserve">56</w:t>
      </w:r>
    </w:p>
    <w:p>
      <w:pPr>
        <w:tabs>
          <w:tab w:val="left" w:leader="none" w:pos="720"/>
          <w:tab w:val="left" w:leader="none" w:pos="7416"/>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47	</w:t>
      </w:r>
      <w:r>
        <w:rPr>
          <w:rFonts w:ascii="Times New Roman" w:hAnsi="Times New Roman" w:eastAsia="Times New Roman"/>
          <w:color w:val="000000"/>
          <w:spacing w:val="0"/>
          <w:w w:val="100"/>
          <w:sz w:val="20"/>
          <w:vertAlign w:val="baseline"/>
          <w:lang w:val="en-US"/>
        </w:rPr>
        <w:t xml:space="preserve">Duty of person other than worker	</w:t>
      </w:r>
      <w:r>
        <w:rPr>
          <w:rFonts w:ascii="Times New Roman" w:hAnsi="Times New Roman" w:eastAsia="Times New Roman"/>
          <w:color w:val="000000"/>
          <w:spacing w:val="0"/>
          <w:w w:val="100"/>
          <w:sz w:val="20"/>
          <w:vertAlign w:val="baseline"/>
          <w:lang w:val="en-US"/>
        </w:rPr>
        <w:t xml:space="preserve">57</w:t>
      </w:r>
    </w:p>
    <w:p>
      <w:pPr>
        <w:tabs>
          <w:tab w:val="left" w:leader="none" w:pos="1368"/>
          <w:tab w:val="left" w:leader="none" w:pos="7416"/>
        </w:tabs>
        <w:spacing w:before="4" w:after="0" w:line="228"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6	</w:t>
      </w:r>
      <w:r>
        <w:rPr>
          <w:rFonts w:ascii="Times New Roman" w:hAnsi="Times New Roman" w:eastAsia="Times New Roman"/>
          <w:b w:val="true"/>
          <w:color w:val="000000"/>
          <w:spacing w:val="0"/>
          <w:w w:val="100"/>
          <w:sz w:val="20"/>
          <w:vertAlign w:val="baseline"/>
          <w:lang w:val="en-US"/>
        </w:rPr>
        <w:t xml:space="preserve">Remote or isolated work	</w:t>
      </w:r>
      <w:r>
        <w:rPr>
          <w:rFonts w:ascii="Times New Roman" w:hAnsi="Times New Roman" w:eastAsia="Times New Roman"/>
          <w:b w:val="true"/>
          <w:color w:val="000000"/>
          <w:spacing w:val="0"/>
          <w:w w:val="100"/>
          <w:sz w:val="20"/>
          <w:vertAlign w:val="baseline"/>
          <w:lang w:val="en-US"/>
        </w:rPr>
        <w:t xml:space="preserve">57</w:t>
      </w:r>
    </w:p>
    <w:p>
      <w:pPr>
        <w:tabs>
          <w:tab w:val="left" w:leader="none" w:pos="720"/>
          <w:tab w:val="left" w:leader="none" w:pos="7416"/>
        </w:tabs>
        <w:spacing w:before="119"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48	</w:t>
      </w:r>
      <w:r>
        <w:rPr>
          <w:rFonts w:ascii="Times New Roman" w:hAnsi="Times New Roman" w:eastAsia="Times New Roman"/>
          <w:color w:val="000000"/>
          <w:spacing w:val="0"/>
          <w:w w:val="100"/>
          <w:sz w:val="20"/>
          <w:vertAlign w:val="baseline"/>
          <w:lang w:val="en-US"/>
        </w:rPr>
        <w:t xml:space="preserve">Remote or isolated work	</w:t>
      </w:r>
      <w:r>
        <w:rPr>
          <w:rFonts w:ascii="Times New Roman" w:hAnsi="Times New Roman" w:eastAsia="Times New Roman"/>
          <w:color w:val="000000"/>
          <w:spacing w:val="0"/>
          <w:w w:val="100"/>
          <w:sz w:val="20"/>
          <w:vertAlign w:val="baseline"/>
          <w:lang w:val="en-US"/>
        </w:rPr>
        <w:t xml:space="preserve">57</w:t>
      </w:r>
    </w:p>
    <w:p>
      <w:pPr>
        <w:tabs>
          <w:tab w:val="left" w:leader="none" w:pos="1368"/>
          <w:tab w:val="left" w:leader="none" w:pos="7416"/>
        </w:tabs>
        <w:spacing w:before="4" w:after="0" w:line="228"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7	</w:t>
      </w:r>
      <w:r>
        <w:rPr>
          <w:rFonts w:ascii="Times New Roman" w:hAnsi="Times New Roman" w:eastAsia="Times New Roman"/>
          <w:b w:val="true"/>
          <w:color w:val="000000"/>
          <w:spacing w:val="0"/>
          <w:w w:val="100"/>
          <w:sz w:val="20"/>
          <w:vertAlign w:val="baseline"/>
          <w:lang w:val="en-US"/>
        </w:rPr>
        <w:t xml:space="preserve">Managing risks from airborne contaminants	</w:t>
      </w:r>
      <w:r>
        <w:rPr>
          <w:rFonts w:ascii="Times New Roman" w:hAnsi="Times New Roman" w:eastAsia="Times New Roman"/>
          <w:b w:val="true"/>
          <w:color w:val="000000"/>
          <w:spacing w:val="0"/>
          <w:w w:val="100"/>
          <w:sz w:val="20"/>
          <w:vertAlign w:val="baseline"/>
          <w:lang w:val="en-US"/>
        </w:rPr>
        <w:t xml:space="preserve">58</w:t>
      </w:r>
    </w:p>
    <w:p>
      <w:pPr>
        <w:tabs>
          <w:tab w:val="left" w:leader="none" w:pos="720"/>
          <w:tab w:val="left" w:leader="none" w:pos="7416"/>
        </w:tabs>
        <w:spacing w:before="119"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49	</w:t>
      </w:r>
      <w:r>
        <w:rPr>
          <w:rFonts w:ascii="Times New Roman" w:hAnsi="Times New Roman" w:eastAsia="Times New Roman"/>
          <w:color w:val="000000"/>
          <w:spacing w:val="0"/>
          <w:w w:val="100"/>
          <w:sz w:val="20"/>
          <w:vertAlign w:val="baseline"/>
          <w:lang w:val="en-US"/>
        </w:rPr>
        <w:t xml:space="preserve">Ensuring exposure standards for substances and mixtures not exceeded	</w:t>
      </w:r>
      <w:r>
        <w:rPr>
          <w:rFonts w:ascii="Times New Roman" w:hAnsi="Times New Roman" w:eastAsia="Times New Roman"/>
          <w:color w:val="000000"/>
          <w:spacing w:val="0"/>
          <w:w w:val="100"/>
          <w:sz w:val="20"/>
          <w:vertAlign w:val="baseline"/>
          <w:lang w:val="en-US"/>
        </w:rPr>
        <w:t xml:space="preserve">58</w:t>
      </w:r>
    </w:p>
    <w:p>
      <w:pPr>
        <w:tabs>
          <w:tab w:val="left" w:leader="none" w:pos="720"/>
          <w:tab w:val="left" w:leader="none" w:pos="7416"/>
        </w:tabs>
        <w:spacing w:before="0" w:after="931"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pict>
          <v:line strokeweight="0.5pt" strokecolor="#000000" from="97.45pt,710.65pt" to="498.5pt,710.6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50	</w:t>
      </w:r>
      <w:r>
        <w:rPr>
          <w:rFonts w:ascii="Times New Roman" w:hAnsi="Times New Roman" w:eastAsia="Times New Roman"/>
          <w:color w:val="000000"/>
          <w:spacing w:val="0"/>
          <w:w w:val="100"/>
          <w:sz w:val="20"/>
          <w:vertAlign w:val="baseline"/>
          <w:lang w:val="en-US"/>
        </w:rPr>
        <w:t xml:space="preserve">Monitoring airborne contaminant levels	</w:t>
      </w:r>
      <w:r>
        <w:rPr>
          <w:rFonts w:ascii="Times New Roman" w:hAnsi="Times New Roman" w:eastAsia="Times New Roman"/>
          <w:color w:val="000000"/>
          <w:spacing w:val="0"/>
          <w:w w:val="100"/>
          <w:sz w:val="20"/>
          <w:vertAlign w:val="baseline"/>
          <w:lang w:val="en-US"/>
        </w:rPr>
        <w:t xml:space="preserve">58</w:t>
      </w:r>
    </w:p>
    <w:p>
      <w:pPr>
        <w:spacing w:before="0" w:after="931" w:line="230" w:lineRule="exact"/>
        <w:sectPr>
          <w:type w:val="nextPage"/>
          <w:pgSz w:w="11909" w:h="16838" w:orient="portrait"/>
          <w:pgMar w:bottom="1542" w:top="1320" w:right="1940" w:left="1949" w:header="720" w:footer="720"/>
          <w:titlePg w:val="false"/>
          <w:textDirection w:val="lrTb"/>
        </w:sectPr>
      </w:pPr>
    </w:p>
    <w:p>
      <w:pPr>
        <w:tabs>
          <w:tab w:val="right" w:leader="none" w:pos="4032"/>
        </w:tabs>
        <w:spacing w:before="6" w:after="0" w:line="177"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1.1.2021	</w:t>
      </w:r>
      <w:r>
        <w:rPr>
          <w:rFonts w:ascii="Times New Roman" w:hAnsi="Times New Roman" w:eastAsia="Times New Roman"/>
          <w:color w:val="000000"/>
          <w:spacing w:val="0"/>
          <w:w w:val="100"/>
          <w:sz w:val="16"/>
          <w:vertAlign w:val="baseline"/>
          <w:lang w:val="en-US"/>
        </w:rPr>
        <w:t xml:space="preserve">2</w:t>
      </w:r>
    </w:p>
    <w:p>
      <w:pPr>
        <w:sectPr>
          <w:type w:val="continuous"/>
          <w:pgSz w:w="11909" w:h="16838" w:orient="portrait"/>
          <w:pgMar w:bottom="1542" w:top="1320" w:right="5912" w:left="1997" w:header="720" w:footer="720"/>
          <w:titlePg w:val="false"/>
          <w:textDirection w:val="lrTb"/>
        </w:sectPr>
      </w:pPr>
    </w:p>
    <w:p>
      <w:pPr>
        <w:spacing w:before="21" w:after="229"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368"/>
          <w:tab w:val="right" w:leader="none" w:pos="7704"/>
        </w:tabs>
        <w:spacing w:before="480"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7.45pt,90.95pt" to="498.5pt,90.95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Division 8	</w:t>
      </w:r>
      <w:r>
        <w:rPr>
          <w:rFonts w:ascii="Times New Roman" w:hAnsi="Times New Roman" w:eastAsia="Times New Roman"/>
          <w:b w:val="true"/>
          <w:color w:val="000000"/>
          <w:spacing w:val="0"/>
          <w:w w:val="100"/>
          <w:sz w:val="20"/>
          <w:vertAlign w:val="baseline"/>
          <w:lang w:val="en-US"/>
        </w:rPr>
        <w:t xml:space="preserve">Hazardous atmospheres	</w:t>
      </w:r>
      <w:r>
        <w:rPr>
          <w:rFonts w:ascii="Times New Roman" w:hAnsi="Times New Roman" w:eastAsia="Times New Roman"/>
          <w:b w:val="true"/>
          <w:color w:val="000000"/>
          <w:spacing w:val="0"/>
          <w:w w:val="100"/>
          <w:sz w:val="20"/>
          <w:vertAlign w:val="baseline"/>
          <w:lang w:val="en-US"/>
        </w:rPr>
        <w:t xml:space="preserve">59</w:t>
      </w:r>
    </w:p>
    <w:p>
      <w:pPr>
        <w:tabs>
          <w:tab w:val="left" w:leader="none" w:pos="720"/>
          <w:tab w:val="right" w:leader="none" w:pos="7704"/>
        </w:tabs>
        <w:spacing w:before="12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51	</w:t>
      </w:r>
      <w:r>
        <w:rPr>
          <w:rFonts w:ascii="Times New Roman" w:hAnsi="Times New Roman" w:eastAsia="Times New Roman"/>
          <w:color w:val="000000"/>
          <w:spacing w:val="0"/>
          <w:w w:val="100"/>
          <w:sz w:val="20"/>
          <w:vertAlign w:val="baseline"/>
          <w:lang w:val="en-US"/>
        </w:rPr>
        <w:t xml:space="preserve">Managing risks to health and safety	</w:t>
      </w:r>
      <w:r>
        <w:rPr>
          <w:rFonts w:ascii="Times New Roman" w:hAnsi="Times New Roman" w:eastAsia="Times New Roman"/>
          <w:color w:val="000000"/>
          <w:spacing w:val="0"/>
          <w:w w:val="100"/>
          <w:sz w:val="20"/>
          <w:vertAlign w:val="baseline"/>
          <w:lang w:val="en-US"/>
        </w:rPr>
        <w:t xml:space="preserve">59</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52	</w:t>
      </w:r>
      <w:r>
        <w:rPr>
          <w:rFonts w:ascii="Times New Roman" w:hAnsi="Times New Roman" w:eastAsia="Times New Roman"/>
          <w:color w:val="000000"/>
          <w:spacing w:val="0"/>
          <w:w w:val="100"/>
          <w:sz w:val="20"/>
          <w:vertAlign w:val="baseline"/>
          <w:lang w:val="en-US"/>
        </w:rPr>
        <w:t xml:space="preserve">Ignition sources	</w:t>
      </w:r>
      <w:r>
        <w:rPr>
          <w:rFonts w:ascii="Times New Roman" w:hAnsi="Times New Roman" w:eastAsia="Times New Roman"/>
          <w:color w:val="000000"/>
          <w:spacing w:val="0"/>
          <w:w w:val="100"/>
          <w:sz w:val="20"/>
          <w:vertAlign w:val="baseline"/>
          <w:lang w:val="en-US"/>
        </w:rPr>
        <w:t xml:space="preserve">59</w:t>
      </w:r>
    </w:p>
    <w:p>
      <w:pPr>
        <w:tabs>
          <w:tab w:val="left" w:leader="none" w:pos="1368"/>
          <w:tab w:val="right" w:leader="none" w:pos="7704"/>
        </w:tabs>
        <w:spacing w:before="2"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9	</w:t>
      </w:r>
      <w:r>
        <w:rPr>
          <w:rFonts w:ascii="Times New Roman" w:hAnsi="Times New Roman" w:eastAsia="Times New Roman"/>
          <w:b w:val="true"/>
          <w:color w:val="000000"/>
          <w:spacing w:val="0"/>
          <w:w w:val="100"/>
          <w:sz w:val="20"/>
          <w:vertAlign w:val="baseline"/>
          <w:lang w:val="en-US"/>
        </w:rPr>
        <w:t xml:space="preserve">Storage of flammable or combustible substances	</w:t>
      </w:r>
      <w:r>
        <w:rPr>
          <w:rFonts w:ascii="Times New Roman" w:hAnsi="Times New Roman" w:eastAsia="Times New Roman"/>
          <w:b w:val="true"/>
          <w:color w:val="000000"/>
          <w:spacing w:val="0"/>
          <w:w w:val="100"/>
          <w:sz w:val="20"/>
          <w:vertAlign w:val="baseline"/>
          <w:lang w:val="en-US"/>
        </w:rPr>
        <w:t xml:space="preserve">60</w:t>
      </w:r>
    </w:p>
    <w:p>
      <w:pPr>
        <w:tabs>
          <w:tab w:val="left" w:leader="none" w:pos="720"/>
          <w:tab w:val="right" w:leader="none" w:pos="7704"/>
        </w:tabs>
        <w:spacing w:before="12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53	</w:t>
      </w:r>
      <w:r>
        <w:rPr>
          <w:rFonts w:ascii="Times New Roman" w:hAnsi="Times New Roman" w:eastAsia="Times New Roman"/>
          <w:color w:val="000000"/>
          <w:spacing w:val="0"/>
          <w:w w:val="100"/>
          <w:sz w:val="20"/>
          <w:vertAlign w:val="baseline"/>
          <w:lang w:val="en-US"/>
        </w:rPr>
        <w:t xml:space="preserve">Flammable and combustible material not to be accumulated	</w:t>
      </w:r>
      <w:r>
        <w:rPr>
          <w:rFonts w:ascii="Times New Roman" w:hAnsi="Times New Roman" w:eastAsia="Times New Roman"/>
          <w:color w:val="000000"/>
          <w:spacing w:val="0"/>
          <w:w w:val="100"/>
          <w:sz w:val="20"/>
          <w:vertAlign w:val="baseline"/>
          <w:lang w:val="en-US"/>
        </w:rPr>
        <w:t xml:space="preserve">60</w:t>
      </w:r>
    </w:p>
    <w:p>
      <w:pPr>
        <w:tabs>
          <w:tab w:val="left" w:leader="none" w:pos="1368"/>
          <w:tab w:val="right" w:leader="none" w:pos="7704"/>
        </w:tabs>
        <w:spacing w:before="2"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10	</w:t>
      </w:r>
      <w:r>
        <w:rPr>
          <w:rFonts w:ascii="Times New Roman" w:hAnsi="Times New Roman" w:eastAsia="Times New Roman"/>
          <w:b w:val="true"/>
          <w:color w:val="000000"/>
          <w:spacing w:val="0"/>
          <w:w w:val="100"/>
          <w:sz w:val="20"/>
          <w:vertAlign w:val="baseline"/>
          <w:lang w:val="en-US"/>
        </w:rPr>
        <w:t xml:space="preserve">Falling objects	</w:t>
      </w:r>
      <w:r>
        <w:rPr>
          <w:rFonts w:ascii="Times New Roman" w:hAnsi="Times New Roman" w:eastAsia="Times New Roman"/>
          <w:b w:val="true"/>
          <w:color w:val="000000"/>
          <w:spacing w:val="0"/>
          <w:w w:val="100"/>
          <w:sz w:val="20"/>
          <w:vertAlign w:val="baseline"/>
          <w:lang w:val="en-US"/>
        </w:rPr>
        <w:t xml:space="preserve">60</w:t>
      </w:r>
    </w:p>
    <w:p>
      <w:pPr>
        <w:tabs>
          <w:tab w:val="left" w:leader="none" w:pos="720"/>
          <w:tab w:val="right" w:leader="none" w:pos="7704"/>
        </w:tabs>
        <w:spacing w:before="12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54	</w:t>
      </w:r>
      <w:r>
        <w:rPr>
          <w:rFonts w:ascii="Times New Roman" w:hAnsi="Times New Roman" w:eastAsia="Times New Roman"/>
          <w:color w:val="000000"/>
          <w:spacing w:val="0"/>
          <w:w w:val="100"/>
          <w:sz w:val="20"/>
          <w:vertAlign w:val="baseline"/>
          <w:lang w:val="en-US"/>
        </w:rPr>
        <w:t xml:space="preserve">Management of risk of falling objects	</w:t>
      </w:r>
      <w:r>
        <w:rPr>
          <w:rFonts w:ascii="Times New Roman" w:hAnsi="Times New Roman" w:eastAsia="Times New Roman"/>
          <w:color w:val="000000"/>
          <w:spacing w:val="0"/>
          <w:w w:val="100"/>
          <w:sz w:val="20"/>
          <w:vertAlign w:val="baseline"/>
          <w:lang w:val="en-US"/>
        </w:rPr>
        <w:t xml:space="preserve">60</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55	</w:t>
      </w:r>
      <w:r>
        <w:rPr>
          <w:rFonts w:ascii="Times New Roman" w:hAnsi="Times New Roman" w:eastAsia="Times New Roman"/>
          <w:color w:val="000000"/>
          <w:spacing w:val="0"/>
          <w:w w:val="100"/>
          <w:sz w:val="20"/>
          <w:vertAlign w:val="baseline"/>
          <w:lang w:val="en-US"/>
        </w:rPr>
        <w:t xml:space="preserve">Minimising risk associated with falling objects	</w:t>
      </w:r>
      <w:r>
        <w:rPr>
          <w:rFonts w:ascii="Times New Roman" w:hAnsi="Times New Roman" w:eastAsia="Times New Roman"/>
          <w:color w:val="000000"/>
          <w:spacing w:val="0"/>
          <w:w w:val="100"/>
          <w:sz w:val="20"/>
          <w:vertAlign w:val="baseline"/>
          <w:lang w:val="en-US"/>
        </w:rPr>
        <w:t xml:space="preserve">60</w:t>
      </w:r>
    </w:p>
    <w:p>
      <w:pPr>
        <w:tabs>
          <w:tab w:val="left" w:leader="none" w:pos="1368"/>
          <w:tab w:val="right" w:leader="none" w:pos="7704"/>
        </w:tabs>
        <w:spacing w:before="2"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11	</w:t>
      </w:r>
      <w:r>
        <w:rPr>
          <w:rFonts w:ascii="Times New Roman" w:hAnsi="Times New Roman" w:eastAsia="Times New Roman"/>
          <w:b w:val="true"/>
          <w:color w:val="000000"/>
          <w:spacing w:val="0"/>
          <w:w w:val="100"/>
          <w:sz w:val="20"/>
          <w:vertAlign w:val="baseline"/>
          <w:lang w:val="en-US"/>
        </w:rPr>
        <w:t xml:space="preserve">Psychosocial risks	</w:t>
      </w:r>
      <w:r>
        <w:rPr>
          <w:rFonts w:ascii="Times New Roman" w:hAnsi="Times New Roman" w:eastAsia="Times New Roman"/>
          <w:b w:val="true"/>
          <w:color w:val="000000"/>
          <w:spacing w:val="0"/>
          <w:w w:val="100"/>
          <w:sz w:val="20"/>
          <w:vertAlign w:val="baseline"/>
          <w:lang w:val="en-US"/>
        </w:rPr>
        <w:t xml:space="preserve">61</w:t>
      </w:r>
    </w:p>
    <w:p>
      <w:pPr>
        <w:tabs>
          <w:tab w:val="right" w:leader="none" w:pos="7704"/>
        </w:tabs>
        <w:spacing w:before="12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55A Meaning of </w:t>
      </w:r>
      <w:r>
        <w:rPr>
          <w:rFonts w:ascii="Times New Roman" w:hAnsi="Times New Roman" w:eastAsia="Times New Roman"/>
          <w:i w:val="true"/>
          <w:color w:val="000000"/>
          <w:spacing w:val="0"/>
          <w:w w:val="100"/>
          <w:sz w:val="20"/>
          <w:vertAlign w:val="baseline"/>
          <w:lang w:val="en-US"/>
        </w:rPr>
        <w:t xml:space="preserve">psychosocial hazard	</w:t>
      </w:r>
      <w:r>
        <w:rPr>
          <w:rFonts w:ascii="Times New Roman" w:hAnsi="Times New Roman" w:eastAsia="Times New Roman"/>
          <w:color w:val="000000"/>
          <w:spacing w:val="0"/>
          <w:w w:val="100"/>
          <w:sz w:val="20"/>
          <w:vertAlign w:val="baseline"/>
          <w:lang w:val="en-US"/>
        </w:rPr>
        <w:t xml:space="preserve">61</w:t>
      </w:r>
    </w:p>
    <w:p>
      <w:pPr>
        <w:tabs>
          <w:tab w:val="right" w:leader="none" w:pos="7704"/>
        </w:tabs>
        <w:spacing w:before="0" w:after="0" w:line="225"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55B Meaning of </w:t>
      </w:r>
      <w:r>
        <w:rPr>
          <w:rFonts w:ascii="Times New Roman" w:hAnsi="Times New Roman" w:eastAsia="Times New Roman"/>
          <w:i w:val="true"/>
          <w:color w:val="000000"/>
          <w:spacing w:val="0"/>
          <w:w w:val="100"/>
          <w:sz w:val="20"/>
          <w:vertAlign w:val="baseline"/>
          <w:lang w:val="en-US"/>
        </w:rPr>
        <w:t xml:space="preserve">psychosocial risk	</w:t>
      </w:r>
      <w:r>
        <w:rPr>
          <w:rFonts w:ascii="Times New Roman" w:hAnsi="Times New Roman" w:eastAsia="Times New Roman"/>
          <w:color w:val="000000"/>
          <w:spacing w:val="0"/>
          <w:w w:val="100"/>
          <w:sz w:val="20"/>
          <w:vertAlign w:val="baseline"/>
          <w:lang w:val="en-US"/>
        </w:rPr>
        <w:t xml:space="preserve">61</w:t>
      </w:r>
    </w:p>
    <w:p>
      <w:pPr>
        <w:tabs>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55C Managing psychosocial risks	</w:t>
      </w:r>
      <w:r>
        <w:rPr>
          <w:rFonts w:ascii="Times New Roman" w:hAnsi="Times New Roman" w:eastAsia="Times New Roman"/>
          <w:color w:val="000000"/>
          <w:spacing w:val="0"/>
          <w:w w:val="100"/>
          <w:sz w:val="20"/>
          <w:vertAlign w:val="baseline"/>
          <w:lang w:val="en-US"/>
        </w:rPr>
        <w:t xml:space="preserve">61</w:t>
      </w:r>
    </w:p>
    <w:p>
      <w:pPr>
        <w:tabs>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55D Control measures	</w:t>
      </w:r>
      <w:r>
        <w:rPr>
          <w:rFonts w:ascii="Times New Roman" w:hAnsi="Times New Roman" w:eastAsia="Times New Roman"/>
          <w:color w:val="000000"/>
          <w:spacing w:val="0"/>
          <w:w w:val="100"/>
          <w:sz w:val="20"/>
          <w:vertAlign w:val="baseline"/>
          <w:lang w:val="en-US"/>
        </w:rPr>
        <w:t xml:space="preserve">61</w:t>
      </w:r>
    </w:p>
    <w:p>
      <w:pPr>
        <w:tabs>
          <w:tab w:val="left" w:leader="none" w:pos="1944"/>
          <w:tab w:val="right" w:leader="none" w:pos="7704"/>
        </w:tabs>
        <w:spacing w:before="243"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CHAPTER 4	</w:t>
      </w:r>
      <w:r>
        <w:rPr>
          <w:rFonts w:ascii="Times New Roman" w:hAnsi="Times New Roman" w:eastAsia="Times New Roman"/>
          <w:b w:val="true"/>
          <w:color w:val="000000"/>
          <w:spacing w:val="0"/>
          <w:w w:val="100"/>
          <w:sz w:val="20"/>
          <w:vertAlign w:val="baseline"/>
          <w:lang w:val="en-US"/>
        </w:rPr>
        <w:t xml:space="preserve">HAZARDOUS WORK	</w:t>
      </w:r>
      <w:r>
        <w:rPr>
          <w:rFonts w:ascii="Times New Roman" w:hAnsi="Times New Roman" w:eastAsia="Times New Roman"/>
          <w:b w:val="true"/>
          <w:color w:val="000000"/>
          <w:spacing w:val="0"/>
          <w:w w:val="100"/>
          <w:sz w:val="20"/>
          <w:vertAlign w:val="baseline"/>
          <w:lang w:val="en-US"/>
        </w:rPr>
        <w:t xml:space="preserve">63</w:t>
      </w:r>
    </w:p>
    <w:p>
      <w:pPr>
        <w:tabs>
          <w:tab w:val="left" w:leader="none" w:pos="1368"/>
          <w:tab w:val="right" w:leader="none" w:pos="7704"/>
        </w:tabs>
        <w:spacing w:before="242"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4.1	</w:t>
      </w:r>
      <w:r>
        <w:rPr>
          <w:rFonts w:ascii="Times New Roman" w:hAnsi="Times New Roman" w:eastAsia="Times New Roman"/>
          <w:b w:val="true"/>
          <w:color w:val="000000"/>
          <w:spacing w:val="0"/>
          <w:w w:val="100"/>
          <w:sz w:val="20"/>
          <w:vertAlign w:val="baseline"/>
          <w:lang w:val="en-US"/>
        </w:rPr>
        <w:t xml:space="preserve">NOISE	</w:t>
      </w:r>
      <w:r>
        <w:rPr>
          <w:rFonts w:ascii="Times New Roman" w:hAnsi="Times New Roman" w:eastAsia="Times New Roman"/>
          <w:b w:val="true"/>
          <w:color w:val="000000"/>
          <w:spacing w:val="0"/>
          <w:w w:val="100"/>
          <w:sz w:val="20"/>
          <w:vertAlign w:val="baseline"/>
          <w:lang w:val="en-US"/>
        </w:rPr>
        <w:t xml:space="preserve">63</w:t>
      </w:r>
    </w:p>
    <w:p>
      <w:pPr>
        <w:tabs>
          <w:tab w:val="left" w:leader="none" w:pos="720"/>
          <w:tab w:val="right" w:leader="none" w:pos="7704"/>
        </w:tabs>
        <w:spacing w:before="12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56	</w:t>
      </w:r>
      <w:r>
        <w:rPr>
          <w:rFonts w:ascii="Times New Roman" w:hAnsi="Times New Roman" w:eastAsia="Times New Roman"/>
          <w:color w:val="000000"/>
          <w:spacing w:val="0"/>
          <w:w w:val="100"/>
          <w:sz w:val="20"/>
          <w:vertAlign w:val="baseline"/>
          <w:lang w:val="en-US"/>
        </w:rPr>
        <w:t xml:space="preserve">Meaning of exposure standard for noise	</w:t>
      </w:r>
      <w:r>
        <w:rPr>
          <w:rFonts w:ascii="Times New Roman" w:hAnsi="Times New Roman" w:eastAsia="Times New Roman"/>
          <w:color w:val="000000"/>
          <w:spacing w:val="0"/>
          <w:w w:val="100"/>
          <w:sz w:val="20"/>
          <w:vertAlign w:val="baseline"/>
          <w:lang w:val="en-US"/>
        </w:rPr>
        <w:t xml:space="preserve">63</w:t>
      </w:r>
    </w:p>
    <w:p>
      <w:pPr>
        <w:tabs>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57	</w:t>
      </w:r>
      <w:r>
        <w:rPr>
          <w:rFonts w:ascii="Times New Roman" w:hAnsi="Times New Roman" w:eastAsia="Times New Roman"/>
          <w:color w:val="000000"/>
          <w:spacing w:val="0"/>
          <w:w w:val="100"/>
          <w:sz w:val="20"/>
          <w:vertAlign w:val="baseline"/>
          <w:lang w:val="en-US"/>
        </w:rPr>
        <w:t xml:space="preserve">Managing risk of hearing loss from noise	</w:t>
      </w:r>
      <w:r>
        <w:rPr>
          <w:rFonts w:ascii="Times New Roman" w:hAnsi="Times New Roman" w:eastAsia="Times New Roman"/>
          <w:color w:val="000000"/>
          <w:spacing w:val="0"/>
          <w:w w:val="100"/>
          <w:sz w:val="20"/>
          <w:vertAlign w:val="baseline"/>
          <w:lang w:val="en-US"/>
        </w:rPr>
        <w:t xml:space="preserve">63</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58	</w:t>
      </w:r>
      <w:r>
        <w:rPr>
          <w:rFonts w:ascii="Times New Roman" w:hAnsi="Times New Roman" w:eastAsia="Times New Roman"/>
          <w:color w:val="000000"/>
          <w:spacing w:val="0"/>
          <w:w w:val="100"/>
          <w:sz w:val="20"/>
          <w:vertAlign w:val="baseline"/>
          <w:lang w:val="en-US"/>
        </w:rPr>
        <w:t xml:space="preserve">Audiometric testing	</w:t>
      </w:r>
      <w:r>
        <w:rPr>
          <w:rFonts w:ascii="Times New Roman" w:hAnsi="Times New Roman" w:eastAsia="Times New Roman"/>
          <w:color w:val="000000"/>
          <w:spacing w:val="0"/>
          <w:w w:val="100"/>
          <w:sz w:val="20"/>
          <w:vertAlign w:val="baseline"/>
          <w:lang w:val="en-US"/>
        </w:rPr>
        <w:t xml:space="preserve">63</w:t>
      </w:r>
    </w:p>
    <w:p>
      <w:pPr>
        <w:tabs>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59	</w:t>
      </w:r>
      <w:r>
        <w:rPr>
          <w:rFonts w:ascii="Times New Roman" w:hAnsi="Times New Roman" w:eastAsia="Times New Roman"/>
          <w:color w:val="000000"/>
          <w:spacing w:val="0"/>
          <w:w w:val="100"/>
          <w:sz w:val="20"/>
          <w:vertAlign w:val="baseline"/>
          <w:lang w:val="en-US"/>
        </w:rPr>
        <w:t xml:space="preserve">Duties of designers, manufacturers, importers and suppliers of plant	</w:t>
      </w:r>
      <w:r>
        <w:rPr>
          <w:rFonts w:ascii="Times New Roman" w:hAnsi="Times New Roman" w:eastAsia="Times New Roman"/>
          <w:color w:val="000000"/>
          <w:spacing w:val="0"/>
          <w:w w:val="100"/>
          <w:sz w:val="20"/>
          <w:vertAlign w:val="baseline"/>
          <w:lang w:val="en-US"/>
        </w:rPr>
        <w:t xml:space="preserve">64</w:t>
      </w:r>
    </w:p>
    <w:p>
      <w:pPr>
        <w:tabs>
          <w:tab w:val="left" w:leader="none" w:pos="1368"/>
          <w:tab w:val="right" w:leader="none" w:pos="7704"/>
        </w:tabs>
        <w:spacing w:before="242"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4.2	</w:t>
      </w:r>
      <w:r>
        <w:rPr>
          <w:rFonts w:ascii="Times New Roman" w:hAnsi="Times New Roman" w:eastAsia="Times New Roman"/>
          <w:b w:val="true"/>
          <w:color w:val="000000"/>
          <w:spacing w:val="0"/>
          <w:w w:val="100"/>
          <w:sz w:val="20"/>
          <w:vertAlign w:val="baseline"/>
          <w:lang w:val="en-US"/>
        </w:rPr>
        <w:t xml:space="preserve">HAZARDOUS MANUAL TASKS	</w:t>
      </w:r>
      <w:r>
        <w:rPr>
          <w:rFonts w:ascii="Times New Roman" w:hAnsi="Times New Roman" w:eastAsia="Times New Roman"/>
          <w:b w:val="true"/>
          <w:color w:val="000000"/>
          <w:spacing w:val="0"/>
          <w:w w:val="100"/>
          <w:sz w:val="20"/>
          <w:vertAlign w:val="baseline"/>
          <w:lang w:val="en-US"/>
        </w:rPr>
        <w:t xml:space="preserve">66</w:t>
      </w:r>
    </w:p>
    <w:p>
      <w:pPr>
        <w:tabs>
          <w:tab w:val="left" w:leader="none" w:pos="720"/>
          <w:tab w:val="right" w:leader="none" w:pos="7704"/>
        </w:tabs>
        <w:spacing w:before="12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60	</w:t>
      </w:r>
      <w:r>
        <w:rPr>
          <w:rFonts w:ascii="Times New Roman" w:hAnsi="Times New Roman" w:eastAsia="Times New Roman"/>
          <w:color w:val="000000"/>
          <w:spacing w:val="0"/>
          <w:w w:val="100"/>
          <w:sz w:val="20"/>
          <w:vertAlign w:val="baseline"/>
          <w:lang w:val="en-US"/>
        </w:rPr>
        <w:t xml:space="preserve">Managing risks to health and safety	</w:t>
      </w:r>
      <w:r>
        <w:rPr>
          <w:rFonts w:ascii="Times New Roman" w:hAnsi="Times New Roman" w:eastAsia="Times New Roman"/>
          <w:color w:val="000000"/>
          <w:spacing w:val="0"/>
          <w:w w:val="100"/>
          <w:sz w:val="20"/>
          <w:vertAlign w:val="baseline"/>
          <w:lang w:val="en-US"/>
        </w:rPr>
        <w:t xml:space="preserve">66</w:t>
      </w:r>
    </w:p>
    <w:p>
      <w:pPr>
        <w:tabs>
          <w:tab w:val="right" w:leader="none" w:pos="7704"/>
        </w:tabs>
        <w:spacing w:before="0" w:after="0" w:line="226"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61	</w:t>
      </w:r>
      <w:r>
        <w:rPr>
          <w:rFonts w:ascii="Times New Roman" w:hAnsi="Times New Roman" w:eastAsia="Times New Roman"/>
          <w:color w:val="000000"/>
          <w:spacing w:val="0"/>
          <w:w w:val="100"/>
          <w:sz w:val="20"/>
          <w:vertAlign w:val="baseline"/>
          <w:lang w:val="en-US"/>
        </w:rPr>
        <w:t xml:space="preserve">Duties of designers, manufacturers, importers and suppliers of plant or structures 66</w:t>
      </w:r>
    </w:p>
    <w:p>
      <w:pPr>
        <w:tabs>
          <w:tab w:val="left" w:leader="none" w:pos="1368"/>
          <w:tab w:val="right" w:leader="none" w:pos="7704"/>
        </w:tabs>
        <w:spacing w:before="242"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4.3	</w:t>
      </w:r>
      <w:r>
        <w:rPr>
          <w:rFonts w:ascii="Times New Roman" w:hAnsi="Times New Roman" w:eastAsia="Times New Roman"/>
          <w:b w:val="true"/>
          <w:color w:val="000000"/>
          <w:spacing w:val="0"/>
          <w:w w:val="100"/>
          <w:sz w:val="20"/>
          <w:vertAlign w:val="baseline"/>
          <w:lang w:val="en-US"/>
        </w:rPr>
        <w:t xml:space="preserve">CONFINED SPACES	</w:t>
      </w:r>
      <w:r>
        <w:rPr>
          <w:rFonts w:ascii="Times New Roman" w:hAnsi="Times New Roman" w:eastAsia="Times New Roman"/>
          <w:b w:val="true"/>
          <w:color w:val="000000"/>
          <w:spacing w:val="0"/>
          <w:w w:val="100"/>
          <w:sz w:val="20"/>
          <w:vertAlign w:val="baseline"/>
          <w:lang w:val="en-US"/>
        </w:rPr>
        <w:t xml:space="preserve">69</w:t>
      </w:r>
    </w:p>
    <w:p>
      <w:pPr>
        <w:tabs>
          <w:tab w:val="left" w:leader="none" w:pos="1368"/>
          <w:tab w:val="right" w:leader="none" w:pos="7704"/>
        </w:tabs>
        <w:spacing w:before="123"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1	</w:t>
      </w:r>
      <w:r>
        <w:rPr>
          <w:rFonts w:ascii="Times New Roman" w:hAnsi="Times New Roman" w:eastAsia="Times New Roman"/>
          <w:b w:val="true"/>
          <w:color w:val="000000"/>
          <w:spacing w:val="0"/>
          <w:w w:val="100"/>
          <w:sz w:val="20"/>
          <w:vertAlign w:val="baseline"/>
          <w:lang w:val="en-US"/>
        </w:rPr>
        <w:t xml:space="preserve">Preliminary	</w:t>
      </w:r>
      <w:r>
        <w:rPr>
          <w:rFonts w:ascii="Times New Roman" w:hAnsi="Times New Roman" w:eastAsia="Times New Roman"/>
          <w:b w:val="true"/>
          <w:color w:val="000000"/>
          <w:spacing w:val="0"/>
          <w:w w:val="100"/>
          <w:sz w:val="20"/>
          <w:vertAlign w:val="baseline"/>
          <w:lang w:val="en-US"/>
        </w:rPr>
        <w:t xml:space="preserve">69</w:t>
      </w:r>
    </w:p>
    <w:p>
      <w:pPr>
        <w:tabs>
          <w:tab w:val="left" w:leader="none" w:pos="720"/>
          <w:tab w:val="right" w:leader="none" w:pos="7704"/>
        </w:tabs>
        <w:spacing w:before="12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62	</w:t>
      </w:r>
      <w:r>
        <w:rPr>
          <w:rFonts w:ascii="Times New Roman" w:hAnsi="Times New Roman" w:eastAsia="Times New Roman"/>
          <w:color w:val="000000"/>
          <w:spacing w:val="0"/>
          <w:w w:val="100"/>
          <w:sz w:val="20"/>
          <w:vertAlign w:val="baseline"/>
          <w:lang w:val="en-US"/>
        </w:rPr>
        <w:t xml:space="preserve">Confined spaces to which this Part applies	</w:t>
      </w:r>
      <w:r>
        <w:rPr>
          <w:rFonts w:ascii="Times New Roman" w:hAnsi="Times New Roman" w:eastAsia="Times New Roman"/>
          <w:color w:val="000000"/>
          <w:spacing w:val="0"/>
          <w:w w:val="100"/>
          <w:sz w:val="20"/>
          <w:vertAlign w:val="baseline"/>
          <w:lang w:val="en-US"/>
        </w:rPr>
        <w:t xml:space="preserve">69</w:t>
      </w:r>
    </w:p>
    <w:p>
      <w:pPr>
        <w:tabs>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63	</w:t>
      </w:r>
      <w:r>
        <w:rPr>
          <w:rFonts w:ascii="Times New Roman" w:hAnsi="Times New Roman" w:eastAsia="Times New Roman"/>
          <w:color w:val="000000"/>
          <w:spacing w:val="0"/>
          <w:w w:val="100"/>
          <w:sz w:val="20"/>
          <w:vertAlign w:val="baseline"/>
          <w:lang w:val="en-US"/>
        </w:rPr>
        <w:t xml:space="preserve">Application to emergency service workers	</w:t>
      </w:r>
      <w:r>
        <w:rPr>
          <w:rFonts w:ascii="Times New Roman" w:hAnsi="Times New Roman" w:eastAsia="Times New Roman"/>
          <w:color w:val="000000"/>
          <w:spacing w:val="0"/>
          <w:w w:val="100"/>
          <w:sz w:val="20"/>
          <w:vertAlign w:val="baseline"/>
          <w:lang w:val="en-US"/>
        </w:rPr>
        <w:t xml:space="preserve">69</w:t>
      </w:r>
    </w:p>
    <w:p>
      <w:pPr>
        <w:tabs>
          <w:tab w:val="left" w:leader="none" w:pos="1368"/>
        </w:tabs>
        <w:spacing w:before="2"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2	</w:t>
      </w:r>
      <w:r>
        <w:rPr>
          <w:rFonts w:ascii="Times New Roman" w:hAnsi="Times New Roman" w:eastAsia="Times New Roman"/>
          <w:b w:val="true"/>
          <w:color w:val="000000"/>
          <w:spacing w:val="0"/>
          <w:w w:val="100"/>
          <w:sz w:val="20"/>
          <w:vertAlign w:val="baseline"/>
          <w:lang w:val="en-US"/>
        </w:rPr>
        <w:t xml:space="preserve">Duties of designer, manufacturer, importer, supplier, installer and</w:t>
      </w:r>
    </w:p>
    <w:p>
      <w:pPr>
        <w:tabs>
          <w:tab w:val="right" w:leader="none" w:pos="7704"/>
        </w:tabs>
        <w:spacing w:before="2"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constructor of plant or structure	</w:t>
      </w:r>
      <w:r>
        <w:rPr>
          <w:rFonts w:ascii="Times New Roman" w:hAnsi="Times New Roman" w:eastAsia="Times New Roman"/>
          <w:b w:val="true"/>
          <w:color w:val="000000"/>
          <w:spacing w:val="0"/>
          <w:w w:val="100"/>
          <w:sz w:val="20"/>
          <w:vertAlign w:val="baseline"/>
          <w:lang w:val="en-US"/>
        </w:rPr>
        <w:t xml:space="preserve">69</w:t>
      </w:r>
    </w:p>
    <w:p>
      <w:pPr>
        <w:tabs>
          <w:tab w:val="left" w:leader="none" w:pos="720"/>
          <w:tab w:val="right" w:leader="none" w:pos="7704"/>
        </w:tabs>
        <w:spacing w:before="12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64	</w:t>
      </w:r>
      <w:r>
        <w:rPr>
          <w:rFonts w:ascii="Times New Roman" w:hAnsi="Times New Roman" w:eastAsia="Times New Roman"/>
          <w:color w:val="000000"/>
          <w:spacing w:val="0"/>
          <w:w w:val="100"/>
          <w:sz w:val="20"/>
          <w:vertAlign w:val="baseline"/>
          <w:lang w:val="en-US"/>
        </w:rPr>
        <w:t xml:space="preserve">Duty to eliminate or minimise risk	</w:t>
      </w:r>
      <w:r>
        <w:rPr>
          <w:rFonts w:ascii="Times New Roman" w:hAnsi="Times New Roman" w:eastAsia="Times New Roman"/>
          <w:color w:val="000000"/>
          <w:spacing w:val="0"/>
          <w:w w:val="100"/>
          <w:sz w:val="20"/>
          <w:vertAlign w:val="baseline"/>
          <w:lang w:val="en-US"/>
        </w:rPr>
        <w:t xml:space="preserve">69</w:t>
      </w:r>
    </w:p>
    <w:p>
      <w:pPr>
        <w:tabs>
          <w:tab w:val="left" w:leader="none" w:pos="1368"/>
          <w:tab w:val="right" w:leader="none" w:pos="7704"/>
        </w:tabs>
        <w:spacing w:before="2"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3	</w:t>
      </w:r>
      <w:r>
        <w:rPr>
          <w:rFonts w:ascii="Times New Roman" w:hAnsi="Times New Roman" w:eastAsia="Times New Roman"/>
          <w:b w:val="true"/>
          <w:color w:val="000000"/>
          <w:spacing w:val="0"/>
          <w:w w:val="100"/>
          <w:sz w:val="20"/>
          <w:vertAlign w:val="baseline"/>
          <w:lang w:val="en-US"/>
        </w:rPr>
        <w:t xml:space="preserve">Duties of person conducting business or undertaking	</w:t>
      </w:r>
      <w:r>
        <w:rPr>
          <w:rFonts w:ascii="Times New Roman" w:hAnsi="Times New Roman" w:eastAsia="Times New Roman"/>
          <w:b w:val="true"/>
          <w:color w:val="000000"/>
          <w:spacing w:val="0"/>
          <w:w w:val="100"/>
          <w:sz w:val="20"/>
          <w:vertAlign w:val="baseline"/>
          <w:lang w:val="en-US"/>
        </w:rPr>
        <w:t xml:space="preserve">70</w:t>
      </w:r>
    </w:p>
    <w:p>
      <w:pPr>
        <w:tabs>
          <w:tab w:val="left" w:leader="none" w:pos="720"/>
          <w:tab w:val="right" w:leader="none" w:pos="7704"/>
        </w:tabs>
        <w:spacing w:before="12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65	</w:t>
      </w:r>
      <w:r>
        <w:rPr>
          <w:rFonts w:ascii="Times New Roman" w:hAnsi="Times New Roman" w:eastAsia="Times New Roman"/>
          <w:color w:val="000000"/>
          <w:spacing w:val="0"/>
          <w:w w:val="100"/>
          <w:sz w:val="20"/>
          <w:vertAlign w:val="baseline"/>
          <w:lang w:val="en-US"/>
        </w:rPr>
        <w:t xml:space="preserve">Entry into confined space must comply with this Division	</w:t>
      </w:r>
      <w:r>
        <w:rPr>
          <w:rFonts w:ascii="Times New Roman" w:hAnsi="Times New Roman" w:eastAsia="Times New Roman"/>
          <w:color w:val="000000"/>
          <w:spacing w:val="0"/>
          <w:w w:val="100"/>
          <w:sz w:val="20"/>
          <w:vertAlign w:val="baseline"/>
          <w:lang w:val="en-US"/>
        </w:rPr>
        <w:t xml:space="preserve">70</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66	</w:t>
      </w:r>
      <w:r>
        <w:rPr>
          <w:rFonts w:ascii="Times New Roman" w:hAnsi="Times New Roman" w:eastAsia="Times New Roman"/>
          <w:color w:val="000000"/>
          <w:spacing w:val="0"/>
          <w:w w:val="100"/>
          <w:sz w:val="20"/>
          <w:vertAlign w:val="baseline"/>
          <w:lang w:val="en-US"/>
        </w:rPr>
        <w:t xml:space="preserve">Managing risks to health and safety	</w:t>
      </w:r>
      <w:r>
        <w:rPr>
          <w:rFonts w:ascii="Times New Roman" w:hAnsi="Times New Roman" w:eastAsia="Times New Roman"/>
          <w:color w:val="000000"/>
          <w:spacing w:val="0"/>
          <w:w w:val="100"/>
          <w:sz w:val="20"/>
          <w:vertAlign w:val="baseline"/>
          <w:lang w:val="en-US"/>
        </w:rPr>
        <w:t xml:space="preserve">70</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67	</w:t>
      </w:r>
      <w:r>
        <w:rPr>
          <w:rFonts w:ascii="Times New Roman" w:hAnsi="Times New Roman" w:eastAsia="Times New Roman"/>
          <w:color w:val="000000"/>
          <w:spacing w:val="0"/>
          <w:w w:val="100"/>
          <w:sz w:val="20"/>
          <w:vertAlign w:val="baseline"/>
          <w:lang w:val="en-US"/>
        </w:rPr>
        <w:t xml:space="preserve">Confined space entry permit	</w:t>
      </w:r>
      <w:r>
        <w:rPr>
          <w:rFonts w:ascii="Times New Roman" w:hAnsi="Times New Roman" w:eastAsia="Times New Roman"/>
          <w:color w:val="000000"/>
          <w:spacing w:val="0"/>
          <w:w w:val="100"/>
          <w:sz w:val="20"/>
          <w:vertAlign w:val="baseline"/>
          <w:lang w:val="en-US"/>
        </w:rPr>
        <w:t xml:space="preserve">71</w:t>
      </w:r>
    </w:p>
    <w:p>
      <w:pPr>
        <w:tabs>
          <w:tab w:val="right" w:leader="none" w:pos="7704"/>
        </w:tabs>
        <w:spacing w:before="0" w:after="0" w:line="226"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68 Signage	</w:t>
      </w:r>
      <w:r>
        <w:rPr>
          <w:rFonts w:ascii="Times New Roman" w:hAnsi="Times New Roman" w:eastAsia="Times New Roman"/>
          <w:color w:val="000000"/>
          <w:spacing w:val="0"/>
          <w:w w:val="100"/>
          <w:sz w:val="20"/>
          <w:vertAlign w:val="baseline"/>
          <w:lang w:val="en-US"/>
        </w:rPr>
        <w:t xml:space="preserve">72</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69	</w:t>
      </w:r>
      <w:r>
        <w:rPr>
          <w:rFonts w:ascii="Times New Roman" w:hAnsi="Times New Roman" w:eastAsia="Times New Roman"/>
          <w:color w:val="000000"/>
          <w:spacing w:val="0"/>
          <w:w w:val="100"/>
          <w:sz w:val="20"/>
          <w:vertAlign w:val="baseline"/>
          <w:lang w:val="en-US"/>
        </w:rPr>
        <w:t xml:space="preserve">Communication and safety monitoring	</w:t>
      </w:r>
      <w:r>
        <w:rPr>
          <w:rFonts w:ascii="Times New Roman" w:hAnsi="Times New Roman" w:eastAsia="Times New Roman"/>
          <w:color w:val="000000"/>
          <w:spacing w:val="0"/>
          <w:w w:val="100"/>
          <w:sz w:val="20"/>
          <w:vertAlign w:val="baseline"/>
          <w:lang w:val="en-US"/>
        </w:rPr>
        <w:t xml:space="preserve">73</w:t>
      </w:r>
    </w:p>
    <w:p>
      <w:pPr>
        <w:tabs>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70	</w:t>
      </w:r>
      <w:r>
        <w:rPr>
          <w:rFonts w:ascii="Times New Roman" w:hAnsi="Times New Roman" w:eastAsia="Times New Roman"/>
          <w:color w:val="000000"/>
          <w:spacing w:val="0"/>
          <w:w w:val="100"/>
          <w:sz w:val="20"/>
          <w:vertAlign w:val="baseline"/>
          <w:lang w:val="en-US"/>
        </w:rPr>
        <w:t xml:space="preserve">Specific control—connected plant and services	</w:t>
      </w:r>
      <w:r>
        <w:rPr>
          <w:rFonts w:ascii="Times New Roman" w:hAnsi="Times New Roman" w:eastAsia="Times New Roman"/>
          <w:color w:val="000000"/>
          <w:spacing w:val="0"/>
          <w:w w:val="100"/>
          <w:sz w:val="20"/>
          <w:vertAlign w:val="baseline"/>
          <w:lang w:val="en-US"/>
        </w:rPr>
        <w:t xml:space="preserve">73</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71	</w:t>
      </w:r>
      <w:r>
        <w:rPr>
          <w:rFonts w:ascii="Times New Roman" w:hAnsi="Times New Roman" w:eastAsia="Times New Roman"/>
          <w:color w:val="000000"/>
          <w:spacing w:val="0"/>
          <w:w w:val="100"/>
          <w:sz w:val="20"/>
          <w:vertAlign w:val="baseline"/>
          <w:lang w:val="en-US"/>
        </w:rPr>
        <w:t xml:space="preserve">Specific control—atmosphere	</w:t>
      </w:r>
      <w:r>
        <w:rPr>
          <w:rFonts w:ascii="Times New Roman" w:hAnsi="Times New Roman" w:eastAsia="Times New Roman"/>
          <w:color w:val="000000"/>
          <w:spacing w:val="0"/>
          <w:w w:val="100"/>
          <w:sz w:val="20"/>
          <w:vertAlign w:val="baseline"/>
          <w:lang w:val="en-US"/>
        </w:rPr>
        <w:t xml:space="preserve">74</w:t>
      </w:r>
    </w:p>
    <w:p>
      <w:pPr>
        <w:tabs>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72	</w:t>
      </w:r>
      <w:r>
        <w:rPr>
          <w:rFonts w:ascii="Times New Roman" w:hAnsi="Times New Roman" w:eastAsia="Times New Roman"/>
          <w:color w:val="000000"/>
          <w:spacing w:val="0"/>
          <w:w w:val="100"/>
          <w:sz w:val="20"/>
          <w:vertAlign w:val="baseline"/>
          <w:lang w:val="en-US"/>
        </w:rPr>
        <w:t xml:space="preserve">Specific control—flammable gases and vapours	</w:t>
      </w:r>
      <w:r>
        <w:rPr>
          <w:rFonts w:ascii="Times New Roman" w:hAnsi="Times New Roman" w:eastAsia="Times New Roman"/>
          <w:color w:val="000000"/>
          <w:spacing w:val="0"/>
          <w:w w:val="100"/>
          <w:sz w:val="20"/>
          <w:vertAlign w:val="baseline"/>
          <w:lang w:val="en-US"/>
        </w:rPr>
        <w:t xml:space="preserve">74</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73	</w:t>
      </w:r>
      <w:r>
        <w:rPr>
          <w:rFonts w:ascii="Times New Roman" w:hAnsi="Times New Roman" w:eastAsia="Times New Roman"/>
          <w:color w:val="000000"/>
          <w:spacing w:val="0"/>
          <w:w w:val="100"/>
          <w:sz w:val="20"/>
          <w:vertAlign w:val="baseline"/>
          <w:lang w:val="en-US"/>
        </w:rPr>
        <w:t xml:space="preserve">Specific control—fire and explosion	</w:t>
      </w:r>
      <w:r>
        <w:rPr>
          <w:rFonts w:ascii="Times New Roman" w:hAnsi="Times New Roman" w:eastAsia="Times New Roman"/>
          <w:color w:val="000000"/>
          <w:spacing w:val="0"/>
          <w:w w:val="100"/>
          <w:sz w:val="20"/>
          <w:vertAlign w:val="baseline"/>
          <w:lang w:val="en-US"/>
        </w:rPr>
        <w:t xml:space="preserve">75</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74	</w:t>
      </w:r>
      <w:r>
        <w:rPr>
          <w:rFonts w:ascii="Times New Roman" w:hAnsi="Times New Roman" w:eastAsia="Times New Roman"/>
          <w:color w:val="000000"/>
          <w:spacing w:val="0"/>
          <w:w w:val="100"/>
          <w:sz w:val="20"/>
          <w:vertAlign w:val="baseline"/>
          <w:lang w:val="en-US"/>
        </w:rPr>
        <w:t xml:space="preserve">Emergency procedures	</w:t>
      </w:r>
      <w:r>
        <w:rPr>
          <w:rFonts w:ascii="Times New Roman" w:hAnsi="Times New Roman" w:eastAsia="Times New Roman"/>
          <w:color w:val="000000"/>
          <w:spacing w:val="0"/>
          <w:w w:val="100"/>
          <w:sz w:val="20"/>
          <w:vertAlign w:val="baseline"/>
          <w:lang w:val="en-US"/>
        </w:rPr>
        <w:t xml:space="preserve">75</w:t>
      </w:r>
    </w:p>
    <w:p>
      <w:pPr>
        <w:tabs>
          <w:tab w:val="left" w:leader="none" w:pos="720"/>
          <w:tab w:val="right" w:leader="none" w:pos="7704"/>
        </w:tabs>
        <w:spacing w:before="1" w:after="819"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10.65pt" to="498.5pt,710.6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75	</w:t>
      </w:r>
      <w:r>
        <w:rPr>
          <w:rFonts w:ascii="Times New Roman" w:hAnsi="Times New Roman" w:eastAsia="Times New Roman"/>
          <w:color w:val="000000"/>
          <w:spacing w:val="0"/>
          <w:w w:val="100"/>
          <w:sz w:val="20"/>
          <w:vertAlign w:val="baseline"/>
          <w:lang w:val="en-US"/>
        </w:rPr>
        <w:t xml:space="preserve">Personal protective equipment in emergencies	</w:t>
      </w:r>
      <w:r>
        <w:rPr>
          <w:rFonts w:ascii="Times New Roman" w:hAnsi="Times New Roman" w:eastAsia="Times New Roman"/>
          <w:color w:val="000000"/>
          <w:spacing w:val="0"/>
          <w:w w:val="100"/>
          <w:sz w:val="20"/>
          <w:vertAlign w:val="baseline"/>
          <w:lang w:val="en-US"/>
        </w:rPr>
        <w:t xml:space="preserve">76</w:t>
      </w:r>
    </w:p>
    <w:p>
      <w:pPr>
        <w:spacing w:before="1" w:after="819" w:line="230" w:lineRule="exact"/>
        <w:sectPr>
          <w:type w:val="nextPage"/>
          <w:pgSz w:w="11909" w:h="16838" w:orient="portrait"/>
          <w:pgMar w:bottom="1542" w:top="1320" w:right="1940" w:left="1949" w:header="720" w:footer="720"/>
          <w:titlePg w:val="false"/>
          <w:textDirection w:val="lrTb"/>
        </w:sectPr>
      </w:pPr>
    </w:p>
    <w:p>
      <w:pPr>
        <w:tabs>
          <w:tab w:val="right" w:leader="none" w:pos="4032"/>
        </w:tabs>
        <w:spacing w:before="6" w:after="0" w:line="177"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1.1.2021	</w:t>
      </w:r>
      <w:r>
        <w:rPr>
          <w:rFonts w:ascii="Times New Roman" w:hAnsi="Times New Roman" w:eastAsia="Times New Roman"/>
          <w:color w:val="000000"/>
          <w:spacing w:val="0"/>
          <w:w w:val="100"/>
          <w:sz w:val="16"/>
          <w:vertAlign w:val="baseline"/>
          <w:lang w:val="en-US"/>
        </w:rPr>
        <w:t xml:space="preserve">3</w:t>
      </w:r>
    </w:p>
    <w:p>
      <w:pPr>
        <w:sectPr>
          <w:type w:val="continuous"/>
          <w:pgSz w:w="11909" w:h="16838" w:orient="portrait"/>
          <w:pgMar w:bottom="1542" w:top="1320" w:right="5920" w:left="1989" w:header="720" w:footer="720"/>
          <w:titlePg w:val="false"/>
          <w:textDirection w:val="lrTb"/>
        </w:sectPr>
      </w:pPr>
    </w:p>
    <w:p>
      <w:pPr>
        <w:spacing w:before="20" w:after="23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720"/>
          <w:tab w:val="right" w:leader="none" w:pos="7704"/>
        </w:tabs>
        <w:spacing w:before="477"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pict>
          <v:line strokeweight="0.5pt" strokecolor="#000000" from="97.45pt,90.95pt" to="498.5pt,90.9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76	</w:t>
      </w:r>
      <w:r>
        <w:rPr>
          <w:rFonts w:ascii="Times New Roman" w:hAnsi="Times New Roman" w:eastAsia="Times New Roman"/>
          <w:color w:val="000000"/>
          <w:spacing w:val="0"/>
          <w:w w:val="100"/>
          <w:sz w:val="20"/>
          <w:vertAlign w:val="baseline"/>
          <w:lang w:val="en-US"/>
        </w:rPr>
        <w:t xml:space="preserve">Information, training and instruction for workers	</w:t>
      </w:r>
      <w:r>
        <w:rPr>
          <w:rFonts w:ascii="Times New Roman" w:hAnsi="Times New Roman" w:eastAsia="Times New Roman"/>
          <w:color w:val="000000"/>
          <w:spacing w:val="0"/>
          <w:w w:val="100"/>
          <w:sz w:val="20"/>
          <w:vertAlign w:val="baseline"/>
          <w:lang w:val="en-US"/>
        </w:rPr>
        <w:t xml:space="preserve">77</w:t>
      </w:r>
    </w:p>
    <w:p>
      <w:pPr>
        <w:tabs>
          <w:tab w:val="left" w:leader="none" w:pos="720"/>
          <w:tab w:val="right" w:leader="none" w:pos="7704"/>
        </w:tabs>
        <w:spacing w:before="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77	</w:t>
      </w:r>
      <w:r>
        <w:rPr>
          <w:rFonts w:ascii="Times New Roman" w:hAnsi="Times New Roman" w:eastAsia="Times New Roman"/>
          <w:color w:val="000000"/>
          <w:spacing w:val="0"/>
          <w:w w:val="100"/>
          <w:sz w:val="20"/>
          <w:vertAlign w:val="baseline"/>
          <w:lang w:val="en-US"/>
        </w:rPr>
        <w:t xml:space="preserve">Confined space entry permit and risk assessment must be kept	</w:t>
      </w:r>
      <w:r>
        <w:rPr>
          <w:rFonts w:ascii="Times New Roman" w:hAnsi="Times New Roman" w:eastAsia="Times New Roman"/>
          <w:color w:val="000000"/>
          <w:spacing w:val="0"/>
          <w:w w:val="100"/>
          <w:sz w:val="20"/>
          <w:vertAlign w:val="baseline"/>
          <w:lang w:val="en-US"/>
        </w:rPr>
        <w:t xml:space="preserve">78</w:t>
      </w:r>
    </w:p>
    <w:p>
      <w:pPr>
        <w:tabs>
          <w:tab w:val="left" w:leader="none" w:pos="1368"/>
          <w:tab w:val="right" w:leader="none" w:pos="7704"/>
        </w:tabs>
        <w:spacing w:before="243" w:after="0" w:line="228"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4.4	</w:t>
      </w:r>
      <w:r>
        <w:rPr>
          <w:rFonts w:ascii="Times New Roman" w:hAnsi="Times New Roman" w:eastAsia="Times New Roman"/>
          <w:b w:val="true"/>
          <w:color w:val="000000"/>
          <w:spacing w:val="0"/>
          <w:w w:val="100"/>
          <w:sz w:val="20"/>
          <w:vertAlign w:val="baseline"/>
          <w:lang w:val="en-US"/>
        </w:rPr>
        <w:t xml:space="preserve">FALLS	</w:t>
      </w:r>
      <w:r>
        <w:rPr>
          <w:rFonts w:ascii="Times New Roman" w:hAnsi="Times New Roman" w:eastAsia="Times New Roman"/>
          <w:b w:val="true"/>
          <w:color w:val="000000"/>
          <w:spacing w:val="0"/>
          <w:w w:val="100"/>
          <w:sz w:val="20"/>
          <w:vertAlign w:val="baseline"/>
          <w:lang w:val="en-US"/>
        </w:rPr>
        <w:t xml:space="preserve">80</w:t>
      </w:r>
    </w:p>
    <w:p>
      <w:pPr>
        <w:tabs>
          <w:tab w:val="left" w:leader="none" w:pos="720"/>
          <w:tab w:val="right" w:leader="none" w:pos="7704"/>
        </w:tabs>
        <w:spacing w:before="119"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78	</w:t>
      </w:r>
      <w:r>
        <w:rPr>
          <w:rFonts w:ascii="Times New Roman" w:hAnsi="Times New Roman" w:eastAsia="Times New Roman"/>
          <w:color w:val="000000"/>
          <w:spacing w:val="0"/>
          <w:w w:val="100"/>
          <w:sz w:val="20"/>
          <w:vertAlign w:val="baseline"/>
          <w:lang w:val="en-US"/>
        </w:rPr>
        <w:t xml:space="preserve">Management of risk of fall	</w:t>
      </w:r>
      <w:r>
        <w:rPr>
          <w:rFonts w:ascii="Times New Roman" w:hAnsi="Times New Roman" w:eastAsia="Times New Roman"/>
          <w:color w:val="000000"/>
          <w:spacing w:val="0"/>
          <w:w w:val="100"/>
          <w:sz w:val="20"/>
          <w:vertAlign w:val="baseline"/>
          <w:lang w:val="en-US"/>
        </w:rPr>
        <w:t xml:space="preserve">80</w:t>
      </w:r>
    </w:p>
    <w:p>
      <w:pPr>
        <w:tabs>
          <w:tab w:val="left" w:leader="none" w:pos="720"/>
          <w:tab w:val="right" w:leader="none" w:pos="7704"/>
        </w:tabs>
        <w:spacing w:before="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79	</w:t>
      </w:r>
      <w:r>
        <w:rPr>
          <w:rFonts w:ascii="Times New Roman" w:hAnsi="Times New Roman" w:eastAsia="Times New Roman"/>
          <w:color w:val="000000"/>
          <w:spacing w:val="0"/>
          <w:w w:val="100"/>
          <w:sz w:val="20"/>
          <w:vertAlign w:val="baseline"/>
          <w:lang w:val="en-US"/>
        </w:rPr>
        <w:t xml:space="preserve">Specific requirements to minimise risk of fall	</w:t>
      </w:r>
      <w:r>
        <w:rPr>
          <w:rFonts w:ascii="Times New Roman" w:hAnsi="Times New Roman" w:eastAsia="Times New Roman"/>
          <w:color w:val="000000"/>
          <w:spacing w:val="0"/>
          <w:w w:val="100"/>
          <w:sz w:val="20"/>
          <w:vertAlign w:val="baseline"/>
          <w:lang w:val="en-US"/>
        </w:rPr>
        <w:t xml:space="preserve">81</w:t>
      </w:r>
    </w:p>
    <w:p>
      <w:pPr>
        <w:tabs>
          <w:tab w:val="left" w:leader="none" w:pos="720"/>
          <w:tab w:val="right" w:leader="none" w:pos="7704"/>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80	</w:t>
      </w:r>
      <w:r>
        <w:rPr>
          <w:rFonts w:ascii="Times New Roman" w:hAnsi="Times New Roman" w:eastAsia="Times New Roman"/>
          <w:color w:val="000000"/>
          <w:spacing w:val="0"/>
          <w:w w:val="100"/>
          <w:sz w:val="20"/>
          <w:vertAlign w:val="baseline"/>
          <w:lang w:val="en-US"/>
        </w:rPr>
        <w:t xml:space="preserve">Emergency and rescue procedures	</w:t>
      </w:r>
      <w:r>
        <w:rPr>
          <w:rFonts w:ascii="Times New Roman" w:hAnsi="Times New Roman" w:eastAsia="Times New Roman"/>
          <w:color w:val="000000"/>
          <w:spacing w:val="0"/>
          <w:w w:val="100"/>
          <w:sz w:val="20"/>
          <w:vertAlign w:val="baseline"/>
          <w:lang w:val="en-US"/>
        </w:rPr>
        <w:t xml:space="preserve">82</w:t>
      </w:r>
    </w:p>
    <w:p>
      <w:pPr>
        <w:tabs>
          <w:tab w:val="left" w:leader="none" w:pos="1368"/>
          <w:tab w:val="right" w:leader="none" w:pos="7704"/>
        </w:tabs>
        <w:spacing w:before="244" w:after="0" w:line="228"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4.5	</w:t>
      </w:r>
      <w:r>
        <w:rPr>
          <w:rFonts w:ascii="Times New Roman" w:hAnsi="Times New Roman" w:eastAsia="Times New Roman"/>
          <w:b w:val="true"/>
          <w:color w:val="000000"/>
          <w:spacing w:val="0"/>
          <w:w w:val="100"/>
          <w:sz w:val="20"/>
          <w:vertAlign w:val="baseline"/>
          <w:lang w:val="en-US"/>
        </w:rPr>
        <w:t xml:space="preserve">HIGH RISK WORK	</w:t>
      </w:r>
      <w:r>
        <w:rPr>
          <w:rFonts w:ascii="Times New Roman" w:hAnsi="Times New Roman" w:eastAsia="Times New Roman"/>
          <w:b w:val="true"/>
          <w:color w:val="000000"/>
          <w:spacing w:val="0"/>
          <w:w w:val="100"/>
          <w:sz w:val="20"/>
          <w:vertAlign w:val="baseline"/>
          <w:lang w:val="en-US"/>
        </w:rPr>
        <w:t xml:space="preserve">84</w:t>
      </w:r>
    </w:p>
    <w:p>
      <w:pPr>
        <w:tabs>
          <w:tab w:val="left" w:leader="none" w:pos="1368"/>
          <w:tab w:val="right" w:leader="none" w:pos="7704"/>
        </w:tabs>
        <w:spacing w:before="122" w:after="0" w:line="228"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1	</w:t>
      </w:r>
      <w:r>
        <w:rPr>
          <w:rFonts w:ascii="Times New Roman" w:hAnsi="Times New Roman" w:eastAsia="Times New Roman"/>
          <w:b w:val="true"/>
          <w:color w:val="000000"/>
          <w:spacing w:val="0"/>
          <w:w w:val="100"/>
          <w:sz w:val="20"/>
          <w:vertAlign w:val="baseline"/>
          <w:lang w:val="en-US"/>
        </w:rPr>
        <w:t xml:space="preserve">Licensing of high risk work	</w:t>
      </w:r>
      <w:r>
        <w:rPr>
          <w:rFonts w:ascii="Times New Roman" w:hAnsi="Times New Roman" w:eastAsia="Times New Roman"/>
          <w:b w:val="true"/>
          <w:color w:val="000000"/>
          <w:spacing w:val="0"/>
          <w:w w:val="100"/>
          <w:sz w:val="20"/>
          <w:vertAlign w:val="baseline"/>
          <w:lang w:val="en-US"/>
        </w:rPr>
        <w:t xml:space="preserve">84</w:t>
      </w:r>
    </w:p>
    <w:p>
      <w:pPr>
        <w:tabs>
          <w:tab w:val="left" w:leader="none" w:pos="1944"/>
          <w:tab w:val="right" w:leader="none" w:pos="7704"/>
        </w:tabs>
        <w:spacing w:before="122" w:after="0" w:line="228"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Subdivision 1	</w:t>
      </w:r>
      <w:r>
        <w:rPr>
          <w:rFonts w:ascii="Times New Roman" w:hAnsi="Times New Roman" w:eastAsia="Times New Roman"/>
          <w:b w:val="true"/>
          <w:color w:val="000000"/>
          <w:spacing w:val="0"/>
          <w:w w:val="100"/>
          <w:sz w:val="20"/>
          <w:vertAlign w:val="baseline"/>
          <w:lang w:val="en-US"/>
        </w:rPr>
        <w:t xml:space="preserve">Requirement to be licensed	</w:t>
      </w:r>
      <w:r>
        <w:rPr>
          <w:rFonts w:ascii="Times New Roman" w:hAnsi="Times New Roman" w:eastAsia="Times New Roman"/>
          <w:b w:val="true"/>
          <w:color w:val="000000"/>
          <w:spacing w:val="0"/>
          <w:w w:val="100"/>
          <w:sz w:val="20"/>
          <w:vertAlign w:val="baseline"/>
          <w:lang w:val="en-US"/>
        </w:rPr>
        <w:t xml:space="preserve">84</w:t>
      </w:r>
    </w:p>
    <w:p>
      <w:pPr>
        <w:tabs>
          <w:tab w:val="left" w:leader="none" w:pos="720"/>
          <w:tab w:val="right" w:leader="none" w:pos="7704"/>
        </w:tabs>
        <w:spacing w:before="12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81	</w:t>
      </w:r>
      <w:r>
        <w:rPr>
          <w:rFonts w:ascii="Times New Roman" w:hAnsi="Times New Roman" w:eastAsia="Times New Roman"/>
          <w:color w:val="000000"/>
          <w:spacing w:val="0"/>
          <w:w w:val="100"/>
          <w:sz w:val="20"/>
          <w:vertAlign w:val="baseline"/>
          <w:lang w:val="en-US"/>
        </w:rPr>
        <w:t xml:space="preserve">Licence required to carry out high risk work	</w:t>
      </w:r>
      <w:r>
        <w:rPr>
          <w:rFonts w:ascii="Times New Roman" w:hAnsi="Times New Roman" w:eastAsia="Times New Roman"/>
          <w:color w:val="000000"/>
          <w:spacing w:val="0"/>
          <w:w w:val="100"/>
          <w:sz w:val="20"/>
          <w:vertAlign w:val="baseline"/>
          <w:lang w:val="en-US"/>
        </w:rPr>
        <w:t xml:space="preserve">84</w:t>
      </w:r>
    </w:p>
    <w:p>
      <w:pPr>
        <w:tabs>
          <w:tab w:val="right" w:leader="none" w:pos="7704"/>
        </w:tabs>
        <w:spacing w:before="0" w:after="0" w:line="225"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82 Exceptions	</w:t>
      </w:r>
      <w:r>
        <w:rPr>
          <w:rFonts w:ascii="Times New Roman" w:hAnsi="Times New Roman" w:eastAsia="Times New Roman"/>
          <w:color w:val="000000"/>
          <w:spacing w:val="0"/>
          <w:w w:val="100"/>
          <w:sz w:val="20"/>
          <w:vertAlign w:val="baseline"/>
          <w:lang w:val="en-US"/>
        </w:rPr>
        <w:t xml:space="preserve">84</w:t>
      </w:r>
    </w:p>
    <w:p>
      <w:pPr>
        <w:tabs>
          <w:tab w:val="left" w:leader="none" w:pos="720"/>
          <w:tab w:val="right" w:leader="none" w:pos="7704"/>
        </w:tabs>
        <w:spacing w:before="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83	</w:t>
      </w:r>
      <w:r>
        <w:rPr>
          <w:rFonts w:ascii="Times New Roman" w:hAnsi="Times New Roman" w:eastAsia="Times New Roman"/>
          <w:color w:val="000000"/>
          <w:spacing w:val="0"/>
          <w:w w:val="100"/>
          <w:sz w:val="20"/>
          <w:vertAlign w:val="baseline"/>
          <w:lang w:val="en-US"/>
        </w:rPr>
        <w:t xml:space="preserve">Recognition of high risk work licences in other jurisdictions	</w:t>
      </w:r>
      <w:r>
        <w:rPr>
          <w:rFonts w:ascii="Times New Roman" w:hAnsi="Times New Roman" w:eastAsia="Times New Roman"/>
          <w:color w:val="000000"/>
          <w:spacing w:val="0"/>
          <w:w w:val="100"/>
          <w:sz w:val="20"/>
          <w:vertAlign w:val="baseline"/>
          <w:lang w:val="en-US"/>
        </w:rPr>
        <w:t xml:space="preserve">85</w:t>
      </w:r>
    </w:p>
    <w:p>
      <w:pPr>
        <w:tabs>
          <w:tab w:val="left" w:leader="none" w:pos="720"/>
          <w:tab w:val="right" w:leader="none" w:pos="7704"/>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84	</w:t>
      </w:r>
      <w:r>
        <w:rPr>
          <w:rFonts w:ascii="Times New Roman" w:hAnsi="Times New Roman" w:eastAsia="Times New Roman"/>
          <w:color w:val="000000"/>
          <w:spacing w:val="0"/>
          <w:w w:val="100"/>
          <w:sz w:val="20"/>
          <w:vertAlign w:val="baseline"/>
          <w:lang w:val="en-US"/>
        </w:rPr>
        <w:t xml:space="preserve">Duty of person conducting business or undertaking to ensure direct supervision	</w:t>
      </w:r>
      <w:r>
        <w:rPr>
          <w:rFonts w:ascii="Times New Roman" w:hAnsi="Times New Roman" w:eastAsia="Times New Roman"/>
          <w:color w:val="000000"/>
          <w:spacing w:val="0"/>
          <w:w w:val="100"/>
          <w:sz w:val="20"/>
          <w:vertAlign w:val="baseline"/>
          <w:lang w:val="en-US"/>
        </w:rPr>
        <w:t xml:space="preserve">85</w:t>
      </w:r>
    </w:p>
    <w:p>
      <w:pPr>
        <w:tabs>
          <w:tab w:val="left" w:leader="none" w:pos="720"/>
          <w:tab w:val="right" w:leader="none" w:pos="7704"/>
        </w:tabs>
        <w:spacing w:before="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85	</w:t>
      </w:r>
      <w:r>
        <w:rPr>
          <w:rFonts w:ascii="Times New Roman" w:hAnsi="Times New Roman" w:eastAsia="Times New Roman"/>
          <w:color w:val="000000"/>
          <w:spacing w:val="0"/>
          <w:w w:val="100"/>
          <w:sz w:val="20"/>
          <w:vertAlign w:val="baseline"/>
          <w:lang w:val="en-US"/>
        </w:rPr>
        <w:t xml:space="preserve">Evidence of licence—duty of person conducting business or undertaking	</w:t>
      </w:r>
      <w:r>
        <w:rPr>
          <w:rFonts w:ascii="Times New Roman" w:hAnsi="Times New Roman" w:eastAsia="Times New Roman"/>
          <w:color w:val="000000"/>
          <w:spacing w:val="0"/>
          <w:w w:val="100"/>
          <w:sz w:val="20"/>
          <w:vertAlign w:val="baseline"/>
          <w:lang w:val="en-US"/>
        </w:rPr>
        <w:t xml:space="preserve">86</w:t>
      </w:r>
    </w:p>
    <w:p>
      <w:pPr>
        <w:tabs>
          <w:tab w:val="left" w:leader="none" w:pos="1944"/>
          <w:tab w:val="right" w:leader="none" w:pos="7704"/>
        </w:tabs>
        <w:spacing w:before="3" w:after="0" w:line="228"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Subdivision 2	</w:t>
      </w:r>
      <w:r>
        <w:rPr>
          <w:rFonts w:ascii="Times New Roman" w:hAnsi="Times New Roman" w:eastAsia="Times New Roman"/>
          <w:b w:val="true"/>
          <w:color w:val="000000"/>
          <w:spacing w:val="0"/>
          <w:w w:val="100"/>
          <w:sz w:val="20"/>
          <w:vertAlign w:val="baseline"/>
          <w:lang w:val="en-US"/>
        </w:rPr>
        <w:t xml:space="preserve">Licensing process	</w:t>
      </w:r>
      <w:r>
        <w:rPr>
          <w:rFonts w:ascii="Times New Roman" w:hAnsi="Times New Roman" w:eastAsia="Times New Roman"/>
          <w:b w:val="true"/>
          <w:color w:val="000000"/>
          <w:spacing w:val="0"/>
          <w:w w:val="100"/>
          <w:sz w:val="20"/>
          <w:vertAlign w:val="baseline"/>
          <w:lang w:val="en-US"/>
        </w:rPr>
        <w:t xml:space="preserve">87</w:t>
      </w:r>
    </w:p>
    <w:p>
      <w:pPr>
        <w:tabs>
          <w:tab w:val="left" w:leader="none" w:pos="720"/>
          <w:tab w:val="right" w:leader="none" w:pos="7704"/>
        </w:tabs>
        <w:spacing w:before="119"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86	</w:t>
      </w:r>
      <w:r>
        <w:rPr>
          <w:rFonts w:ascii="Times New Roman" w:hAnsi="Times New Roman" w:eastAsia="Times New Roman"/>
          <w:color w:val="000000"/>
          <w:spacing w:val="0"/>
          <w:w w:val="100"/>
          <w:sz w:val="20"/>
          <w:vertAlign w:val="baseline"/>
          <w:lang w:val="en-US"/>
        </w:rPr>
        <w:t xml:space="preserve">Who may apply for a licence	</w:t>
      </w:r>
      <w:r>
        <w:rPr>
          <w:rFonts w:ascii="Times New Roman" w:hAnsi="Times New Roman" w:eastAsia="Times New Roman"/>
          <w:color w:val="000000"/>
          <w:spacing w:val="0"/>
          <w:w w:val="100"/>
          <w:sz w:val="20"/>
          <w:vertAlign w:val="baseline"/>
          <w:lang w:val="en-US"/>
        </w:rPr>
        <w:t xml:space="preserve">87</w:t>
      </w:r>
    </w:p>
    <w:p>
      <w:pPr>
        <w:tabs>
          <w:tab w:val="left" w:leader="none" w:pos="720"/>
          <w:tab w:val="right" w:leader="none" w:pos="7704"/>
        </w:tabs>
        <w:spacing w:before="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87	</w:t>
      </w:r>
      <w:r>
        <w:rPr>
          <w:rFonts w:ascii="Times New Roman" w:hAnsi="Times New Roman" w:eastAsia="Times New Roman"/>
          <w:color w:val="000000"/>
          <w:spacing w:val="0"/>
          <w:w w:val="100"/>
          <w:sz w:val="20"/>
          <w:vertAlign w:val="baseline"/>
          <w:lang w:val="en-US"/>
        </w:rPr>
        <w:t xml:space="preserve">Application for high risk work licence	</w:t>
      </w:r>
      <w:r>
        <w:rPr>
          <w:rFonts w:ascii="Times New Roman" w:hAnsi="Times New Roman" w:eastAsia="Times New Roman"/>
          <w:color w:val="000000"/>
          <w:spacing w:val="0"/>
          <w:w w:val="100"/>
          <w:sz w:val="20"/>
          <w:vertAlign w:val="baseline"/>
          <w:lang w:val="en-US"/>
        </w:rPr>
        <w:t xml:space="preserve">88</w:t>
      </w:r>
    </w:p>
    <w:p>
      <w:pPr>
        <w:tabs>
          <w:tab w:val="left" w:leader="none" w:pos="720"/>
          <w:tab w:val="right" w:leader="none" w:pos="7704"/>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88	</w:t>
      </w:r>
      <w:r>
        <w:rPr>
          <w:rFonts w:ascii="Times New Roman" w:hAnsi="Times New Roman" w:eastAsia="Times New Roman"/>
          <w:color w:val="000000"/>
          <w:spacing w:val="0"/>
          <w:w w:val="100"/>
          <w:sz w:val="20"/>
          <w:vertAlign w:val="baseline"/>
          <w:lang w:val="en-US"/>
        </w:rPr>
        <w:t xml:space="preserve">Additional information	</w:t>
      </w:r>
      <w:r>
        <w:rPr>
          <w:rFonts w:ascii="Times New Roman" w:hAnsi="Times New Roman" w:eastAsia="Times New Roman"/>
          <w:color w:val="000000"/>
          <w:spacing w:val="0"/>
          <w:w w:val="100"/>
          <w:sz w:val="20"/>
          <w:vertAlign w:val="baseline"/>
          <w:lang w:val="en-US"/>
        </w:rPr>
        <w:t xml:space="preserve">89</w:t>
      </w:r>
    </w:p>
    <w:p>
      <w:pPr>
        <w:tabs>
          <w:tab w:val="left" w:leader="none" w:pos="720"/>
          <w:tab w:val="right" w:leader="none" w:pos="7704"/>
        </w:tabs>
        <w:spacing w:before="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89	</w:t>
      </w:r>
      <w:r>
        <w:rPr>
          <w:rFonts w:ascii="Times New Roman" w:hAnsi="Times New Roman" w:eastAsia="Times New Roman"/>
          <w:color w:val="000000"/>
          <w:spacing w:val="0"/>
          <w:w w:val="100"/>
          <w:sz w:val="20"/>
          <w:vertAlign w:val="baseline"/>
          <w:lang w:val="en-US"/>
        </w:rPr>
        <w:t xml:space="preserve">Decision on application	</w:t>
      </w:r>
      <w:r>
        <w:rPr>
          <w:rFonts w:ascii="Times New Roman" w:hAnsi="Times New Roman" w:eastAsia="Times New Roman"/>
          <w:color w:val="000000"/>
          <w:spacing w:val="0"/>
          <w:w w:val="100"/>
          <w:sz w:val="20"/>
          <w:vertAlign w:val="baseline"/>
          <w:lang w:val="en-US"/>
        </w:rPr>
        <w:t xml:space="preserve">89</w:t>
      </w:r>
    </w:p>
    <w:p>
      <w:pPr>
        <w:tabs>
          <w:tab w:val="left" w:leader="none" w:pos="720"/>
          <w:tab w:val="right" w:leader="none" w:pos="7704"/>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90	</w:t>
      </w:r>
      <w:r>
        <w:rPr>
          <w:rFonts w:ascii="Times New Roman" w:hAnsi="Times New Roman" w:eastAsia="Times New Roman"/>
          <w:color w:val="000000"/>
          <w:spacing w:val="0"/>
          <w:w w:val="100"/>
          <w:sz w:val="20"/>
          <w:vertAlign w:val="baseline"/>
          <w:lang w:val="en-US"/>
        </w:rPr>
        <w:t xml:space="preserve">Matters to be taken into account	</w:t>
      </w:r>
      <w:r>
        <w:rPr>
          <w:rFonts w:ascii="Times New Roman" w:hAnsi="Times New Roman" w:eastAsia="Times New Roman"/>
          <w:color w:val="000000"/>
          <w:spacing w:val="0"/>
          <w:w w:val="100"/>
          <w:sz w:val="20"/>
          <w:vertAlign w:val="baseline"/>
          <w:lang w:val="en-US"/>
        </w:rPr>
        <w:t xml:space="preserve">90</w:t>
      </w:r>
    </w:p>
    <w:p>
      <w:pPr>
        <w:tabs>
          <w:tab w:val="left" w:leader="none" w:pos="720"/>
          <w:tab w:val="right" w:leader="none" w:pos="7704"/>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91	</w:t>
      </w:r>
      <w:r>
        <w:rPr>
          <w:rFonts w:ascii="Times New Roman" w:hAnsi="Times New Roman" w:eastAsia="Times New Roman"/>
          <w:color w:val="000000"/>
          <w:spacing w:val="0"/>
          <w:w w:val="100"/>
          <w:sz w:val="20"/>
          <w:vertAlign w:val="baseline"/>
          <w:lang w:val="en-US"/>
        </w:rPr>
        <w:t xml:space="preserve">Refusal to grant high risk work licence—process	</w:t>
      </w:r>
      <w:r>
        <w:rPr>
          <w:rFonts w:ascii="Times New Roman" w:hAnsi="Times New Roman" w:eastAsia="Times New Roman"/>
          <w:color w:val="000000"/>
          <w:spacing w:val="0"/>
          <w:w w:val="100"/>
          <w:sz w:val="20"/>
          <w:vertAlign w:val="baseline"/>
          <w:lang w:val="en-US"/>
        </w:rPr>
        <w:t xml:space="preserve">91</w:t>
      </w:r>
    </w:p>
    <w:p>
      <w:pPr>
        <w:tabs>
          <w:tab w:val="left" w:leader="none" w:pos="720"/>
          <w:tab w:val="right" w:leader="none" w:pos="7704"/>
        </w:tabs>
        <w:spacing w:before="0" w:after="0" w:line="226"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91A	</w:t>
      </w:r>
      <w:r>
        <w:rPr>
          <w:rFonts w:ascii="Times New Roman" w:hAnsi="Times New Roman" w:eastAsia="Times New Roman"/>
          <w:color w:val="000000"/>
          <w:spacing w:val="0"/>
          <w:w w:val="100"/>
          <w:sz w:val="20"/>
          <w:vertAlign w:val="baseline"/>
          <w:lang w:val="en-US"/>
        </w:rPr>
        <w:t xml:space="preserve">Conditions of licence	</w:t>
      </w:r>
      <w:r>
        <w:rPr>
          <w:rFonts w:ascii="Times New Roman" w:hAnsi="Times New Roman" w:eastAsia="Times New Roman"/>
          <w:color w:val="000000"/>
          <w:spacing w:val="0"/>
          <w:w w:val="100"/>
          <w:sz w:val="20"/>
          <w:vertAlign w:val="baseline"/>
          <w:lang w:val="en-US"/>
        </w:rPr>
        <w:t xml:space="preserve">92</w:t>
      </w:r>
    </w:p>
    <w:p>
      <w:pPr>
        <w:tabs>
          <w:tab w:val="left" w:leader="none" w:pos="720"/>
          <w:tab w:val="right" w:leader="none" w:pos="7704"/>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92	</w:t>
      </w:r>
      <w:r>
        <w:rPr>
          <w:rFonts w:ascii="Times New Roman" w:hAnsi="Times New Roman" w:eastAsia="Times New Roman"/>
          <w:color w:val="000000"/>
          <w:spacing w:val="0"/>
          <w:w w:val="100"/>
          <w:sz w:val="20"/>
          <w:vertAlign w:val="baseline"/>
          <w:lang w:val="en-US"/>
        </w:rPr>
        <w:t xml:space="preserve">Duration of licence	</w:t>
      </w:r>
      <w:r>
        <w:rPr>
          <w:rFonts w:ascii="Times New Roman" w:hAnsi="Times New Roman" w:eastAsia="Times New Roman"/>
          <w:color w:val="000000"/>
          <w:spacing w:val="0"/>
          <w:w w:val="100"/>
          <w:sz w:val="20"/>
          <w:vertAlign w:val="baseline"/>
          <w:lang w:val="en-US"/>
        </w:rPr>
        <w:t xml:space="preserve">92</w:t>
      </w:r>
    </w:p>
    <w:p>
      <w:pPr>
        <w:tabs>
          <w:tab w:val="left" w:leader="none" w:pos="720"/>
          <w:tab w:val="right" w:leader="none" w:pos="7704"/>
        </w:tabs>
        <w:spacing w:before="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93	</w:t>
      </w:r>
      <w:r>
        <w:rPr>
          <w:rFonts w:ascii="Times New Roman" w:hAnsi="Times New Roman" w:eastAsia="Times New Roman"/>
          <w:color w:val="000000"/>
          <w:spacing w:val="0"/>
          <w:w w:val="100"/>
          <w:sz w:val="20"/>
          <w:vertAlign w:val="baseline"/>
          <w:lang w:val="en-US"/>
        </w:rPr>
        <w:t xml:space="preserve">Licence document	</w:t>
      </w:r>
      <w:r>
        <w:rPr>
          <w:rFonts w:ascii="Times New Roman" w:hAnsi="Times New Roman" w:eastAsia="Times New Roman"/>
          <w:color w:val="000000"/>
          <w:spacing w:val="0"/>
          <w:w w:val="100"/>
          <w:sz w:val="20"/>
          <w:vertAlign w:val="baseline"/>
          <w:lang w:val="en-US"/>
        </w:rPr>
        <w:t xml:space="preserve">92</w:t>
      </w:r>
    </w:p>
    <w:p>
      <w:pPr>
        <w:tabs>
          <w:tab w:val="left" w:leader="none" w:pos="720"/>
          <w:tab w:val="right" w:leader="none" w:pos="7704"/>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94	</w:t>
      </w:r>
      <w:r>
        <w:rPr>
          <w:rFonts w:ascii="Times New Roman" w:hAnsi="Times New Roman" w:eastAsia="Times New Roman"/>
          <w:color w:val="000000"/>
          <w:spacing w:val="0"/>
          <w:w w:val="100"/>
          <w:sz w:val="20"/>
          <w:vertAlign w:val="baseline"/>
          <w:lang w:val="en-US"/>
        </w:rPr>
        <w:t xml:space="preserve">Licence document to be available	</w:t>
      </w:r>
      <w:r>
        <w:rPr>
          <w:rFonts w:ascii="Times New Roman" w:hAnsi="Times New Roman" w:eastAsia="Times New Roman"/>
          <w:color w:val="000000"/>
          <w:spacing w:val="0"/>
          <w:w w:val="100"/>
          <w:sz w:val="20"/>
          <w:vertAlign w:val="baseline"/>
          <w:lang w:val="en-US"/>
        </w:rPr>
        <w:t xml:space="preserve">93</w:t>
      </w:r>
    </w:p>
    <w:p>
      <w:pPr>
        <w:tabs>
          <w:tab w:val="left" w:leader="none" w:pos="720"/>
          <w:tab w:val="right" w:leader="none" w:pos="7704"/>
        </w:tabs>
        <w:spacing w:before="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95	</w:t>
      </w:r>
      <w:r>
        <w:rPr>
          <w:rFonts w:ascii="Times New Roman" w:hAnsi="Times New Roman" w:eastAsia="Times New Roman"/>
          <w:color w:val="000000"/>
          <w:spacing w:val="0"/>
          <w:w w:val="100"/>
          <w:sz w:val="20"/>
          <w:vertAlign w:val="baseline"/>
          <w:lang w:val="en-US"/>
        </w:rPr>
        <w:t xml:space="preserve">Reassessment of competency of licence holder	</w:t>
      </w:r>
      <w:r>
        <w:rPr>
          <w:rFonts w:ascii="Times New Roman" w:hAnsi="Times New Roman" w:eastAsia="Times New Roman"/>
          <w:color w:val="000000"/>
          <w:spacing w:val="0"/>
          <w:w w:val="100"/>
          <w:sz w:val="20"/>
          <w:vertAlign w:val="baseline"/>
          <w:lang w:val="en-US"/>
        </w:rPr>
        <w:t xml:space="preserve">93</w:t>
      </w:r>
    </w:p>
    <w:p>
      <w:pPr>
        <w:tabs>
          <w:tab w:val="left" w:leader="none" w:pos="1944"/>
          <w:tab w:val="right" w:leader="none" w:pos="7704"/>
        </w:tabs>
        <w:spacing w:before="3" w:after="0" w:line="228"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Subdivision 3	</w:t>
      </w:r>
      <w:r>
        <w:rPr>
          <w:rFonts w:ascii="Times New Roman" w:hAnsi="Times New Roman" w:eastAsia="Times New Roman"/>
          <w:b w:val="true"/>
          <w:color w:val="000000"/>
          <w:spacing w:val="0"/>
          <w:w w:val="100"/>
          <w:sz w:val="20"/>
          <w:vertAlign w:val="baseline"/>
          <w:lang w:val="en-US"/>
        </w:rPr>
        <w:t xml:space="preserve">Amendment of licence document	</w:t>
      </w:r>
      <w:r>
        <w:rPr>
          <w:rFonts w:ascii="Times New Roman" w:hAnsi="Times New Roman" w:eastAsia="Times New Roman"/>
          <w:b w:val="true"/>
          <w:color w:val="000000"/>
          <w:spacing w:val="0"/>
          <w:w w:val="100"/>
          <w:sz w:val="20"/>
          <w:vertAlign w:val="baseline"/>
          <w:lang w:val="en-US"/>
        </w:rPr>
        <w:t xml:space="preserve">93</w:t>
      </w:r>
    </w:p>
    <w:p>
      <w:pPr>
        <w:tabs>
          <w:tab w:val="left" w:leader="none" w:pos="720"/>
          <w:tab w:val="right" w:leader="none" w:pos="7704"/>
        </w:tabs>
        <w:spacing w:before="119"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96	</w:t>
      </w:r>
      <w:r>
        <w:rPr>
          <w:rFonts w:ascii="Times New Roman" w:hAnsi="Times New Roman" w:eastAsia="Times New Roman"/>
          <w:color w:val="000000"/>
          <w:spacing w:val="0"/>
          <w:w w:val="100"/>
          <w:sz w:val="20"/>
          <w:vertAlign w:val="baseline"/>
          <w:lang w:val="en-US"/>
        </w:rPr>
        <w:t xml:space="preserve">Notice of change of address	</w:t>
      </w:r>
      <w:r>
        <w:rPr>
          <w:rFonts w:ascii="Times New Roman" w:hAnsi="Times New Roman" w:eastAsia="Times New Roman"/>
          <w:color w:val="000000"/>
          <w:spacing w:val="0"/>
          <w:w w:val="100"/>
          <w:sz w:val="20"/>
          <w:vertAlign w:val="baseline"/>
          <w:lang w:val="en-US"/>
        </w:rPr>
        <w:t xml:space="preserve">93</w:t>
      </w:r>
    </w:p>
    <w:p>
      <w:pPr>
        <w:tabs>
          <w:tab w:val="left" w:leader="none" w:pos="720"/>
          <w:tab w:val="right" w:leader="none" w:pos="7704"/>
        </w:tabs>
        <w:spacing w:before="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97	</w:t>
      </w:r>
      <w:r>
        <w:rPr>
          <w:rFonts w:ascii="Times New Roman" w:hAnsi="Times New Roman" w:eastAsia="Times New Roman"/>
          <w:color w:val="000000"/>
          <w:spacing w:val="0"/>
          <w:w w:val="100"/>
          <w:sz w:val="20"/>
          <w:vertAlign w:val="baseline"/>
          <w:lang w:val="en-US"/>
        </w:rPr>
        <w:t xml:space="preserve">Licence holder to return licence	</w:t>
      </w:r>
      <w:r>
        <w:rPr>
          <w:rFonts w:ascii="Times New Roman" w:hAnsi="Times New Roman" w:eastAsia="Times New Roman"/>
          <w:color w:val="000000"/>
          <w:spacing w:val="0"/>
          <w:w w:val="100"/>
          <w:sz w:val="20"/>
          <w:vertAlign w:val="baseline"/>
          <w:lang w:val="en-US"/>
        </w:rPr>
        <w:t xml:space="preserve">94</w:t>
      </w:r>
    </w:p>
    <w:p>
      <w:pPr>
        <w:tabs>
          <w:tab w:val="left" w:leader="none" w:pos="720"/>
          <w:tab w:val="right" w:leader="none" w:pos="7704"/>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98	</w:t>
      </w:r>
      <w:r>
        <w:rPr>
          <w:rFonts w:ascii="Times New Roman" w:hAnsi="Times New Roman" w:eastAsia="Times New Roman"/>
          <w:color w:val="000000"/>
          <w:spacing w:val="0"/>
          <w:w w:val="100"/>
          <w:sz w:val="20"/>
          <w:vertAlign w:val="baseline"/>
          <w:lang w:val="en-US"/>
        </w:rPr>
        <w:t xml:space="preserve">Replacement licence document	</w:t>
      </w:r>
      <w:r>
        <w:rPr>
          <w:rFonts w:ascii="Times New Roman" w:hAnsi="Times New Roman" w:eastAsia="Times New Roman"/>
          <w:color w:val="000000"/>
          <w:spacing w:val="0"/>
          <w:w w:val="100"/>
          <w:sz w:val="20"/>
          <w:vertAlign w:val="baseline"/>
          <w:lang w:val="en-US"/>
        </w:rPr>
        <w:t xml:space="preserve">94</w:t>
      </w:r>
    </w:p>
    <w:p>
      <w:pPr>
        <w:tabs>
          <w:tab w:val="left" w:leader="none" w:pos="720"/>
          <w:tab w:val="right" w:leader="none" w:pos="7704"/>
        </w:tabs>
        <w:spacing w:before="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99	</w:t>
      </w:r>
      <w:r>
        <w:rPr>
          <w:rFonts w:ascii="Times New Roman" w:hAnsi="Times New Roman" w:eastAsia="Times New Roman"/>
          <w:color w:val="000000"/>
          <w:spacing w:val="0"/>
          <w:w w:val="100"/>
          <w:sz w:val="20"/>
          <w:vertAlign w:val="baseline"/>
          <w:lang w:val="en-US"/>
        </w:rPr>
        <w:t xml:space="preserve">Voluntary surrender of licence	</w:t>
      </w:r>
      <w:r>
        <w:rPr>
          <w:rFonts w:ascii="Times New Roman" w:hAnsi="Times New Roman" w:eastAsia="Times New Roman"/>
          <w:color w:val="000000"/>
          <w:spacing w:val="0"/>
          <w:w w:val="100"/>
          <w:sz w:val="20"/>
          <w:vertAlign w:val="baseline"/>
          <w:lang w:val="en-US"/>
        </w:rPr>
        <w:t xml:space="preserve">95</w:t>
      </w:r>
    </w:p>
    <w:p>
      <w:pPr>
        <w:tabs>
          <w:tab w:val="left" w:leader="none" w:pos="1944"/>
          <w:tab w:val="right" w:leader="none" w:pos="7704"/>
        </w:tabs>
        <w:spacing w:before="3" w:after="0" w:line="228"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Subdivision 4	</w:t>
      </w:r>
      <w:r>
        <w:rPr>
          <w:rFonts w:ascii="Times New Roman" w:hAnsi="Times New Roman" w:eastAsia="Times New Roman"/>
          <w:b w:val="true"/>
          <w:color w:val="000000"/>
          <w:spacing w:val="0"/>
          <w:w w:val="100"/>
          <w:sz w:val="20"/>
          <w:vertAlign w:val="baseline"/>
          <w:lang w:val="en-US"/>
        </w:rPr>
        <w:t xml:space="preserve">Renewal of high risk work licence	</w:t>
      </w:r>
      <w:r>
        <w:rPr>
          <w:rFonts w:ascii="Times New Roman" w:hAnsi="Times New Roman" w:eastAsia="Times New Roman"/>
          <w:b w:val="true"/>
          <w:color w:val="000000"/>
          <w:spacing w:val="0"/>
          <w:w w:val="100"/>
          <w:sz w:val="20"/>
          <w:vertAlign w:val="baseline"/>
          <w:lang w:val="en-US"/>
        </w:rPr>
        <w:t xml:space="preserve">95</w:t>
      </w:r>
    </w:p>
    <w:p>
      <w:pPr>
        <w:tabs>
          <w:tab w:val="left" w:leader="none" w:pos="720"/>
          <w:tab w:val="right" w:leader="none" w:pos="7704"/>
        </w:tabs>
        <w:spacing w:before="119"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100	</w:t>
      </w:r>
      <w:r>
        <w:rPr>
          <w:rFonts w:ascii="Times New Roman" w:hAnsi="Times New Roman" w:eastAsia="Times New Roman"/>
          <w:color w:val="000000"/>
          <w:spacing w:val="0"/>
          <w:w w:val="100"/>
          <w:sz w:val="20"/>
          <w:vertAlign w:val="baseline"/>
          <w:lang w:val="en-US"/>
        </w:rPr>
        <w:t xml:space="preserve">Regulator may renew licence	</w:t>
      </w:r>
      <w:r>
        <w:rPr>
          <w:rFonts w:ascii="Times New Roman" w:hAnsi="Times New Roman" w:eastAsia="Times New Roman"/>
          <w:color w:val="000000"/>
          <w:spacing w:val="0"/>
          <w:w w:val="100"/>
          <w:sz w:val="20"/>
          <w:vertAlign w:val="baseline"/>
          <w:lang w:val="en-US"/>
        </w:rPr>
        <w:t xml:space="preserve">95</w:t>
      </w:r>
    </w:p>
    <w:p>
      <w:pPr>
        <w:tabs>
          <w:tab w:val="left" w:leader="none" w:pos="720"/>
          <w:tab w:val="right" w:leader="none" w:pos="7704"/>
        </w:tabs>
        <w:spacing w:before="0" w:after="0" w:line="226"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101	</w:t>
      </w:r>
      <w:r>
        <w:rPr>
          <w:rFonts w:ascii="Times New Roman" w:hAnsi="Times New Roman" w:eastAsia="Times New Roman"/>
          <w:color w:val="000000"/>
          <w:spacing w:val="0"/>
          <w:w w:val="100"/>
          <w:sz w:val="20"/>
          <w:vertAlign w:val="baseline"/>
          <w:lang w:val="en-US"/>
        </w:rPr>
        <w:t xml:space="preserve">Application for renewal	</w:t>
      </w:r>
      <w:r>
        <w:rPr>
          <w:rFonts w:ascii="Times New Roman" w:hAnsi="Times New Roman" w:eastAsia="Times New Roman"/>
          <w:color w:val="000000"/>
          <w:spacing w:val="0"/>
          <w:w w:val="100"/>
          <w:sz w:val="20"/>
          <w:vertAlign w:val="baseline"/>
          <w:lang w:val="en-US"/>
        </w:rPr>
        <w:t xml:space="preserve">95</w:t>
      </w:r>
    </w:p>
    <w:p>
      <w:pPr>
        <w:tabs>
          <w:tab w:val="left" w:leader="none" w:pos="720"/>
          <w:tab w:val="right" w:leader="none" w:pos="7704"/>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102	</w:t>
      </w:r>
      <w:r>
        <w:rPr>
          <w:rFonts w:ascii="Times New Roman" w:hAnsi="Times New Roman" w:eastAsia="Times New Roman"/>
          <w:color w:val="000000"/>
          <w:spacing w:val="0"/>
          <w:w w:val="100"/>
          <w:sz w:val="20"/>
          <w:vertAlign w:val="baseline"/>
          <w:lang w:val="en-US"/>
        </w:rPr>
        <w:t xml:space="preserve">Licence continues in force until application is decided	</w:t>
      </w:r>
      <w:r>
        <w:rPr>
          <w:rFonts w:ascii="Times New Roman" w:hAnsi="Times New Roman" w:eastAsia="Times New Roman"/>
          <w:color w:val="000000"/>
          <w:spacing w:val="0"/>
          <w:w w:val="100"/>
          <w:sz w:val="20"/>
          <w:vertAlign w:val="baseline"/>
          <w:lang w:val="en-US"/>
        </w:rPr>
        <w:t xml:space="preserve">95</w:t>
      </w:r>
    </w:p>
    <w:p>
      <w:pPr>
        <w:tabs>
          <w:tab w:val="left" w:leader="none" w:pos="720"/>
          <w:tab w:val="right" w:leader="none" w:pos="7704"/>
        </w:tabs>
        <w:spacing w:before="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103	</w:t>
      </w:r>
      <w:r>
        <w:rPr>
          <w:rFonts w:ascii="Times New Roman" w:hAnsi="Times New Roman" w:eastAsia="Times New Roman"/>
          <w:color w:val="000000"/>
          <w:spacing w:val="0"/>
          <w:w w:val="100"/>
          <w:sz w:val="20"/>
          <w:vertAlign w:val="baseline"/>
          <w:lang w:val="en-US"/>
        </w:rPr>
        <w:t xml:space="preserve">Renewal of expired licence	</w:t>
      </w:r>
      <w:r>
        <w:rPr>
          <w:rFonts w:ascii="Times New Roman" w:hAnsi="Times New Roman" w:eastAsia="Times New Roman"/>
          <w:color w:val="000000"/>
          <w:spacing w:val="0"/>
          <w:w w:val="100"/>
          <w:sz w:val="20"/>
          <w:vertAlign w:val="baseline"/>
          <w:lang w:val="en-US"/>
        </w:rPr>
        <w:t xml:space="preserve">96</w:t>
      </w:r>
    </w:p>
    <w:p>
      <w:pPr>
        <w:tabs>
          <w:tab w:val="left" w:leader="none" w:pos="720"/>
          <w:tab w:val="right" w:leader="none" w:pos="7704"/>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104	</w:t>
      </w:r>
      <w:r>
        <w:rPr>
          <w:rFonts w:ascii="Times New Roman" w:hAnsi="Times New Roman" w:eastAsia="Times New Roman"/>
          <w:color w:val="000000"/>
          <w:spacing w:val="0"/>
          <w:w w:val="100"/>
          <w:sz w:val="20"/>
          <w:vertAlign w:val="baseline"/>
          <w:lang w:val="en-US"/>
        </w:rPr>
        <w:t xml:space="preserve">Provisions relating to renewal of licence	</w:t>
      </w:r>
      <w:r>
        <w:rPr>
          <w:rFonts w:ascii="Times New Roman" w:hAnsi="Times New Roman" w:eastAsia="Times New Roman"/>
          <w:color w:val="000000"/>
          <w:spacing w:val="0"/>
          <w:w w:val="100"/>
          <w:sz w:val="20"/>
          <w:vertAlign w:val="baseline"/>
          <w:lang w:val="en-US"/>
        </w:rPr>
        <w:t xml:space="preserve">96</w:t>
      </w:r>
    </w:p>
    <w:p>
      <w:pPr>
        <w:tabs>
          <w:tab w:val="left" w:leader="none" w:pos="720"/>
          <w:tab w:val="right" w:leader="none" w:pos="7704"/>
        </w:tabs>
        <w:spacing w:before="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105	</w:t>
      </w:r>
      <w:r>
        <w:rPr>
          <w:rFonts w:ascii="Times New Roman" w:hAnsi="Times New Roman" w:eastAsia="Times New Roman"/>
          <w:color w:val="000000"/>
          <w:spacing w:val="0"/>
          <w:w w:val="100"/>
          <w:sz w:val="20"/>
          <w:vertAlign w:val="baseline"/>
          <w:lang w:val="en-US"/>
        </w:rPr>
        <w:t xml:space="preserve">Status of licence during review	</w:t>
      </w:r>
      <w:r>
        <w:rPr>
          <w:rFonts w:ascii="Times New Roman" w:hAnsi="Times New Roman" w:eastAsia="Times New Roman"/>
          <w:color w:val="000000"/>
          <w:spacing w:val="0"/>
          <w:w w:val="100"/>
          <w:sz w:val="20"/>
          <w:vertAlign w:val="baseline"/>
          <w:lang w:val="en-US"/>
        </w:rPr>
        <w:t xml:space="preserve">96</w:t>
      </w:r>
    </w:p>
    <w:p>
      <w:pPr>
        <w:tabs>
          <w:tab w:val="left" w:leader="none" w:pos="1944"/>
          <w:tab w:val="right" w:leader="none" w:pos="7704"/>
        </w:tabs>
        <w:spacing w:before="3" w:after="0" w:line="228"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Subdivision 5	</w:t>
      </w:r>
      <w:r>
        <w:rPr>
          <w:rFonts w:ascii="Times New Roman" w:hAnsi="Times New Roman" w:eastAsia="Times New Roman"/>
          <w:b w:val="true"/>
          <w:color w:val="000000"/>
          <w:spacing w:val="0"/>
          <w:w w:val="100"/>
          <w:sz w:val="20"/>
          <w:vertAlign w:val="baseline"/>
          <w:lang w:val="en-US"/>
        </w:rPr>
        <w:t xml:space="preserve">Suspension and cancellation of high risk work licence	</w:t>
      </w:r>
      <w:r>
        <w:rPr>
          <w:rFonts w:ascii="Times New Roman" w:hAnsi="Times New Roman" w:eastAsia="Times New Roman"/>
          <w:b w:val="true"/>
          <w:color w:val="000000"/>
          <w:spacing w:val="0"/>
          <w:w w:val="100"/>
          <w:sz w:val="20"/>
          <w:vertAlign w:val="baseline"/>
          <w:lang w:val="en-US"/>
        </w:rPr>
        <w:t xml:space="preserve">97</w:t>
      </w:r>
    </w:p>
    <w:p>
      <w:pPr>
        <w:tabs>
          <w:tab w:val="left" w:leader="none" w:pos="720"/>
          <w:tab w:val="right" w:leader="none" w:pos="7704"/>
        </w:tabs>
        <w:spacing w:before="119"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106	</w:t>
      </w:r>
      <w:r>
        <w:rPr>
          <w:rFonts w:ascii="Times New Roman" w:hAnsi="Times New Roman" w:eastAsia="Times New Roman"/>
          <w:color w:val="000000"/>
          <w:spacing w:val="0"/>
          <w:w w:val="100"/>
          <w:sz w:val="20"/>
          <w:vertAlign w:val="baseline"/>
          <w:lang w:val="en-US"/>
        </w:rPr>
        <w:t xml:space="preserve">Suspension or cancellation of licence	</w:t>
      </w:r>
      <w:r>
        <w:rPr>
          <w:rFonts w:ascii="Times New Roman" w:hAnsi="Times New Roman" w:eastAsia="Times New Roman"/>
          <w:color w:val="000000"/>
          <w:spacing w:val="0"/>
          <w:w w:val="100"/>
          <w:sz w:val="20"/>
          <w:vertAlign w:val="baseline"/>
          <w:lang w:val="en-US"/>
        </w:rPr>
        <w:t xml:space="preserve">97</w:t>
      </w:r>
    </w:p>
    <w:p>
      <w:pPr>
        <w:tabs>
          <w:tab w:val="left" w:leader="none" w:pos="720"/>
          <w:tab w:val="right" w:leader="none" w:pos="7704"/>
        </w:tabs>
        <w:spacing w:before="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107	</w:t>
      </w:r>
      <w:r>
        <w:rPr>
          <w:rFonts w:ascii="Times New Roman" w:hAnsi="Times New Roman" w:eastAsia="Times New Roman"/>
          <w:color w:val="000000"/>
          <w:spacing w:val="0"/>
          <w:w w:val="100"/>
          <w:sz w:val="20"/>
          <w:vertAlign w:val="baseline"/>
          <w:lang w:val="en-US"/>
        </w:rPr>
        <w:t xml:space="preserve">Matters taken into account	</w:t>
      </w:r>
      <w:r>
        <w:rPr>
          <w:rFonts w:ascii="Times New Roman" w:hAnsi="Times New Roman" w:eastAsia="Times New Roman"/>
          <w:color w:val="000000"/>
          <w:spacing w:val="0"/>
          <w:w w:val="100"/>
          <w:sz w:val="20"/>
          <w:vertAlign w:val="baseline"/>
          <w:lang w:val="en-US"/>
        </w:rPr>
        <w:t xml:space="preserve">98</w:t>
      </w:r>
    </w:p>
    <w:p>
      <w:pPr>
        <w:tabs>
          <w:tab w:val="left" w:leader="none" w:pos="720"/>
          <w:tab w:val="right" w:leader="none" w:pos="7704"/>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108	</w:t>
      </w:r>
      <w:r>
        <w:rPr>
          <w:rFonts w:ascii="Times New Roman" w:hAnsi="Times New Roman" w:eastAsia="Times New Roman"/>
          <w:color w:val="000000"/>
          <w:spacing w:val="0"/>
          <w:w w:val="100"/>
          <w:sz w:val="20"/>
          <w:vertAlign w:val="baseline"/>
          <w:lang w:val="en-US"/>
        </w:rPr>
        <w:t xml:space="preserve">Notice to and submissions by licence holder	</w:t>
      </w:r>
      <w:r>
        <w:rPr>
          <w:rFonts w:ascii="Times New Roman" w:hAnsi="Times New Roman" w:eastAsia="Times New Roman"/>
          <w:color w:val="000000"/>
          <w:spacing w:val="0"/>
          <w:w w:val="100"/>
          <w:sz w:val="20"/>
          <w:vertAlign w:val="baseline"/>
          <w:lang w:val="en-US"/>
        </w:rPr>
        <w:t xml:space="preserve">99</w:t>
      </w:r>
    </w:p>
    <w:p>
      <w:pPr>
        <w:tabs>
          <w:tab w:val="left" w:leader="none" w:pos="720"/>
          <w:tab w:val="right" w:leader="none" w:pos="7704"/>
        </w:tabs>
        <w:spacing w:before="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109	</w:t>
      </w:r>
      <w:r>
        <w:rPr>
          <w:rFonts w:ascii="Times New Roman" w:hAnsi="Times New Roman" w:eastAsia="Times New Roman"/>
          <w:color w:val="000000"/>
          <w:spacing w:val="0"/>
          <w:w w:val="100"/>
          <w:sz w:val="20"/>
          <w:vertAlign w:val="baseline"/>
          <w:lang w:val="en-US"/>
        </w:rPr>
        <w:t xml:space="preserve">Notice of decision	</w:t>
      </w:r>
      <w:r>
        <w:rPr>
          <w:rFonts w:ascii="Times New Roman" w:hAnsi="Times New Roman" w:eastAsia="Times New Roman"/>
          <w:color w:val="000000"/>
          <w:spacing w:val="0"/>
          <w:w w:val="100"/>
          <w:sz w:val="20"/>
          <w:vertAlign w:val="baseline"/>
          <w:lang w:val="en-US"/>
        </w:rPr>
        <w:t xml:space="preserve">99</w:t>
      </w:r>
    </w:p>
    <w:p>
      <w:pPr>
        <w:tabs>
          <w:tab w:val="right" w:leader="none" w:pos="7704"/>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110 Immediate suspension	</w:t>
      </w:r>
      <w:r>
        <w:rPr>
          <w:rFonts w:ascii="Times New Roman" w:hAnsi="Times New Roman" w:eastAsia="Times New Roman"/>
          <w:color w:val="000000"/>
          <w:spacing w:val="0"/>
          <w:w w:val="100"/>
          <w:sz w:val="20"/>
          <w:vertAlign w:val="baseline"/>
          <w:lang w:val="en-US"/>
        </w:rPr>
        <w:t xml:space="preserve">100</w:t>
      </w:r>
    </w:p>
    <w:p>
      <w:pPr>
        <w:tabs>
          <w:tab w:val="left" w:leader="none" w:pos="720"/>
          <w:tab w:val="right" w:leader="none" w:pos="7704"/>
        </w:tabs>
        <w:spacing w:before="0" w:after="623" w:line="226"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pict>
          <v:line strokeweight="0.5pt" strokecolor="#000000" from="97.45pt,710.65pt" to="498.5pt,710.6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111	</w:t>
      </w:r>
      <w:r>
        <w:rPr>
          <w:rFonts w:ascii="Times New Roman" w:hAnsi="Times New Roman" w:eastAsia="Times New Roman"/>
          <w:color w:val="000000"/>
          <w:spacing w:val="0"/>
          <w:w w:val="100"/>
          <w:sz w:val="20"/>
          <w:vertAlign w:val="baseline"/>
          <w:lang w:val="en-US"/>
        </w:rPr>
        <w:t xml:space="preserve">Licence holder to return licence document	</w:t>
      </w:r>
      <w:r>
        <w:rPr>
          <w:rFonts w:ascii="Times New Roman" w:hAnsi="Times New Roman" w:eastAsia="Times New Roman"/>
          <w:color w:val="000000"/>
          <w:spacing w:val="0"/>
          <w:w w:val="100"/>
          <w:sz w:val="20"/>
          <w:vertAlign w:val="baseline"/>
          <w:lang w:val="en-US"/>
        </w:rPr>
        <w:t xml:space="preserve">101</w:t>
      </w:r>
    </w:p>
    <w:p>
      <w:pPr>
        <w:spacing w:before="0" w:after="623" w:line="226" w:lineRule="exact"/>
        <w:sectPr>
          <w:type w:val="nextPage"/>
          <w:pgSz w:w="11909" w:h="16838" w:orient="portrait"/>
          <w:pgMar w:bottom="1542" w:top="1320" w:right="1940" w:left="1949" w:header="720" w:footer="720"/>
          <w:titlePg w:val="false"/>
          <w:textDirection w:val="lrTb"/>
        </w:sectPr>
      </w:pPr>
    </w:p>
    <w:p>
      <w:pPr>
        <w:tabs>
          <w:tab w:val="right" w:leader="none" w:pos="4032"/>
        </w:tabs>
        <w:spacing w:before="6" w:after="0" w:line="177"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1.1.2021	</w:t>
      </w:r>
      <w:r>
        <w:rPr>
          <w:rFonts w:ascii="Times New Roman" w:hAnsi="Times New Roman" w:eastAsia="Times New Roman"/>
          <w:color w:val="000000"/>
          <w:spacing w:val="0"/>
          <w:w w:val="100"/>
          <w:sz w:val="16"/>
          <w:vertAlign w:val="baseline"/>
          <w:lang w:val="en-US"/>
        </w:rPr>
        <w:t xml:space="preserve">4</w:t>
      </w:r>
    </w:p>
    <w:p>
      <w:pPr>
        <w:sectPr>
          <w:type w:val="continuous"/>
          <w:pgSz w:w="11909" w:h="16838" w:orient="portrait"/>
          <w:pgMar w:bottom="1542" w:top="1320" w:right="5915" w:left="1994" w:header="720" w:footer="720"/>
          <w:titlePg w:val="false"/>
          <w:textDirection w:val="lrTb"/>
        </w:sectPr>
      </w:pPr>
    </w:p>
    <w:p>
      <w:pPr>
        <w:spacing w:before="20" w:after="23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720"/>
          <w:tab w:val="right" w:leader="none" w:pos="7704"/>
        </w:tabs>
        <w:spacing w:before="477"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pict>
          <v:line strokeweight="0.5pt" strokecolor="#000000" from="97.45pt,90.95pt" to="498.5pt,90.9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112	</w:t>
      </w:r>
      <w:r>
        <w:rPr>
          <w:rFonts w:ascii="Times New Roman" w:hAnsi="Times New Roman" w:eastAsia="Times New Roman"/>
          <w:color w:val="000000"/>
          <w:spacing w:val="0"/>
          <w:w w:val="100"/>
          <w:sz w:val="20"/>
          <w:vertAlign w:val="baseline"/>
          <w:lang w:val="en-US"/>
        </w:rPr>
        <w:t xml:space="preserve">Regulator to return licence document after suspension	</w:t>
      </w:r>
      <w:r>
        <w:rPr>
          <w:rFonts w:ascii="Times New Roman" w:hAnsi="Times New Roman" w:eastAsia="Times New Roman"/>
          <w:color w:val="000000"/>
          <w:spacing w:val="0"/>
          <w:w w:val="100"/>
          <w:sz w:val="20"/>
          <w:vertAlign w:val="baseline"/>
          <w:lang w:val="en-US"/>
        </w:rPr>
        <w:t xml:space="preserve">101</w:t>
      </w:r>
    </w:p>
    <w:p>
      <w:pPr>
        <w:tabs>
          <w:tab w:val="left" w:leader="none" w:pos="1368"/>
          <w:tab w:val="right" w:leader="none" w:pos="7704"/>
        </w:tabs>
        <w:spacing w:before="4" w:after="0" w:line="226"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2	</w:t>
      </w:r>
      <w:r>
        <w:rPr>
          <w:rFonts w:ascii="Times New Roman" w:hAnsi="Times New Roman" w:eastAsia="Times New Roman"/>
          <w:b w:val="true"/>
          <w:color w:val="000000"/>
          <w:spacing w:val="0"/>
          <w:w w:val="100"/>
          <w:sz w:val="20"/>
          <w:vertAlign w:val="baseline"/>
          <w:lang w:val="en-US"/>
        </w:rPr>
        <w:t xml:space="preserve">Accreditation of assessors	</w:t>
      </w:r>
      <w:r>
        <w:rPr>
          <w:rFonts w:ascii="Times New Roman" w:hAnsi="Times New Roman" w:eastAsia="Times New Roman"/>
          <w:b w:val="true"/>
          <w:color w:val="000000"/>
          <w:spacing w:val="0"/>
          <w:w w:val="100"/>
          <w:sz w:val="20"/>
          <w:vertAlign w:val="baseline"/>
          <w:lang w:val="en-US"/>
        </w:rPr>
        <w:t xml:space="preserve">101</w:t>
      </w:r>
    </w:p>
    <w:p>
      <w:pPr>
        <w:tabs>
          <w:tab w:val="left" w:leader="none" w:pos="1944"/>
          <w:tab w:val="right" w:leader="none" w:pos="7704"/>
        </w:tabs>
        <w:spacing w:before="124" w:after="0" w:line="226"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Subdivision 1	</w:t>
      </w:r>
      <w:r>
        <w:rPr>
          <w:rFonts w:ascii="Times New Roman" w:hAnsi="Times New Roman" w:eastAsia="Times New Roman"/>
          <w:b w:val="true"/>
          <w:color w:val="000000"/>
          <w:spacing w:val="0"/>
          <w:w w:val="100"/>
          <w:sz w:val="20"/>
          <w:vertAlign w:val="baseline"/>
          <w:lang w:val="en-US"/>
        </w:rPr>
        <w:t xml:space="preserve">Requirement to be accredited	</w:t>
      </w:r>
      <w:r>
        <w:rPr>
          <w:rFonts w:ascii="Times New Roman" w:hAnsi="Times New Roman" w:eastAsia="Times New Roman"/>
          <w:b w:val="true"/>
          <w:color w:val="000000"/>
          <w:spacing w:val="0"/>
          <w:w w:val="100"/>
          <w:sz w:val="20"/>
          <w:vertAlign w:val="baseline"/>
          <w:lang w:val="en-US"/>
        </w:rPr>
        <w:t xml:space="preserve">102</w:t>
      </w:r>
    </w:p>
    <w:p>
      <w:pPr>
        <w:tabs>
          <w:tab w:val="left" w:leader="none" w:pos="720"/>
          <w:tab w:val="right" w:leader="none" w:pos="7704"/>
        </w:tabs>
        <w:spacing w:before="12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113	</w:t>
      </w:r>
      <w:r>
        <w:rPr>
          <w:rFonts w:ascii="Times New Roman" w:hAnsi="Times New Roman" w:eastAsia="Times New Roman"/>
          <w:color w:val="000000"/>
          <w:spacing w:val="0"/>
          <w:w w:val="100"/>
          <w:sz w:val="20"/>
          <w:vertAlign w:val="baseline"/>
          <w:lang w:val="en-US"/>
        </w:rPr>
        <w:t xml:space="preserve">Accreditation required to assess competency for high risk work licence	</w:t>
      </w:r>
      <w:r>
        <w:rPr>
          <w:rFonts w:ascii="Times New Roman" w:hAnsi="Times New Roman" w:eastAsia="Times New Roman"/>
          <w:color w:val="000000"/>
          <w:spacing w:val="0"/>
          <w:w w:val="100"/>
          <w:sz w:val="20"/>
          <w:vertAlign w:val="baseline"/>
          <w:lang w:val="en-US"/>
        </w:rPr>
        <w:t xml:space="preserve">102</w:t>
      </w:r>
    </w:p>
    <w:p>
      <w:pPr>
        <w:tabs>
          <w:tab w:val="left" w:leader="none" w:pos="720"/>
          <w:tab w:val="right" w:leader="none" w:pos="7704"/>
        </w:tabs>
        <w:spacing w:before="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114	</w:t>
      </w:r>
      <w:r>
        <w:rPr>
          <w:rFonts w:ascii="Times New Roman" w:hAnsi="Times New Roman" w:eastAsia="Times New Roman"/>
          <w:color w:val="000000"/>
          <w:spacing w:val="0"/>
          <w:w w:val="100"/>
          <w:sz w:val="20"/>
          <w:vertAlign w:val="baseline"/>
          <w:lang w:val="en-US"/>
        </w:rPr>
        <w:t xml:space="preserve">Accredited assessor must act in accordance with accreditation	</w:t>
      </w:r>
      <w:r>
        <w:rPr>
          <w:rFonts w:ascii="Times New Roman" w:hAnsi="Times New Roman" w:eastAsia="Times New Roman"/>
          <w:color w:val="000000"/>
          <w:spacing w:val="0"/>
          <w:w w:val="100"/>
          <w:sz w:val="20"/>
          <w:vertAlign w:val="baseline"/>
          <w:lang w:val="en-US"/>
        </w:rPr>
        <w:t xml:space="preserve">102</w:t>
      </w:r>
    </w:p>
    <w:p>
      <w:pPr>
        <w:tabs>
          <w:tab w:val="left" w:leader="none" w:pos="1944"/>
          <w:tab w:val="right" w:leader="none" w:pos="7704"/>
        </w:tabs>
        <w:spacing w:before="3" w:after="0" w:line="226"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Subdivision 2	</w:t>
      </w:r>
      <w:r>
        <w:rPr>
          <w:rFonts w:ascii="Times New Roman" w:hAnsi="Times New Roman" w:eastAsia="Times New Roman"/>
          <w:b w:val="true"/>
          <w:color w:val="000000"/>
          <w:spacing w:val="0"/>
          <w:w w:val="100"/>
          <w:sz w:val="20"/>
          <w:vertAlign w:val="baseline"/>
          <w:lang w:val="en-US"/>
        </w:rPr>
        <w:t xml:space="preserve">Accreditation process	</w:t>
      </w:r>
      <w:r>
        <w:rPr>
          <w:rFonts w:ascii="Times New Roman" w:hAnsi="Times New Roman" w:eastAsia="Times New Roman"/>
          <w:b w:val="true"/>
          <w:color w:val="000000"/>
          <w:spacing w:val="0"/>
          <w:w w:val="100"/>
          <w:sz w:val="20"/>
          <w:vertAlign w:val="baseline"/>
          <w:lang w:val="en-US"/>
        </w:rPr>
        <w:t xml:space="preserve">102</w:t>
      </w:r>
    </w:p>
    <w:p>
      <w:pPr>
        <w:tabs>
          <w:tab w:val="left" w:leader="none" w:pos="720"/>
          <w:tab w:val="right" w:leader="none" w:pos="7704"/>
        </w:tabs>
        <w:spacing w:before="122"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115	</w:t>
      </w:r>
      <w:r>
        <w:rPr>
          <w:rFonts w:ascii="Times New Roman" w:hAnsi="Times New Roman" w:eastAsia="Times New Roman"/>
          <w:color w:val="000000"/>
          <w:spacing w:val="0"/>
          <w:w w:val="100"/>
          <w:sz w:val="20"/>
          <w:vertAlign w:val="baseline"/>
          <w:lang w:val="en-US"/>
        </w:rPr>
        <w:t xml:space="preserve">Regulator may accredit assessors	</w:t>
      </w:r>
      <w:r>
        <w:rPr>
          <w:rFonts w:ascii="Times New Roman" w:hAnsi="Times New Roman" w:eastAsia="Times New Roman"/>
          <w:color w:val="000000"/>
          <w:spacing w:val="0"/>
          <w:w w:val="100"/>
          <w:sz w:val="20"/>
          <w:vertAlign w:val="baseline"/>
          <w:lang w:val="en-US"/>
        </w:rPr>
        <w:t xml:space="preserve">102</w:t>
      </w:r>
    </w:p>
    <w:p>
      <w:pPr>
        <w:tabs>
          <w:tab w:val="left" w:leader="none" w:pos="720"/>
          <w:tab w:val="right" w:leader="none" w:pos="7704"/>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116	</w:t>
      </w:r>
      <w:r>
        <w:rPr>
          <w:rFonts w:ascii="Times New Roman" w:hAnsi="Times New Roman" w:eastAsia="Times New Roman"/>
          <w:color w:val="000000"/>
          <w:spacing w:val="0"/>
          <w:w w:val="100"/>
          <w:sz w:val="20"/>
          <w:vertAlign w:val="baseline"/>
          <w:lang w:val="en-US"/>
        </w:rPr>
        <w:t xml:space="preserve">Application for accreditation	</w:t>
      </w:r>
      <w:r>
        <w:rPr>
          <w:rFonts w:ascii="Times New Roman" w:hAnsi="Times New Roman" w:eastAsia="Times New Roman"/>
          <w:color w:val="000000"/>
          <w:spacing w:val="0"/>
          <w:w w:val="100"/>
          <w:sz w:val="20"/>
          <w:vertAlign w:val="baseline"/>
          <w:lang w:val="en-US"/>
        </w:rPr>
        <w:t xml:space="preserve">103</w:t>
      </w:r>
    </w:p>
    <w:p>
      <w:pPr>
        <w:tabs>
          <w:tab w:val="left" w:leader="none" w:pos="720"/>
          <w:tab w:val="right" w:leader="none" w:pos="7704"/>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117	</w:t>
      </w:r>
      <w:r>
        <w:rPr>
          <w:rFonts w:ascii="Times New Roman" w:hAnsi="Times New Roman" w:eastAsia="Times New Roman"/>
          <w:color w:val="000000"/>
          <w:spacing w:val="0"/>
          <w:w w:val="100"/>
          <w:sz w:val="20"/>
          <w:vertAlign w:val="baseline"/>
          <w:lang w:val="en-US"/>
        </w:rPr>
        <w:t xml:space="preserve">Additional information	</w:t>
      </w:r>
      <w:r>
        <w:rPr>
          <w:rFonts w:ascii="Times New Roman" w:hAnsi="Times New Roman" w:eastAsia="Times New Roman"/>
          <w:color w:val="000000"/>
          <w:spacing w:val="0"/>
          <w:w w:val="100"/>
          <w:sz w:val="20"/>
          <w:vertAlign w:val="baseline"/>
          <w:lang w:val="en-US"/>
        </w:rPr>
        <w:t xml:space="preserve">104</w:t>
      </w:r>
    </w:p>
    <w:p>
      <w:pPr>
        <w:tabs>
          <w:tab w:val="left" w:leader="none" w:pos="720"/>
          <w:tab w:val="right" w:leader="none" w:pos="7704"/>
        </w:tabs>
        <w:spacing w:before="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118	</w:t>
      </w:r>
      <w:r>
        <w:rPr>
          <w:rFonts w:ascii="Times New Roman" w:hAnsi="Times New Roman" w:eastAsia="Times New Roman"/>
          <w:color w:val="000000"/>
          <w:spacing w:val="0"/>
          <w:w w:val="100"/>
          <w:sz w:val="20"/>
          <w:vertAlign w:val="baseline"/>
          <w:lang w:val="en-US"/>
        </w:rPr>
        <w:t xml:space="preserve">Decision on application	</w:t>
      </w:r>
      <w:r>
        <w:rPr>
          <w:rFonts w:ascii="Times New Roman" w:hAnsi="Times New Roman" w:eastAsia="Times New Roman"/>
          <w:color w:val="000000"/>
          <w:spacing w:val="0"/>
          <w:w w:val="100"/>
          <w:sz w:val="20"/>
          <w:vertAlign w:val="baseline"/>
          <w:lang w:val="en-US"/>
        </w:rPr>
        <w:t xml:space="preserve">104</w:t>
      </w:r>
    </w:p>
    <w:p>
      <w:pPr>
        <w:tabs>
          <w:tab w:val="left" w:leader="none" w:pos="720"/>
          <w:tab w:val="right" w:leader="none" w:pos="7704"/>
        </w:tabs>
        <w:spacing w:before="0" w:after="0" w:line="225"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119	</w:t>
      </w:r>
      <w:r>
        <w:rPr>
          <w:rFonts w:ascii="Times New Roman" w:hAnsi="Times New Roman" w:eastAsia="Times New Roman"/>
          <w:color w:val="000000"/>
          <w:spacing w:val="0"/>
          <w:w w:val="100"/>
          <w:sz w:val="20"/>
          <w:vertAlign w:val="baseline"/>
          <w:lang w:val="en-US"/>
        </w:rPr>
        <w:t xml:space="preserve">Matters to be taken into account	</w:t>
      </w:r>
      <w:r>
        <w:rPr>
          <w:rFonts w:ascii="Times New Roman" w:hAnsi="Times New Roman" w:eastAsia="Times New Roman"/>
          <w:color w:val="000000"/>
          <w:spacing w:val="0"/>
          <w:w w:val="100"/>
          <w:sz w:val="20"/>
          <w:vertAlign w:val="baseline"/>
          <w:lang w:val="en-US"/>
        </w:rPr>
        <w:t xml:space="preserve">105</w:t>
      </w:r>
    </w:p>
    <w:p>
      <w:pPr>
        <w:tabs>
          <w:tab w:val="left" w:leader="none" w:pos="720"/>
          <w:tab w:val="right" w:leader="none" w:pos="7704"/>
        </w:tabs>
        <w:spacing w:before="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120	</w:t>
      </w:r>
      <w:r>
        <w:rPr>
          <w:rFonts w:ascii="Times New Roman" w:hAnsi="Times New Roman" w:eastAsia="Times New Roman"/>
          <w:color w:val="000000"/>
          <w:spacing w:val="0"/>
          <w:w w:val="100"/>
          <w:sz w:val="20"/>
          <w:vertAlign w:val="baseline"/>
          <w:lang w:val="en-US"/>
        </w:rPr>
        <w:t xml:space="preserve">Refusal to grant accreditation—process	</w:t>
      </w:r>
      <w:r>
        <w:rPr>
          <w:rFonts w:ascii="Times New Roman" w:hAnsi="Times New Roman" w:eastAsia="Times New Roman"/>
          <w:color w:val="000000"/>
          <w:spacing w:val="0"/>
          <w:w w:val="100"/>
          <w:sz w:val="20"/>
          <w:vertAlign w:val="baseline"/>
          <w:lang w:val="en-US"/>
        </w:rPr>
        <w:t xml:space="preserve">106</w:t>
      </w:r>
    </w:p>
    <w:p>
      <w:pPr>
        <w:tabs>
          <w:tab w:val="left" w:leader="none" w:pos="720"/>
          <w:tab w:val="right" w:leader="none" w:pos="7704"/>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121	</w:t>
      </w:r>
      <w:r>
        <w:rPr>
          <w:rFonts w:ascii="Times New Roman" w:hAnsi="Times New Roman" w:eastAsia="Times New Roman"/>
          <w:color w:val="000000"/>
          <w:spacing w:val="0"/>
          <w:w w:val="100"/>
          <w:sz w:val="20"/>
          <w:vertAlign w:val="baseline"/>
          <w:lang w:val="en-US"/>
        </w:rPr>
        <w:t xml:space="preserve">Conditions of accreditation	</w:t>
      </w:r>
      <w:r>
        <w:rPr>
          <w:rFonts w:ascii="Times New Roman" w:hAnsi="Times New Roman" w:eastAsia="Times New Roman"/>
          <w:color w:val="000000"/>
          <w:spacing w:val="0"/>
          <w:w w:val="100"/>
          <w:sz w:val="20"/>
          <w:vertAlign w:val="baseline"/>
          <w:lang w:val="en-US"/>
        </w:rPr>
        <w:t xml:space="preserve">106</w:t>
      </w:r>
    </w:p>
    <w:p>
      <w:pPr>
        <w:tabs>
          <w:tab w:val="left" w:leader="none" w:pos="720"/>
          <w:tab w:val="right" w:leader="none" w:pos="7704"/>
        </w:tabs>
        <w:spacing w:before="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122	</w:t>
      </w:r>
      <w:r>
        <w:rPr>
          <w:rFonts w:ascii="Times New Roman" w:hAnsi="Times New Roman" w:eastAsia="Times New Roman"/>
          <w:color w:val="000000"/>
          <w:spacing w:val="0"/>
          <w:w w:val="100"/>
          <w:sz w:val="20"/>
          <w:vertAlign w:val="baseline"/>
          <w:lang w:val="en-US"/>
        </w:rPr>
        <w:t xml:space="preserve">Duration of accreditation	</w:t>
      </w:r>
      <w:r>
        <w:rPr>
          <w:rFonts w:ascii="Times New Roman" w:hAnsi="Times New Roman" w:eastAsia="Times New Roman"/>
          <w:color w:val="000000"/>
          <w:spacing w:val="0"/>
          <w:w w:val="100"/>
          <w:sz w:val="20"/>
          <w:vertAlign w:val="baseline"/>
          <w:lang w:val="en-US"/>
        </w:rPr>
        <w:t xml:space="preserve">107</w:t>
      </w:r>
    </w:p>
    <w:p>
      <w:pPr>
        <w:tabs>
          <w:tab w:val="left" w:leader="none" w:pos="720"/>
          <w:tab w:val="right" w:leader="none" w:pos="7704"/>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123	</w:t>
      </w:r>
      <w:r>
        <w:rPr>
          <w:rFonts w:ascii="Times New Roman" w:hAnsi="Times New Roman" w:eastAsia="Times New Roman"/>
          <w:color w:val="000000"/>
          <w:spacing w:val="0"/>
          <w:w w:val="100"/>
          <w:sz w:val="20"/>
          <w:vertAlign w:val="baseline"/>
          <w:lang w:val="en-US"/>
        </w:rPr>
        <w:t xml:space="preserve">Accreditation document	</w:t>
      </w:r>
      <w:r>
        <w:rPr>
          <w:rFonts w:ascii="Times New Roman" w:hAnsi="Times New Roman" w:eastAsia="Times New Roman"/>
          <w:color w:val="000000"/>
          <w:spacing w:val="0"/>
          <w:w w:val="100"/>
          <w:sz w:val="20"/>
          <w:vertAlign w:val="baseline"/>
          <w:lang w:val="en-US"/>
        </w:rPr>
        <w:t xml:space="preserve">107</w:t>
      </w:r>
    </w:p>
    <w:p>
      <w:pPr>
        <w:tabs>
          <w:tab w:val="left" w:leader="none" w:pos="720"/>
          <w:tab w:val="right" w:leader="none" w:pos="7704"/>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124	</w:t>
      </w:r>
      <w:r>
        <w:rPr>
          <w:rFonts w:ascii="Times New Roman" w:hAnsi="Times New Roman" w:eastAsia="Times New Roman"/>
          <w:color w:val="000000"/>
          <w:spacing w:val="0"/>
          <w:w w:val="100"/>
          <w:sz w:val="20"/>
          <w:vertAlign w:val="baseline"/>
          <w:lang w:val="en-US"/>
        </w:rPr>
        <w:t xml:space="preserve">Accreditation document to be available	</w:t>
      </w:r>
      <w:r>
        <w:rPr>
          <w:rFonts w:ascii="Times New Roman" w:hAnsi="Times New Roman" w:eastAsia="Times New Roman"/>
          <w:color w:val="000000"/>
          <w:spacing w:val="0"/>
          <w:w w:val="100"/>
          <w:sz w:val="20"/>
          <w:vertAlign w:val="baseline"/>
          <w:lang w:val="en-US"/>
        </w:rPr>
        <w:t xml:space="preserve">108</w:t>
      </w:r>
    </w:p>
    <w:p>
      <w:pPr>
        <w:tabs>
          <w:tab w:val="left" w:leader="none" w:pos="1944"/>
          <w:tab w:val="right" w:leader="none" w:pos="7704"/>
        </w:tabs>
        <w:spacing w:before="4" w:after="0" w:line="226"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Subdivision 3	</w:t>
      </w:r>
      <w:r>
        <w:rPr>
          <w:rFonts w:ascii="Times New Roman" w:hAnsi="Times New Roman" w:eastAsia="Times New Roman"/>
          <w:b w:val="true"/>
          <w:color w:val="000000"/>
          <w:spacing w:val="0"/>
          <w:w w:val="100"/>
          <w:sz w:val="20"/>
          <w:vertAlign w:val="baseline"/>
          <w:lang w:val="en-US"/>
        </w:rPr>
        <w:t xml:space="preserve">Amendment of accreditation document	</w:t>
      </w:r>
      <w:r>
        <w:rPr>
          <w:rFonts w:ascii="Times New Roman" w:hAnsi="Times New Roman" w:eastAsia="Times New Roman"/>
          <w:b w:val="true"/>
          <w:color w:val="000000"/>
          <w:spacing w:val="0"/>
          <w:w w:val="100"/>
          <w:sz w:val="20"/>
          <w:vertAlign w:val="baseline"/>
          <w:lang w:val="en-US"/>
        </w:rPr>
        <w:t xml:space="preserve">108</w:t>
      </w:r>
    </w:p>
    <w:p>
      <w:pPr>
        <w:tabs>
          <w:tab w:val="left" w:leader="none" w:pos="720"/>
          <w:tab w:val="right" w:leader="none" w:pos="7704"/>
        </w:tabs>
        <w:spacing w:before="12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125	</w:t>
      </w:r>
      <w:r>
        <w:rPr>
          <w:rFonts w:ascii="Times New Roman" w:hAnsi="Times New Roman" w:eastAsia="Times New Roman"/>
          <w:color w:val="000000"/>
          <w:spacing w:val="0"/>
          <w:w w:val="100"/>
          <w:sz w:val="20"/>
          <w:vertAlign w:val="baseline"/>
          <w:lang w:val="en-US"/>
        </w:rPr>
        <w:t xml:space="preserve">Changes to information	</w:t>
      </w:r>
      <w:r>
        <w:rPr>
          <w:rFonts w:ascii="Times New Roman" w:hAnsi="Times New Roman" w:eastAsia="Times New Roman"/>
          <w:color w:val="000000"/>
          <w:spacing w:val="0"/>
          <w:w w:val="100"/>
          <w:sz w:val="20"/>
          <w:vertAlign w:val="baseline"/>
          <w:lang w:val="en-US"/>
        </w:rPr>
        <w:t xml:space="preserve">108</w:t>
      </w:r>
    </w:p>
    <w:p>
      <w:pPr>
        <w:tabs>
          <w:tab w:val="left" w:leader="none" w:pos="720"/>
          <w:tab w:val="right" w:leader="none" w:pos="7704"/>
        </w:tabs>
        <w:spacing w:before="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126	</w:t>
      </w:r>
      <w:r>
        <w:rPr>
          <w:rFonts w:ascii="Times New Roman" w:hAnsi="Times New Roman" w:eastAsia="Times New Roman"/>
          <w:color w:val="000000"/>
          <w:spacing w:val="0"/>
          <w:w w:val="100"/>
          <w:sz w:val="20"/>
          <w:vertAlign w:val="baseline"/>
          <w:lang w:val="en-US"/>
        </w:rPr>
        <w:t xml:space="preserve">Accredited assessor to return accreditation document	</w:t>
      </w:r>
      <w:r>
        <w:rPr>
          <w:rFonts w:ascii="Times New Roman" w:hAnsi="Times New Roman" w:eastAsia="Times New Roman"/>
          <w:color w:val="000000"/>
          <w:spacing w:val="0"/>
          <w:w w:val="100"/>
          <w:sz w:val="20"/>
          <w:vertAlign w:val="baseline"/>
          <w:lang w:val="en-US"/>
        </w:rPr>
        <w:t xml:space="preserve">108</w:t>
      </w:r>
    </w:p>
    <w:p>
      <w:pPr>
        <w:tabs>
          <w:tab w:val="left" w:leader="none" w:pos="720"/>
          <w:tab w:val="right" w:leader="none" w:pos="7704"/>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127	</w:t>
      </w:r>
      <w:r>
        <w:rPr>
          <w:rFonts w:ascii="Times New Roman" w:hAnsi="Times New Roman" w:eastAsia="Times New Roman"/>
          <w:color w:val="000000"/>
          <w:spacing w:val="0"/>
          <w:w w:val="100"/>
          <w:sz w:val="20"/>
          <w:vertAlign w:val="baseline"/>
          <w:lang w:val="en-US"/>
        </w:rPr>
        <w:t xml:space="preserve">Replacement accreditation document	</w:t>
      </w:r>
      <w:r>
        <w:rPr>
          <w:rFonts w:ascii="Times New Roman" w:hAnsi="Times New Roman" w:eastAsia="Times New Roman"/>
          <w:color w:val="000000"/>
          <w:spacing w:val="0"/>
          <w:w w:val="100"/>
          <w:sz w:val="20"/>
          <w:vertAlign w:val="baseline"/>
          <w:lang w:val="en-US"/>
        </w:rPr>
        <w:t xml:space="preserve">109</w:t>
      </w:r>
    </w:p>
    <w:p>
      <w:pPr>
        <w:tabs>
          <w:tab w:val="left" w:leader="none" w:pos="720"/>
          <w:tab w:val="right" w:leader="none" w:pos="7704"/>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128	</w:t>
      </w:r>
      <w:r>
        <w:rPr>
          <w:rFonts w:ascii="Times New Roman" w:hAnsi="Times New Roman" w:eastAsia="Times New Roman"/>
          <w:color w:val="000000"/>
          <w:spacing w:val="0"/>
          <w:w w:val="100"/>
          <w:sz w:val="20"/>
          <w:vertAlign w:val="baseline"/>
          <w:lang w:val="en-US"/>
        </w:rPr>
        <w:t xml:space="preserve">Voluntary surrender of accreditation	</w:t>
      </w:r>
      <w:r>
        <w:rPr>
          <w:rFonts w:ascii="Times New Roman" w:hAnsi="Times New Roman" w:eastAsia="Times New Roman"/>
          <w:color w:val="000000"/>
          <w:spacing w:val="0"/>
          <w:w w:val="100"/>
          <w:sz w:val="20"/>
          <w:vertAlign w:val="baseline"/>
          <w:lang w:val="en-US"/>
        </w:rPr>
        <w:t xml:space="preserve">110</w:t>
      </w:r>
    </w:p>
    <w:p>
      <w:pPr>
        <w:tabs>
          <w:tab w:val="left" w:leader="none" w:pos="1944"/>
          <w:tab w:val="right" w:leader="none" w:pos="7704"/>
        </w:tabs>
        <w:spacing w:before="4" w:after="0" w:line="226"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Subdivision 4	</w:t>
      </w:r>
      <w:r>
        <w:rPr>
          <w:rFonts w:ascii="Times New Roman" w:hAnsi="Times New Roman" w:eastAsia="Times New Roman"/>
          <w:b w:val="true"/>
          <w:color w:val="000000"/>
          <w:spacing w:val="0"/>
          <w:w w:val="100"/>
          <w:sz w:val="20"/>
          <w:vertAlign w:val="baseline"/>
          <w:lang w:val="en-US"/>
        </w:rPr>
        <w:t xml:space="preserve">Renewal of accreditation	</w:t>
      </w:r>
      <w:r>
        <w:rPr>
          <w:rFonts w:ascii="Times New Roman" w:hAnsi="Times New Roman" w:eastAsia="Times New Roman"/>
          <w:b w:val="true"/>
          <w:color w:val="000000"/>
          <w:spacing w:val="0"/>
          <w:w w:val="100"/>
          <w:sz w:val="20"/>
          <w:vertAlign w:val="baseline"/>
          <w:lang w:val="en-US"/>
        </w:rPr>
        <w:t xml:space="preserve">110</w:t>
      </w:r>
    </w:p>
    <w:p>
      <w:pPr>
        <w:tabs>
          <w:tab w:val="left" w:leader="none" w:pos="720"/>
          <w:tab w:val="right" w:leader="none" w:pos="7704"/>
        </w:tabs>
        <w:spacing w:before="116"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129	</w:t>
      </w:r>
      <w:r>
        <w:rPr>
          <w:rFonts w:ascii="Times New Roman" w:hAnsi="Times New Roman" w:eastAsia="Times New Roman"/>
          <w:color w:val="000000"/>
          <w:spacing w:val="0"/>
          <w:w w:val="100"/>
          <w:sz w:val="20"/>
          <w:vertAlign w:val="baseline"/>
          <w:lang w:val="en-US"/>
        </w:rPr>
        <w:t xml:space="preserve">Regulator may renew accreditation	</w:t>
      </w:r>
      <w:r>
        <w:rPr>
          <w:rFonts w:ascii="Times New Roman" w:hAnsi="Times New Roman" w:eastAsia="Times New Roman"/>
          <w:color w:val="000000"/>
          <w:spacing w:val="0"/>
          <w:w w:val="100"/>
          <w:sz w:val="20"/>
          <w:vertAlign w:val="baseline"/>
          <w:lang w:val="en-US"/>
        </w:rPr>
        <w:t xml:space="preserve">110</w:t>
      </w:r>
    </w:p>
    <w:p>
      <w:pPr>
        <w:tabs>
          <w:tab w:val="left" w:leader="none" w:pos="720"/>
          <w:tab w:val="right" w:leader="none" w:pos="7704"/>
        </w:tabs>
        <w:spacing w:before="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130	</w:t>
      </w:r>
      <w:r>
        <w:rPr>
          <w:rFonts w:ascii="Times New Roman" w:hAnsi="Times New Roman" w:eastAsia="Times New Roman"/>
          <w:color w:val="000000"/>
          <w:spacing w:val="0"/>
          <w:w w:val="100"/>
          <w:sz w:val="20"/>
          <w:vertAlign w:val="baseline"/>
          <w:lang w:val="en-US"/>
        </w:rPr>
        <w:t xml:space="preserve">Application for renewal	</w:t>
      </w:r>
      <w:r>
        <w:rPr>
          <w:rFonts w:ascii="Times New Roman" w:hAnsi="Times New Roman" w:eastAsia="Times New Roman"/>
          <w:color w:val="000000"/>
          <w:spacing w:val="0"/>
          <w:w w:val="100"/>
          <w:sz w:val="20"/>
          <w:vertAlign w:val="baseline"/>
          <w:lang w:val="en-US"/>
        </w:rPr>
        <w:t xml:space="preserve">110</w:t>
      </w:r>
    </w:p>
    <w:p>
      <w:pPr>
        <w:tabs>
          <w:tab w:val="left" w:leader="none" w:pos="720"/>
          <w:tab w:val="right" w:leader="none" w:pos="7704"/>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131	</w:t>
      </w:r>
      <w:r>
        <w:rPr>
          <w:rFonts w:ascii="Times New Roman" w:hAnsi="Times New Roman" w:eastAsia="Times New Roman"/>
          <w:color w:val="000000"/>
          <w:spacing w:val="0"/>
          <w:w w:val="100"/>
          <w:sz w:val="20"/>
          <w:vertAlign w:val="baseline"/>
          <w:lang w:val="en-US"/>
        </w:rPr>
        <w:t xml:space="preserve">Accreditation continues in force until application is decided	</w:t>
      </w:r>
      <w:r>
        <w:rPr>
          <w:rFonts w:ascii="Times New Roman" w:hAnsi="Times New Roman" w:eastAsia="Times New Roman"/>
          <w:color w:val="000000"/>
          <w:spacing w:val="0"/>
          <w:w w:val="100"/>
          <w:sz w:val="20"/>
          <w:vertAlign w:val="baseline"/>
          <w:lang w:val="en-US"/>
        </w:rPr>
        <w:t xml:space="preserve">110</w:t>
      </w:r>
    </w:p>
    <w:p>
      <w:pPr>
        <w:tabs>
          <w:tab w:val="left" w:leader="none" w:pos="720"/>
          <w:tab w:val="right" w:leader="none" w:pos="7704"/>
        </w:tabs>
        <w:spacing w:before="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132	</w:t>
      </w:r>
      <w:r>
        <w:rPr>
          <w:rFonts w:ascii="Times New Roman" w:hAnsi="Times New Roman" w:eastAsia="Times New Roman"/>
          <w:color w:val="000000"/>
          <w:spacing w:val="0"/>
          <w:w w:val="100"/>
          <w:sz w:val="20"/>
          <w:vertAlign w:val="baseline"/>
          <w:lang w:val="en-US"/>
        </w:rPr>
        <w:t xml:space="preserve">Provisions relating to application	</w:t>
      </w:r>
      <w:r>
        <w:rPr>
          <w:rFonts w:ascii="Times New Roman" w:hAnsi="Times New Roman" w:eastAsia="Times New Roman"/>
          <w:color w:val="000000"/>
          <w:spacing w:val="0"/>
          <w:w w:val="100"/>
          <w:sz w:val="20"/>
          <w:vertAlign w:val="baseline"/>
          <w:lang w:val="en-US"/>
        </w:rPr>
        <w:t xml:space="preserve">110</w:t>
      </w:r>
    </w:p>
    <w:p>
      <w:pPr>
        <w:tabs>
          <w:tab w:val="left" w:leader="none" w:pos="1944"/>
          <w:tab w:val="right" w:leader="none" w:pos="7704"/>
        </w:tabs>
        <w:spacing w:before="3" w:after="0" w:line="226"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Subdivision 5	</w:t>
      </w:r>
      <w:r>
        <w:rPr>
          <w:rFonts w:ascii="Times New Roman" w:hAnsi="Times New Roman" w:eastAsia="Times New Roman"/>
          <w:b w:val="true"/>
          <w:color w:val="000000"/>
          <w:spacing w:val="0"/>
          <w:w w:val="100"/>
          <w:sz w:val="20"/>
          <w:vertAlign w:val="baseline"/>
          <w:lang w:val="en-US"/>
        </w:rPr>
        <w:t xml:space="preserve">Suspension and cancellation	</w:t>
      </w:r>
      <w:r>
        <w:rPr>
          <w:rFonts w:ascii="Times New Roman" w:hAnsi="Times New Roman" w:eastAsia="Times New Roman"/>
          <w:b w:val="true"/>
          <w:color w:val="000000"/>
          <w:spacing w:val="0"/>
          <w:w w:val="100"/>
          <w:sz w:val="20"/>
          <w:vertAlign w:val="baseline"/>
          <w:lang w:val="en-US"/>
        </w:rPr>
        <w:t xml:space="preserve">111</w:t>
      </w:r>
    </w:p>
    <w:p>
      <w:pPr>
        <w:tabs>
          <w:tab w:val="left" w:leader="none" w:pos="720"/>
          <w:tab w:val="right" w:leader="none" w:pos="7704"/>
        </w:tabs>
        <w:spacing w:before="12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133	</w:t>
      </w:r>
      <w:r>
        <w:rPr>
          <w:rFonts w:ascii="Times New Roman" w:hAnsi="Times New Roman" w:eastAsia="Times New Roman"/>
          <w:color w:val="000000"/>
          <w:spacing w:val="0"/>
          <w:w w:val="100"/>
          <w:sz w:val="20"/>
          <w:vertAlign w:val="baseline"/>
          <w:lang w:val="en-US"/>
        </w:rPr>
        <w:t xml:space="preserve">Regulator may suspend or cancel accreditation	</w:t>
      </w:r>
      <w:r>
        <w:rPr>
          <w:rFonts w:ascii="Times New Roman" w:hAnsi="Times New Roman" w:eastAsia="Times New Roman"/>
          <w:color w:val="000000"/>
          <w:spacing w:val="0"/>
          <w:w w:val="100"/>
          <w:sz w:val="20"/>
          <w:vertAlign w:val="baseline"/>
          <w:lang w:val="en-US"/>
        </w:rPr>
        <w:t xml:space="preserve">111</w:t>
      </w:r>
    </w:p>
    <w:p>
      <w:pPr>
        <w:tabs>
          <w:tab w:val="left" w:leader="none" w:pos="720"/>
          <w:tab w:val="right" w:leader="none" w:pos="7704"/>
        </w:tabs>
        <w:spacing w:before="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134	</w:t>
      </w:r>
      <w:r>
        <w:rPr>
          <w:rFonts w:ascii="Times New Roman" w:hAnsi="Times New Roman" w:eastAsia="Times New Roman"/>
          <w:color w:val="000000"/>
          <w:spacing w:val="0"/>
          <w:w w:val="100"/>
          <w:sz w:val="20"/>
          <w:vertAlign w:val="baseline"/>
          <w:lang w:val="en-US"/>
        </w:rPr>
        <w:t xml:space="preserve">Suspension or cancellation of accreditation	</w:t>
      </w:r>
      <w:r>
        <w:rPr>
          <w:rFonts w:ascii="Times New Roman" w:hAnsi="Times New Roman" w:eastAsia="Times New Roman"/>
          <w:color w:val="000000"/>
          <w:spacing w:val="0"/>
          <w:w w:val="100"/>
          <w:sz w:val="20"/>
          <w:vertAlign w:val="baseline"/>
          <w:lang w:val="en-US"/>
        </w:rPr>
        <w:t xml:space="preserve">111</w:t>
      </w:r>
    </w:p>
    <w:p>
      <w:pPr>
        <w:tabs>
          <w:tab w:val="left" w:leader="none" w:pos="720"/>
          <w:tab w:val="right" w:leader="none" w:pos="7704"/>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135	</w:t>
      </w:r>
      <w:r>
        <w:rPr>
          <w:rFonts w:ascii="Times New Roman" w:hAnsi="Times New Roman" w:eastAsia="Times New Roman"/>
          <w:color w:val="000000"/>
          <w:spacing w:val="0"/>
          <w:w w:val="100"/>
          <w:sz w:val="20"/>
          <w:vertAlign w:val="baseline"/>
          <w:lang w:val="en-US"/>
        </w:rPr>
        <w:t xml:space="preserve">Matters to be taken into account	</w:t>
      </w:r>
      <w:r>
        <w:rPr>
          <w:rFonts w:ascii="Times New Roman" w:hAnsi="Times New Roman" w:eastAsia="Times New Roman"/>
          <w:color w:val="000000"/>
          <w:spacing w:val="0"/>
          <w:w w:val="100"/>
          <w:sz w:val="20"/>
          <w:vertAlign w:val="baseline"/>
          <w:lang w:val="en-US"/>
        </w:rPr>
        <w:t xml:space="preserve">112</w:t>
      </w:r>
    </w:p>
    <w:p>
      <w:pPr>
        <w:tabs>
          <w:tab w:val="left" w:leader="none" w:pos="720"/>
          <w:tab w:val="right" w:leader="none" w:pos="7704"/>
        </w:tabs>
        <w:spacing w:before="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136	</w:t>
      </w:r>
      <w:r>
        <w:rPr>
          <w:rFonts w:ascii="Times New Roman" w:hAnsi="Times New Roman" w:eastAsia="Times New Roman"/>
          <w:color w:val="000000"/>
          <w:spacing w:val="0"/>
          <w:w w:val="100"/>
          <w:sz w:val="20"/>
          <w:vertAlign w:val="baseline"/>
          <w:lang w:val="en-US"/>
        </w:rPr>
        <w:t xml:space="preserve">Notice to and submissions by accredited assessor	</w:t>
      </w:r>
      <w:r>
        <w:rPr>
          <w:rFonts w:ascii="Times New Roman" w:hAnsi="Times New Roman" w:eastAsia="Times New Roman"/>
          <w:color w:val="000000"/>
          <w:spacing w:val="0"/>
          <w:w w:val="100"/>
          <w:sz w:val="20"/>
          <w:vertAlign w:val="baseline"/>
          <w:lang w:val="en-US"/>
        </w:rPr>
        <w:t xml:space="preserve">113</w:t>
      </w:r>
    </w:p>
    <w:p>
      <w:pPr>
        <w:tabs>
          <w:tab w:val="left" w:leader="none" w:pos="720"/>
          <w:tab w:val="right" w:leader="none" w:pos="7704"/>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137	</w:t>
      </w:r>
      <w:r>
        <w:rPr>
          <w:rFonts w:ascii="Times New Roman" w:hAnsi="Times New Roman" w:eastAsia="Times New Roman"/>
          <w:color w:val="000000"/>
          <w:spacing w:val="0"/>
          <w:w w:val="100"/>
          <w:sz w:val="20"/>
          <w:vertAlign w:val="baseline"/>
          <w:lang w:val="en-US"/>
        </w:rPr>
        <w:t xml:space="preserve">Notice of decision	</w:t>
      </w:r>
      <w:r>
        <w:rPr>
          <w:rFonts w:ascii="Times New Roman" w:hAnsi="Times New Roman" w:eastAsia="Times New Roman"/>
          <w:color w:val="000000"/>
          <w:spacing w:val="0"/>
          <w:w w:val="100"/>
          <w:sz w:val="20"/>
          <w:vertAlign w:val="baseline"/>
          <w:lang w:val="en-US"/>
        </w:rPr>
        <w:t xml:space="preserve">113</w:t>
      </w:r>
    </w:p>
    <w:p>
      <w:pPr>
        <w:tabs>
          <w:tab w:val="left" w:leader="none" w:pos="720"/>
          <w:tab w:val="right" w:leader="none" w:pos="7704"/>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138	</w:t>
      </w:r>
      <w:r>
        <w:rPr>
          <w:rFonts w:ascii="Times New Roman" w:hAnsi="Times New Roman" w:eastAsia="Times New Roman"/>
          <w:color w:val="000000"/>
          <w:spacing w:val="0"/>
          <w:w w:val="100"/>
          <w:sz w:val="20"/>
          <w:vertAlign w:val="baseline"/>
          <w:lang w:val="en-US"/>
        </w:rPr>
        <w:t xml:space="preserve">Immediate suspension	</w:t>
      </w:r>
      <w:r>
        <w:rPr>
          <w:rFonts w:ascii="Times New Roman" w:hAnsi="Times New Roman" w:eastAsia="Times New Roman"/>
          <w:color w:val="000000"/>
          <w:spacing w:val="0"/>
          <w:w w:val="100"/>
          <w:sz w:val="20"/>
          <w:vertAlign w:val="baseline"/>
          <w:lang w:val="en-US"/>
        </w:rPr>
        <w:t xml:space="preserve">114</w:t>
      </w:r>
    </w:p>
    <w:p>
      <w:pPr>
        <w:tabs>
          <w:tab w:val="left" w:leader="none" w:pos="720"/>
          <w:tab w:val="right" w:leader="none" w:pos="7704"/>
        </w:tabs>
        <w:spacing w:before="0" w:after="0" w:line="226"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139	</w:t>
      </w:r>
      <w:r>
        <w:rPr>
          <w:rFonts w:ascii="Times New Roman" w:hAnsi="Times New Roman" w:eastAsia="Times New Roman"/>
          <w:color w:val="000000"/>
          <w:spacing w:val="0"/>
          <w:w w:val="100"/>
          <w:sz w:val="20"/>
          <w:vertAlign w:val="baseline"/>
          <w:lang w:val="en-US"/>
        </w:rPr>
        <w:t xml:space="preserve">Accredited assessor to return accreditation document	</w:t>
      </w:r>
      <w:r>
        <w:rPr>
          <w:rFonts w:ascii="Times New Roman" w:hAnsi="Times New Roman" w:eastAsia="Times New Roman"/>
          <w:color w:val="000000"/>
          <w:spacing w:val="0"/>
          <w:w w:val="100"/>
          <w:sz w:val="20"/>
          <w:vertAlign w:val="baseline"/>
          <w:lang w:val="en-US"/>
        </w:rPr>
        <w:t xml:space="preserve">114</w:t>
      </w:r>
    </w:p>
    <w:p>
      <w:pPr>
        <w:tabs>
          <w:tab w:val="left" w:leader="none" w:pos="720"/>
          <w:tab w:val="right" w:leader="none" w:pos="7704"/>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140	</w:t>
      </w:r>
      <w:r>
        <w:rPr>
          <w:rFonts w:ascii="Times New Roman" w:hAnsi="Times New Roman" w:eastAsia="Times New Roman"/>
          <w:color w:val="000000"/>
          <w:spacing w:val="0"/>
          <w:w w:val="100"/>
          <w:sz w:val="20"/>
          <w:vertAlign w:val="baseline"/>
          <w:lang w:val="en-US"/>
        </w:rPr>
        <w:t xml:space="preserve">Regulator to return accreditation document after suspension	</w:t>
      </w:r>
      <w:r>
        <w:rPr>
          <w:rFonts w:ascii="Times New Roman" w:hAnsi="Times New Roman" w:eastAsia="Times New Roman"/>
          <w:color w:val="000000"/>
          <w:spacing w:val="0"/>
          <w:w w:val="100"/>
          <w:sz w:val="20"/>
          <w:vertAlign w:val="baseline"/>
          <w:lang w:val="en-US"/>
        </w:rPr>
        <w:t xml:space="preserve">115</w:t>
      </w:r>
    </w:p>
    <w:p>
      <w:pPr>
        <w:tabs>
          <w:tab w:val="left" w:leader="none" w:pos="1944"/>
          <w:tab w:val="right" w:leader="none" w:pos="7704"/>
        </w:tabs>
        <w:spacing w:before="4" w:after="0" w:line="226"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Subdivision 6	</w:t>
      </w:r>
      <w:r>
        <w:rPr>
          <w:rFonts w:ascii="Times New Roman" w:hAnsi="Times New Roman" w:eastAsia="Times New Roman"/>
          <w:b w:val="true"/>
          <w:color w:val="000000"/>
          <w:spacing w:val="0"/>
          <w:w w:val="100"/>
          <w:sz w:val="20"/>
          <w:vertAlign w:val="baseline"/>
          <w:lang w:val="en-US"/>
        </w:rPr>
        <w:t xml:space="preserve">Agreements with RTOs	</w:t>
      </w:r>
      <w:r>
        <w:rPr>
          <w:rFonts w:ascii="Times New Roman" w:hAnsi="Times New Roman" w:eastAsia="Times New Roman"/>
          <w:b w:val="true"/>
          <w:color w:val="000000"/>
          <w:spacing w:val="0"/>
          <w:w w:val="100"/>
          <w:sz w:val="20"/>
          <w:vertAlign w:val="baseline"/>
          <w:lang w:val="en-US"/>
        </w:rPr>
        <w:t xml:space="preserve">115</w:t>
      </w:r>
    </w:p>
    <w:p>
      <w:pPr>
        <w:tabs>
          <w:tab w:val="left" w:leader="none" w:pos="720"/>
          <w:tab w:val="right" w:leader="none" w:pos="7704"/>
        </w:tabs>
        <w:spacing w:before="12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141	</w:t>
      </w:r>
      <w:r>
        <w:rPr>
          <w:rFonts w:ascii="Times New Roman" w:hAnsi="Times New Roman" w:eastAsia="Times New Roman"/>
          <w:color w:val="000000"/>
          <w:spacing w:val="0"/>
          <w:w w:val="100"/>
          <w:sz w:val="20"/>
          <w:vertAlign w:val="baseline"/>
          <w:lang w:val="en-US"/>
        </w:rPr>
        <w:t xml:space="preserve">Regulator may enter into agreement with RTO	</w:t>
      </w:r>
      <w:r>
        <w:rPr>
          <w:rFonts w:ascii="Times New Roman" w:hAnsi="Times New Roman" w:eastAsia="Times New Roman"/>
          <w:color w:val="000000"/>
          <w:spacing w:val="0"/>
          <w:w w:val="100"/>
          <w:sz w:val="20"/>
          <w:vertAlign w:val="baseline"/>
          <w:lang w:val="en-US"/>
        </w:rPr>
        <w:t xml:space="preserve">115</w:t>
      </w:r>
    </w:p>
    <w:p>
      <w:pPr>
        <w:tabs>
          <w:tab w:val="left" w:leader="none" w:pos="1368"/>
          <w:tab w:val="right" w:leader="none" w:pos="7704"/>
        </w:tabs>
        <w:spacing w:before="244" w:after="0" w:line="226"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4.6	</w:t>
      </w:r>
      <w:r>
        <w:rPr>
          <w:rFonts w:ascii="Times New Roman" w:hAnsi="Times New Roman" w:eastAsia="Times New Roman"/>
          <w:b w:val="true"/>
          <w:color w:val="000000"/>
          <w:spacing w:val="0"/>
          <w:w w:val="100"/>
          <w:sz w:val="20"/>
          <w:vertAlign w:val="baseline"/>
          <w:lang w:val="en-US"/>
        </w:rPr>
        <w:t xml:space="preserve">DEMOLITION WORK	</w:t>
      </w:r>
      <w:r>
        <w:rPr>
          <w:rFonts w:ascii="Times New Roman" w:hAnsi="Times New Roman" w:eastAsia="Times New Roman"/>
          <w:b w:val="true"/>
          <w:color w:val="000000"/>
          <w:spacing w:val="0"/>
          <w:w w:val="100"/>
          <w:sz w:val="20"/>
          <w:vertAlign w:val="baseline"/>
          <w:lang w:val="en-US"/>
        </w:rPr>
        <w:t xml:space="preserve">116</w:t>
      </w:r>
    </w:p>
    <w:p>
      <w:pPr>
        <w:tabs>
          <w:tab w:val="left" w:leader="none" w:pos="1368"/>
          <w:tab w:val="right" w:leader="none" w:pos="7704"/>
        </w:tabs>
        <w:spacing w:before="124" w:after="0" w:line="226"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1	</w:t>
      </w:r>
      <w:r>
        <w:rPr>
          <w:rFonts w:ascii="Times New Roman" w:hAnsi="Times New Roman" w:eastAsia="Times New Roman"/>
          <w:b w:val="true"/>
          <w:color w:val="000000"/>
          <w:spacing w:val="0"/>
          <w:w w:val="100"/>
          <w:sz w:val="20"/>
          <w:vertAlign w:val="baseline"/>
          <w:lang w:val="en-US"/>
        </w:rPr>
        <w:t xml:space="preserve">Notice of demolition work	</w:t>
      </w:r>
      <w:r>
        <w:rPr>
          <w:rFonts w:ascii="Times New Roman" w:hAnsi="Times New Roman" w:eastAsia="Times New Roman"/>
          <w:b w:val="true"/>
          <w:color w:val="000000"/>
          <w:spacing w:val="0"/>
          <w:w w:val="100"/>
          <w:sz w:val="20"/>
          <w:vertAlign w:val="baseline"/>
          <w:lang w:val="en-US"/>
        </w:rPr>
        <w:t xml:space="preserve">116</w:t>
      </w:r>
    </w:p>
    <w:p>
      <w:pPr>
        <w:tabs>
          <w:tab w:val="left" w:leader="none" w:pos="720"/>
          <w:tab w:val="right" w:leader="none" w:pos="7704"/>
        </w:tabs>
        <w:spacing w:before="12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142	</w:t>
      </w:r>
      <w:r>
        <w:rPr>
          <w:rFonts w:ascii="Times New Roman" w:hAnsi="Times New Roman" w:eastAsia="Times New Roman"/>
          <w:color w:val="000000"/>
          <w:spacing w:val="0"/>
          <w:w w:val="100"/>
          <w:sz w:val="20"/>
          <w:vertAlign w:val="baseline"/>
          <w:lang w:val="en-US"/>
        </w:rPr>
        <w:t xml:space="preserve">Notice of demolition work	</w:t>
      </w:r>
      <w:r>
        <w:rPr>
          <w:rFonts w:ascii="Times New Roman" w:hAnsi="Times New Roman" w:eastAsia="Times New Roman"/>
          <w:color w:val="000000"/>
          <w:spacing w:val="0"/>
          <w:w w:val="100"/>
          <w:sz w:val="20"/>
          <w:vertAlign w:val="baseline"/>
          <w:lang w:val="en-US"/>
        </w:rPr>
        <w:t xml:space="preserve">116</w:t>
      </w:r>
    </w:p>
    <w:p>
      <w:pPr>
        <w:tabs>
          <w:tab w:val="left" w:leader="none" w:pos="1368"/>
          <w:tab w:val="right" w:leader="none" w:pos="7704"/>
        </w:tabs>
        <w:spacing w:before="4" w:after="0" w:line="226"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2	</w:t>
      </w:r>
      <w:r>
        <w:rPr>
          <w:rFonts w:ascii="Times New Roman" w:hAnsi="Times New Roman" w:eastAsia="Times New Roman"/>
          <w:b w:val="true"/>
          <w:color w:val="000000"/>
          <w:spacing w:val="0"/>
          <w:w w:val="100"/>
          <w:sz w:val="20"/>
          <w:vertAlign w:val="baseline"/>
          <w:lang w:val="en-US"/>
        </w:rPr>
        <w:t xml:space="preserve">Licensing of demolition work	</w:t>
      </w:r>
      <w:r>
        <w:rPr>
          <w:rFonts w:ascii="Times New Roman" w:hAnsi="Times New Roman" w:eastAsia="Times New Roman"/>
          <w:b w:val="true"/>
          <w:color w:val="000000"/>
          <w:spacing w:val="0"/>
          <w:w w:val="100"/>
          <w:sz w:val="20"/>
          <w:vertAlign w:val="baseline"/>
          <w:lang w:val="en-US"/>
        </w:rPr>
        <w:t xml:space="preserve">117</w:t>
      </w:r>
    </w:p>
    <w:p>
      <w:pPr>
        <w:tabs>
          <w:tab w:val="left" w:leader="none" w:pos="720"/>
          <w:tab w:val="right" w:leader="none" w:pos="7704"/>
        </w:tabs>
        <w:spacing w:before="121" w:after="131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pict>
          <v:line strokeweight="0.5pt" strokecolor="#000000" from="97.45pt,710.65pt" to="498.5pt,710.6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143	</w:t>
      </w:r>
      <w:r>
        <w:rPr>
          <w:rFonts w:ascii="Times New Roman" w:hAnsi="Times New Roman" w:eastAsia="Times New Roman"/>
          <w:color w:val="000000"/>
          <w:spacing w:val="0"/>
          <w:w w:val="100"/>
          <w:sz w:val="20"/>
          <w:vertAlign w:val="baseline"/>
          <w:lang w:val="en-US"/>
        </w:rPr>
        <w:t xml:space="preserve">Demolition work required to be licensed	</w:t>
      </w:r>
      <w:r>
        <w:rPr>
          <w:rFonts w:ascii="Times New Roman" w:hAnsi="Times New Roman" w:eastAsia="Times New Roman"/>
          <w:color w:val="000000"/>
          <w:spacing w:val="0"/>
          <w:w w:val="100"/>
          <w:sz w:val="20"/>
          <w:vertAlign w:val="baseline"/>
          <w:lang w:val="en-US"/>
        </w:rPr>
        <w:t xml:space="preserve">117</w:t>
      </w:r>
    </w:p>
    <w:p>
      <w:pPr>
        <w:spacing w:before="121" w:after="1310" w:line="230" w:lineRule="exact"/>
        <w:sectPr>
          <w:type w:val="nextPage"/>
          <w:pgSz w:w="11909" w:h="16838" w:orient="portrait"/>
          <w:pgMar w:bottom="1542" w:top="1320" w:right="1940" w:left="1949" w:header="720" w:footer="720"/>
          <w:titlePg w:val="false"/>
          <w:textDirection w:val="lrTb"/>
        </w:sectPr>
      </w:pPr>
    </w:p>
    <w:p>
      <w:pPr>
        <w:tabs>
          <w:tab w:val="right" w:leader="none" w:pos="4032"/>
        </w:tabs>
        <w:spacing w:before="6" w:after="0" w:line="177"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1.1.2021	</w:t>
      </w:r>
      <w:r>
        <w:rPr>
          <w:rFonts w:ascii="Times New Roman" w:hAnsi="Times New Roman" w:eastAsia="Times New Roman"/>
          <w:color w:val="000000"/>
          <w:spacing w:val="0"/>
          <w:w w:val="100"/>
          <w:sz w:val="16"/>
          <w:vertAlign w:val="baseline"/>
          <w:lang w:val="en-US"/>
        </w:rPr>
        <w:t xml:space="preserve">5</w:t>
      </w:r>
    </w:p>
    <w:p>
      <w:pPr>
        <w:sectPr>
          <w:type w:val="continuous"/>
          <w:pgSz w:w="11909" w:h="16838" w:orient="portrait"/>
          <w:pgMar w:bottom="1542" w:top="1320" w:right="5917" w:left="1992" w:header="720" w:footer="720"/>
          <w:titlePg w:val="false"/>
          <w:textDirection w:val="lrTb"/>
        </w:sectPr>
      </w:pPr>
    </w:p>
    <w:p>
      <w:pPr>
        <w:spacing w:before="20" w:after="23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368"/>
        </w:tabs>
        <w:spacing w:before="480"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7.45pt,90.95pt" to="498.5pt,90.95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PART 4.7	</w:t>
      </w:r>
      <w:r>
        <w:rPr>
          <w:rFonts w:ascii="Times New Roman" w:hAnsi="Times New Roman" w:eastAsia="Times New Roman"/>
          <w:b w:val="true"/>
          <w:color w:val="000000"/>
          <w:spacing w:val="0"/>
          <w:w w:val="100"/>
          <w:sz w:val="20"/>
          <w:vertAlign w:val="baseline"/>
          <w:lang w:val="en-US"/>
        </w:rPr>
        <w:t xml:space="preserve">GENERAL ELECTRICAL SAFETY IN WORKPLACES AND</w:t>
      </w:r>
    </w:p>
    <w:p>
      <w:pPr>
        <w:tabs>
          <w:tab w:val="right" w:leader="none" w:pos="7704"/>
        </w:tabs>
        <w:spacing w:before="3"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ENERGISED ELECTRICAL WORK	</w:t>
      </w:r>
      <w:r>
        <w:rPr>
          <w:rFonts w:ascii="Times New Roman" w:hAnsi="Times New Roman" w:eastAsia="Times New Roman"/>
          <w:b w:val="true"/>
          <w:color w:val="000000"/>
          <w:spacing w:val="0"/>
          <w:w w:val="100"/>
          <w:sz w:val="20"/>
          <w:vertAlign w:val="baseline"/>
          <w:lang w:val="en-US"/>
        </w:rPr>
        <w:t xml:space="preserve">118</w:t>
      </w:r>
    </w:p>
    <w:p>
      <w:pPr>
        <w:tabs>
          <w:tab w:val="left" w:leader="none" w:pos="1368"/>
          <w:tab w:val="right" w:leader="none" w:pos="7704"/>
        </w:tabs>
        <w:spacing w:before="122"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1	</w:t>
      </w:r>
      <w:r>
        <w:rPr>
          <w:rFonts w:ascii="Times New Roman" w:hAnsi="Times New Roman" w:eastAsia="Times New Roman"/>
          <w:b w:val="true"/>
          <w:color w:val="000000"/>
          <w:spacing w:val="0"/>
          <w:w w:val="100"/>
          <w:sz w:val="20"/>
          <w:vertAlign w:val="baseline"/>
          <w:lang w:val="en-US"/>
        </w:rPr>
        <w:t xml:space="preserve">Preliminary	</w:t>
      </w:r>
      <w:r>
        <w:rPr>
          <w:rFonts w:ascii="Times New Roman" w:hAnsi="Times New Roman" w:eastAsia="Times New Roman"/>
          <w:b w:val="true"/>
          <w:color w:val="000000"/>
          <w:spacing w:val="0"/>
          <w:w w:val="100"/>
          <w:sz w:val="20"/>
          <w:vertAlign w:val="baseline"/>
          <w:lang w:val="en-US"/>
        </w:rPr>
        <w:t xml:space="preserve">118</w:t>
      </w:r>
    </w:p>
    <w:p>
      <w:pPr>
        <w:tabs>
          <w:tab w:val="left" w:leader="none" w:pos="720"/>
          <w:tab w:val="right" w:leader="none" w:pos="7704"/>
        </w:tabs>
        <w:spacing w:before="119"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144	</w:t>
      </w:r>
      <w:r>
        <w:rPr>
          <w:rFonts w:ascii="Times New Roman" w:hAnsi="Times New Roman" w:eastAsia="Times New Roman"/>
          <w:color w:val="000000"/>
          <w:spacing w:val="0"/>
          <w:w w:val="100"/>
          <w:sz w:val="20"/>
          <w:vertAlign w:val="baseline"/>
          <w:lang w:val="en-US"/>
        </w:rPr>
        <w:t xml:space="preserve">Meaning of electrical equipment	</w:t>
      </w:r>
      <w:r>
        <w:rPr>
          <w:rFonts w:ascii="Times New Roman" w:hAnsi="Times New Roman" w:eastAsia="Times New Roman"/>
          <w:color w:val="000000"/>
          <w:spacing w:val="0"/>
          <w:w w:val="100"/>
          <w:sz w:val="20"/>
          <w:vertAlign w:val="baseline"/>
          <w:lang w:val="en-US"/>
        </w:rPr>
        <w:t xml:space="preserve">118</w:t>
      </w:r>
    </w:p>
    <w:p>
      <w:pPr>
        <w:tabs>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145	</w:t>
      </w:r>
      <w:r>
        <w:rPr>
          <w:rFonts w:ascii="Times New Roman" w:hAnsi="Times New Roman" w:eastAsia="Times New Roman"/>
          <w:color w:val="000000"/>
          <w:spacing w:val="0"/>
          <w:w w:val="100"/>
          <w:sz w:val="20"/>
          <w:vertAlign w:val="baseline"/>
          <w:lang w:val="en-US"/>
        </w:rPr>
        <w:t xml:space="preserve">Meaning of electrical installation	</w:t>
      </w:r>
      <w:r>
        <w:rPr>
          <w:rFonts w:ascii="Times New Roman" w:hAnsi="Times New Roman" w:eastAsia="Times New Roman"/>
          <w:color w:val="000000"/>
          <w:spacing w:val="0"/>
          <w:w w:val="100"/>
          <w:sz w:val="20"/>
          <w:vertAlign w:val="baseline"/>
          <w:lang w:val="en-US"/>
        </w:rPr>
        <w:t xml:space="preserve">118</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146	</w:t>
      </w:r>
      <w:r>
        <w:rPr>
          <w:rFonts w:ascii="Times New Roman" w:hAnsi="Times New Roman" w:eastAsia="Times New Roman"/>
          <w:color w:val="000000"/>
          <w:spacing w:val="0"/>
          <w:w w:val="100"/>
          <w:sz w:val="20"/>
          <w:vertAlign w:val="baseline"/>
          <w:lang w:val="en-US"/>
        </w:rPr>
        <w:t xml:space="preserve">Meaning of </w:t>
      </w:r>
      <w:r>
        <w:rPr>
          <w:rFonts w:ascii="Times New Roman" w:hAnsi="Times New Roman" w:eastAsia="Times New Roman"/>
          <w:i w:val="true"/>
          <w:color w:val="000000"/>
          <w:spacing w:val="0"/>
          <w:w w:val="100"/>
          <w:sz w:val="20"/>
          <w:vertAlign w:val="baseline"/>
          <w:lang w:val="en-US"/>
        </w:rPr>
        <w:t xml:space="preserve">electrical work	</w:t>
      </w:r>
      <w:r>
        <w:rPr>
          <w:rFonts w:ascii="Times New Roman" w:hAnsi="Times New Roman" w:eastAsia="Times New Roman"/>
          <w:color w:val="000000"/>
          <w:spacing w:val="0"/>
          <w:w w:val="100"/>
          <w:sz w:val="20"/>
          <w:vertAlign w:val="baseline"/>
          <w:lang w:val="en-US"/>
        </w:rPr>
        <w:t xml:space="preserve">119</w:t>
      </w:r>
    </w:p>
    <w:p>
      <w:pPr>
        <w:tabs>
          <w:tab w:val="left" w:leader="none" w:pos="1368"/>
          <w:tab w:val="right" w:leader="none" w:pos="7704"/>
        </w:tabs>
        <w:spacing w:before="4"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2	</w:t>
      </w:r>
      <w:r>
        <w:rPr>
          <w:rFonts w:ascii="Times New Roman" w:hAnsi="Times New Roman" w:eastAsia="Times New Roman"/>
          <w:b w:val="true"/>
          <w:color w:val="000000"/>
          <w:spacing w:val="0"/>
          <w:w w:val="100"/>
          <w:sz w:val="20"/>
          <w:vertAlign w:val="baseline"/>
          <w:lang w:val="en-US"/>
        </w:rPr>
        <w:t xml:space="preserve">General risk management	</w:t>
      </w:r>
      <w:r>
        <w:rPr>
          <w:rFonts w:ascii="Times New Roman" w:hAnsi="Times New Roman" w:eastAsia="Times New Roman"/>
          <w:b w:val="true"/>
          <w:color w:val="000000"/>
          <w:spacing w:val="0"/>
          <w:w w:val="100"/>
          <w:sz w:val="20"/>
          <w:vertAlign w:val="baseline"/>
          <w:lang w:val="en-US"/>
        </w:rPr>
        <w:t xml:space="preserve">120</w:t>
      </w:r>
    </w:p>
    <w:p>
      <w:pPr>
        <w:tabs>
          <w:tab w:val="left" w:leader="none" w:pos="720"/>
          <w:tab w:val="right" w:leader="none" w:pos="7704"/>
        </w:tabs>
        <w:spacing w:before="119"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147	</w:t>
      </w:r>
      <w:r>
        <w:rPr>
          <w:rFonts w:ascii="Times New Roman" w:hAnsi="Times New Roman" w:eastAsia="Times New Roman"/>
          <w:color w:val="000000"/>
          <w:spacing w:val="0"/>
          <w:w w:val="100"/>
          <w:sz w:val="20"/>
          <w:vertAlign w:val="baseline"/>
          <w:lang w:val="en-US"/>
        </w:rPr>
        <w:t xml:space="preserve">Risk management	</w:t>
      </w:r>
      <w:r>
        <w:rPr>
          <w:rFonts w:ascii="Times New Roman" w:hAnsi="Times New Roman" w:eastAsia="Times New Roman"/>
          <w:color w:val="000000"/>
          <w:spacing w:val="0"/>
          <w:w w:val="100"/>
          <w:sz w:val="20"/>
          <w:vertAlign w:val="baseline"/>
          <w:lang w:val="en-US"/>
        </w:rPr>
        <w:t xml:space="preserve">120</w:t>
      </w:r>
    </w:p>
    <w:p>
      <w:pPr>
        <w:tabs>
          <w:tab w:val="left" w:leader="none" w:pos="1368"/>
          <w:tab w:val="right" w:leader="none" w:pos="7704"/>
        </w:tabs>
        <w:spacing w:before="3"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3	</w:t>
      </w:r>
      <w:r>
        <w:rPr>
          <w:rFonts w:ascii="Times New Roman" w:hAnsi="Times New Roman" w:eastAsia="Times New Roman"/>
          <w:b w:val="true"/>
          <w:color w:val="000000"/>
          <w:spacing w:val="0"/>
          <w:w w:val="100"/>
          <w:sz w:val="20"/>
          <w:vertAlign w:val="baseline"/>
          <w:lang w:val="en-US"/>
        </w:rPr>
        <w:t xml:space="preserve">Electrical equipment and electrical installations	</w:t>
      </w:r>
      <w:r>
        <w:rPr>
          <w:rFonts w:ascii="Times New Roman" w:hAnsi="Times New Roman" w:eastAsia="Times New Roman"/>
          <w:b w:val="true"/>
          <w:color w:val="000000"/>
          <w:spacing w:val="0"/>
          <w:w w:val="100"/>
          <w:sz w:val="20"/>
          <w:vertAlign w:val="baseline"/>
          <w:lang w:val="en-US"/>
        </w:rPr>
        <w:t xml:space="preserve">120</w:t>
      </w:r>
    </w:p>
    <w:p>
      <w:pPr>
        <w:tabs>
          <w:tab w:val="left" w:leader="none" w:pos="720"/>
          <w:tab w:val="right" w:leader="none" w:pos="7704"/>
        </w:tabs>
        <w:spacing w:before="12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148	</w:t>
      </w:r>
      <w:r>
        <w:rPr>
          <w:rFonts w:ascii="Times New Roman" w:hAnsi="Times New Roman" w:eastAsia="Times New Roman"/>
          <w:color w:val="000000"/>
          <w:spacing w:val="0"/>
          <w:w w:val="100"/>
          <w:sz w:val="20"/>
          <w:vertAlign w:val="baseline"/>
          <w:lang w:val="en-US"/>
        </w:rPr>
        <w:t xml:space="preserve">Electrical equipment and electrical installations to which this Division applies	</w:t>
      </w:r>
      <w:r>
        <w:rPr>
          <w:rFonts w:ascii="Times New Roman" w:hAnsi="Times New Roman" w:eastAsia="Times New Roman"/>
          <w:color w:val="000000"/>
          <w:spacing w:val="0"/>
          <w:w w:val="100"/>
          <w:sz w:val="20"/>
          <w:vertAlign w:val="baseline"/>
          <w:lang w:val="en-US"/>
        </w:rPr>
        <w:t xml:space="preserve">120</w:t>
      </w:r>
    </w:p>
    <w:p>
      <w:pPr>
        <w:tabs>
          <w:tab w:val="left" w:leader="none" w:pos="720"/>
          <w:tab w:val="right" w:leader="none" w:pos="7704"/>
        </w:tabs>
        <w:spacing w:before="0" w:after="0" w:line="225"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149	</w:t>
      </w:r>
      <w:r>
        <w:rPr>
          <w:rFonts w:ascii="Times New Roman" w:hAnsi="Times New Roman" w:eastAsia="Times New Roman"/>
          <w:color w:val="000000"/>
          <w:spacing w:val="0"/>
          <w:w w:val="100"/>
          <w:sz w:val="20"/>
          <w:vertAlign w:val="baseline"/>
          <w:lang w:val="en-US"/>
        </w:rPr>
        <w:t xml:space="preserve">Unsafe electrical equipment	</w:t>
      </w:r>
      <w:r>
        <w:rPr>
          <w:rFonts w:ascii="Times New Roman" w:hAnsi="Times New Roman" w:eastAsia="Times New Roman"/>
          <w:color w:val="000000"/>
          <w:spacing w:val="0"/>
          <w:w w:val="100"/>
          <w:sz w:val="20"/>
          <w:vertAlign w:val="baseline"/>
          <w:lang w:val="en-US"/>
        </w:rPr>
        <w:t xml:space="preserve">121</w:t>
      </w:r>
    </w:p>
    <w:p>
      <w:pPr>
        <w:tabs>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150	</w:t>
      </w:r>
      <w:r>
        <w:rPr>
          <w:rFonts w:ascii="Times New Roman" w:hAnsi="Times New Roman" w:eastAsia="Times New Roman"/>
          <w:color w:val="000000"/>
          <w:spacing w:val="0"/>
          <w:w w:val="100"/>
          <w:sz w:val="20"/>
          <w:vertAlign w:val="baseline"/>
          <w:lang w:val="en-US"/>
        </w:rPr>
        <w:t xml:space="preserve">Inspection and testing of electrical equipment	</w:t>
      </w:r>
      <w:r>
        <w:rPr>
          <w:rFonts w:ascii="Times New Roman" w:hAnsi="Times New Roman" w:eastAsia="Times New Roman"/>
          <w:color w:val="000000"/>
          <w:spacing w:val="0"/>
          <w:w w:val="100"/>
          <w:sz w:val="20"/>
          <w:vertAlign w:val="baseline"/>
          <w:lang w:val="en-US"/>
        </w:rPr>
        <w:t xml:space="preserve">121</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151	</w:t>
      </w:r>
      <w:r>
        <w:rPr>
          <w:rFonts w:ascii="Times New Roman" w:hAnsi="Times New Roman" w:eastAsia="Times New Roman"/>
          <w:color w:val="000000"/>
          <w:spacing w:val="0"/>
          <w:w w:val="100"/>
          <w:sz w:val="20"/>
          <w:vertAlign w:val="baseline"/>
          <w:lang w:val="en-US"/>
        </w:rPr>
        <w:t xml:space="preserve">Untested electrical equipment not to be used	</w:t>
      </w:r>
      <w:r>
        <w:rPr>
          <w:rFonts w:ascii="Times New Roman" w:hAnsi="Times New Roman" w:eastAsia="Times New Roman"/>
          <w:color w:val="000000"/>
          <w:spacing w:val="0"/>
          <w:w w:val="100"/>
          <w:sz w:val="20"/>
          <w:vertAlign w:val="baseline"/>
          <w:lang w:val="en-US"/>
        </w:rPr>
        <w:t xml:space="preserve">122</w:t>
      </w:r>
    </w:p>
    <w:p>
      <w:pPr>
        <w:tabs>
          <w:tab w:val="left" w:leader="none" w:pos="1368"/>
          <w:tab w:val="right" w:leader="none" w:pos="7704"/>
        </w:tabs>
        <w:spacing w:before="4"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4	</w:t>
      </w:r>
      <w:r>
        <w:rPr>
          <w:rFonts w:ascii="Times New Roman" w:hAnsi="Times New Roman" w:eastAsia="Times New Roman"/>
          <w:b w:val="true"/>
          <w:color w:val="000000"/>
          <w:spacing w:val="0"/>
          <w:w w:val="100"/>
          <w:sz w:val="20"/>
          <w:vertAlign w:val="baseline"/>
          <w:lang w:val="en-US"/>
        </w:rPr>
        <w:t xml:space="preserve">Electrical work on energised electrical equipment	</w:t>
      </w:r>
      <w:r>
        <w:rPr>
          <w:rFonts w:ascii="Times New Roman" w:hAnsi="Times New Roman" w:eastAsia="Times New Roman"/>
          <w:b w:val="true"/>
          <w:color w:val="000000"/>
          <w:spacing w:val="0"/>
          <w:w w:val="100"/>
          <w:sz w:val="20"/>
          <w:vertAlign w:val="baseline"/>
          <w:lang w:val="en-US"/>
        </w:rPr>
        <w:t xml:space="preserve">123</w:t>
      </w:r>
    </w:p>
    <w:p>
      <w:pPr>
        <w:tabs>
          <w:tab w:val="left" w:leader="none" w:pos="720"/>
          <w:tab w:val="right" w:leader="none" w:pos="7704"/>
        </w:tabs>
        <w:spacing w:before="119"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152	</w:t>
      </w:r>
      <w:r>
        <w:rPr>
          <w:rFonts w:ascii="Times New Roman" w:hAnsi="Times New Roman" w:eastAsia="Times New Roman"/>
          <w:color w:val="000000"/>
          <w:spacing w:val="0"/>
          <w:w w:val="100"/>
          <w:sz w:val="20"/>
          <w:vertAlign w:val="baseline"/>
          <w:lang w:val="en-US"/>
        </w:rPr>
        <w:t xml:space="preserve">Application of Division 4	</w:t>
      </w:r>
      <w:r>
        <w:rPr>
          <w:rFonts w:ascii="Times New Roman" w:hAnsi="Times New Roman" w:eastAsia="Times New Roman"/>
          <w:color w:val="000000"/>
          <w:spacing w:val="0"/>
          <w:w w:val="100"/>
          <w:sz w:val="20"/>
          <w:vertAlign w:val="baseline"/>
          <w:lang w:val="en-US"/>
        </w:rPr>
        <w:t xml:space="preserve">123</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153	</w:t>
      </w:r>
      <w:r>
        <w:rPr>
          <w:rFonts w:ascii="Times New Roman" w:hAnsi="Times New Roman" w:eastAsia="Times New Roman"/>
          <w:color w:val="000000"/>
          <w:spacing w:val="0"/>
          <w:w w:val="100"/>
          <w:sz w:val="20"/>
          <w:vertAlign w:val="baseline"/>
          <w:lang w:val="en-US"/>
        </w:rPr>
        <w:t xml:space="preserve">Persons conducting a business or undertaking to which this Division applies	</w:t>
      </w:r>
      <w:r>
        <w:rPr>
          <w:rFonts w:ascii="Times New Roman" w:hAnsi="Times New Roman" w:eastAsia="Times New Roman"/>
          <w:color w:val="000000"/>
          <w:spacing w:val="0"/>
          <w:w w:val="100"/>
          <w:sz w:val="20"/>
          <w:vertAlign w:val="baseline"/>
          <w:lang w:val="en-US"/>
        </w:rPr>
        <w:t xml:space="preserve">123</w:t>
      </w:r>
    </w:p>
    <w:p>
      <w:pPr>
        <w:tabs>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154	</w:t>
      </w:r>
      <w:r>
        <w:rPr>
          <w:rFonts w:ascii="Times New Roman" w:hAnsi="Times New Roman" w:eastAsia="Times New Roman"/>
          <w:color w:val="000000"/>
          <w:spacing w:val="0"/>
          <w:w w:val="100"/>
          <w:sz w:val="20"/>
          <w:vertAlign w:val="baseline"/>
          <w:lang w:val="en-US"/>
        </w:rPr>
        <w:t xml:space="preserve">Electrical work on energised electrical equipment—prohibited	</w:t>
      </w:r>
      <w:r>
        <w:rPr>
          <w:rFonts w:ascii="Times New Roman" w:hAnsi="Times New Roman" w:eastAsia="Times New Roman"/>
          <w:color w:val="000000"/>
          <w:spacing w:val="0"/>
          <w:w w:val="100"/>
          <w:sz w:val="20"/>
          <w:vertAlign w:val="baseline"/>
          <w:lang w:val="en-US"/>
        </w:rPr>
        <w:t xml:space="preserve">123</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155	</w:t>
      </w:r>
      <w:r>
        <w:rPr>
          <w:rFonts w:ascii="Times New Roman" w:hAnsi="Times New Roman" w:eastAsia="Times New Roman"/>
          <w:color w:val="000000"/>
          <w:spacing w:val="0"/>
          <w:w w:val="100"/>
          <w:sz w:val="20"/>
          <w:vertAlign w:val="baseline"/>
          <w:lang w:val="en-US"/>
        </w:rPr>
        <w:t xml:space="preserve">Duty to determine whether equipment is energised	</w:t>
      </w:r>
      <w:r>
        <w:rPr>
          <w:rFonts w:ascii="Times New Roman" w:hAnsi="Times New Roman" w:eastAsia="Times New Roman"/>
          <w:color w:val="000000"/>
          <w:spacing w:val="0"/>
          <w:w w:val="100"/>
          <w:sz w:val="20"/>
          <w:vertAlign w:val="baseline"/>
          <w:lang w:val="en-US"/>
        </w:rPr>
        <w:t xml:space="preserve">123</w:t>
      </w:r>
    </w:p>
    <w:p>
      <w:pPr>
        <w:tabs>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156	</w:t>
      </w:r>
      <w:r>
        <w:rPr>
          <w:rFonts w:ascii="Times New Roman" w:hAnsi="Times New Roman" w:eastAsia="Times New Roman"/>
          <w:color w:val="000000"/>
          <w:spacing w:val="0"/>
          <w:w w:val="100"/>
          <w:sz w:val="20"/>
          <w:vertAlign w:val="baseline"/>
          <w:lang w:val="en-US"/>
        </w:rPr>
        <w:t xml:space="preserve">De-energised equipment must not be inadvertently re-energised	</w:t>
      </w:r>
      <w:r>
        <w:rPr>
          <w:rFonts w:ascii="Times New Roman" w:hAnsi="Times New Roman" w:eastAsia="Times New Roman"/>
          <w:color w:val="000000"/>
          <w:spacing w:val="0"/>
          <w:w w:val="100"/>
          <w:sz w:val="20"/>
          <w:vertAlign w:val="baseline"/>
          <w:lang w:val="en-US"/>
        </w:rPr>
        <w:t xml:space="preserve">124</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157	</w:t>
      </w:r>
      <w:r>
        <w:rPr>
          <w:rFonts w:ascii="Times New Roman" w:hAnsi="Times New Roman" w:eastAsia="Times New Roman"/>
          <w:color w:val="000000"/>
          <w:spacing w:val="0"/>
          <w:w w:val="100"/>
          <w:sz w:val="20"/>
          <w:vertAlign w:val="baseline"/>
          <w:lang w:val="en-US"/>
        </w:rPr>
        <w:t xml:space="preserve">Electrical work on energised electrical equipment—when permitted	</w:t>
      </w:r>
      <w:r>
        <w:rPr>
          <w:rFonts w:ascii="Times New Roman" w:hAnsi="Times New Roman" w:eastAsia="Times New Roman"/>
          <w:color w:val="000000"/>
          <w:spacing w:val="0"/>
          <w:w w:val="100"/>
          <w:sz w:val="20"/>
          <w:vertAlign w:val="baseline"/>
          <w:lang w:val="en-US"/>
        </w:rPr>
        <w:t xml:space="preserve">124</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158	</w:t>
      </w:r>
      <w:r>
        <w:rPr>
          <w:rFonts w:ascii="Times New Roman" w:hAnsi="Times New Roman" w:eastAsia="Times New Roman"/>
          <w:color w:val="000000"/>
          <w:spacing w:val="0"/>
          <w:w w:val="100"/>
          <w:sz w:val="20"/>
          <w:vertAlign w:val="baseline"/>
          <w:lang w:val="en-US"/>
        </w:rPr>
        <w:t xml:space="preserve">Preliminary steps	</w:t>
      </w:r>
      <w:r>
        <w:rPr>
          <w:rFonts w:ascii="Times New Roman" w:hAnsi="Times New Roman" w:eastAsia="Times New Roman"/>
          <w:color w:val="000000"/>
          <w:spacing w:val="0"/>
          <w:w w:val="100"/>
          <w:sz w:val="20"/>
          <w:vertAlign w:val="baseline"/>
          <w:lang w:val="en-US"/>
        </w:rPr>
        <w:t xml:space="preserve">125</w:t>
      </w:r>
    </w:p>
    <w:p>
      <w:pPr>
        <w:tabs>
          <w:tab w:val="left" w:leader="none" w:pos="720"/>
          <w:tab w:val="right" w:leader="none" w:pos="7704"/>
        </w:tabs>
        <w:spacing w:before="0" w:after="0" w:line="226"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159	</w:t>
      </w:r>
      <w:r>
        <w:rPr>
          <w:rFonts w:ascii="Times New Roman" w:hAnsi="Times New Roman" w:eastAsia="Times New Roman"/>
          <w:color w:val="000000"/>
          <w:spacing w:val="0"/>
          <w:w w:val="100"/>
          <w:sz w:val="20"/>
          <w:vertAlign w:val="baseline"/>
          <w:lang w:val="en-US"/>
        </w:rPr>
        <w:t xml:space="preserve">Unauthorised access to equipment being worked on	</w:t>
      </w:r>
      <w:r>
        <w:rPr>
          <w:rFonts w:ascii="Times New Roman" w:hAnsi="Times New Roman" w:eastAsia="Times New Roman"/>
          <w:color w:val="000000"/>
          <w:spacing w:val="0"/>
          <w:w w:val="100"/>
          <w:sz w:val="20"/>
          <w:vertAlign w:val="baseline"/>
          <w:lang w:val="en-US"/>
        </w:rPr>
        <w:t xml:space="preserve">126</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160	</w:t>
      </w:r>
      <w:r>
        <w:rPr>
          <w:rFonts w:ascii="Times New Roman" w:hAnsi="Times New Roman" w:eastAsia="Times New Roman"/>
          <w:color w:val="000000"/>
          <w:spacing w:val="0"/>
          <w:w w:val="100"/>
          <w:sz w:val="20"/>
          <w:vertAlign w:val="baseline"/>
          <w:lang w:val="en-US"/>
        </w:rPr>
        <w:t xml:space="preserve">Contact with equipment being worked on	</w:t>
      </w:r>
      <w:r>
        <w:rPr>
          <w:rFonts w:ascii="Times New Roman" w:hAnsi="Times New Roman" w:eastAsia="Times New Roman"/>
          <w:color w:val="000000"/>
          <w:spacing w:val="0"/>
          <w:w w:val="100"/>
          <w:sz w:val="20"/>
          <w:vertAlign w:val="baseline"/>
          <w:lang w:val="en-US"/>
        </w:rPr>
        <w:t xml:space="preserve">126</w:t>
      </w:r>
    </w:p>
    <w:p>
      <w:pPr>
        <w:tabs>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161	</w:t>
      </w:r>
      <w:r>
        <w:rPr>
          <w:rFonts w:ascii="Times New Roman" w:hAnsi="Times New Roman" w:eastAsia="Times New Roman"/>
          <w:color w:val="000000"/>
          <w:spacing w:val="0"/>
          <w:w w:val="100"/>
          <w:sz w:val="20"/>
          <w:vertAlign w:val="baseline"/>
          <w:lang w:val="en-US"/>
        </w:rPr>
        <w:t xml:space="preserve">How the work is to be carried out	</w:t>
      </w:r>
      <w:r>
        <w:rPr>
          <w:rFonts w:ascii="Times New Roman" w:hAnsi="Times New Roman" w:eastAsia="Times New Roman"/>
          <w:color w:val="000000"/>
          <w:spacing w:val="0"/>
          <w:w w:val="100"/>
          <w:sz w:val="20"/>
          <w:vertAlign w:val="baseline"/>
          <w:lang w:val="en-US"/>
        </w:rPr>
        <w:t xml:space="preserve">126</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162	</w:t>
      </w:r>
      <w:r>
        <w:rPr>
          <w:rFonts w:ascii="Times New Roman" w:hAnsi="Times New Roman" w:eastAsia="Times New Roman"/>
          <w:color w:val="000000"/>
          <w:spacing w:val="0"/>
          <w:w w:val="100"/>
          <w:sz w:val="20"/>
          <w:vertAlign w:val="baseline"/>
          <w:lang w:val="en-US"/>
        </w:rPr>
        <w:t xml:space="preserve">Record keeping	</w:t>
      </w:r>
      <w:r>
        <w:rPr>
          <w:rFonts w:ascii="Times New Roman" w:hAnsi="Times New Roman" w:eastAsia="Times New Roman"/>
          <w:color w:val="000000"/>
          <w:spacing w:val="0"/>
          <w:w w:val="100"/>
          <w:sz w:val="20"/>
          <w:vertAlign w:val="baseline"/>
          <w:lang w:val="en-US"/>
        </w:rPr>
        <w:t xml:space="preserve">127</w:t>
      </w:r>
    </w:p>
    <w:p>
      <w:pPr>
        <w:tabs>
          <w:tab w:val="right" w:leader="none" w:pos="7704"/>
        </w:tabs>
        <w:spacing w:before="4"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5	</w:t>
      </w:r>
      <w:r>
        <w:rPr>
          <w:rFonts w:ascii="Times New Roman" w:hAnsi="Times New Roman" w:eastAsia="Times New Roman"/>
          <w:b w:val="true"/>
          <w:color w:val="000000"/>
          <w:spacing w:val="0"/>
          <w:w w:val="100"/>
          <w:sz w:val="20"/>
          <w:vertAlign w:val="baseline"/>
          <w:lang w:val="en-US"/>
        </w:rPr>
        <w:t xml:space="preserve">Electrical equipment and installations and construction work—additional</w:t>
      </w:r>
    </w:p>
    <w:p>
      <w:pPr>
        <w:tabs>
          <w:tab w:val="left" w:leader="none" w:pos="1368"/>
        </w:tabs>
        <w:spacing w:before="2" w:after="0" w:line="228" w:lineRule="exact"/>
        <w:ind w:right="0" w:left="0" w:firstLine="0"/>
        <w:jc w:val="left"/>
        <w:textAlignment w:val="baseline"/>
        <w:rPr>
          <w:rFonts w:ascii="Times New Roman" w:hAnsi="Times New Roman" w:eastAsia="Times New Roman"/>
          <w:b w:val="true"/>
          <w:color w:val="000000"/>
          <w:spacing w:val="-1"/>
          <w:w w:val="100"/>
          <w:sz w:val="20"/>
          <w:vertAlign w:val="baseline"/>
          <w:lang w:val="en-US"/>
        </w:rPr>
      </w:pPr>
      <w:r>
        <w:rPr>
          <w:rFonts w:ascii="Times New Roman" w:hAnsi="Times New Roman" w:eastAsia="Times New Roman"/>
          <w:b w:val="true"/>
          <w:color w:val="000000"/>
          <w:spacing w:val="-1"/>
          <w:w w:val="100"/>
          <w:sz w:val="20"/>
          <w:vertAlign w:val="baseline"/>
          <w:lang w:val="en-US"/>
        </w:rPr>
        <w:t xml:space="preserve">duties	</w:t>
      </w:r>
      <w:r>
        <w:rPr>
          <w:rFonts w:ascii="Times New Roman" w:hAnsi="Times New Roman" w:eastAsia="Times New Roman"/>
          <w:b w:val="true"/>
          <w:color w:val="000000"/>
          <w:spacing w:val="-1"/>
          <w:w w:val="100"/>
          <w:sz w:val="20"/>
          <w:vertAlign w:val="baseline"/>
          <w:lang w:val="en-US"/>
        </w:rPr>
        <w:t xml:space="preserve">128</w:t>
      </w:r>
    </w:p>
    <w:p>
      <w:pPr>
        <w:tabs>
          <w:tab w:val="left" w:leader="none" w:pos="720"/>
          <w:tab w:val="right" w:leader="none" w:pos="7704"/>
        </w:tabs>
        <w:spacing w:before="119"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163	</w:t>
      </w:r>
      <w:r>
        <w:rPr>
          <w:rFonts w:ascii="Times New Roman" w:hAnsi="Times New Roman" w:eastAsia="Times New Roman"/>
          <w:color w:val="000000"/>
          <w:spacing w:val="0"/>
          <w:w w:val="100"/>
          <w:sz w:val="20"/>
          <w:vertAlign w:val="baseline"/>
          <w:lang w:val="en-US"/>
        </w:rPr>
        <w:t xml:space="preserve">Duty of person conducting business or undertaking	</w:t>
      </w:r>
      <w:r>
        <w:rPr>
          <w:rFonts w:ascii="Times New Roman" w:hAnsi="Times New Roman" w:eastAsia="Times New Roman"/>
          <w:color w:val="000000"/>
          <w:spacing w:val="0"/>
          <w:w w:val="100"/>
          <w:sz w:val="20"/>
          <w:vertAlign w:val="baseline"/>
          <w:lang w:val="en-US"/>
        </w:rPr>
        <w:t xml:space="preserve">128</w:t>
      </w:r>
    </w:p>
    <w:p>
      <w:pPr>
        <w:tabs>
          <w:tab w:val="left" w:leader="none" w:pos="1368"/>
          <w:tab w:val="right" w:leader="none" w:pos="7704"/>
        </w:tabs>
        <w:spacing w:before="4"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6	</w:t>
      </w:r>
      <w:r>
        <w:rPr>
          <w:rFonts w:ascii="Times New Roman" w:hAnsi="Times New Roman" w:eastAsia="Times New Roman"/>
          <w:b w:val="true"/>
          <w:color w:val="000000"/>
          <w:spacing w:val="0"/>
          <w:w w:val="100"/>
          <w:sz w:val="20"/>
          <w:vertAlign w:val="baseline"/>
          <w:lang w:val="en-US"/>
        </w:rPr>
        <w:t xml:space="preserve">Residual current devices	</w:t>
      </w:r>
      <w:r>
        <w:rPr>
          <w:rFonts w:ascii="Times New Roman" w:hAnsi="Times New Roman" w:eastAsia="Times New Roman"/>
          <w:b w:val="true"/>
          <w:color w:val="000000"/>
          <w:spacing w:val="0"/>
          <w:w w:val="100"/>
          <w:sz w:val="20"/>
          <w:vertAlign w:val="baseline"/>
          <w:lang w:val="en-US"/>
        </w:rPr>
        <w:t xml:space="preserve">129</w:t>
      </w:r>
    </w:p>
    <w:p>
      <w:pPr>
        <w:tabs>
          <w:tab w:val="left" w:leader="none" w:pos="720"/>
          <w:tab w:val="right" w:leader="none" w:pos="7704"/>
        </w:tabs>
        <w:spacing w:before="119"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164	</w:t>
      </w:r>
      <w:r>
        <w:rPr>
          <w:rFonts w:ascii="Times New Roman" w:hAnsi="Times New Roman" w:eastAsia="Times New Roman"/>
          <w:color w:val="000000"/>
          <w:spacing w:val="0"/>
          <w:w w:val="100"/>
          <w:sz w:val="20"/>
          <w:vertAlign w:val="baseline"/>
          <w:lang w:val="en-US"/>
        </w:rPr>
        <w:t xml:space="preserve">Use of socket outlets in hostile operating environment	</w:t>
      </w:r>
      <w:r>
        <w:rPr>
          <w:rFonts w:ascii="Times New Roman" w:hAnsi="Times New Roman" w:eastAsia="Times New Roman"/>
          <w:color w:val="000000"/>
          <w:spacing w:val="0"/>
          <w:w w:val="100"/>
          <w:sz w:val="20"/>
          <w:vertAlign w:val="baseline"/>
          <w:lang w:val="en-US"/>
        </w:rPr>
        <w:t xml:space="preserve">129</w:t>
      </w:r>
    </w:p>
    <w:p>
      <w:pPr>
        <w:tabs>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165	</w:t>
      </w:r>
      <w:r>
        <w:rPr>
          <w:rFonts w:ascii="Times New Roman" w:hAnsi="Times New Roman" w:eastAsia="Times New Roman"/>
          <w:color w:val="000000"/>
          <w:spacing w:val="0"/>
          <w:w w:val="100"/>
          <w:sz w:val="20"/>
          <w:vertAlign w:val="baseline"/>
          <w:lang w:val="en-US"/>
        </w:rPr>
        <w:t xml:space="preserve">Testing of residual current devices	</w:t>
      </w:r>
      <w:r>
        <w:rPr>
          <w:rFonts w:ascii="Times New Roman" w:hAnsi="Times New Roman" w:eastAsia="Times New Roman"/>
          <w:color w:val="000000"/>
          <w:spacing w:val="0"/>
          <w:w w:val="100"/>
          <w:sz w:val="20"/>
          <w:vertAlign w:val="baseline"/>
          <w:lang w:val="en-US"/>
        </w:rPr>
        <w:t xml:space="preserve">130</w:t>
      </w:r>
    </w:p>
    <w:p>
      <w:pPr>
        <w:tabs>
          <w:tab w:val="left" w:leader="none" w:pos="1368"/>
          <w:tab w:val="right" w:leader="none" w:pos="7704"/>
        </w:tabs>
        <w:spacing w:before="3"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7	</w:t>
      </w:r>
      <w:r>
        <w:rPr>
          <w:rFonts w:ascii="Times New Roman" w:hAnsi="Times New Roman" w:eastAsia="Times New Roman"/>
          <w:b w:val="true"/>
          <w:color w:val="000000"/>
          <w:spacing w:val="0"/>
          <w:w w:val="100"/>
          <w:sz w:val="20"/>
          <w:vertAlign w:val="baseline"/>
          <w:lang w:val="en-US"/>
        </w:rPr>
        <w:t xml:space="preserve">Overhead and underground electric lines	</w:t>
      </w:r>
      <w:r>
        <w:rPr>
          <w:rFonts w:ascii="Times New Roman" w:hAnsi="Times New Roman" w:eastAsia="Times New Roman"/>
          <w:b w:val="true"/>
          <w:color w:val="000000"/>
          <w:spacing w:val="0"/>
          <w:w w:val="100"/>
          <w:sz w:val="20"/>
          <w:vertAlign w:val="baseline"/>
          <w:lang w:val="en-US"/>
        </w:rPr>
        <w:t xml:space="preserve">131</w:t>
      </w:r>
    </w:p>
    <w:p>
      <w:pPr>
        <w:tabs>
          <w:tab w:val="left" w:leader="none" w:pos="720"/>
          <w:tab w:val="right" w:leader="none" w:pos="7704"/>
        </w:tabs>
        <w:spacing w:before="119"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166	</w:t>
      </w:r>
      <w:r>
        <w:rPr>
          <w:rFonts w:ascii="Times New Roman" w:hAnsi="Times New Roman" w:eastAsia="Times New Roman"/>
          <w:color w:val="000000"/>
          <w:spacing w:val="0"/>
          <w:w w:val="100"/>
          <w:sz w:val="20"/>
          <w:vertAlign w:val="baseline"/>
          <w:lang w:val="en-US"/>
        </w:rPr>
        <w:t xml:space="preserve">Duty of person conducting a business or undertaking	</w:t>
      </w:r>
      <w:r>
        <w:rPr>
          <w:rFonts w:ascii="Times New Roman" w:hAnsi="Times New Roman" w:eastAsia="Times New Roman"/>
          <w:color w:val="000000"/>
          <w:spacing w:val="0"/>
          <w:w w:val="100"/>
          <w:sz w:val="20"/>
          <w:vertAlign w:val="baseline"/>
          <w:lang w:val="en-US"/>
        </w:rPr>
        <w:t xml:space="preserve">131</w:t>
      </w:r>
    </w:p>
    <w:p>
      <w:pPr>
        <w:tabs>
          <w:tab w:val="left" w:leader="none" w:pos="1368"/>
          <w:tab w:val="right" w:leader="none" w:pos="7704"/>
        </w:tabs>
        <w:spacing w:before="244"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4.8	</w:t>
      </w:r>
      <w:r>
        <w:rPr>
          <w:rFonts w:ascii="Times New Roman" w:hAnsi="Times New Roman" w:eastAsia="Times New Roman"/>
          <w:b w:val="true"/>
          <w:color w:val="000000"/>
          <w:spacing w:val="0"/>
          <w:w w:val="100"/>
          <w:sz w:val="20"/>
          <w:vertAlign w:val="baseline"/>
          <w:lang w:val="en-US"/>
        </w:rPr>
        <w:t xml:space="preserve">DIVING WORK	</w:t>
      </w:r>
      <w:r>
        <w:rPr>
          <w:rFonts w:ascii="Times New Roman" w:hAnsi="Times New Roman" w:eastAsia="Times New Roman"/>
          <w:b w:val="true"/>
          <w:color w:val="000000"/>
          <w:spacing w:val="0"/>
          <w:w w:val="100"/>
          <w:sz w:val="20"/>
          <w:vertAlign w:val="baseline"/>
          <w:lang w:val="en-US"/>
        </w:rPr>
        <w:t xml:space="preserve">132</w:t>
      </w:r>
    </w:p>
    <w:p>
      <w:pPr>
        <w:tabs>
          <w:tab w:val="left" w:leader="none" w:pos="1368"/>
          <w:tab w:val="right" w:leader="none" w:pos="7704"/>
        </w:tabs>
        <w:spacing w:before="117"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1	</w:t>
      </w:r>
      <w:r>
        <w:rPr>
          <w:rFonts w:ascii="Times New Roman" w:hAnsi="Times New Roman" w:eastAsia="Times New Roman"/>
          <w:b w:val="true"/>
          <w:color w:val="000000"/>
          <w:spacing w:val="0"/>
          <w:w w:val="100"/>
          <w:sz w:val="20"/>
          <w:vertAlign w:val="baseline"/>
          <w:lang w:val="en-US"/>
        </w:rPr>
        <w:t xml:space="preserve">Preliminary	</w:t>
      </w:r>
      <w:r>
        <w:rPr>
          <w:rFonts w:ascii="Times New Roman" w:hAnsi="Times New Roman" w:eastAsia="Times New Roman"/>
          <w:b w:val="true"/>
          <w:color w:val="000000"/>
          <w:spacing w:val="0"/>
          <w:w w:val="100"/>
          <w:sz w:val="20"/>
          <w:vertAlign w:val="baseline"/>
          <w:lang w:val="en-US"/>
        </w:rPr>
        <w:t xml:space="preserve">132</w:t>
      </w:r>
    </w:p>
    <w:p>
      <w:pPr>
        <w:tabs>
          <w:tab w:val="left" w:leader="none" w:pos="720"/>
          <w:tab w:val="right" w:leader="none" w:pos="7704"/>
        </w:tabs>
        <w:spacing w:before="12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167	</w:t>
      </w:r>
      <w:r>
        <w:rPr>
          <w:rFonts w:ascii="Times New Roman" w:hAnsi="Times New Roman" w:eastAsia="Times New Roman"/>
          <w:color w:val="000000"/>
          <w:spacing w:val="0"/>
          <w:w w:val="100"/>
          <w:sz w:val="20"/>
          <w:vertAlign w:val="baseline"/>
          <w:lang w:val="en-US"/>
        </w:rPr>
        <w:t xml:space="preserve">Purpose of Part 4.8	</w:t>
      </w:r>
      <w:r>
        <w:rPr>
          <w:rFonts w:ascii="Times New Roman" w:hAnsi="Times New Roman" w:eastAsia="Times New Roman"/>
          <w:color w:val="000000"/>
          <w:spacing w:val="0"/>
          <w:w w:val="100"/>
          <w:sz w:val="20"/>
          <w:vertAlign w:val="baseline"/>
          <w:lang w:val="en-US"/>
        </w:rPr>
        <w:t xml:space="preserve">132</w:t>
      </w:r>
    </w:p>
    <w:p>
      <w:pPr>
        <w:tabs>
          <w:tab w:val="left" w:leader="none" w:pos="1368"/>
          <w:tab w:val="right" w:leader="none" w:pos="7704"/>
        </w:tabs>
        <w:spacing w:before="3"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2	</w:t>
      </w:r>
      <w:r>
        <w:rPr>
          <w:rFonts w:ascii="Times New Roman" w:hAnsi="Times New Roman" w:eastAsia="Times New Roman"/>
          <w:b w:val="true"/>
          <w:color w:val="000000"/>
          <w:spacing w:val="0"/>
          <w:w w:val="100"/>
          <w:sz w:val="20"/>
          <w:vertAlign w:val="baseline"/>
          <w:lang w:val="en-US"/>
        </w:rPr>
        <w:t xml:space="preserve">General diving work—Fitness and competence of worker	</w:t>
      </w:r>
      <w:r>
        <w:rPr>
          <w:rFonts w:ascii="Times New Roman" w:hAnsi="Times New Roman" w:eastAsia="Times New Roman"/>
          <w:b w:val="true"/>
          <w:color w:val="000000"/>
          <w:spacing w:val="0"/>
          <w:w w:val="100"/>
          <w:sz w:val="20"/>
          <w:vertAlign w:val="baseline"/>
          <w:lang w:val="en-US"/>
        </w:rPr>
        <w:t xml:space="preserve">132</w:t>
      </w:r>
    </w:p>
    <w:p>
      <w:pPr>
        <w:tabs>
          <w:tab w:val="left" w:leader="none" w:pos="720"/>
          <w:tab w:val="right" w:leader="none" w:pos="7704"/>
        </w:tabs>
        <w:spacing w:before="12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168	</w:t>
      </w:r>
      <w:r>
        <w:rPr>
          <w:rFonts w:ascii="Times New Roman" w:hAnsi="Times New Roman" w:eastAsia="Times New Roman"/>
          <w:color w:val="000000"/>
          <w:spacing w:val="0"/>
          <w:w w:val="100"/>
          <w:sz w:val="20"/>
          <w:vertAlign w:val="baseline"/>
          <w:lang w:val="en-US"/>
        </w:rPr>
        <w:t xml:space="preserve">Person conducting business or undertaking must ensure fitness of workers	</w:t>
      </w:r>
      <w:r>
        <w:rPr>
          <w:rFonts w:ascii="Times New Roman" w:hAnsi="Times New Roman" w:eastAsia="Times New Roman"/>
          <w:color w:val="000000"/>
          <w:spacing w:val="0"/>
          <w:w w:val="100"/>
          <w:sz w:val="20"/>
          <w:vertAlign w:val="baseline"/>
          <w:lang w:val="en-US"/>
        </w:rPr>
        <w:t xml:space="preserve">132</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169	</w:t>
      </w:r>
      <w:r>
        <w:rPr>
          <w:rFonts w:ascii="Times New Roman" w:hAnsi="Times New Roman" w:eastAsia="Times New Roman"/>
          <w:color w:val="000000"/>
          <w:spacing w:val="0"/>
          <w:w w:val="100"/>
          <w:sz w:val="20"/>
          <w:vertAlign w:val="baseline"/>
          <w:lang w:val="en-US"/>
        </w:rPr>
        <w:t xml:space="preserve">Certificate of medical fitness	</w:t>
      </w:r>
      <w:r>
        <w:rPr>
          <w:rFonts w:ascii="Times New Roman" w:hAnsi="Times New Roman" w:eastAsia="Times New Roman"/>
          <w:color w:val="000000"/>
          <w:spacing w:val="0"/>
          <w:w w:val="100"/>
          <w:sz w:val="20"/>
          <w:vertAlign w:val="baseline"/>
          <w:lang w:val="en-US"/>
        </w:rPr>
        <w:t xml:space="preserve">132</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170	</w:t>
      </w:r>
      <w:r>
        <w:rPr>
          <w:rFonts w:ascii="Times New Roman" w:hAnsi="Times New Roman" w:eastAsia="Times New Roman"/>
          <w:color w:val="000000"/>
          <w:spacing w:val="0"/>
          <w:w w:val="100"/>
          <w:sz w:val="20"/>
          <w:vertAlign w:val="baseline"/>
          <w:lang w:val="en-US"/>
        </w:rPr>
        <w:t xml:space="preserve">Duty to keep certificate of medical fitness	</w:t>
      </w:r>
      <w:r>
        <w:rPr>
          <w:rFonts w:ascii="Times New Roman" w:hAnsi="Times New Roman" w:eastAsia="Times New Roman"/>
          <w:color w:val="000000"/>
          <w:spacing w:val="0"/>
          <w:w w:val="100"/>
          <w:sz w:val="20"/>
          <w:vertAlign w:val="baseline"/>
          <w:lang w:val="en-US"/>
        </w:rPr>
        <w:t xml:space="preserve">133</w:t>
      </w:r>
    </w:p>
    <w:p>
      <w:pPr>
        <w:tabs>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171	</w:t>
      </w:r>
      <w:r>
        <w:rPr>
          <w:rFonts w:ascii="Times New Roman" w:hAnsi="Times New Roman" w:eastAsia="Times New Roman"/>
          <w:color w:val="000000"/>
          <w:spacing w:val="0"/>
          <w:w w:val="100"/>
          <w:sz w:val="20"/>
          <w:vertAlign w:val="baseline"/>
          <w:lang w:val="en-US"/>
        </w:rPr>
        <w:t xml:space="preserve">Competence of worker—general diving work—qualifications	</w:t>
      </w:r>
      <w:r>
        <w:rPr>
          <w:rFonts w:ascii="Times New Roman" w:hAnsi="Times New Roman" w:eastAsia="Times New Roman"/>
          <w:color w:val="000000"/>
          <w:spacing w:val="0"/>
          <w:w w:val="100"/>
          <w:sz w:val="20"/>
          <w:vertAlign w:val="baseline"/>
          <w:lang w:val="en-US"/>
        </w:rPr>
        <w:t xml:space="preserve">133</w:t>
      </w:r>
    </w:p>
    <w:p>
      <w:pPr>
        <w:tabs>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171A Competence of worker—general diving work—knowledge and skill	</w:t>
      </w:r>
      <w:r>
        <w:rPr>
          <w:rFonts w:ascii="Times New Roman" w:hAnsi="Times New Roman" w:eastAsia="Times New Roman"/>
          <w:color w:val="000000"/>
          <w:spacing w:val="0"/>
          <w:w w:val="100"/>
          <w:sz w:val="20"/>
          <w:vertAlign w:val="baseline"/>
          <w:lang w:val="en-US"/>
        </w:rPr>
        <w:t xml:space="preserve">134</w:t>
      </w:r>
    </w:p>
    <w:p>
      <w:pPr>
        <w:tabs>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172	</w:t>
      </w:r>
      <w:r>
        <w:rPr>
          <w:rFonts w:ascii="Times New Roman" w:hAnsi="Times New Roman" w:eastAsia="Times New Roman"/>
          <w:color w:val="000000"/>
          <w:spacing w:val="0"/>
          <w:w w:val="100"/>
          <w:sz w:val="20"/>
          <w:vertAlign w:val="baseline"/>
          <w:lang w:val="en-US"/>
        </w:rPr>
        <w:t xml:space="preserve">Competence of worker—incidental diving work	</w:t>
      </w:r>
      <w:r>
        <w:rPr>
          <w:rFonts w:ascii="Times New Roman" w:hAnsi="Times New Roman" w:eastAsia="Times New Roman"/>
          <w:color w:val="000000"/>
          <w:spacing w:val="0"/>
          <w:w w:val="100"/>
          <w:sz w:val="20"/>
          <w:vertAlign w:val="baseline"/>
          <w:lang w:val="en-US"/>
        </w:rPr>
        <w:t xml:space="preserve">134</w:t>
      </w:r>
    </w:p>
    <w:p>
      <w:pPr>
        <w:tabs>
          <w:tab w:val="left" w:leader="none" w:pos="720"/>
          <w:tab w:val="right" w:leader="none" w:pos="7704"/>
        </w:tabs>
        <w:spacing w:before="0" w:after="729"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10.65pt" to="498.5pt,710.6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173	</w:t>
      </w:r>
      <w:r>
        <w:rPr>
          <w:rFonts w:ascii="Times New Roman" w:hAnsi="Times New Roman" w:eastAsia="Times New Roman"/>
          <w:color w:val="000000"/>
          <w:spacing w:val="0"/>
          <w:w w:val="100"/>
          <w:sz w:val="20"/>
          <w:vertAlign w:val="baseline"/>
          <w:lang w:val="en-US"/>
        </w:rPr>
        <w:t xml:space="preserve">Competence of worker—limited scientific diving work	</w:t>
      </w:r>
      <w:r>
        <w:rPr>
          <w:rFonts w:ascii="Times New Roman" w:hAnsi="Times New Roman" w:eastAsia="Times New Roman"/>
          <w:color w:val="000000"/>
          <w:spacing w:val="0"/>
          <w:w w:val="100"/>
          <w:sz w:val="20"/>
          <w:vertAlign w:val="baseline"/>
          <w:lang w:val="en-US"/>
        </w:rPr>
        <w:t xml:space="preserve">135</w:t>
      </w:r>
    </w:p>
    <w:p>
      <w:pPr>
        <w:spacing w:before="0" w:after="729" w:line="230" w:lineRule="exact"/>
        <w:sectPr>
          <w:type w:val="nextPage"/>
          <w:pgSz w:w="11909" w:h="16838" w:orient="portrait"/>
          <w:pgMar w:bottom="1542" w:top="1320" w:right="1940" w:left="1949" w:header="720" w:footer="720"/>
          <w:titlePg w:val="false"/>
          <w:textDirection w:val="lrTb"/>
        </w:sectPr>
      </w:pPr>
    </w:p>
    <w:p>
      <w:pPr>
        <w:tabs>
          <w:tab w:val="right" w:leader="none" w:pos="4032"/>
        </w:tabs>
        <w:spacing w:before="0" w:after="0" w:line="177"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1.1.2021	</w:t>
      </w:r>
      <w:r>
        <w:rPr>
          <w:rFonts w:ascii="Times New Roman" w:hAnsi="Times New Roman" w:eastAsia="Times New Roman"/>
          <w:color w:val="000000"/>
          <w:spacing w:val="0"/>
          <w:w w:val="100"/>
          <w:sz w:val="16"/>
          <w:vertAlign w:val="baseline"/>
          <w:lang w:val="en-US"/>
        </w:rPr>
        <w:t xml:space="preserve">6</w:t>
      </w:r>
    </w:p>
    <w:p>
      <w:pPr>
        <w:sectPr>
          <w:type w:val="continuous"/>
          <w:pgSz w:w="11909" w:h="16838" w:orient="portrait"/>
          <w:pgMar w:bottom="1542" w:top="1320" w:right="5915" w:left="1994" w:header="720" w:footer="720"/>
          <w:titlePg w:val="false"/>
          <w:textDirection w:val="lrTb"/>
        </w:sectPr>
      </w:pPr>
    </w:p>
    <w:p>
      <w:pPr>
        <w:spacing w:before="20" w:after="23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right" w:leader="none" w:pos="504"/>
          <w:tab w:val="left" w:leader="none" w:pos="720"/>
          <w:tab w:val="right" w:leader="none" w:pos="7704"/>
        </w:tabs>
        <w:spacing w:before="477"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90.95pt" to="498.5pt,90.9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ab/>
      </w:r>
      <w:r>
        <w:rPr>
          <w:rFonts w:ascii="Times New Roman" w:hAnsi="Times New Roman" w:eastAsia="Times New Roman"/>
          <w:color w:val="000000"/>
          <w:spacing w:val="0"/>
          <w:w w:val="100"/>
          <w:sz w:val="20"/>
          <w:vertAlign w:val="baseline"/>
          <w:lang w:val="en-US"/>
        </w:rPr>
        <w:t xml:space="preserve">174	</w:t>
      </w:r>
      <w:r>
        <w:rPr>
          <w:rFonts w:ascii="Times New Roman" w:hAnsi="Times New Roman" w:eastAsia="Times New Roman"/>
          <w:color w:val="000000"/>
          <w:spacing w:val="0"/>
          <w:w w:val="100"/>
          <w:sz w:val="20"/>
          <w:vertAlign w:val="baseline"/>
          <w:lang w:val="en-US"/>
        </w:rPr>
        <w:t xml:space="preserve">Competence of competent person supervising general diving work	</w:t>
      </w:r>
      <w:r>
        <w:rPr>
          <w:rFonts w:ascii="Times New Roman" w:hAnsi="Times New Roman" w:eastAsia="Times New Roman"/>
          <w:color w:val="000000"/>
          <w:spacing w:val="0"/>
          <w:w w:val="100"/>
          <w:sz w:val="20"/>
          <w:vertAlign w:val="baseline"/>
          <w:lang w:val="en-US"/>
        </w:rPr>
        <w:t xml:space="preserve">135</w:t>
      </w:r>
    </w:p>
    <w:p>
      <w:pPr>
        <w:tabs>
          <w:tab w:val="right" w:leader="none" w:pos="504"/>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ab/>
      </w:r>
      <w:r>
        <w:rPr>
          <w:rFonts w:ascii="Times New Roman" w:hAnsi="Times New Roman" w:eastAsia="Times New Roman"/>
          <w:color w:val="000000"/>
          <w:spacing w:val="0"/>
          <w:w w:val="100"/>
          <w:sz w:val="20"/>
          <w:vertAlign w:val="baseline"/>
          <w:lang w:val="en-US"/>
        </w:rPr>
        <w:t xml:space="preserve">175	</w:t>
      </w:r>
      <w:r>
        <w:rPr>
          <w:rFonts w:ascii="Times New Roman" w:hAnsi="Times New Roman" w:eastAsia="Times New Roman"/>
          <w:color w:val="000000"/>
          <w:spacing w:val="0"/>
          <w:w w:val="100"/>
          <w:sz w:val="20"/>
          <w:vertAlign w:val="baseline"/>
          <w:lang w:val="en-US"/>
        </w:rPr>
        <w:t xml:space="preserve">Evidence of competence—duty of person conducting business or undertaking	</w:t>
      </w:r>
      <w:r>
        <w:rPr>
          <w:rFonts w:ascii="Times New Roman" w:hAnsi="Times New Roman" w:eastAsia="Times New Roman"/>
          <w:color w:val="000000"/>
          <w:spacing w:val="0"/>
          <w:w w:val="100"/>
          <w:sz w:val="20"/>
          <w:vertAlign w:val="baseline"/>
          <w:lang w:val="en-US"/>
        </w:rPr>
        <w:t xml:space="preserve">135</w:t>
      </w:r>
    </w:p>
    <w:p>
      <w:pPr>
        <w:tabs>
          <w:tab w:val="left" w:leader="none" w:pos="1368"/>
          <w:tab w:val="right" w:leader="none" w:pos="7704"/>
        </w:tabs>
        <w:spacing w:before="3"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3	</w:t>
      </w:r>
      <w:r>
        <w:rPr>
          <w:rFonts w:ascii="Times New Roman" w:hAnsi="Times New Roman" w:eastAsia="Times New Roman"/>
          <w:b w:val="true"/>
          <w:color w:val="000000"/>
          <w:spacing w:val="0"/>
          <w:w w:val="100"/>
          <w:sz w:val="20"/>
          <w:vertAlign w:val="baseline"/>
          <w:lang w:val="en-US"/>
        </w:rPr>
        <w:t xml:space="preserve">Managing risks—general diving work	</w:t>
      </w:r>
      <w:r>
        <w:rPr>
          <w:rFonts w:ascii="Times New Roman" w:hAnsi="Times New Roman" w:eastAsia="Times New Roman"/>
          <w:b w:val="true"/>
          <w:color w:val="000000"/>
          <w:spacing w:val="0"/>
          <w:w w:val="100"/>
          <w:sz w:val="20"/>
          <w:vertAlign w:val="baseline"/>
          <w:lang w:val="en-US"/>
        </w:rPr>
        <w:t xml:space="preserve">136</w:t>
      </w:r>
    </w:p>
    <w:p>
      <w:pPr>
        <w:tabs>
          <w:tab w:val="right" w:leader="none" w:pos="504"/>
          <w:tab w:val="left" w:leader="none" w:pos="720"/>
          <w:tab w:val="right" w:leader="none" w:pos="7704"/>
        </w:tabs>
        <w:spacing w:before="12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ab/>
      </w:r>
      <w:r>
        <w:rPr>
          <w:rFonts w:ascii="Times New Roman" w:hAnsi="Times New Roman" w:eastAsia="Times New Roman"/>
          <w:color w:val="000000"/>
          <w:spacing w:val="0"/>
          <w:w w:val="100"/>
          <w:sz w:val="20"/>
          <w:vertAlign w:val="baseline"/>
          <w:lang w:val="en-US"/>
        </w:rPr>
        <w:t xml:space="preserve">176	</w:t>
      </w:r>
      <w:r>
        <w:rPr>
          <w:rFonts w:ascii="Times New Roman" w:hAnsi="Times New Roman" w:eastAsia="Times New Roman"/>
          <w:color w:val="000000"/>
          <w:spacing w:val="0"/>
          <w:w w:val="100"/>
          <w:sz w:val="20"/>
          <w:vertAlign w:val="baseline"/>
          <w:lang w:val="en-US"/>
        </w:rPr>
        <w:t xml:space="preserve">Management of risks to health and safety	</w:t>
      </w:r>
      <w:r>
        <w:rPr>
          <w:rFonts w:ascii="Times New Roman" w:hAnsi="Times New Roman" w:eastAsia="Times New Roman"/>
          <w:color w:val="000000"/>
          <w:spacing w:val="0"/>
          <w:w w:val="100"/>
          <w:sz w:val="20"/>
          <w:vertAlign w:val="baseline"/>
          <w:lang w:val="en-US"/>
        </w:rPr>
        <w:t xml:space="preserve">136</w:t>
      </w:r>
    </w:p>
    <w:p>
      <w:pPr>
        <w:tabs>
          <w:tab w:val="right" w:leader="none" w:pos="504"/>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ab/>
      </w:r>
      <w:r>
        <w:rPr>
          <w:rFonts w:ascii="Times New Roman" w:hAnsi="Times New Roman" w:eastAsia="Times New Roman"/>
          <w:color w:val="000000"/>
          <w:spacing w:val="0"/>
          <w:w w:val="100"/>
          <w:sz w:val="20"/>
          <w:vertAlign w:val="baseline"/>
          <w:lang w:val="en-US"/>
        </w:rPr>
        <w:t xml:space="preserve">177	</w:t>
      </w:r>
      <w:r>
        <w:rPr>
          <w:rFonts w:ascii="Times New Roman" w:hAnsi="Times New Roman" w:eastAsia="Times New Roman"/>
          <w:color w:val="000000"/>
          <w:spacing w:val="0"/>
          <w:w w:val="100"/>
          <w:sz w:val="20"/>
          <w:vertAlign w:val="baseline"/>
          <w:lang w:val="en-US"/>
        </w:rPr>
        <w:t xml:space="preserve">Appointment of competent person to supervise diving work	</w:t>
      </w:r>
      <w:r>
        <w:rPr>
          <w:rFonts w:ascii="Times New Roman" w:hAnsi="Times New Roman" w:eastAsia="Times New Roman"/>
          <w:color w:val="000000"/>
          <w:spacing w:val="0"/>
          <w:w w:val="100"/>
          <w:sz w:val="20"/>
          <w:vertAlign w:val="baseline"/>
          <w:lang w:val="en-US"/>
        </w:rPr>
        <w:t xml:space="preserve">137</w:t>
      </w:r>
    </w:p>
    <w:p>
      <w:pPr>
        <w:tabs>
          <w:tab w:val="right" w:leader="none" w:pos="504"/>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ab/>
      </w:r>
      <w:r>
        <w:rPr>
          <w:rFonts w:ascii="Times New Roman" w:hAnsi="Times New Roman" w:eastAsia="Times New Roman"/>
          <w:color w:val="000000"/>
          <w:spacing w:val="0"/>
          <w:w w:val="100"/>
          <w:sz w:val="20"/>
          <w:vertAlign w:val="baseline"/>
          <w:lang w:val="en-US"/>
        </w:rPr>
        <w:t xml:space="preserve">178	</w:t>
      </w:r>
      <w:r>
        <w:rPr>
          <w:rFonts w:ascii="Times New Roman" w:hAnsi="Times New Roman" w:eastAsia="Times New Roman"/>
          <w:color w:val="000000"/>
          <w:spacing w:val="0"/>
          <w:w w:val="100"/>
          <w:sz w:val="20"/>
          <w:vertAlign w:val="baseline"/>
          <w:lang w:val="en-US"/>
        </w:rPr>
        <w:t xml:space="preserve">Additional control—dive plan	</w:t>
      </w:r>
      <w:r>
        <w:rPr>
          <w:rFonts w:ascii="Times New Roman" w:hAnsi="Times New Roman" w:eastAsia="Times New Roman"/>
          <w:color w:val="000000"/>
          <w:spacing w:val="0"/>
          <w:w w:val="100"/>
          <w:sz w:val="20"/>
          <w:vertAlign w:val="baseline"/>
          <w:lang w:val="en-US"/>
        </w:rPr>
        <w:t xml:space="preserve">137</w:t>
      </w:r>
    </w:p>
    <w:p>
      <w:pPr>
        <w:tabs>
          <w:tab w:val="right" w:leader="none" w:pos="504"/>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ab/>
      </w:r>
      <w:r>
        <w:rPr>
          <w:rFonts w:ascii="Times New Roman" w:hAnsi="Times New Roman" w:eastAsia="Times New Roman"/>
          <w:color w:val="000000"/>
          <w:spacing w:val="0"/>
          <w:w w:val="100"/>
          <w:sz w:val="20"/>
          <w:vertAlign w:val="baseline"/>
          <w:lang w:val="en-US"/>
        </w:rPr>
        <w:t xml:space="preserve">179	</w:t>
      </w:r>
      <w:r>
        <w:rPr>
          <w:rFonts w:ascii="Times New Roman" w:hAnsi="Times New Roman" w:eastAsia="Times New Roman"/>
          <w:color w:val="000000"/>
          <w:spacing w:val="0"/>
          <w:w w:val="100"/>
          <w:sz w:val="20"/>
          <w:vertAlign w:val="baseline"/>
          <w:lang w:val="en-US"/>
        </w:rPr>
        <w:t xml:space="preserve">Dive plan must be complied with	</w:t>
      </w:r>
      <w:r>
        <w:rPr>
          <w:rFonts w:ascii="Times New Roman" w:hAnsi="Times New Roman" w:eastAsia="Times New Roman"/>
          <w:color w:val="000000"/>
          <w:spacing w:val="0"/>
          <w:w w:val="100"/>
          <w:sz w:val="20"/>
          <w:vertAlign w:val="baseline"/>
          <w:lang w:val="en-US"/>
        </w:rPr>
        <w:t xml:space="preserve">138</w:t>
      </w:r>
    </w:p>
    <w:p>
      <w:pPr>
        <w:tabs>
          <w:tab w:val="right" w:leader="none" w:pos="504"/>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ab/>
      </w:r>
      <w:r>
        <w:rPr>
          <w:rFonts w:ascii="Times New Roman" w:hAnsi="Times New Roman" w:eastAsia="Times New Roman"/>
          <w:color w:val="000000"/>
          <w:spacing w:val="0"/>
          <w:w w:val="100"/>
          <w:sz w:val="20"/>
          <w:vertAlign w:val="baseline"/>
          <w:lang w:val="en-US"/>
        </w:rPr>
        <w:t xml:space="preserve">180	</w:t>
      </w:r>
      <w:r>
        <w:rPr>
          <w:rFonts w:ascii="Times New Roman" w:hAnsi="Times New Roman" w:eastAsia="Times New Roman"/>
          <w:color w:val="000000"/>
          <w:spacing w:val="0"/>
          <w:w w:val="100"/>
          <w:sz w:val="20"/>
          <w:vertAlign w:val="baseline"/>
          <w:lang w:val="en-US"/>
        </w:rPr>
        <w:t xml:space="preserve">Additional control—dive safety log to be kept	</w:t>
      </w:r>
      <w:r>
        <w:rPr>
          <w:rFonts w:ascii="Times New Roman" w:hAnsi="Times New Roman" w:eastAsia="Times New Roman"/>
          <w:color w:val="000000"/>
          <w:spacing w:val="0"/>
          <w:w w:val="100"/>
          <w:sz w:val="20"/>
          <w:vertAlign w:val="baseline"/>
          <w:lang w:val="en-US"/>
        </w:rPr>
        <w:t xml:space="preserve">138</w:t>
      </w:r>
    </w:p>
    <w:p>
      <w:pPr>
        <w:tabs>
          <w:tab w:val="right" w:leader="none" w:pos="504"/>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ab/>
      </w:r>
      <w:r>
        <w:rPr>
          <w:rFonts w:ascii="Times New Roman" w:hAnsi="Times New Roman" w:eastAsia="Times New Roman"/>
          <w:color w:val="000000"/>
          <w:spacing w:val="0"/>
          <w:w w:val="100"/>
          <w:sz w:val="20"/>
          <w:vertAlign w:val="baseline"/>
          <w:lang w:val="en-US"/>
        </w:rPr>
        <w:t xml:space="preserve">181	</w:t>
      </w:r>
      <w:r>
        <w:rPr>
          <w:rFonts w:ascii="Times New Roman" w:hAnsi="Times New Roman" w:eastAsia="Times New Roman"/>
          <w:color w:val="000000"/>
          <w:spacing w:val="0"/>
          <w:w w:val="100"/>
          <w:sz w:val="20"/>
          <w:vertAlign w:val="baseline"/>
          <w:lang w:val="en-US"/>
        </w:rPr>
        <w:t xml:space="preserve">Use of dive safety log	</w:t>
      </w:r>
      <w:r>
        <w:rPr>
          <w:rFonts w:ascii="Times New Roman" w:hAnsi="Times New Roman" w:eastAsia="Times New Roman"/>
          <w:color w:val="000000"/>
          <w:spacing w:val="0"/>
          <w:w w:val="100"/>
          <w:sz w:val="20"/>
          <w:vertAlign w:val="baseline"/>
          <w:lang w:val="en-US"/>
        </w:rPr>
        <w:t xml:space="preserve">139</w:t>
      </w:r>
    </w:p>
    <w:p>
      <w:pPr>
        <w:tabs>
          <w:tab w:val="right" w:leader="none" w:pos="504"/>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ab/>
      </w:r>
      <w:r>
        <w:rPr>
          <w:rFonts w:ascii="Times New Roman" w:hAnsi="Times New Roman" w:eastAsia="Times New Roman"/>
          <w:color w:val="000000"/>
          <w:spacing w:val="0"/>
          <w:w w:val="100"/>
          <w:sz w:val="20"/>
          <w:vertAlign w:val="baseline"/>
          <w:lang w:val="en-US"/>
        </w:rPr>
        <w:t xml:space="preserve">182	</w:t>
      </w:r>
      <w:r>
        <w:rPr>
          <w:rFonts w:ascii="Times New Roman" w:hAnsi="Times New Roman" w:eastAsia="Times New Roman"/>
          <w:color w:val="000000"/>
          <w:spacing w:val="0"/>
          <w:w w:val="100"/>
          <w:sz w:val="20"/>
          <w:vertAlign w:val="baseline"/>
          <w:lang w:val="en-US"/>
        </w:rPr>
        <w:t xml:space="preserve">Record keeping	</w:t>
      </w:r>
      <w:r>
        <w:rPr>
          <w:rFonts w:ascii="Times New Roman" w:hAnsi="Times New Roman" w:eastAsia="Times New Roman"/>
          <w:color w:val="000000"/>
          <w:spacing w:val="0"/>
          <w:w w:val="100"/>
          <w:sz w:val="20"/>
          <w:vertAlign w:val="baseline"/>
          <w:lang w:val="en-US"/>
        </w:rPr>
        <w:t xml:space="preserve">140</w:t>
      </w:r>
    </w:p>
    <w:p>
      <w:pPr>
        <w:tabs>
          <w:tab w:val="left" w:leader="none" w:pos="1368"/>
          <w:tab w:val="right" w:leader="none" w:pos="7704"/>
        </w:tabs>
        <w:spacing w:before="3"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4	</w:t>
      </w:r>
      <w:r>
        <w:rPr>
          <w:rFonts w:ascii="Times New Roman" w:hAnsi="Times New Roman" w:eastAsia="Times New Roman"/>
          <w:b w:val="true"/>
          <w:color w:val="000000"/>
          <w:spacing w:val="0"/>
          <w:w w:val="100"/>
          <w:sz w:val="20"/>
          <w:vertAlign w:val="baseline"/>
          <w:lang w:val="en-US"/>
        </w:rPr>
        <w:t xml:space="preserve">High risk diving work	</w:t>
      </w:r>
      <w:r>
        <w:rPr>
          <w:rFonts w:ascii="Times New Roman" w:hAnsi="Times New Roman" w:eastAsia="Times New Roman"/>
          <w:b w:val="true"/>
          <w:color w:val="000000"/>
          <w:spacing w:val="0"/>
          <w:w w:val="100"/>
          <w:sz w:val="20"/>
          <w:vertAlign w:val="baseline"/>
          <w:lang w:val="en-US"/>
        </w:rPr>
        <w:t xml:space="preserve">141</w:t>
      </w:r>
    </w:p>
    <w:p>
      <w:pPr>
        <w:tabs>
          <w:tab w:val="right" w:leader="none" w:pos="504"/>
          <w:tab w:val="left" w:leader="none" w:pos="720"/>
          <w:tab w:val="right" w:leader="none" w:pos="7704"/>
        </w:tabs>
        <w:spacing w:before="116"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ab/>
      </w:r>
      <w:r>
        <w:rPr>
          <w:rFonts w:ascii="Times New Roman" w:hAnsi="Times New Roman" w:eastAsia="Times New Roman"/>
          <w:color w:val="000000"/>
          <w:spacing w:val="0"/>
          <w:w w:val="100"/>
          <w:sz w:val="20"/>
          <w:vertAlign w:val="baseline"/>
          <w:lang w:val="en-US"/>
        </w:rPr>
        <w:t xml:space="preserve">183	</w:t>
      </w:r>
      <w:r>
        <w:rPr>
          <w:rFonts w:ascii="Times New Roman" w:hAnsi="Times New Roman" w:eastAsia="Times New Roman"/>
          <w:color w:val="000000"/>
          <w:spacing w:val="0"/>
          <w:w w:val="100"/>
          <w:sz w:val="20"/>
          <w:vertAlign w:val="baseline"/>
          <w:lang w:val="en-US"/>
        </w:rPr>
        <w:t xml:space="preserve">Duties of person conducting business or undertaking	</w:t>
      </w:r>
      <w:r>
        <w:rPr>
          <w:rFonts w:ascii="Times New Roman" w:hAnsi="Times New Roman" w:eastAsia="Times New Roman"/>
          <w:color w:val="000000"/>
          <w:spacing w:val="0"/>
          <w:w w:val="100"/>
          <w:sz w:val="20"/>
          <w:vertAlign w:val="baseline"/>
          <w:lang w:val="en-US"/>
        </w:rPr>
        <w:t xml:space="preserve">141</w:t>
      </w:r>
    </w:p>
    <w:p>
      <w:pPr>
        <w:tabs>
          <w:tab w:val="right" w:leader="none" w:pos="504"/>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ab/>
      </w:r>
      <w:r>
        <w:rPr>
          <w:rFonts w:ascii="Times New Roman" w:hAnsi="Times New Roman" w:eastAsia="Times New Roman"/>
          <w:color w:val="000000"/>
          <w:spacing w:val="0"/>
          <w:w w:val="100"/>
          <w:sz w:val="20"/>
          <w:vertAlign w:val="baseline"/>
          <w:lang w:val="en-US"/>
        </w:rPr>
        <w:t xml:space="preserve">184	</w:t>
      </w:r>
      <w:r>
        <w:rPr>
          <w:rFonts w:ascii="Times New Roman" w:hAnsi="Times New Roman" w:eastAsia="Times New Roman"/>
          <w:color w:val="000000"/>
          <w:spacing w:val="0"/>
          <w:w w:val="100"/>
          <w:sz w:val="20"/>
          <w:vertAlign w:val="baseline"/>
          <w:lang w:val="en-US"/>
        </w:rPr>
        <w:t xml:space="preserve">Duty of worker—competence	</w:t>
      </w:r>
      <w:r>
        <w:rPr>
          <w:rFonts w:ascii="Times New Roman" w:hAnsi="Times New Roman" w:eastAsia="Times New Roman"/>
          <w:color w:val="000000"/>
          <w:spacing w:val="0"/>
          <w:w w:val="100"/>
          <w:sz w:val="20"/>
          <w:vertAlign w:val="baseline"/>
          <w:lang w:val="en-US"/>
        </w:rPr>
        <w:t xml:space="preserve">142</w:t>
      </w:r>
    </w:p>
    <w:p>
      <w:pPr>
        <w:tabs>
          <w:tab w:val="left" w:leader="none" w:pos="1944"/>
          <w:tab w:val="right" w:leader="none" w:pos="7704"/>
        </w:tabs>
        <w:spacing w:before="244"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CHAPTER 5	</w:t>
      </w:r>
      <w:r>
        <w:rPr>
          <w:rFonts w:ascii="Times New Roman" w:hAnsi="Times New Roman" w:eastAsia="Times New Roman"/>
          <w:b w:val="true"/>
          <w:color w:val="000000"/>
          <w:spacing w:val="0"/>
          <w:w w:val="100"/>
          <w:sz w:val="20"/>
          <w:vertAlign w:val="baseline"/>
          <w:lang w:val="en-US"/>
        </w:rPr>
        <w:t xml:space="preserve">PLANT AND STRUCTURES	</w:t>
      </w:r>
      <w:r>
        <w:rPr>
          <w:rFonts w:ascii="Times New Roman" w:hAnsi="Times New Roman" w:eastAsia="Times New Roman"/>
          <w:b w:val="true"/>
          <w:color w:val="000000"/>
          <w:spacing w:val="0"/>
          <w:w w:val="100"/>
          <w:sz w:val="20"/>
          <w:vertAlign w:val="baseline"/>
          <w:lang w:val="en-US"/>
        </w:rPr>
        <w:t xml:space="preserve">143</w:t>
      </w:r>
    </w:p>
    <w:p>
      <w:pPr>
        <w:tabs>
          <w:tab w:val="left" w:leader="none" w:pos="1368"/>
          <w:tab w:val="right" w:leader="none" w:pos="7704"/>
        </w:tabs>
        <w:spacing w:before="243"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5.1	</w:t>
      </w:r>
      <w:r>
        <w:rPr>
          <w:rFonts w:ascii="Times New Roman" w:hAnsi="Times New Roman" w:eastAsia="Times New Roman"/>
          <w:b w:val="true"/>
          <w:color w:val="000000"/>
          <w:spacing w:val="0"/>
          <w:w w:val="100"/>
          <w:sz w:val="20"/>
          <w:vertAlign w:val="baseline"/>
          <w:lang w:val="en-US"/>
        </w:rPr>
        <w:t xml:space="preserve">GENERAL DUTIES FOR PLANT AND STRUCTURES	</w:t>
      </w:r>
      <w:r>
        <w:rPr>
          <w:rFonts w:ascii="Times New Roman" w:hAnsi="Times New Roman" w:eastAsia="Times New Roman"/>
          <w:b w:val="true"/>
          <w:color w:val="000000"/>
          <w:spacing w:val="0"/>
          <w:w w:val="100"/>
          <w:sz w:val="20"/>
          <w:vertAlign w:val="baseline"/>
          <w:lang w:val="en-US"/>
        </w:rPr>
        <w:t xml:space="preserve">143</w:t>
      </w:r>
    </w:p>
    <w:p>
      <w:pPr>
        <w:tabs>
          <w:tab w:val="left" w:leader="none" w:pos="1368"/>
          <w:tab w:val="right" w:leader="none" w:pos="7704"/>
        </w:tabs>
        <w:spacing w:before="123"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1	</w:t>
      </w:r>
      <w:r>
        <w:rPr>
          <w:rFonts w:ascii="Times New Roman" w:hAnsi="Times New Roman" w:eastAsia="Times New Roman"/>
          <w:b w:val="true"/>
          <w:color w:val="000000"/>
          <w:spacing w:val="0"/>
          <w:w w:val="100"/>
          <w:sz w:val="20"/>
          <w:vertAlign w:val="baseline"/>
          <w:lang w:val="en-US"/>
        </w:rPr>
        <w:t xml:space="preserve">Preliminary	</w:t>
      </w:r>
      <w:r>
        <w:rPr>
          <w:rFonts w:ascii="Times New Roman" w:hAnsi="Times New Roman" w:eastAsia="Times New Roman"/>
          <w:b w:val="true"/>
          <w:color w:val="000000"/>
          <w:spacing w:val="0"/>
          <w:w w:val="100"/>
          <w:sz w:val="20"/>
          <w:vertAlign w:val="baseline"/>
          <w:lang w:val="en-US"/>
        </w:rPr>
        <w:t xml:space="preserve">143</w:t>
      </w:r>
    </w:p>
    <w:p>
      <w:pPr>
        <w:tabs>
          <w:tab w:val="right" w:leader="none" w:pos="504"/>
          <w:tab w:val="left" w:leader="none" w:pos="720"/>
          <w:tab w:val="right" w:leader="none" w:pos="7704"/>
        </w:tabs>
        <w:spacing w:before="12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ab/>
      </w:r>
      <w:r>
        <w:rPr>
          <w:rFonts w:ascii="Times New Roman" w:hAnsi="Times New Roman" w:eastAsia="Times New Roman"/>
          <w:color w:val="000000"/>
          <w:spacing w:val="0"/>
          <w:w w:val="100"/>
          <w:sz w:val="20"/>
          <w:vertAlign w:val="baseline"/>
          <w:lang w:val="en-US"/>
        </w:rPr>
        <w:t xml:space="preserve">185	</w:t>
      </w:r>
      <w:r>
        <w:rPr>
          <w:rFonts w:ascii="Times New Roman" w:hAnsi="Times New Roman" w:eastAsia="Times New Roman"/>
          <w:color w:val="000000"/>
          <w:spacing w:val="0"/>
          <w:w w:val="100"/>
          <w:sz w:val="20"/>
          <w:vertAlign w:val="baseline"/>
          <w:lang w:val="en-US"/>
        </w:rPr>
        <w:t xml:space="preserve">Application of Part 5.1 to plant	</w:t>
      </w:r>
      <w:r>
        <w:rPr>
          <w:rFonts w:ascii="Times New Roman" w:hAnsi="Times New Roman" w:eastAsia="Times New Roman"/>
          <w:color w:val="000000"/>
          <w:spacing w:val="0"/>
          <w:w w:val="100"/>
          <w:sz w:val="20"/>
          <w:vertAlign w:val="baseline"/>
          <w:lang w:val="en-US"/>
        </w:rPr>
        <w:t xml:space="preserve">143</w:t>
      </w:r>
    </w:p>
    <w:p>
      <w:pPr>
        <w:tabs>
          <w:tab w:val="right" w:leader="none" w:pos="504"/>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ab/>
      </w:r>
      <w:r>
        <w:rPr>
          <w:rFonts w:ascii="Times New Roman" w:hAnsi="Times New Roman" w:eastAsia="Times New Roman"/>
          <w:color w:val="000000"/>
          <w:spacing w:val="0"/>
          <w:w w:val="100"/>
          <w:sz w:val="20"/>
          <w:vertAlign w:val="baseline"/>
          <w:lang w:val="en-US"/>
        </w:rPr>
        <w:t xml:space="preserve">186	</w:t>
      </w:r>
      <w:r>
        <w:rPr>
          <w:rFonts w:ascii="Times New Roman" w:hAnsi="Times New Roman" w:eastAsia="Times New Roman"/>
          <w:color w:val="000000"/>
          <w:spacing w:val="0"/>
          <w:w w:val="100"/>
          <w:sz w:val="20"/>
          <w:vertAlign w:val="baseline"/>
          <w:lang w:val="en-US"/>
        </w:rPr>
        <w:t xml:space="preserve">Application of Part 5.1 to structures	</w:t>
      </w:r>
      <w:r>
        <w:rPr>
          <w:rFonts w:ascii="Times New Roman" w:hAnsi="Times New Roman" w:eastAsia="Times New Roman"/>
          <w:color w:val="000000"/>
          <w:spacing w:val="0"/>
          <w:w w:val="100"/>
          <w:sz w:val="20"/>
          <w:vertAlign w:val="baseline"/>
          <w:lang w:val="en-US"/>
        </w:rPr>
        <w:t xml:space="preserve">143</w:t>
      </w:r>
    </w:p>
    <w:p>
      <w:pPr>
        <w:tabs>
          <w:tab w:val="left" w:leader="none" w:pos="1368"/>
        </w:tabs>
        <w:spacing w:before="4"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2	</w:t>
      </w:r>
      <w:r>
        <w:rPr>
          <w:rFonts w:ascii="Times New Roman" w:hAnsi="Times New Roman" w:eastAsia="Times New Roman"/>
          <w:b w:val="true"/>
          <w:color w:val="000000"/>
          <w:spacing w:val="0"/>
          <w:w w:val="100"/>
          <w:sz w:val="20"/>
          <w:vertAlign w:val="baseline"/>
          <w:lang w:val="en-US"/>
        </w:rPr>
        <w:t xml:space="preserve">Duties of persons conducting businesses or undertakings that design</w:t>
      </w:r>
    </w:p>
    <w:p>
      <w:pPr>
        <w:tabs>
          <w:tab w:val="right" w:leader="none" w:pos="504"/>
          <w:tab w:val="left" w:leader="none" w:pos="1368"/>
        </w:tabs>
        <w:spacing w:before="3"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ab/>
      </w:r>
      <w:r>
        <w:rPr>
          <w:rFonts w:ascii="Times New Roman" w:hAnsi="Times New Roman" w:eastAsia="Times New Roman"/>
          <w:b w:val="true"/>
          <w:color w:val="000000"/>
          <w:spacing w:val="0"/>
          <w:w w:val="100"/>
          <w:sz w:val="20"/>
          <w:vertAlign w:val="baseline"/>
          <w:lang w:val="en-US"/>
        </w:rPr>
        <w:t xml:space="preserve">plant	</w:t>
      </w:r>
      <w:r>
        <w:rPr>
          <w:rFonts w:ascii="Times New Roman" w:hAnsi="Times New Roman" w:eastAsia="Times New Roman"/>
          <w:b w:val="true"/>
          <w:color w:val="000000"/>
          <w:spacing w:val="0"/>
          <w:w w:val="100"/>
          <w:sz w:val="20"/>
          <w:vertAlign w:val="baseline"/>
          <w:lang w:val="en-US"/>
        </w:rPr>
        <w:t xml:space="preserve">143</w:t>
      </w:r>
    </w:p>
    <w:p>
      <w:pPr>
        <w:tabs>
          <w:tab w:val="right" w:leader="none" w:pos="504"/>
          <w:tab w:val="left" w:leader="none" w:pos="720"/>
          <w:tab w:val="right" w:leader="none" w:pos="7704"/>
        </w:tabs>
        <w:spacing w:before="12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ab/>
      </w:r>
      <w:r>
        <w:rPr>
          <w:rFonts w:ascii="Times New Roman" w:hAnsi="Times New Roman" w:eastAsia="Times New Roman"/>
          <w:color w:val="000000"/>
          <w:spacing w:val="0"/>
          <w:w w:val="100"/>
          <w:sz w:val="20"/>
          <w:vertAlign w:val="baseline"/>
          <w:lang w:val="en-US"/>
        </w:rPr>
        <w:t xml:space="preserve">187	</w:t>
      </w:r>
      <w:r>
        <w:rPr>
          <w:rFonts w:ascii="Times New Roman" w:hAnsi="Times New Roman" w:eastAsia="Times New Roman"/>
          <w:color w:val="000000"/>
          <w:spacing w:val="0"/>
          <w:w w:val="100"/>
          <w:sz w:val="20"/>
          <w:vertAlign w:val="baseline"/>
          <w:lang w:val="en-US"/>
        </w:rPr>
        <w:t xml:space="preserve">Provision of information to manufacturer	</w:t>
      </w:r>
      <w:r>
        <w:rPr>
          <w:rFonts w:ascii="Times New Roman" w:hAnsi="Times New Roman" w:eastAsia="Times New Roman"/>
          <w:color w:val="000000"/>
          <w:spacing w:val="0"/>
          <w:w w:val="100"/>
          <w:sz w:val="20"/>
          <w:vertAlign w:val="baseline"/>
          <w:lang w:val="en-US"/>
        </w:rPr>
        <w:t xml:space="preserve">143</w:t>
      </w:r>
    </w:p>
    <w:p>
      <w:pPr>
        <w:tabs>
          <w:tab w:val="right" w:leader="none" w:pos="504"/>
          <w:tab w:val="left" w:leader="none" w:pos="720"/>
          <w:tab w:val="right" w:leader="none" w:pos="7704"/>
        </w:tabs>
        <w:spacing w:before="0" w:after="0" w:line="226"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ab/>
      </w:r>
      <w:r>
        <w:rPr>
          <w:rFonts w:ascii="Times New Roman" w:hAnsi="Times New Roman" w:eastAsia="Times New Roman"/>
          <w:color w:val="000000"/>
          <w:spacing w:val="0"/>
          <w:w w:val="100"/>
          <w:sz w:val="20"/>
          <w:vertAlign w:val="baseline"/>
          <w:lang w:val="en-US"/>
        </w:rPr>
        <w:t xml:space="preserve">188	</w:t>
      </w:r>
      <w:r>
        <w:rPr>
          <w:rFonts w:ascii="Times New Roman" w:hAnsi="Times New Roman" w:eastAsia="Times New Roman"/>
          <w:color w:val="000000"/>
          <w:spacing w:val="0"/>
          <w:w w:val="100"/>
          <w:sz w:val="20"/>
          <w:vertAlign w:val="baseline"/>
          <w:lang w:val="en-US"/>
        </w:rPr>
        <w:t xml:space="preserve">Hazard identified in design during manufacture	</w:t>
      </w:r>
      <w:r>
        <w:rPr>
          <w:rFonts w:ascii="Times New Roman" w:hAnsi="Times New Roman" w:eastAsia="Times New Roman"/>
          <w:color w:val="000000"/>
          <w:spacing w:val="0"/>
          <w:w w:val="100"/>
          <w:sz w:val="20"/>
          <w:vertAlign w:val="baseline"/>
          <w:lang w:val="en-US"/>
        </w:rPr>
        <w:t xml:space="preserve">144</w:t>
      </w:r>
    </w:p>
    <w:p>
      <w:pPr>
        <w:tabs>
          <w:tab w:val="left" w:leader="none" w:pos="216"/>
          <w:tab w:val="right" w:leader="none" w:pos="504"/>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ab/>
      </w:r>
      <w:r>
        <w:rPr>
          <w:rFonts w:ascii="Times New Roman" w:hAnsi="Times New Roman" w:eastAsia="Times New Roman"/>
          <w:color w:val="000000"/>
          <w:spacing w:val="0"/>
          <w:w w:val="100"/>
          <w:sz w:val="20"/>
          <w:vertAlign w:val="baseline"/>
          <w:lang w:val="en-US"/>
        </w:rPr>
        <w:t xml:space="preserve">189	</w:t>
      </w:r>
      <w:r>
        <w:rPr>
          <w:rFonts w:ascii="Times New Roman" w:hAnsi="Times New Roman" w:eastAsia="Times New Roman"/>
          <w:color w:val="000000"/>
          <w:spacing w:val="0"/>
          <w:w w:val="100"/>
          <w:sz w:val="20"/>
          <w:vertAlign w:val="baseline"/>
          <w:lang w:val="en-US"/>
        </w:rPr>
        <w:t xml:space="preserve">Guarding	</w:t>
      </w:r>
      <w:r>
        <w:rPr>
          <w:rFonts w:ascii="Times New Roman" w:hAnsi="Times New Roman" w:eastAsia="Times New Roman"/>
          <w:color w:val="000000"/>
          <w:spacing w:val="0"/>
          <w:w w:val="100"/>
          <w:sz w:val="20"/>
          <w:vertAlign w:val="baseline"/>
          <w:lang w:val="en-US"/>
        </w:rPr>
        <w:t xml:space="preserve">144</w:t>
      </w:r>
    </w:p>
    <w:p>
      <w:pPr>
        <w:tabs>
          <w:tab w:val="right" w:leader="none" w:pos="504"/>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ab/>
      </w:r>
      <w:r>
        <w:rPr>
          <w:rFonts w:ascii="Times New Roman" w:hAnsi="Times New Roman" w:eastAsia="Times New Roman"/>
          <w:color w:val="000000"/>
          <w:spacing w:val="0"/>
          <w:w w:val="100"/>
          <w:sz w:val="20"/>
          <w:vertAlign w:val="baseline"/>
          <w:lang w:val="en-US"/>
        </w:rPr>
        <w:t xml:space="preserve">190	</w:t>
      </w:r>
      <w:r>
        <w:rPr>
          <w:rFonts w:ascii="Times New Roman" w:hAnsi="Times New Roman" w:eastAsia="Times New Roman"/>
          <w:color w:val="000000"/>
          <w:spacing w:val="0"/>
          <w:w w:val="100"/>
          <w:sz w:val="20"/>
          <w:vertAlign w:val="baseline"/>
          <w:lang w:val="en-US"/>
        </w:rPr>
        <w:t xml:space="preserve">Operational controls	</w:t>
      </w:r>
      <w:r>
        <w:rPr>
          <w:rFonts w:ascii="Times New Roman" w:hAnsi="Times New Roman" w:eastAsia="Times New Roman"/>
          <w:color w:val="000000"/>
          <w:spacing w:val="0"/>
          <w:w w:val="100"/>
          <w:sz w:val="20"/>
          <w:vertAlign w:val="baseline"/>
          <w:lang w:val="en-US"/>
        </w:rPr>
        <w:t xml:space="preserve">146</w:t>
      </w:r>
    </w:p>
    <w:p>
      <w:pPr>
        <w:tabs>
          <w:tab w:val="right" w:leader="none" w:pos="504"/>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ab/>
      </w:r>
      <w:r>
        <w:rPr>
          <w:rFonts w:ascii="Times New Roman" w:hAnsi="Times New Roman" w:eastAsia="Times New Roman"/>
          <w:color w:val="000000"/>
          <w:spacing w:val="0"/>
          <w:w w:val="100"/>
          <w:sz w:val="20"/>
          <w:vertAlign w:val="baseline"/>
          <w:lang w:val="en-US"/>
        </w:rPr>
        <w:t xml:space="preserve">191	</w:t>
      </w:r>
      <w:r>
        <w:rPr>
          <w:rFonts w:ascii="Times New Roman" w:hAnsi="Times New Roman" w:eastAsia="Times New Roman"/>
          <w:color w:val="000000"/>
          <w:spacing w:val="0"/>
          <w:w w:val="100"/>
          <w:sz w:val="20"/>
          <w:vertAlign w:val="baseline"/>
          <w:lang w:val="en-US"/>
        </w:rPr>
        <w:t xml:space="preserve">Emergency stop controls	</w:t>
      </w:r>
      <w:r>
        <w:rPr>
          <w:rFonts w:ascii="Times New Roman" w:hAnsi="Times New Roman" w:eastAsia="Times New Roman"/>
          <w:color w:val="000000"/>
          <w:spacing w:val="0"/>
          <w:w w:val="100"/>
          <w:sz w:val="20"/>
          <w:vertAlign w:val="baseline"/>
          <w:lang w:val="en-US"/>
        </w:rPr>
        <w:t xml:space="preserve">147</w:t>
      </w:r>
    </w:p>
    <w:p>
      <w:pPr>
        <w:tabs>
          <w:tab w:val="right" w:leader="none" w:pos="504"/>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ab/>
      </w:r>
      <w:r>
        <w:rPr>
          <w:rFonts w:ascii="Times New Roman" w:hAnsi="Times New Roman" w:eastAsia="Times New Roman"/>
          <w:color w:val="000000"/>
          <w:spacing w:val="0"/>
          <w:w w:val="100"/>
          <w:sz w:val="20"/>
          <w:vertAlign w:val="baseline"/>
          <w:lang w:val="en-US"/>
        </w:rPr>
        <w:t xml:space="preserve">192	</w:t>
      </w:r>
      <w:r>
        <w:rPr>
          <w:rFonts w:ascii="Times New Roman" w:hAnsi="Times New Roman" w:eastAsia="Times New Roman"/>
          <w:color w:val="000000"/>
          <w:spacing w:val="0"/>
          <w:w w:val="100"/>
          <w:sz w:val="20"/>
          <w:vertAlign w:val="baseline"/>
          <w:lang w:val="en-US"/>
        </w:rPr>
        <w:t xml:space="preserve">Warning devices	</w:t>
      </w:r>
      <w:r>
        <w:rPr>
          <w:rFonts w:ascii="Times New Roman" w:hAnsi="Times New Roman" w:eastAsia="Times New Roman"/>
          <w:color w:val="000000"/>
          <w:spacing w:val="0"/>
          <w:w w:val="100"/>
          <w:sz w:val="20"/>
          <w:vertAlign w:val="baseline"/>
          <w:lang w:val="en-US"/>
        </w:rPr>
        <w:t xml:space="preserve">147</w:t>
      </w:r>
    </w:p>
    <w:p>
      <w:pPr>
        <w:tabs>
          <w:tab w:val="left" w:leader="none" w:pos="1368"/>
        </w:tabs>
        <w:spacing w:before="3"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3	</w:t>
      </w:r>
      <w:r>
        <w:rPr>
          <w:rFonts w:ascii="Times New Roman" w:hAnsi="Times New Roman" w:eastAsia="Times New Roman"/>
          <w:b w:val="true"/>
          <w:color w:val="000000"/>
          <w:spacing w:val="0"/>
          <w:w w:val="100"/>
          <w:sz w:val="20"/>
          <w:vertAlign w:val="baseline"/>
          <w:lang w:val="en-US"/>
        </w:rPr>
        <w:t xml:space="preserve">Duties of persons conducting businesses or undertakings that</w:t>
      </w:r>
    </w:p>
    <w:p>
      <w:pPr>
        <w:tabs>
          <w:tab w:val="right" w:leader="none" w:pos="7704"/>
        </w:tabs>
        <w:spacing w:before="3"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manufacture plant	</w:t>
      </w:r>
      <w:r>
        <w:rPr>
          <w:rFonts w:ascii="Times New Roman" w:hAnsi="Times New Roman" w:eastAsia="Times New Roman"/>
          <w:b w:val="true"/>
          <w:color w:val="000000"/>
          <w:spacing w:val="0"/>
          <w:w w:val="100"/>
          <w:sz w:val="20"/>
          <w:vertAlign w:val="baseline"/>
          <w:lang w:val="en-US"/>
        </w:rPr>
        <w:t xml:space="preserve">148</w:t>
      </w:r>
    </w:p>
    <w:p>
      <w:pPr>
        <w:tabs>
          <w:tab w:val="right" w:leader="none" w:pos="504"/>
          <w:tab w:val="left" w:leader="none" w:pos="720"/>
          <w:tab w:val="right" w:leader="none" w:pos="7704"/>
        </w:tabs>
        <w:spacing w:before="12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ab/>
      </w:r>
      <w:r>
        <w:rPr>
          <w:rFonts w:ascii="Times New Roman" w:hAnsi="Times New Roman" w:eastAsia="Times New Roman"/>
          <w:color w:val="000000"/>
          <w:spacing w:val="0"/>
          <w:w w:val="100"/>
          <w:sz w:val="20"/>
          <w:vertAlign w:val="baseline"/>
          <w:lang w:val="en-US"/>
        </w:rPr>
        <w:t xml:space="preserve">193	</w:t>
      </w:r>
      <w:r>
        <w:rPr>
          <w:rFonts w:ascii="Times New Roman" w:hAnsi="Times New Roman" w:eastAsia="Times New Roman"/>
          <w:color w:val="000000"/>
          <w:spacing w:val="0"/>
          <w:w w:val="100"/>
          <w:sz w:val="20"/>
          <w:vertAlign w:val="baseline"/>
          <w:lang w:val="en-US"/>
        </w:rPr>
        <w:t xml:space="preserve">Control of risk	</w:t>
      </w:r>
      <w:r>
        <w:rPr>
          <w:rFonts w:ascii="Times New Roman" w:hAnsi="Times New Roman" w:eastAsia="Times New Roman"/>
          <w:color w:val="000000"/>
          <w:spacing w:val="0"/>
          <w:w w:val="100"/>
          <w:sz w:val="20"/>
          <w:vertAlign w:val="baseline"/>
          <w:lang w:val="en-US"/>
        </w:rPr>
        <w:t xml:space="preserve">148</w:t>
      </w:r>
    </w:p>
    <w:p>
      <w:pPr>
        <w:tabs>
          <w:tab w:val="left" w:leader="none" w:pos="216"/>
          <w:tab w:val="right" w:leader="none" w:pos="504"/>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ab/>
      </w:r>
      <w:r>
        <w:rPr>
          <w:rFonts w:ascii="Times New Roman" w:hAnsi="Times New Roman" w:eastAsia="Times New Roman"/>
          <w:color w:val="000000"/>
          <w:spacing w:val="0"/>
          <w:w w:val="100"/>
          <w:sz w:val="20"/>
          <w:vertAlign w:val="baseline"/>
          <w:lang w:val="en-US"/>
        </w:rPr>
        <w:t xml:space="preserve">194	</w:t>
      </w:r>
      <w:r>
        <w:rPr>
          <w:rFonts w:ascii="Times New Roman" w:hAnsi="Times New Roman" w:eastAsia="Times New Roman"/>
          <w:color w:val="000000"/>
          <w:spacing w:val="0"/>
          <w:w w:val="100"/>
          <w:sz w:val="20"/>
          <w:vertAlign w:val="baseline"/>
          <w:lang w:val="en-US"/>
        </w:rPr>
        <w:t xml:space="preserve">Guarding	</w:t>
      </w:r>
      <w:r>
        <w:rPr>
          <w:rFonts w:ascii="Times New Roman" w:hAnsi="Times New Roman" w:eastAsia="Times New Roman"/>
          <w:color w:val="000000"/>
          <w:spacing w:val="0"/>
          <w:w w:val="100"/>
          <w:sz w:val="20"/>
          <w:vertAlign w:val="baseline"/>
          <w:lang w:val="en-US"/>
        </w:rPr>
        <w:t xml:space="preserve">149</w:t>
      </w:r>
    </w:p>
    <w:p>
      <w:pPr>
        <w:tabs>
          <w:tab w:val="right" w:leader="none" w:pos="504"/>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ab/>
      </w:r>
      <w:r>
        <w:rPr>
          <w:rFonts w:ascii="Times New Roman" w:hAnsi="Times New Roman" w:eastAsia="Times New Roman"/>
          <w:color w:val="000000"/>
          <w:spacing w:val="0"/>
          <w:w w:val="100"/>
          <w:sz w:val="20"/>
          <w:vertAlign w:val="baseline"/>
          <w:lang w:val="en-US"/>
        </w:rPr>
        <w:t xml:space="preserve">195	</w:t>
      </w:r>
      <w:r>
        <w:rPr>
          <w:rFonts w:ascii="Times New Roman" w:hAnsi="Times New Roman" w:eastAsia="Times New Roman"/>
          <w:color w:val="000000"/>
          <w:spacing w:val="0"/>
          <w:w w:val="100"/>
          <w:sz w:val="20"/>
          <w:vertAlign w:val="baseline"/>
          <w:lang w:val="en-US"/>
        </w:rPr>
        <w:t xml:space="preserve">Information must be obtained and provided	</w:t>
      </w:r>
      <w:r>
        <w:rPr>
          <w:rFonts w:ascii="Times New Roman" w:hAnsi="Times New Roman" w:eastAsia="Times New Roman"/>
          <w:color w:val="000000"/>
          <w:spacing w:val="0"/>
          <w:w w:val="100"/>
          <w:sz w:val="20"/>
          <w:vertAlign w:val="baseline"/>
          <w:lang w:val="en-US"/>
        </w:rPr>
        <w:t xml:space="preserve">149</w:t>
      </w:r>
    </w:p>
    <w:p>
      <w:pPr>
        <w:tabs>
          <w:tab w:val="left" w:leader="none" w:pos="1368"/>
        </w:tabs>
        <w:spacing w:before="3"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4	</w:t>
      </w:r>
      <w:r>
        <w:rPr>
          <w:rFonts w:ascii="Times New Roman" w:hAnsi="Times New Roman" w:eastAsia="Times New Roman"/>
          <w:b w:val="true"/>
          <w:color w:val="000000"/>
          <w:spacing w:val="0"/>
          <w:w w:val="100"/>
          <w:sz w:val="20"/>
          <w:vertAlign w:val="baseline"/>
          <w:lang w:val="en-US"/>
        </w:rPr>
        <w:t xml:space="preserve">Duties of persons conducting businesses or undertakings that import</w:t>
      </w:r>
    </w:p>
    <w:p>
      <w:pPr>
        <w:tabs>
          <w:tab w:val="right" w:leader="none" w:pos="504"/>
          <w:tab w:val="left" w:leader="none" w:pos="1368"/>
        </w:tabs>
        <w:spacing w:before="3"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ab/>
      </w:r>
      <w:r>
        <w:rPr>
          <w:rFonts w:ascii="Times New Roman" w:hAnsi="Times New Roman" w:eastAsia="Times New Roman"/>
          <w:b w:val="true"/>
          <w:color w:val="000000"/>
          <w:spacing w:val="0"/>
          <w:w w:val="100"/>
          <w:sz w:val="20"/>
          <w:vertAlign w:val="baseline"/>
          <w:lang w:val="en-US"/>
        </w:rPr>
        <w:t xml:space="preserve">plant	</w:t>
      </w:r>
      <w:r>
        <w:rPr>
          <w:rFonts w:ascii="Times New Roman" w:hAnsi="Times New Roman" w:eastAsia="Times New Roman"/>
          <w:b w:val="true"/>
          <w:color w:val="000000"/>
          <w:spacing w:val="0"/>
          <w:w w:val="100"/>
          <w:sz w:val="20"/>
          <w:vertAlign w:val="baseline"/>
          <w:lang w:val="en-US"/>
        </w:rPr>
        <w:t xml:space="preserve">150</w:t>
      </w:r>
    </w:p>
    <w:p>
      <w:pPr>
        <w:tabs>
          <w:tab w:val="right" w:leader="none" w:pos="504"/>
          <w:tab w:val="left" w:leader="none" w:pos="720"/>
          <w:tab w:val="right" w:leader="none" w:pos="7704"/>
        </w:tabs>
        <w:spacing w:before="116"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ab/>
      </w:r>
      <w:r>
        <w:rPr>
          <w:rFonts w:ascii="Times New Roman" w:hAnsi="Times New Roman" w:eastAsia="Times New Roman"/>
          <w:color w:val="000000"/>
          <w:spacing w:val="0"/>
          <w:w w:val="100"/>
          <w:sz w:val="20"/>
          <w:vertAlign w:val="baseline"/>
          <w:lang w:val="en-US"/>
        </w:rPr>
        <w:t xml:space="preserve">196	</w:t>
      </w:r>
      <w:r>
        <w:rPr>
          <w:rFonts w:ascii="Times New Roman" w:hAnsi="Times New Roman" w:eastAsia="Times New Roman"/>
          <w:color w:val="000000"/>
          <w:spacing w:val="0"/>
          <w:w w:val="100"/>
          <w:sz w:val="20"/>
          <w:vertAlign w:val="baseline"/>
          <w:lang w:val="en-US"/>
        </w:rPr>
        <w:t xml:space="preserve">Information to be obtained and provided by importer	</w:t>
      </w:r>
      <w:r>
        <w:rPr>
          <w:rFonts w:ascii="Times New Roman" w:hAnsi="Times New Roman" w:eastAsia="Times New Roman"/>
          <w:color w:val="000000"/>
          <w:spacing w:val="0"/>
          <w:w w:val="100"/>
          <w:sz w:val="20"/>
          <w:vertAlign w:val="baseline"/>
          <w:lang w:val="en-US"/>
        </w:rPr>
        <w:t xml:space="preserve">150</w:t>
      </w:r>
    </w:p>
    <w:p>
      <w:pPr>
        <w:tabs>
          <w:tab w:val="right" w:leader="none" w:pos="504"/>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ab/>
      </w:r>
      <w:r>
        <w:rPr>
          <w:rFonts w:ascii="Times New Roman" w:hAnsi="Times New Roman" w:eastAsia="Times New Roman"/>
          <w:color w:val="000000"/>
          <w:spacing w:val="0"/>
          <w:w w:val="100"/>
          <w:sz w:val="20"/>
          <w:vertAlign w:val="baseline"/>
          <w:lang w:val="en-US"/>
        </w:rPr>
        <w:t xml:space="preserve">197	</w:t>
      </w:r>
      <w:r>
        <w:rPr>
          <w:rFonts w:ascii="Times New Roman" w:hAnsi="Times New Roman" w:eastAsia="Times New Roman"/>
          <w:color w:val="000000"/>
          <w:spacing w:val="0"/>
          <w:w w:val="100"/>
          <w:sz w:val="20"/>
          <w:vertAlign w:val="baseline"/>
          <w:lang w:val="en-US"/>
        </w:rPr>
        <w:t xml:space="preserve">Control of risk	</w:t>
      </w:r>
      <w:r>
        <w:rPr>
          <w:rFonts w:ascii="Times New Roman" w:hAnsi="Times New Roman" w:eastAsia="Times New Roman"/>
          <w:color w:val="000000"/>
          <w:spacing w:val="0"/>
          <w:w w:val="100"/>
          <w:sz w:val="20"/>
          <w:vertAlign w:val="baseline"/>
          <w:lang w:val="en-US"/>
        </w:rPr>
        <w:t xml:space="preserve">151</w:t>
      </w:r>
    </w:p>
    <w:p>
      <w:pPr>
        <w:tabs>
          <w:tab w:val="left" w:leader="none" w:pos="1368"/>
        </w:tabs>
        <w:spacing w:before="4"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5	</w:t>
      </w:r>
      <w:r>
        <w:rPr>
          <w:rFonts w:ascii="Times New Roman" w:hAnsi="Times New Roman" w:eastAsia="Times New Roman"/>
          <w:b w:val="true"/>
          <w:color w:val="000000"/>
          <w:spacing w:val="0"/>
          <w:w w:val="100"/>
          <w:sz w:val="20"/>
          <w:vertAlign w:val="baseline"/>
          <w:lang w:val="en-US"/>
        </w:rPr>
        <w:t xml:space="preserve">Duties of persons conducting businesses or undertakings that supply</w:t>
      </w:r>
    </w:p>
    <w:p>
      <w:pPr>
        <w:tabs>
          <w:tab w:val="right" w:leader="none" w:pos="504"/>
          <w:tab w:val="left" w:leader="none" w:pos="1368"/>
        </w:tabs>
        <w:spacing w:before="3"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ab/>
      </w:r>
      <w:r>
        <w:rPr>
          <w:rFonts w:ascii="Times New Roman" w:hAnsi="Times New Roman" w:eastAsia="Times New Roman"/>
          <w:b w:val="true"/>
          <w:color w:val="000000"/>
          <w:spacing w:val="0"/>
          <w:w w:val="100"/>
          <w:sz w:val="20"/>
          <w:vertAlign w:val="baseline"/>
          <w:lang w:val="en-US"/>
        </w:rPr>
        <w:t xml:space="preserve">plant	</w:t>
      </w:r>
      <w:r>
        <w:rPr>
          <w:rFonts w:ascii="Times New Roman" w:hAnsi="Times New Roman" w:eastAsia="Times New Roman"/>
          <w:b w:val="true"/>
          <w:color w:val="000000"/>
          <w:spacing w:val="0"/>
          <w:w w:val="100"/>
          <w:sz w:val="20"/>
          <w:vertAlign w:val="baseline"/>
          <w:lang w:val="en-US"/>
        </w:rPr>
        <w:t xml:space="preserve">151</w:t>
      </w:r>
    </w:p>
    <w:p>
      <w:pPr>
        <w:tabs>
          <w:tab w:val="right" w:leader="none" w:pos="504"/>
          <w:tab w:val="left" w:leader="none" w:pos="720"/>
          <w:tab w:val="right" w:leader="none" w:pos="7704"/>
        </w:tabs>
        <w:spacing w:before="12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ab/>
      </w:r>
      <w:r>
        <w:rPr>
          <w:rFonts w:ascii="Times New Roman" w:hAnsi="Times New Roman" w:eastAsia="Times New Roman"/>
          <w:color w:val="000000"/>
          <w:spacing w:val="0"/>
          <w:w w:val="100"/>
          <w:sz w:val="20"/>
          <w:vertAlign w:val="baseline"/>
          <w:lang w:val="en-US"/>
        </w:rPr>
        <w:t xml:space="preserve">198	</w:t>
      </w:r>
      <w:r>
        <w:rPr>
          <w:rFonts w:ascii="Times New Roman" w:hAnsi="Times New Roman" w:eastAsia="Times New Roman"/>
          <w:color w:val="000000"/>
          <w:spacing w:val="0"/>
          <w:w w:val="100"/>
          <w:sz w:val="20"/>
          <w:vertAlign w:val="baseline"/>
          <w:lang w:val="en-US"/>
        </w:rPr>
        <w:t xml:space="preserve">Information to be obtained and provided by supplier	</w:t>
      </w:r>
      <w:r>
        <w:rPr>
          <w:rFonts w:ascii="Times New Roman" w:hAnsi="Times New Roman" w:eastAsia="Times New Roman"/>
          <w:color w:val="000000"/>
          <w:spacing w:val="0"/>
          <w:w w:val="100"/>
          <w:sz w:val="20"/>
          <w:vertAlign w:val="baseline"/>
          <w:lang w:val="en-US"/>
        </w:rPr>
        <w:t xml:space="preserve">151</w:t>
      </w:r>
    </w:p>
    <w:p>
      <w:pPr>
        <w:tabs>
          <w:tab w:val="right" w:leader="none" w:pos="504"/>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ab/>
      </w:r>
      <w:r>
        <w:rPr>
          <w:rFonts w:ascii="Times New Roman" w:hAnsi="Times New Roman" w:eastAsia="Times New Roman"/>
          <w:color w:val="000000"/>
          <w:spacing w:val="0"/>
          <w:w w:val="100"/>
          <w:sz w:val="20"/>
          <w:vertAlign w:val="baseline"/>
          <w:lang w:val="en-US"/>
        </w:rPr>
        <w:t xml:space="preserve">199	</w:t>
      </w:r>
      <w:r>
        <w:rPr>
          <w:rFonts w:ascii="Times New Roman" w:hAnsi="Times New Roman" w:eastAsia="Times New Roman"/>
          <w:color w:val="000000"/>
          <w:spacing w:val="0"/>
          <w:w w:val="100"/>
          <w:sz w:val="20"/>
          <w:vertAlign w:val="baseline"/>
          <w:lang w:val="en-US"/>
        </w:rPr>
        <w:t xml:space="preserve">Supply of second-hand plant—duties of supplier	</w:t>
      </w:r>
      <w:r>
        <w:rPr>
          <w:rFonts w:ascii="Times New Roman" w:hAnsi="Times New Roman" w:eastAsia="Times New Roman"/>
          <w:color w:val="000000"/>
          <w:spacing w:val="0"/>
          <w:w w:val="100"/>
          <w:sz w:val="20"/>
          <w:vertAlign w:val="baseline"/>
          <w:lang w:val="en-US"/>
        </w:rPr>
        <w:t xml:space="preserve">152</w:t>
      </w:r>
    </w:p>
    <w:p>
      <w:pPr>
        <w:tabs>
          <w:tab w:val="right" w:leader="none" w:pos="504"/>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ab/>
      </w:r>
      <w:r>
        <w:rPr>
          <w:rFonts w:ascii="Times New Roman" w:hAnsi="Times New Roman" w:eastAsia="Times New Roman"/>
          <w:color w:val="000000"/>
          <w:spacing w:val="0"/>
          <w:w w:val="100"/>
          <w:sz w:val="20"/>
          <w:vertAlign w:val="baseline"/>
          <w:lang w:val="en-US"/>
        </w:rPr>
        <w:t xml:space="preserve">200	</w:t>
      </w:r>
      <w:r>
        <w:rPr>
          <w:rFonts w:ascii="Times New Roman" w:hAnsi="Times New Roman" w:eastAsia="Times New Roman"/>
          <w:color w:val="000000"/>
          <w:spacing w:val="0"/>
          <w:w w:val="100"/>
          <w:sz w:val="20"/>
          <w:vertAlign w:val="baseline"/>
          <w:lang w:val="en-US"/>
        </w:rPr>
        <w:t xml:space="preserve">Second-hand plant to be used for scrap or spare parts	</w:t>
      </w:r>
      <w:r>
        <w:rPr>
          <w:rFonts w:ascii="Times New Roman" w:hAnsi="Times New Roman" w:eastAsia="Times New Roman"/>
          <w:color w:val="000000"/>
          <w:spacing w:val="0"/>
          <w:w w:val="100"/>
          <w:sz w:val="20"/>
          <w:vertAlign w:val="baseline"/>
          <w:lang w:val="en-US"/>
        </w:rPr>
        <w:t xml:space="preserve">152</w:t>
      </w:r>
    </w:p>
    <w:p>
      <w:pPr>
        <w:tabs>
          <w:tab w:val="left" w:leader="none" w:pos="1368"/>
        </w:tabs>
        <w:spacing w:before="4"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6	</w:t>
      </w:r>
      <w:r>
        <w:rPr>
          <w:rFonts w:ascii="Times New Roman" w:hAnsi="Times New Roman" w:eastAsia="Times New Roman"/>
          <w:b w:val="true"/>
          <w:color w:val="000000"/>
          <w:spacing w:val="0"/>
          <w:w w:val="100"/>
          <w:sz w:val="20"/>
          <w:vertAlign w:val="baseline"/>
          <w:lang w:val="en-US"/>
        </w:rPr>
        <w:t xml:space="preserve">Duties of persons conducting businesses or undertakings that install,</w:t>
      </w:r>
    </w:p>
    <w:p>
      <w:pPr>
        <w:tabs>
          <w:tab w:val="right" w:leader="none" w:pos="7704"/>
        </w:tabs>
        <w:spacing w:before="3"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construct or commission plant or structures	</w:t>
      </w:r>
      <w:r>
        <w:rPr>
          <w:rFonts w:ascii="Times New Roman" w:hAnsi="Times New Roman" w:eastAsia="Times New Roman"/>
          <w:b w:val="true"/>
          <w:color w:val="000000"/>
          <w:spacing w:val="0"/>
          <w:w w:val="100"/>
          <w:sz w:val="20"/>
          <w:vertAlign w:val="baseline"/>
          <w:lang w:val="en-US"/>
        </w:rPr>
        <w:t xml:space="preserve">152</w:t>
      </w:r>
    </w:p>
    <w:p>
      <w:pPr>
        <w:tabs>
          <w:tab w:val="right" w:leader="none" w:pos="504"/>
          <w:tab w:val="left" w:leader="none" w:pos="720"/>
        </w:tabs>
        <w:spacing w:before="12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ab/>
      </w:r>
      <w:r>
        <w:rPr>
          <w:rFonts w:ascii="Times New Roman" w:hAnsi="Times New Roman" w:eastAsia="Times New Roman"/>
          <w:color w:val="000000"/>
          <w:spacing w:val="0"/>
          <w:w w:val="100"/>
          <w:sz w:val="20"/>
          <w:vertAlign w:val="baseline"/>
          <w:lang w:val="en-US"/>
        </w:rPr>
        <w:t xml:space="preserve">201	</w:t>
      </w:r>
      <w:r>
        <w:rPr>
          <w:rFonts w:ascii="Times New Roman" w:hAnsi="Times New Roman" w:eastAsia="Times New Roman"/>
          <w:color w:val="000000"/>
          <w:spacing w:val="0"/>
          <w:w w:val="100"/>
          <w:sz w:val="20"/>
          <w:vertAlign w:val="baseline"/>
          <w:lang w:val="en-US"/>
        </w:rPr>
        <w:t xml:space="preserve">Duties of persons conducting businesses or undertakings that install, construct or</w:t>
      </w:r>
    </w:p>
    <w:p>
      <w:pPr>
        <w:tabs>
          <w:tab w:val="right" w:leader="none" w:pos="7704"/>
        </w:tabs>
        <w:spacing w:before="0" w:after="729" w:line="230" w:lineRule="exact"/>
        <w:ind w:right="0" w:left="720"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10.65pt" to="498.5pt,710.6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commission plant	</w:t>
      </w:r>
      <w:r>
        <w:rPr>
          <w:rFonts w:ascii="Times New Roman" w:hAnsi="Times New Roman" w:eastAsia="Times New Roman"/>
          <w:color w:val="000000"/>
          <w:spacing w:val="0"/>
          <w:w w:val="100"/>
          <w:sz w:val="20"/>
          <w:vertAlign w:val="baseline"/>
          <w:lang w:val="en-US"/>
        </w:rPr>
        <w:t xml:space="preserve">152</w:t>
      </w:r>
    </w:p>
    <w:p>
      <w:pPr>
        <w:spacing w:before="0" w:after="729" w:line="230" w:lineRule="exact"/>
        <w:sectPr>
          <w:type w:val="nextPage"/>
          <w:pgSz w:w="11909" w:h="16838" w:orient="portrait"/>
          <w:pgMar w:bottom="1542" w:top="1320" w:right="1940" w:left="1949" w:header="720" w:footer="720"/>
          <w:titlePg w:val="false"/>
          <w:textDirection w:val="lrTb"/>
        </w:sectPr>
      </w:pPr>
    </w:p>
    <w:p>
      <w:pPr>
        <w:tabs>
          <w:tab w:val="right" w:leader="none" w:pos="4032"/>
        </w:tabs>
        <w:spacing w:before="6" w:after="0" w:line="177"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1.1.2021	</w:t>
      </w:r>
      <w:r>
        <w:rPr>
          <w:rFonts w:ascii="Times New Roman" w:hAnsi="Times New Roman" w:eastAsia="Times New Roman"/>
          <w:color w:val="000000"/>
          <w:spacing w:val="0"/>
          <w:w w:val="100"/>
          <w:sz w:val="16"/>
          <w:vertAlign w:val="baseline"/>
          <w:lang w:val="en-US"/>
        </w:rPr>
        <w:t xml:space="preserve">7</w:t>
      </w:r>
    </w:p>
    <w:p>
      <w:pPr>
        <w:sectPr>
          <w:type w:val="continuous"/>
          <w:pgSz w:w="11909" w:h="16838" w:orient="portrait"/>
          <w:pgMar w:bottom="1542" w:top="1320" w:right="5915" w:left="1994" w:header="720" w:footer="720"/>
          <w:titlePg w:val="false"/>
          <w:textDirection w:val="lrTb"/>
        </w:sectPr>
      </w:pPr>
    </w:p>
    <w:p>
      <w:pPr>
        <w:spacing w:before="20" w:after="23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720"/>
        </w:tabs>
        <w:spacing w:before="477"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90.95pt" to="498.5pt,90.9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202	</w:t>
      </w:r>
      <w:r>
        <w:rPr>
          <w:rFonts w:ascii="Times New Roman" w:hAnsi="Times New Roman" w:eastAsia="Times New Roman"/>
          <w:color w:val="000000"/>
          <w:spacing w:val="0"/>
          <w:w w:val="100"/>
          <w:sz w:val="20"/>
          <w:vertAlign w:val="baseline"/>
          <w:lang w:val="en-US"/>
        </w:rPr>
        <w:t xml:space="preserve">Duties of persons conducting businesses or undertakings that install, construct or</w:t>
      </w:r>
    </w:p>
    <w:p>
      <w:pPr>
        <w:tabs>
          <w:tab w:val="right" w:leader="none" w:pos="7704"/>
        </w:tabs>
        <w:spacing w:before="1" w:after="0" w:line="230" w:lineRule="exact"/>
        <w:ind w:right="0" w:left="7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commission structures	</w:t>
      </w:r>
      <w:r>
        <w:rPr>
          <w:rFonts w:ascii="Times New Roman" w:hAnsi="Times New Roman" w:eastAsia="Times New Roman"/>
          <w:color w:val="000000"/>
          <w:spacing w:val="0"/>
          <w:w w:val="100"/>
          <w:sz w:val="20"/>
          <w:vertAlign w:val="baseline"/>
          <w:lang w:val="en-US"/>
        </w:rPr>
        <w:t xml:space="preserve">153</w:t>
      </w:r>
    </w:p>
    <w:p>
      <w:pPr>
        <w:tabs>
          <w:tab w:val="left" w:leader="none" w:pos="1368"/>
        </w:tabs>
        <w:spacing w:before="3"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7	</w:t>
      </w:r>
      <w:r>
        <w:rPr>
          <w:rFonts w:ascii="Times New Roman" w:hAnsi="Times New Roman" w:eastAsia="Times New Roman"/>
          <w:b w:val="true"/>
          <w:color w:val="000000"/>
          <w:spacing w:val="0"/>
          <w:w w:val="100"/>
          <w:sz w:val="20"/>
          <w:vertAlign w:val="baseline"/>
          <w:lang w:val="en-US"/>
        </w:rPr>
        <w:t xml:space="preserve">General duties of a person conducting a business or undertaking</w:t>
      </w:r>
    </w:p>
    <w:p>
      <w:pPr>
        <w:tabs>
          <w:tab w:val="right" w:leader="none" w:pos="7704"/>
        </w:tabs>
        <w:spacing w:before="3"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involving the management or control of plant	</w:t>
      </w:r>
      <w:r>
        <w:rPr>
          <w:rFonts w:ascii="Times New Roman" w:hAnsi="Times New Roman" w:eastAsia="Times New Roman"/>
          <w:b w:val="true"/>
          <w:color w:val="000000"/>
          <w:spacing w:val="0"/>
          <w:w w:val="100"/>
          <w:sz w:val="20"/>
          <w:vertAlign w:val="baseline"/>
          <w:lang w:val="en-US"/>
        </w:rPr>
        <w:t xml:space="preserve">153</w:t>
      </w:r>
    </w:p>
    <w:p>
      <w:pPr>
        <w:tabs>
          <w:tab w:val="left" w:leader="none" w:pos="1944"/>
          <w:tab w:val="right" w:leader="none" w:pos="7704"/>
        </w:tabs>
        <w:spacing w:before="124"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Subdivision 1	</w:t>
      </w:r>
      <w:r>
        <w:rPr>
          <w:rFonts w:ascii="Times New Roman" w:hAnsi="Times New Roman" w:eastAsia="Times New Roman"/>
          <w:b w:val="true"/>
          <w:color w:val="000000"/>
          <w:spacing w:val="0"/>
          <w:w w:val="100"/>
          <w:sz w:val="20"/>
          <w:vertAlign w:val="baseline"/>
          <w:lang w:val="en-US"/>
        </w:rPr>
        <w:t xml:space="preserve">Management of risks	</w:t>
      </w:r>
      <w:r>
        <w:rPr>
          <w:rFonts w:ascii="Times New Roman" w:hAnsi="Times New Roman" w:eastAsia="Times New Roman"/>
          <w:b w:val="true"/>
          <w:color w:val="000000"/>
          <w:spacing w:val="0"/>
          <w:w w:val="100"/>
          <w:sz w:val="20"/>
          <w:vertAlign w:val="baseline"/>
          <w:lang w:val="en-US"/>
        </w:rPr>
        <w:t xml:space="preserve">154</w:t>
      </w:r>
    </w:p>
    <w:p>
      <w:pPr>
        <w:tabs>
          <w:tab w:val="left" w:leader="none" w:pos="720"/>
          <w:tab w:val="right" w:leader="none" w:pos="7704"/>
        </w:tabs>
        <w:spacing w:before="12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203	</w:t>
      </w:r>
      <w:r>
        <w:rPr>
          <w:rFonts w:ascii="Times New Roman" w:hAnsi="Times New Roman" w:eastAsia="Times New Roman"/>
          <w:color w:val="000000"/>
          <w:spacing w:val="0"/>
          <w:w w:val="100"/>
          <w:sz w:val="20"/>
          <w:vertAlign w:val="baseline"/>
          <w:lang w:val="en-US"/>
        </w:rPr>
        <w:t xml:space="preserve">Management of risks to health and safety	</w:t>
      </w:r>
      <w:r>
        <w:rPr>
          <w:rFonts w:ascii="Times New Roman" w:hAnsi="Times New Roman" w:eastAsia="Times New Roman"/>
          <w:color w:val="000000"/>
          <w:spacing w:val="0"/>
          <w:w w:val="100"/>
          <w:sz w:val="20"/>
          <w:vertAlign w:val="baseline"/>
          <w:lang w:val="en-US"/>
        </w:rPr>
        <w:t xml:space="preserve">154</w:t>
      </w:r>
    </w:p>
    <w:p>
      <w:pPr>
        <w:tabs>
          <w:tab w:val="left" w:leader="none" w:pos="1944"/>
          <w:tab w:val="right" w:leader="none" w:pos="7704"/>
        </w:tabs>
        <w:spacing w:before="4"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Subdivision 2	</w:t>
      </w:r>
      <w:r>
        <w:rPr>
          <w:rFonts w:ascii="Times New Roman" w:hAnsi="Times New Roman" w:eastAsia="Times New Roman"/>
          <w:b w:val="true"/>
          <w:color w:val="000000"/>
          <w:spacing w:val="0"/>
          <w:w w:val="100"/>
          <w:sz w:val="20"/>
          <w:vertAlign w:val="baseline"/>
          <w:lang w:val="en-US"/>
        </w:rPr>
        <w:t xml:space="preserve">Additional control measures for general plant	</w:t>
      </w:r>
      <w:r>
        <w:rPr>
          <w:rFonts w:ascii="Times New Roman" w:hAnsi="Times New Roman" w:eastAsia="Times New Roman"/>
          <w:b w:val="true"/>
          <w:color w:val="000000"/>
          <w:spacing w:val="0"/>
          <w:w w:val="100"/>
          <w:sz w:val="20"/>
          <w:vertAlign w:val="baseline"/>
          <w:lang w:val="en-US"/>
        </w:rPr>
        <w:t xml:space="preserve">154</w:t>
      </w:r>
    </w:p>
    <w:p>
      <w:pPr>
        <w:tabs>
          <w:tab w:val="left" w:leader="none" w:pos="720"/>
          <w:tab w:val="right" w:leader="none" w:pos="7704"/>
        </w:tabs>
        <w:spacing w:before="12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204	</w:t>
      </w:r>
      <w:r>
        <w:rPr>
          <w:rFonts w:ascii="Times New Roman" w:hAnsi="Times New Roman" w:eastAsia="Times New Roman"/>
          <w:color w:val="000000"/>
          <w:spacing w:val="0"/>
          <w:w w:val="100"/>
          <w:sz w:val="20"/>
          <w:vertAlign w:val="baseline"/>
          <w:lang w:val="en-US"/>
        </w:rPr>
        <w:t xml:space="preserve">Control of risks arising from installation or commissioning	</w:t>
      </w:r>
      <w:r>
        <w:rPr>
          <w:rFonts w:ascii="Times New Roman" w:hAnsi="Times New Roman" w:eastAsia="Times New Roman"/>
          <w:color w:val="000000"/>
          <w:spacing w:val="0"/>
          <w:w w:val="100"/>
          <w:sz w:val="20"/>
          <w:vertAlign w:val="baseline"/>
          <w:lang w:val="en-US"/>
        </w:rPr>
        <w:t xml:space="preserve">154</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205	</w:t>
      </w:r>
      <w:r>
        <w:rPr>
          <w:rFonts w:ascii="Times New Roman" w:hAnsi="Times New Roman" w:eastAsia="Times New Roman"/>
          <w:color w:val="000000"/>
          <w:spacing w:val="0"/>
          <w:w w:val="100"/>
          <w:sz w:val="20"/>
          <w:vertAlign w:val="baseline"/>
          <w:lang w:val="en-US"/>
        </w:rPr>
        <w:t xml:space="preserve">Preventing unauthorised alterations to or interference with plant	</w:t>
      </w:r>
      <w:r>
        <w:rPr>
          <w:rFonts w:ascii="Times New Roman" w:hAnsi="Times New Roman" w:eastAsia="Times New Roman"/>
          <w:color w:val="000000"/>
          <w:spacing w:val="0"/>
          <w:w w:val="100"/>
          <w:sz w:val="20"/>
          <w:vertAlign w:val="baseline"/>
          <w:lang w:val="en-US"/>
        </w:rPr>
        <w:t xml:space="preserve">155</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206	</w:t>
      </w:r>
      <w:r>
        <w:rPr>
          <w:rFonts w:ascii="Times New Roman" w:hAnsi="Times New Roman" w:eastAsia="Times New Roman"/>
          <w:color w:val="000000"/>
          <w:spacing w:val="0"/>
          <w:w w:val="100"/>
          <w:sz w:val="20"/>
          <w:vertAlign w:val="baseline"/>
          <w:lang w:val="en-US"/>
        </w:rPr>
        <w:t xml:space="preserve">Proper use of plant and controls	</w:t>
      </w:r>
      <w:r>
        <w:rPr>
          <w:rFonts w:ascii="Times New Roman" w:hAnsi="Times New Roman" w:eastAsia="Times New Roman"/>
          <w:color w:val="000000"/>
          <w:spacing w:val="0"/>
          <w:w w:val="100"/>
          <w:sz w:val="20"/>
          <w:vertAlign w:val="baseline"/>
          <w:lang w:val="en-US"/>
        </w:rPr>
        <w:t xml:space="preserve">155</w:t>
      </w:r>
    </w:p>
    <w:p>
      <w:pPr>
        <w:tabs>
          <w:tab w:val="left" w:leader="none" w:pos="720"/>
          <w:tab w:val="right" w:leader="none" w:pos="7704"/>
        </w:tabs>
        <w:spacing w:before="0" w:after="0" w:line="225"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207	</w:t>
      </w:r>
      <w:r>
        <w:rPr>
          <w:rFonts w:ascii="Times New Roman" w:hAnsi="Times New Roman" w:eastAsia="Times New Roman"/>
          <w:color w:val="000000"/>
          <w:spacing w:val="0"/>
          <w:w w:val="100"/>
          <w:sz w:val="20"/>
          <w:vertAlign w:val="baseline"/>
          <w:lang w:val="en-US"/>
        </w:rPr>
        <w:t xml:space="preserve">Plant not in use	</w:t>
      </w:r>
      <w:r>
        <w:rPr>
          <w:rFonts w:ascii="Times New Roman" w:hAnsi="Times New Roman" w:eastAsia="Times New Roman"/>
          <w:color w:val="000000"/>
          <w:spacing w:val="0"/>
          <w:w w:val="100"/>
          <w:sz w:val="20"/>
          <w:vertAlign w:val="baseline"/>
          <w:lang w:val="en-US"/>
        </w:rPr>
        <w:t xml:space="preserve">156</w:t>
      </w:r>
    </w:p>
    <w:p>
      <w:pPr>
        <w:tabs>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208 Guarding	</w:t>
      </w:r>
      <w:r>
        <w:rPr>
          <w:rFonts w:ascii="Times New Roman" w:hAnsi="Times New Roman" w:eastAsia="Times New Roman"/>
          <w:color w:val="000000"/>
          <w:spacing w:val="0"/>
          <w:w w:val="100"/>
          <w:sz w:val="20"/>
          <w:vertAlign w:val="baseline"/>
          <w:lang w:val="en-US"/>
        </w:rPr>
        <w:t xml:space="preserve">156</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209	</w:t>
      </w:r>
      <w:r>
        <w:rPr>
          <w:rFonts w:ascii="Times New Roman" w:hAnsi="Times New Roman" w:eastAsia="Times New Roman"/>
          <w:color w:val="000000"/>
          <w:spacing w:val="0"/>
          <w:w w:val="100"/>
          <w:sz w:val="20"/>
          <w:vertAlign w:val="baseline"/>
          <w:lang w:val="en-US"/>
        </w:rPr>
        <w:t xml:space="preserve">Guarding and insulation from heat and cold	</w:t>
      </w:r>
      <w:r>
        <w:rPr>
          <w:rFonts w:ascii="Times New Roman" w:hAnsi="Times New Roman" w:eastAsia="Times New Roman"/>
          <w:color w:val="000000"/>
          <w:spacing w:val="0"/>
          <w:w w:val="100"/>
          <w:sz w:val="20"/>
          <w:vertAlign w:val="baseline"/>
          <w:lang w:val="en-US"/>
        </w:rPr>
        <w:t xml:space="preserve">158</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210	</w:t>
      </w:r>
      <w:r>
        <w:rPr>
          <w:rFonts w:ascii="Times New Roman" w:hAnsi="Times New Roman" w:eastAsia="Times New Roman"/>
          <w:color w:val="000000"/>
          <w:spacing w:val="0"/>
          <w:w w:val="100"/>
          <w:sz w:val="20"/>
          <w:vertAlign w:val="baseline"/>
          <w:lang w:val="en-US"/>
        </w:rPr>
        <w:t xml:space="preserve">Operational controls	</w:t>
      </w:r>
      <w:r>
        <w:rPr>
          <w:rFonts w:ascii="Times New Roman" w:hAnsi="Times New Roman" w:eastAsia="Times New Roman"/>
          <w:color w:val="000000"/>
          <w:spacing w:val="0"/>
          <w:w w:val="100"/>
          <w:sz w:val="20"/>
          <w:vertAlign w:val="baseline"/>
          <w:lang w:val="en-US"/>
        </w:rPr>
        <w:t xml:space="preserve">158</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211	</w:t>
      </w:r>
      <w:r>
        <w:rPr>
          <w:rFonts w:ascii="Times New Roman" w:hAnsi="Times New Roman" w:eastAsia="Times New Roman"/>
          <w:color w:val="000000"/>
          <w:spacing w:val="0"/>
          <w:w w:val="100"/>
          <w:sz w:val="20"/>
          <w:vertAlign w:val="baseline"/>
          <w:lang w:val="en-US"/>
        </w:rPr>
        <w:t xml:space="preserve">Emergency stops	</w:t>
      </w:r>
      <w:r>
        <w:rPr>
          <w:rFonts w:ascii="Times New Roman" w:hAnsi="Times New Roman" w:eastAsia="Times New Roman"/>
          <w:color w:val="000000"/>
          <w:spacing w:val="0"/>
          <w:w w:val="100"/>
          <w:sz w:val="20"/>
          <w:vertAlign w:val="baseline"/>
          <w:lang w:val="en-US"/>
        </w:rPr>
        <w:t xml:space="preserve">159</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212	</w:t>
      </w:r>
      <w:r>
        <w:rPr>
          <w:rFonts w:ascii="Times New Roman" w:hAnsi="Times New Roman" w:eastAsia="Times New Roman"/>
          <w:color w:val="000000"/>
          <w:spacing w:val="0"/>
          <w:w w:val="100"/>
          <w:sz w:val="20"/>
          <w:vertAlign w:val="baseline"/>
          <w:lang w:val="en-US"/>
        </w:rPr>
        <w:t xml:space="preserve">Warning devices	</w:t>
      </w:r>
      <w:r>
        <w:rPr>
          <w:rFonts w:ascii="Times New Roman" w:hAnsi="Times New Roman" w:eastAsia="Times New Roman"/>
          <w:color w:val="000000"/>
          <w:spacing w:val="0"/>
          <w:w w:val="100"/>
          <w:sz w:val="20"/>
          <w:vertAlign w:val="baseline"/>
          <w:lang w:val="en-US"/>
        </w:rPr>
        <w:t xml:space="preserve">160</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213	</w:t>
      </w:r>
      <w:r>
        <w:rPr>
          <w:rFonts w:ascii="Times New Roman" w:hAnsi="Times New Roman" w:eastAsia="Times New Roman"/>
          <w:color w:val="000000"/>
          <w:spacing w:val="0"/>
          <w:w w:val="100"/>
          <w:sz w:val="20"/>
          <w:vertAlign w:val="baseline"/>
          <w:lang w:val="en-US"/>
        </w:rPr>
        <w:t xml:space="preserve">Maintenance and inspection of plant	</w:t>
      </w:r>
      <w:r>
        <w:rPr>
          <w:rFonts w:ascii="Times New Roman" w:hAnsi="Times New Roman" w:eastAsia="Times New Roman"/>
          <w:color w:val="000000"/>
          <w:spacing w:val="0"/>
          <w:w w:val="100"/>
          <w:sz w:val="20"/>
          <w:vertAlign w:val="baseline"/>
          <w:lang w:val="en-US"/>
        </w:rPr>
        <w:t xml:space="preserve">160</w:t>
      </w:r>
    </w:p>
    <w:p>
      <w:pPr>
        <w:tabs>
          <w:tab w:val="left" w:leader="none" w:pos="1944"/>
          <w:tab w:val="right" w:leader="none" w:pos="7704"/>
        </w:tabs>
        <w:spacing w:before="3"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Subdivision 3	</w:t>
      </w:r>
      <w:r>
        <w:rPr>
          <w:rFonts w:ascii="Times New Roman" w:hAnsi="Times New Roman" w:eastAsia="Times New Roman"/>
          <w:b w:val="true"/>
          <w:color w:val="000000"/>
          <w:spacing w:val="0"/>
          <w:w w:val="100"/>
          <w:sz w:val="20"/>
          <w:vertAlign w:val="baseline"/>
          <w:lang w:val="en-US"/>
        </w:rPr>
        <w:t xml:space="preserve">Additional control measures for certain plant	</w:t>
      </w:r>
      <w:r>
        <w:rPr>
          <w:rFonts w:ascii="Times New Roman" w:hAnsi="Times New Roman" w:eastAsia="Times New Roman"/>
          <w:b w:val="true"/>
          <w:color w:val="000000"/>
          <w:spacing w:val="0"/>
          <w:w w:val="100"/>
          <w:sz w:val="20"/>
          <w:vertAlign w:val="baseline"/>
          <w:lang w:val="en-US"/>
        </w:rPr>
        <w:t xml:space="preserve">160</w:t>
      </w:r>
    </w:p>
    <w:p>
      <w:pPr>
        <w:tabs>
          <w:tab w:val="left" w:leader="none" w:pos="720"/>
          <w:tab w:val="right" w:leader="none" w:pos="7704"/>
        </w:tabs>
        <w:spacing w:before="12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214	</w:t>
      </w:r>
      <w:r>
        <w:rPr>
          <w:rFonts w:ascii="Times New Roman" w:hAnsi="Times New Roman" w:eastAsia="Times New Roman"/>
          <w:color w:val="000000"/>
          <w:spacing w:val="0"/>
          <w:w w:val="100"/>
          <w:sz w:val="20"/>
          <w:vertAlign w:val="baseline"/>
          <w:lang w:val="en-US"/>
        </w:rPr>
        <w:t xml:space="preserve">Powered mobile plant—general control of risk	</w:t>
      </w:r>
      <w:r>
        <w:rPr>
          <w:rFonts w:ascii="Times New Roman" w:hAnsi="Times New Roman" w:eastAsia="Times New Roman"/>
          <w:color w:val="000000"/>
          <w:spacing w:val="0"/>
          <w:w w:val="100"/>
          <w:sz w:val="20"/>
          <w:vertAlign w:val="baseline"/>
          <w:lang w:val="en-US"/>
        </w:rPr>
        <w:t xml:space="preserve">161</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215	</w:t>
      </w:r>
      <w:r>
        <w:rPr>
          <w:rFonts w:ascii="Times New Roman" w:hAnsi="Times New Roman" w:eastAsia="Times New Roman"/>
          <w:color w:val="000000"/>
          <w:spacing w:val="0"/>
          <w:w w:val="100"/>
          <w:sz w:val="20"/>
          <w:vertAlign w:val="baseline"/>
          <w:lang w:val="en-US"/>
        </w:rPr>
        <w:t xml:space="preserve">Powered mobile plant—specific control measures	</w:t>
      </w:r>
      <w:r>
        <w:rPr>
          <w:rFonts w:ascii="Times New Roman" w:hAnsi="Times New Roman" w:eastAsia="Times New Roman"/>
          <w:color w:val="000000"/>
          <w:spacing w:val="0"/>
          <w:w w:val="100"/>
          <w:sz w:val="20"/>
          <w:vertAlign w:val="baseline"/>
          <w:lang w:val="en-US"/>
        </w:rPr>
        <w:t xml:space="preserve">161</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216	</w:t>
      </w:r>
      <w:r>
        <w:rPr>
          <w:rFonts w:ascii="Times New Roman" w:hAnsi="Times New Roman" w:eastAsia="Times New Roman"/>
          <w:color w:val="000000"/>
          <w:spacing w:val="0"/>
          <w:w w:val="100"/>
          <w:sz w:val="20"/>
          <w:vertAlign w:val="baseline"/>
          <w:lang w:val="en-US"/>
        </w:rPr>
        <w:t xml:space="preserve">Roll-over protection on tractors	</w:t>
      </w:r>
      <w:r>
        <w:rPr>
          <w:rFonts w:ascii="Times New Roman" w:hAnsi="Times New Roman" w:eastAsia="Times New Roman"/>
          <w:color w:val="000000"/>
          <w:spacing w:val="0"/>
          <w:w w:val="100"/>
          <w:sz w:val="20"/>
          <w:vertAlign w:val="baseline"/>
          <w:lang w:val="en-US"/>
        </w:rPr>
        <w:t xml:space="preserve">162</w:t>
      </w:r>
    </w:p>
    <w:p>
      <w:pPr>
        <w:tabs>
          <w:tab w:val="left" w:leader="none" w:pos="720"/>
          <w:tab w:val="right" w:leader="none" w:pos="7704"/>
        </w:tabs>
        <w:spacing w:before="0" w:after="0" w:line="226"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218	</w:t>
      </w:r>
      <w:r>
        <w:rPr>
          <w:rFonts w:ascii="Times New Roman" w:hAnsi="Times New Roman" w:eastAsia="Times New Roman"/>
          <w:color w:val="000000"/>
          <w:spacing w:val="0"/>
          <w:w w:val="100"/>
          <w:sz w:val="20"/>
          <w:vertAlign w:val="baseline"/>
          <w:lang w:val="en-US"/>
        </w:rPr>
        <w:t xml:space="preserve">Industrial lift trucks	</w:t>
      </w:r>
      <w:r>
        <w:rPr>
          <w:rFonts w:ascii="Times New Roman" w:hAnsi="Times New Roman" w:eastAsia="Times New Roman"/>
          <w:color w:val="000000"/>
          <w:spacing w:val="0"/>
          <w:w w:val="100"/>
          <w:sz w:val="20"/>
          <w:vertAlign w:val="baseline"/>
          <w:lang w:val="en-US"/>
        </w:rPr>
        <w:t xml:space="preserve">163</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219	</w:t>
      </w:r>
      <w:r>
        <w:rPr>
          <w:rFonts w:ascii="Times New Roman" w:hAnsi="Times New Roman" w:eastAsia="Times New Roman"/>
          <w:color w:val="000000"/>
          <w:spacing w:val="0"/>
          <w:w w:val="100"/>
          <w:sz w:val="20"/>
          <w:vertAlign w:val="baseline"/>
          <w:lang w:val="en-US"/>
        </w:rPr>
        <w:t xml:space="preserve">Plant that lifts or suspends loads	</w:t>
      </w:r>
      <w:r>
        <w:rPr>
          <w:rFonts w:ascii="Times New Roman" w:hAnsi="Times New Roman" w:eastAsia="Times New Roman"/>
          <w:color w:val="000000"/>
          <w:spacing w:val="0"/>
          <w:w w:val="100"/>
          <w:sz w:val="20"/>
          <w:vertAlign w:val="baseline"/>
          <w:lang w:val="en-US"/>
        </w:rPr>
        <w:t xml:space="preserve">164</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220	</w:t>
      </w:r>
      <w:r>
        <w:rPr>
          <w:rFonts w:ascii="Times New Roman" w:hAnsi="Times New Roman" w:eastAsia="Times New Roman"/>
          <w:color w:val="000000"/>
          <w:spacing w:val="0"/>
          <w:w w:val="100"/>
          <w:sz w:val="20"/>
          <w:vertAlign w:val="baseline"/>
          <w:lang w:val="en-US"/>
        </w:rPr>
        <w:t xml:space="preserve">Exception—Plant not specifically designed to lift or suspend a person	</w:t>
      </w:r>
      <w:r>
        <w:rPr>
          <w:rFonts w:ascii="Times New Roman" w:hAnsi="Times New Roman" w:eastAsia="Times New Roman"/>
          <w:color w:val="000000"/>
          <w:spacing w:val="0"/>
          <w:w w:val="100"/>
          <w:sz w:val="20"/>
          <w:vertAlign w:val="baseline"/>
          <w:lang w:val="en-US"/>
        </w:rPr>
        <w:t xml:space="preserve">165</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221	</w:t>
      </w:r>
      <w:r>
        <w:rPr>
          <w:rFonts w:ascii="Times New Roman" w:hAnsi="Times New Roman" w:eastAsia="Times New Roman"/>
          <w:color w:val="000000"/>
          <w:spacing w:val="0"/>
          <w:w w:val="100"/>
          <w:sz w:val="20"/>
          <w:vertAlign w:val="baseline"/>
          <w:lang w:val="en-US"/>
        </w:rPr>
        <w:t xml:space="preserve">Plant used in connection with tree lopping	</w:t>
      </w:r>
      <w:r>
        <w:rPr>
          <w:rFonts w:ascii="Times New Roman" w:hAnsi="Times New Roman" w:eastAsia="Times New Roman"/>
          <w:color w:val="000000"/>
          <w:spacing w:val="0"/>
          <w:w w:val="100"/>
          <w:sz w:val="20"/>
          <w:vertAlign w:val="baseline"/>
          <w:lang w:val="en-US"/>
        </w:rPr>
        <w:t xml:space="preserve">166</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222	</w:t>
      </w:r>
      <w:r>
        <w:rPr>
          <w:rFonts w:ascii="Times New Roman" w:hAnsi="Times New Roman" w:eastAsia="Times New Roman"/>
          <w:color w:val="000000"/>
          <w:spacing w:val="0"/>
          <w:w w:val="100"/>
          <w:sz w:val="20"/>
          <w:vertAlign w:val="baseline"/>
          <w:lang w:val="en-US"/>
        </w:rPr>
        <w:t xml:space="preserve">Industrial robots	</w:t>
      </w:r>
      <w:r>
        <w:rPr>
          <w:rFonts w:ascii="Times New Roman" w:hAnsi="Times New Roman" w:eastAsia="Times New Roman"/>
          <w:color w:val="000000"/>
          <w:spacing w:val="0"/>
          <w:w w:val="100"/>
          <w:sz w:val="20"/>
          <w:vertAlign w:val="baseline"/>
          <w:lang w:val="en-US"/>
        </w:rPr>
        <w:t xml:space="preserve">166</w:t>
      </w:r>
    </w:p>
    <w:p>
      <w:pPr>
        <w:tabs>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223 Lasers	</w:t>
      </w:r>
      <w:r>
        <w:rPr>
          <w:rFonts w:ascii="Times New Roman" w:hAnsi="Times New Roman" w:eastAsia="Times New Roman"/>
          <w:color w:val="000000"/>
          <w:spacing w:val="0"/>
          <w:w w:val="100"/>
          <w:sz w:val="20"/>
          <w:vertAlign w:val="baseline"/>
          <w:lang w:val="en-US"/>
        </w:rPr>
        <w:t xml:space="preserve">167</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224	</w:t>
      </w:r>
      <w:r>
        <w:rPr>
          <w:rFonts w:ascii="Times New Roman" w:hAnsi="Times New Roman" w:eastAsia="Times New Roman"/>
          <w:color w:val="000000"/>
          <w:spacing w:val="0"/>
          <w:w w:val="100"/>
          <w:sz w:val="20"/>
          <w:vertAlign w:val="baseline"/>
          <w:lang w:val="en-US"/>
        </w:rPr>
        <w:t xml:space="preserve">Pressure equipment	</w:t>
      </w:r>
      <w:r>
        <w:rPr>
          <w:rFonts w:ascii="Times New Roman" w:hAnsi="Times New Roman" w:eastAsia="Times New Roman"/>
          <w:color w:val="000000"/>
          <w:spacing w:val="0"/>
          <w:w w:val="100"/>
          <w:sz w:val="20"/>
          <w:vertAlign w:val="baseline"/>
          <w:lang w:val="en-US"/>
        </w:rPr>
        <w:t xml:space="preserve">168</w:t>
      </w:r>
    </w:p>
    <w:p>
      <w:pPr>
        <w:tabs>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225 Scaffolds	</w:t>
      </w:r>
      <w:r>
        <w:rPr>
          <w:rFonts w:ascii="Times New Roman" w:hAnsi="Times New Roman" w:eastAsia="Times New Roman"/>
          <w:color w:val="000000"/>
          <w:spacing w:val="0"/>
          <w:w w:val="100"/>
          <w:sz w:val="20"/>
          <w:vertAlign w:val="baseline"/>
          <w:lang w:val="en-US"/>
        </w:rPr>
        <w:t xml:space="preserve">169</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226	</w:t>
      </w:r>
      <w:r>
        <w:rPr>
          <w:rFonts w:ascii="Times New Roman" w:hAnsi="Times New Roman" w:eastAsia="Times New Roman"/>
          <w:color w:val="000000"/>
          <w:spacing w:val="0"/>
          <w:w w:val="100"/>
          <w:sz w:val="20"/>
          <w:vertAlign w:val="baseline"/>
          <w:lang w:val="en-US"/>
        </w:rPr>
        <w:t xml:space="preserve">Plant with presence-sensing safeguarding system—records	</w:t>
      </w:r>
      <w:r>
        <w:rPr>
          <w:rFonts w:ascii="Times New Roman" w:hAnsi="Times New Roman" w:eastAsia="Times New Roman"/>
          <w:color w:val="000000"/>
          <w:spacing w:val="0"/>
          <w:w w:val="100"/>
          <w:sz w:val="20"/>
          <w:vertAlign w:val="baseline"/>
          <w:lang w:val="en-US"/>
        </w:rPr>
        <w:t xml:space="preserve">170</w:t>
      </w:r>
    </w:p>
    <w:p>
      <w:pPr>
        <w:tabs>
          <w:tab w:val="left" w:leader="none" w:pos="1368"/>
        </w:tabs>
        <w:spacing w:before="244"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5.2	</w:t>
      </w:r>
      <w:r>
        <w:rPr>
          <w:rFonts w:ascii="Times New Roman" w:hAnsi="Times New Roman" w:eastAsia="Times New Roman"/>
          <w:b w:val="true"/>
          <w:color w:val="000000"/>
          <w:spacing w:val="0"/>
          <w:w w:val="100"/>
          <w:sz w:val="20"/>
          <w:vertAlign w:val="baseline"/>
          <w:lang w:val="en-US"/>
        </w:rPr>
        <w:t xml:space="preserve">ADDITIONAL DUTIES RELATING TO REGISTERED PLANT AND</w:t>
      </w:r>
    </w:p>
    <w:p>
      <w:pPr>
        <w:tabs>
          <w:tab w:val="right" w:leader="none" w:pos="7704"/>
        </w:tabs>
        <w:spacing w:before="3"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PLANT DESIGNS	</w:t>
      </w:r>
      <w:r>
        <w:rPr>
          <w:rFonts w:ascii="Times New Roman" w:hAnsi="Times New Roman" w:eastAsia="Times New Roman"/>
          <w:b w:val="true"/>
          <w:color w:val="000000"/>
          <w:spacing w:val="0"/>
          <w:w w:val="100"/>
          <w:sz w:val="20"/>
          <w:vertAlign w:val="baseline"/>
          <w:lang w:val="en-US"/>
        </w:rPr>
        <w:t xml:space="preserve">172</w:t>
      </w:r>
    </w:p>
    <w:p>
      <w:pPr>
        <w:tabs>
          <w:tab w:val="left" w:leader="none" w:pos="1368"/>
          <w:tab w:val="right" w:leader="none" w:pos="7704"/>
        </w:tabs>
        <w:spacing w:before="123"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1	</w:t>
      </w:r>
      <w:r>
        <w:rPr>
          <w:rFonts w:ascii="Times New Roman" w:hAnsi="Times New Roman" w:eastAsia="Times New Roman"/>
          <w:b w:val="true"/>
          <w:color w:val="000000"/>
          <w:spacing w:val="0"/>
          <w:w w:val="100"/>
          <w:sz w:val="20"/>
          <w:vertAlign w:val="baseline"/>
          <w:lang w:val="en-US"/>
        </w:rPr>
        <w:t xml:space="preserve">Application of Part 5.2	</w:t>
      </w:r>
      <w:r>
        <w:rPr>
          <w:rFonts w:ascii="Times New Roman" w:hAnsi="Times New Roman" w:eastAsia="Times New Roman"/>
          <w:b w:val="true"/>
          <w:color w:val="000000"/>
          <w:spacing w:val="0"/>
          <w:w w:val="100"/>
          <w:sz w:val="20"/>
          <w:vertAlign w:val="baseline"/>
          <w:lang w:val="en-US"/>
        </w:rPr>
        <w:t xml:space="preserve">172</w:t>
      </w:r>
    </w:p>
    <w:p>
      <w:pPr>
        <w:tabs>
          <w:tab w:val="left" w:leader="none" w:pos="720"/>
          <w:tab w:val="right" w:leader="none" w:pos="7704"/>
        </w:tabs>
        <w:spacing w:before="116"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227	</w:t>
      </w:r>
      <w:r>
        <w:rPr>
          <w:rFonts w:ascii="Times New Roman" w:hAnsi="Times New Roman" w:eastAsia="Times New Roman"/>
          <w:color w:val="000000"/>
          <w:spacing w:val="0"/>
          <w:w w:val="100"/>
          <w:sz w:val="20"/>
          <w:vertAlign w:val="baseline"/>
          <w:lang w:val="en-US"/>
        </w:rPr>
        <w:t xml:space="preserve">Application of Part 5.2	</w:t>
      </w:r>
      <w:r>
        <w:rPr>
          <w:rFonts w:ascii="Times New Roman" w:hAnsi="Times New Roman" w:eastAsia="Times New Roman"/>
          <w:color w:val="000000"/>
          <w:spacing w:val="0"/>
          <w:w w:val="100"/>
          <w:sz w:val="20"/>
          <w:vertAlign w:val="baseline"/>
          <w:lang w:val="en-US"/>
        </w:rPr>
        <w:t xml:space="preserve">172</w:t>
      </w:r>
    </w:p>
    <w:p>
      <w:pPr>
        <w:tabs>
          <w:tab w:val="left" w:leader="none" w:pos="1368"/>
        </w:tabs>
        <w:spacing w:before="3"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2	</w:t>
      </w:r>
      <w:r>
        <w:rPr>
          <w:rFonts w:ascii="Times New Roman" w:hAnsi="Times New Roman" w:eastAsia="Times New Roman"/>
          <w:b w:val="true"/>
          <w:color w:val="000000"/>
          <w:spacing w:val="0"/>
          <w:w w:val="100"/>
          <w:sz w:val="20"/>
          <w:vertAlign w:val="baseline"/>
          <w:lang w:val="en-US"/>
        </w:rPr>
        <w:t xml:space="preserve">Duty of person conducting a business or undertaking who designs plant</w:t>
      </w:r>
    </w:p>
    <w:p>
      <w:pPr>
        <w:tabs>
          <w:tab w:val="right" w:leader="none" w:pos="7704"/>
        </w:tabs>
        <w:spacing w:before="4"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to record plant design	</w:t>
      </w:r>
      <w:r>
        <w:rPr>
          <w:rFonts w:ascii="Times New Roman" w:hAnsi="Times New Roman" w:eastAsia="Times New Roman"/>
          <w:b w:val="true"/>
          <w:color w:val="000000"/>
          <w:spacing w:val="0"/>
          <w:w w:val="100"/>
          <w:sz w:val="20"/>
          <w:vertAlign w:val="baseline"/>
          <w:lang w:val="en-US"/>
        </w:rPr>
        <w:t xml:space="preserve">172</w:t>
      </w:r>
    </w:p>
    <w:p>
      <w:pPr>
        <w:tabs>
          <w:tab w:val="left" w:leader="none" w:pos="720"/>
          <w:tab w:val="right" w:leader="none" w:pos="7704"/>
        </w:tabs>
        <w:spacing w:before="12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228	</w:t>
      </w:r>
      <w:r>
        <w:rPr>
          <w:rFonts w:ascii="Times New Roman" w:hAnsi="Times New Roman" w:eastAsia="Times New Roman"/>
          <w:color w:val="000000"/>
          <w:spacing w:val="0"/>
          <w:w w:val="100"/>
          <w:sz w:val="20"/>
          <w:vertAlign w:val="baseline"/>
          <w:lang w:val="en-US"/>
        </w:rPr>
        <w:t xml:space="preserve">Records and information	</w:t>
      </w:r>
      <w:r>
        <w:rPr>
          <w:rFonts w:ascii="Times New Roman" w:hAnsi="Times New Roman" w:eastAsia="Times New Roman"/>
          <w:color w:val="000000"/>
          <w:spacing w:val="0"/>
          <w:w w:val="100"/>
          <w:sz w:val="20"/>
          <w:vertAlign w:val="baseline"/>
          <w:lang w:val="en-US"/>
        </w:rPr>
        <w:t xml:space="preserve">172</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229	</w:t>
      </w:r>
      <w:r>
        <w:rPr>
          <w:rFonts w:ascii="Times New Roman" w:hAnsi="Times New Roman" w:eastAsia="Times New Roman"/>
          <w:color w:val="000000"/>
          <w:spacing w:val="0"/>
          <w:w w:val="100"/>
          <w:sz w:val="20"/>
          <w:vertAlign w:val="baseline"/>
          <w:lang w:val="en-US"/>
        </w:rPr>
        <w:t xml:space="preserve">Record of standards or engineering principles used	</w:t>
      </w:r>
      <w:r>
        <w:rPr>
          <w:rFonts w:ascii="Times New Roman" w:hAnsi="Times New Roman" w:eastAsia="Times New Roman"/>
          <w:color w:val="000000"/>
          <w:spacing w:val="0"/>
          <w:w w:val="100"/>
          <w:sz w:val="20"/>
          <w:vertAlign w:val="baseline"/>
          <w:lang w:val="en-US"/>
        </w:rPr>
        <w:t xml:space="preserve">173</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230	</w:t>
      </w:r>
      <w:r>
        <w:rPr>
          <w:rFonts w:ascii="Times New Roman" w:hAnsi="Times New Roman" w:eastAsia="Times New Roman"/>
          <w:color w:val="000000"/>
          <w:spacing w:val="0"/>
          <w:w w:val="100"/>
          <w:sz w:val="20"/>
          <w:vertAlign w:val="baseline"/>
          <w:lang w:val="en-US"/>
        </w:rPr>
        <w:t xml:space="preserve">Records to be available for inspection	</w:t>
      </w:r>
      <w:r>
        <w:rPr>
          <w:rFonts w:ascii="Times New Roman" w:hAnsi="Times New Roman" w:eastAsia="Times New Roman"/>
          <w:color w:val="000000"/>
          <w:spacing w:val="0"/>
          <w:w w:val="100"/>
          <w:sz w:val="20"/>
          <w:vertAlign w:val="baseline"/>
          <w:lang w:val="en-US"/>
        </w:rPr>
        <w:t xml:space="preserve">173</w:t>
      </w:r>
    </w:p>
    <w:p>
      <w:pPr>
        <w:tabs>
          <w:tab w:val="left" w:leader="none" w:pos="1368"/>
          <w:tab w:val="right" w:leader="none" w:pos="7704"/>
        </w:tabs>
        <w:spacing w:before="3"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3	</w:t>
      </w:r>
      <w:r>
        <w:rPr>
          <w:rFonts w:ascii="Times New Roman" w:hAnsi="Times New Roman" w:eastAsia="Times New Roman"/>
          <w:b w:val="true"/>
          <w:color w:val="000000"/>
          <w:spacing w:val="0"/>
          <w:w w:val="100"/>
          <w:sz w:val="20"/>
          <w:vertAlign w:val="baseline"/>
          <w:lang w:val="en-US"/>
        </w:rPr>
        <w:t xml:space="preserve">Duties of a person conducting a business or undertaking	</w:t>
      </w:r>
      <w:r>
        <w:rPr>
          <w:rFonts w:ascii="Times New Roman" w:hAnsi="Times New Roman" w:eastAsia="Times New Roman"/>
          <w:b w:val="true"/>
          <w:color w:val="000000"/>
          <w:spacing w:val="0"/>
          <w:w w:val="100"/>
          <w:sz w:val="20"/>
          <w:vertAlign w:val="baseline"/>
          <w:lang w:val="en-US"/>
        </w:rPr>
        <w:t xml:space="preserve">174</w:t>
      </w:r>
    </w:p>
    <w:p>
      <w:pPr>
        <w:tabs>
          <w:tab w:val="left" w:leader="none" w:pos="720"/>
          <w:tab w:val="right" w:leader="none" w:pos="7704"/>
        </w:tabs>
        <w:spacing w:before="12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231	</w:t>
      </w:r>
      <w:r>
        <w:rPr>
          <w:rFonts w:ascii="Times New Roman" w:hAnsi="Times New Roman" w:eastAsia="Times New Roman"/>
          <w:color w:val="000000"/>
          <w:spacing w:val="0"/>
          <w:w w:val="100"/>
          <w:sz w:val="20"/>
          <w:vertAlign w:val="baseline"/>
          <w:lang w:val="en-US"/>
        </w:rPr>
        <w:t xml:space="preserve">Duty of persons conducting businesses or undertakings that manufacture plant	</w:t>
      </w:r>
      <w:r>
        <w:rPr>
          <w:rFonts w:ascii="Times New Roman" w:hAnsi="Times New Roman" w:eastAsia="Times New Roman"/>
          <w:color w:val="000000"/>
          <w:spacing w:val="0"/>
          <w:w w:val="100"/>
          <w:sz w:val="20"/>
          <w:vertAlign w:val="baseline"/>
          <w:lang w:val="en-US"/>
        </w:rPr>
        <w:t xml:space="preserve">174</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232	</w:t>
      </w:r>
      <w:r>
        <w:rPr>
          <w:rFonts w:ascii="Times New Roman" w:hAnsi="Times New Roman" w:eastAsia="Times New Roman"/>
          <w:color w:val="000000"/>
          <w:spacing w:val="0"/>
          <w:w w:val="100"/>
          <w:sz w:val="20"/>
          <w:vertAlign w:val="baseline"/>
          <w:lang w:val="en-US"/>
        </w:rPr>
        <w:t xml:space="preserve">Duty of persons conducting businesses or undertakings that import plant	</w:t>
      </w:r>
      <w:r>
        <w:rPr>
          <w:rFonts w:ascii="Times New Roman" w:hAnsi="Times New Roman" w:eastAsia="Times New Roman"/>
          <w:color w:val="000000"/>
          <w:spacing w:val="0"/>
          <w:w w:val="100"/>
          <w:sz w:val="20"/>
          <w:vertAlign w:val="baseline"/>
          <w:lang w:val="en-US"/>
        </w:rPr>
        <w:t xml:space="preserve">174</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233	</w:t>
      </w:r>
      <w:r>
        <w:rPr>
          <w:rFonts w:ascii="Times New Roman" w:hAnsi="Times New Roman" w:eastAsia="Times New Roman"/>
          <w:color w:val="000000"/>
          <w:spacing w:val="0"/>
          <w:w w:val="100"/>
          <w:sz w:val="20"/>
          <w:vertAlign w:val="baseline"/>
          <w:lang w:val="en-US"/>
        </w:rPr>
        <w:t xml:space="preserve">Duty of persons conducting businesses or undertakings that supply plant	</w:t>
      </w:r>
      <w:r>
        <w:rPr>
          <w:rFonts w:ascii="Times New Roman" w:hAnsi="Times New Roman" w:eastAsia="Times New Roman"/>
          <w:color w:val="000000"/>
          <w:spacing w:val="0"/>
          <w:w w:val="100"/>
          <w:sz w:val="20"/>
          <w:vertAlign w:val="baseline"/>
          <w:lang w:val="en-US"/>
        </w:rPr>
        <w:t xml:space="preserve">174</w:t>
      </w:r>
    </w:p>
    <w:p>
      <w:pPr>
        <w:tabs>
          <w:tab w:val="left" w:leader="none" w:pos="720"/>
          <w:tab w:val="right" w:leader="none" w:pos="7704"/>
        </w:tabs>
        <w:spacing w:before="0" w:after="1089"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10.65pt" to="498.5pt,710.6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234	</w:t>
      </w:r>
      <w:r>
        <w:rPr>
          <w:rFonts w:ascii="Times New Roman" w:hAnsi="Times New Roman" w:eastAsia="Times New Roman"/>
          <w:color w:val="000000"/>
          <w:spacing w:val="0"/>
          <w:w w:val="100"/>
          <w:sz w:val="20"/>
          <w:vertAlign w:val="baseline"/>
          <w:lang w:val="en-US"/>
        </w:rPr>
        <w:t xml:space="preserve">Duty of persons conducting businesses or undertakings that commission plant	</w:t>
      </w:r>
      <w:r>
        <w:rPr>
          <w:rFonts w:ascii="Times New Roman" w:hAnsi="Times New Roman" w:eastAsia="Times New Roman"/>
          <w:color w:val="000000"/>
          <w:spacing w:val="0"/>
          <w:w w:val="100"/>
          <w:sz w:val="20"/>
          <w:vertAlign w:val="baseline"/>
          <w:lang w:val="en-US"/>
        </w:rPr>
        <w:t xml:space="preserve">174</w:t>
      </w:r>
    </w:p>
    <w:p>
      <w:pPr>
        <w:spacing w:before="0" w:after="1089" w:line="230" w:lineRule="exact"/>
        <w:sectPr>
          <w:type w:val="nextPage"/>
          <w:pgSz w:w="11909" w:h="16838" w:orient="portrait"/>
          <w:pgMar w:bottom="1542" w:top="1320" w:right="1940" w:left="1949" w:header="720" w:footer="720"/>
          <w:titlePg w:val="false"/>
          <w:textDirection w:val="lrTb"/>
        </w:sectPr>
      </w:pPr>
    </w:p>
    <w:p>
      <w:pPr>
        <w:tabs>
          <w:tab w:val="right" w:leader="none" w:pos="4032"/>
        </w:tabs>
        <w:spacing w:before="6" w:after="0" w:line="177"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1.1.2021	</w:t>
      </w:r>
      <w:r>
        <w:rPr>
          <w:rFonts w:ascii="Times New Roman" w:hAnsi="Times New Roman" w:eastAsia="Times New Roman"/>
          <w:color w:val="000000"/>
          <w:spacing w:val="0"/>
          <w:w w:val="100"/>
          <w:sz w:val="16"/>
          <w:vertAlign w:val="baseline"/>
          <w:lang w:val="en-US"/>
        </w:rPr>
        <w:t xml:space="preserve">8</w:t>
      </w:r>
    </w:p>
    <w:p>
      <w:pPr>
        <w:sectPr>
          <w:type w:val="continuous"/>
          <w:pgSz w:w="11909" w:h="16838" w:orient="portrait"/>
          <w:pgMar w:bottom="1542" w:top="1320" w:right="5917" w:left="1992" w:header="720" w:footer="720"/>
          <w:titlePg w:val="false"/>
          <w:textDirection w:val="lrTb"/>
        </w:sectPr>
      </w:pPr>
    </w:p>
    <w:p>
      <w:pPr>
        <w:spacing w:before="21" w:after="229"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368"/>
        </w:tabs>
        <w:spacing w:before="480"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7.45pt,90.95pt" to="498.5pt,90.95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Division 4	</w:t>
      </w:r>
      <w:r>
        <w:rPr>
          <w:rFonts w:ascii="Times New Roman" w:hAnsi="Times New Roman" w:eastAsia="Times New Roman"/>
          <w:b w:val="true"/>
          <w:color w:val="000000"/>
          <w:spacing w:val="0"/>
          <w:w w:val="100"/>
          <w:sz w:val="20"/>
          <w:vertAlign w:val="baseline"/>
          <w:lang w:val="en-US"/>
        </w:rPr>
        <w:t xml:space="preserve">Duties of a person conducting a business or undertaking involving the</w:t>
      </w:r>
    </w:p>
    <w:p>
      <w:pPr>
        <w:tabs>
          <w:tab w:val="right" w:leader="none" w:pos="7704"/>
        </w:tabs>
        <w:spacing w:before="4"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management or control of plant	</w:t>
      </w:r>
      <w:r>
        <w:rPr>
          <w:rFonts w:ascii="Times New Roman" w:hAnsi="Times New Roman" w:eastAsia="Times New Roman"/>
          <w:b w:val="true"/>
          <w:color w:val="000000"/>
          <w:spacing w:val="0"/>
          <w:w w:val="100"/>
          <w:sz w:val="20"/>
          <w:vertAlign w:val="baseline"/>
          <w:lang w:val="en-US"/>
        </w:rPr>
        <w:t xml:space="preserve">175</w:t>
      </w:r>
    </w:p>
    <w:p>
      <w:pPr>
        <w:tabs>
          <w:tab w:val="left" w:leader="none" w:pos="1944"/>
          <w:tab w:val="right" w:leader="none" w:pos="7704"/>
        </w:tabs>
        <w:spacing w:before="123"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Subdivision 1	</w:t>
      </w:r>
      <w:r>
        <w:rPr>
          <w:rFonts w:ascii="Times New Roman" w:hAnsi="Times New Roman" w:eastAsia="Times New Roman"/>
          <w:b w:val="true"/>
          <w:color w:val="000000"/>
          <w:spacing w:val="0"/>
          <w:w w:val="100"/>
          <w:sz w:val="20"/>
          <w:vertAlign w:val="baseline"/>
          <w:lang w:val="en-US"/>
        </w:rPr>
        <w:t xml:space="preserve">Control measures for registered plant	</w:t>
      </w:r>
      <w:r>
        <w:rPr>
          <w:rFonts w:ascii="Times New Roman" w:hAnsi="Times New Roman" w:eastAsia="Times New Roman"/>
          <w:b w:val="true"/>
          <w:color w:val="000000"/>
          <w:spacing w:val="0"/>
          <w:w w:val="100"/>
          <w:sz w:val="20"/>
          <w:vertAlign w:val="baseline"/>
          <w:lang w:val="en-US"/>
        </w:rPr>
        <w:t xml:space="preserve">175</w:t>
      </w:r>
    </w:p>
    <w:p>
      <w:pPr>
        <w:tabs>
          <w:tab w:val="left" w:leader="none" w:pos="720"/>
          <w:tab w:val="right" w:leader="none" w:pos="7704"/>
        </w:tabs>
        <w:spacing w:before="12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235	</w:t>
      </w:r>
      <w:r>
        <w:rPr>
          <w:rFonts w:ascii="Times New Roman" w:hAnsi="Times New Roman" w:eastAsia="Times New Roman"/>
          <w:color w:val="000000"/>
          <w:spacing w:val="0"/>
          <w:w w:val="100"/>
          <w:sz w:val="20"/>
          <w:vertAlign w:val="baseline"/>
          <w:lang w:val="en-US"/>
        </w:rPr>
        <w:t xml:space="preserve">Major inspection of registered mobile cranes and tower cranes	</w:t>
      </w:r>
      <w:r>
        <w:rPr>
          <w:rFonts w:ascii="Times New Roman" w:hAnsi="Times New Roman" w:eastAsia="Times New Roman"/>
          <w:color w:val="000000"/>
          <w:spacing w:val="0"/>
          <w:w w:val="100"/>
          <w:sz w:val="20"/>
          <w:vertAlign w:val="baseline"/>
          <w:lang w:val="en-US"/>
        </w:rPr>
        <w:t xml:space="preserve">175</w:t>
      </w:r>
    </w:p>
    <w:p>
      <w:pPr>
        <w:tabs>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236 Lifts	</w:t>
      </w:r>
      <w:r>
        <w:rPr>
          <w:rFonts w:ascii="Times New Roman" w:hAnsi="Times New Roman" w:eastAsia="Times New Roman"/>
          <w:color w:val="000000"/>
          <w:spacing w:val="0"/>
          <w:w w:val="100"/>
          <w:sz w:val="20"/>
          <w:vertAlign w:val="baseline"/>
          <w:lang w:val="en-US"/>
        </w:rPr>
        <w:t xml:space="preserve">176</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237	</w:t>
      </w:r>
      <w:r>
        <w:rPr>
          <w:rFonts w:ascii="Times New Roman" w:hAnsi="Times New Roman" w:eastAsia="Times New Roman"/>
          <w:color w:val="000000"/>
          <w:spacing w:val="0"/>
          <w:w w:val="100"/>
          <w:sz w:val="20"/>
          <w:vertAlign w:val="baseline"/>
          <w:lang w:val="en-US"/>
        </w:rPr>
        <w:t xml:space="preserve">Records of plant	</w:t>
      </w:r>
      <w:r>
        <w:rPr>
          <w:rFonts w:ascii="Times New Roman" w:hAnsi="Times New Roman" w:eastAsia="Times New Roman"/>
          <w:color w:val="000000"/>
          <w:spacing w:val="0"/>
          <w:w w:val="100"/>
          <w:sz w:val="20"/>
          <w:vertAlign w:val="baseline"/>
          <w:lang w:val="en-US"/>
        </w:rPr>
        <w:t xml:space="preserve">177</w:t>
      </w:r>
    </w:p>
    <w:p>
      <w:pPr>
        <w:tabs>
          <w:tab w:val="left" w:leader="none" w:pos="1944"/>
        </w:tabs>
        <w:spacing w:before="3"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Subdivision 2	</w:t>
      </w:r>
      <w:r>
        <w:rPr>
          <w:rFonts w:ascii="Times New Roman" w:hAnsi="Times New Roman" w:eastAsia="Times New Roman"/>
          <w:b w:val="true"/>
          <w:color w:val="000000"/>
          <w:spacing w:val="0"/>
          <w:w w:val="100"/>
          <w:sz w:val="20"/>
          <w:vertAlign w:val="baseline"/>
          <w:lang w:val="en-US"/>
        </w:rPr>
        <w:t xml:space="preserve">Control measures for amusement devices and passenger ropeways177</w:t>
      </w:r>
    </w:p>
    <w:p>
      <w:pPr>
        <w:tabs>
          <w:tab w:val="left" w:leader="none" w:pos="720"/>
          <w:tab w:val="right" w:leader="none" w:pos="7704"/>
        </w:tabs>
        <w:spacing w:before="12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238	</w:t>
      </w:r>
      <w:r>
        <w:rPr>
          <w:rFonts w:ascii="Times New Roman" w:hAnsi="Times New Roman" w:eastAsia="Times New Roman"/>
          <w:color w:val="000000"/>
          <w:spacing w:val="0"/>
          <w:w w:val="100"/>
          <w:sz w:val="20"/>
          <w:vertAlign w:val="baseline"/>
          <w:lang w:val="en-US"/>
        </w:rPr>
        <w:t xml:space="preserve">Operation of amusement devices and passenger ropeways	</w:t>
      </w:r>
      <w:r>
        <w:rPr>
          <w:rFonts w:ascii="Times New Roman" w:hAnsi="Times New Roman" w:eastAsia="Times New Roman"/>
          <w:color w:val="000000"/>
          <w:spacing w:val="0"/>
          <w:w w:val="100"/>
          <w:sz w:val="20"/>
          <w:vertAlign w:val="baseline"/>
          <w:lang w:val="en-US"/>
        </w:rPr>
        <w:t xml:space="preserve">177</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239	</w:t>
      </w:r>
      <w:r>
        <w:rPr>
          <w:rFonts w:ascii="Times New Roman" w:hAnsi="Times New Roman" w:eastAsia="Times New Roman"/>
          <w:color w:val="000000"/>
          <w:spacing w:val="0"/>
          <w:w w:val="100"/>
          <w:sz w:val="20"/>
          <w:vertAlign w:val="baseline"/>
          <w:lang w:val="en-US"/>
        </w:rPr>
        <w:t xml:space="preserve">Storage of amusement devices and passenger ropeways	</w:t>
      </w:r>
      <w:r>
        <w:rPr>
          <w:rFonts w:ascii="Times New Roman" w:hAnsi="Times New Roman" w:eastAsia="Times New Roman"/>
          <w:color w:val="000000"/>
          <w:spacing w:val="0"/>
          <w:w w:val="100"/>
          <w:sz w:val="20"/>
          <w:vertAlign w:val="baseline"/>
          <w:lang w:val="en-US"/>
        </w:rPr>
        <w:t xml:space="preserve">178</w:t>
      </w:r>
    </w:p>
    <w:p>
      <w:pPr>
        <w:tabs>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240	</w:t>
      </w:r>
      <w:r>
        <w:rPr>
          <w:rFonts w:ascii="Times New Roman" w:hAnsi="Times New Roman" w:eastAsia="Times New Roman"/>
          <w:color w:val="000000"/>
          <w:spacing w:val="0"/>
          <w:w w:val="100"/>
          <w:sz w:val="20"/>
          <w:vertAlign w:val="baseline"/>
          <w:lang w:val="en-US"/>
        </w:rPr>
        <w:t xml:space="preserve">Maintenance, inspection and testing of amusement devices and passenger ropeways179</w:t>
      </w:r>
    </w:p>
    <w:p>
      <w:pPr>
        <w:tabs>
          <w:tab w:val="left" w:leader="none" w:pos="720"/>
          <w:tab w:val="right" w:leader="none" w:pos="7704"/>
        </w:tabs>
        <w:spacing w:before="0" w:after="0" w:line="225"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241	</w:t>
      </w:r>
      <w:r>
        <w:rPr>
          <w:rFonts w:ascii="Times New Roman" w:hAnsi="Times New Roman" w:eastAsia="Times New Roman"/>
          <w:color w:val="000000"/>
          <w:spacing w:val="0"/>
          <w:w w:val="100"/>
          <w:sz w:val="20"/>
          <w:vertAlign w:val="baseline"/>
          <w:lang w:val="en-US"/>
        </w:rPr>
        <w:t xml:space="preserve">Annual inspection of amusement devices and passenger ropeways	</w:t>
      </w:r>
      <w:r>
        <w:rPr>
          <w:rFonts w:ascii="Times New Roman" w:hAnsi="Times New Roman" w:eastAsia="Times New Roman"/>
          <w:color w:val="000000"/>
          <w:spacing w:val="0"/>
          <w:w w:val="100"/>
          <w:sz w:val="20"/>
          <w:vertAlign w:val="baseline"/>
          <w:lang w:val="en-US"/>
        </w:rPr>
        <w:t xml:space="preserve">179</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242	</w:t>
      </w:r>
      <w:r>
        <w:rPr>
          <w:rFonts w:ascii="Times New Roman" w:hAnsi="Times New Roman" w:eastAsia="Times New Roman"/>
          <w:color w:val="000000"/>
          <w:spacing w:val="0"/>
          <w:w w:val="100"/>
          <w:sz w:val="20"/>
          <w:vertAlign w:val="baseline"/>
          <w:lang w:val="en-US"/>
        </w:rPr>
        <w:t xml:space="preserve">Log book and manuals for amusement devices	</w:t>
      </w:r>
      <w:r>
        <w:rPr>
          <w:rFonts w:ascii="Times New Roman" w:hAnsi="Times New Roman" w:eastAsia="Times New Roman"/>
          <w:color w:val="000000"/>
          <w:spacing w:val="0"/>
          <w:w w:val="100"/>
          <w:sz w:val="20"/>
          <w:vertAlign w:val="baseline"/>
          <w:lang w:val="en-US"/>
        </w:rPr>
        <w:t xml:space="preserve">181</w:t>
      </w:r>
    </w:p>
    <w:p>
      <w:pPr>
        <w:tabs>
          <w:tab w:val="right" w:leader="none" w:pos="7704"/>
        </w:tabs>
        <w:spacing w:before="242"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5.3	</w:t>
      </w:r>
      <w:r>
        <w:rPr>
          <w:rFonts w:ascii="Times New Roman" w:hAnsi="Times New Roman" w:eastAsia="Times New Roman"/>
          <w:b w:val="true"/>
          <w:color w:val="000000"/>
          <w:spacing w:val="0"/>
          <w:w w:val="100"/>
          <w:sz w:val="20"/>
          <w:vertAlign w:val="baseline"/>
          <w:lang w:val="en-US"/>
        </w:rPr>
        <w:t xml:space="preserve">REGISTRATION OF PLANT DESIGNS AND ITEMS OF PLANT 184</w:t>
      </w:r>
    </w:p>
    <w:p>
      <w:pPr>
        <w:tabs>
          <w:tab w:val="left" w:leader="none" w:pos="1368"/>
          <w:tab w:val="right" w:leader="none" w:pos="7704"/>
        </w:tabs>
        <w:spacing w:before="124"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1	</w:t>
      </w:r>
      <w:r>
        <w:rPr>
          <w:rFonts w:ascii="Times New Roman" w:hAnsi="Times New Roman" w:eastAsia="Times New Roman"/>
          <w:b w:val="true"/>
          <w:color w:val="000000"/>
          <w:spacing w:val="0"/>
          <w:w w:val="100"/>
          <w:sz w:val="20"/>
          <w:vertAlign w:val="baseline"/>
          <w:lang w:val="en-US"/>
        </w:rPr>
        <w:t xml:space="preserve">Plant designs to be registered	</w:t>
      </w:r>
      <w:r>
        <w:rPr>
          <w:rFonts w:ascii="Times New Roman" w:hAnsi="Times New Roman" w:eastAsia="Times New Roman"/>
          <w:b w:val="true"/>
          <w:color w:val="000000"/>
          <w:spacing w:val="0"/>
          <w:w w:val="100"/>
          <w:sz w:val="20"/>
          <w:vertAlign w:val="baseline"/>
          <w:lang w:val="en-US"/>
        </w:rPr>
        <w:t xml:space="preserve">184</w:t>
      </w:r>
    </w:p>
    <w:p>
      <w:pPr>
        <w:tabs>
          <w:tab w:val="left" w:leader="none" w:pos="720"/>
          <w:tab w:val="right" w:leader="none" w:pos="7704"/>
        </w:tabs>
        <w:spacing w:before="12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243	</w:t>
      </w:r>
      <w:r>
        <w:rPr>
          <w:rFonts w:ascii="Times New Roman" w:hAnsi="Times New Roman" w:eastAsia="Times New Roman"/>
          <w:color w:val="000000"/>
          <w:spacing w:val="0"/>
          <w:w w:val="100"/>
          <w:sz w:val="20"/>
          <w:vertAlign w:val="baseline"/>
          <w:lang w:val="en-US"/>
        </w:rPr>
        <w:t xml:space="preserve">Plant design to be registered	</w:t>
      </w:r>
      <w:r>
        <w:rPr>
          <w:rFonts w:ascii="Times New Roman" w:hAnsi="Times New Roman" w:eastAsia="Times New Roman"/>
          <w:color w:val="000000"/>
          <w:spacing w:val="0"/>
          <w:w w:val="100"/>
          <w:sz w:val="20"/>
          <w:vertAlign w:val="baseline"/>
          <w:lang w:val="en-US"/>
        </w:rPr>
        <w:t xml:space="preserve">184</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244	</w:t>
      </w:r>
      <w:r>
        <w:rPr>
          <w:rFonts w:ascii="Times New Roman" w:hAnsi="Times New Roman" w:eastAsia="Times New Roman"/>
          <w:color w:val="000000"/>
          <w:spacing w:val="0"/>
          <w:w w:val="100"/>
          <w:sz w:val="20"/>
          <w:vertAlign w:val="baseline"/>
          <w:lang w:val="en-US"/>
        </w:rPr>
        <w:t xml:space="preserve">Altered plant designs to be registered	</w:t>
      </w:r>
      <w:r>
        <w:rPr>
          <w:rFonts w:ascii="Times New Roman" w:hAnsi="Times New Roman" w:eastAsia="Times New Roman"/>
          <w:color w:val="000000"/>
          <w:spacing w:val="0"/>
          <w:w w:val="100"/>
          <w:sz w:val="20"/>
          <w:vertAlign w:val="baseline"/>
          <w:lang w:val="en-US"/>
        </w:rPr>
        <w:t xml:space="preserve">184</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245	</w:t>
      </w:r>
      <w:r>
        <w:rPr>
          <w:rFonts w:ascii="Times New Roman" w:hAnsi="Times New Roman" w:eastAsia="Times New Roman"/>
          <w:color w:val="000000"/>
          <w:spacing w:val="0"/>
          <w:w w:val="100"/>
          <w:sz w:val="20"/>
          <w:vertAlign w:val="baseline"/>
          <w:lang w:val="en-US"/>
        </w:rPr>
        <w:t xml:space="preserve">Recognition of designs registered by corresponding regulator	</w:t>
      </w:r>
      <w:r>
        <w:rPr>
          <w:rFonts w:ascii="Times New Roman" w:hAnsi="Times New Roman" w:eastAsia="Times New Roman"/>
          <w:color w:val="000000"/>
          <w:spacing w:val="0"/>
          <w:w w:val="100"/>
          <w:sz w:val="20"/>
          <w:vertAlign w:val="baseline"/>
          <w:lang w:val="en-US"/>
        </w:rPr>
        <w:t xml:space="preserve">184</w:t>
      </w:r>
    </w:p>
    <w:p>
      <w:pPr>
        <w:tabs>
          <w:tab w:val="left" w:leader="none" w:pos="1368"/>
          <w:tab w:val="right" w:leader="none" w:pos="7704"/>
        </w:tabs>
        <w:spacing w:before="2"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2	</w:t>
      </w:r>
      <w:r>
        <w:rPr>
          <w:rFonts w:ascii="Times New Roman" w:hAnsi="Times New Roman" w:eastAsia="Times New Roman"/>
          <w:b w:val="true"/>
          <w:color w:val="000000"/>
          <w:spacing w:val="0"/>
          <w:w w:val="100"/>
          <w:sz w:val="20"/>
          <w:vertAlign w:val="baseline"/>
          <w:lang w:val="en-US"/>
        </w:rPr>
        <w:t xml:space="preserve">Items of plant to be registered	</w:t>
      </w:r>
      <w:r>
        <w:rPr>
          <w:rFonts w:ascii="Times New Roman" w:hAnsi="Times New Roman" w:eastAsia="Times New Roman"/>
          <w:b w:val="true"/>
          <w:color w:val="000000"/>
          <w:spacing w:val="0"/>
          <w:w w:val="100"/>
          <w:sz w:val="20"/>
          <w:vertAlign w:val="baseline"/>
          <w:lang w:val="en-US"/>
        </w:rPr>
        <w:t xml:space="preserve">185</w:t>
      </w:r>
    </w:p>
    <w:p>
      <w:pPr>
        <w:tabs>
          <w:tab w:val="left" w:leader="none" w:pos="720"/>
          <w:tab w:val="right" w:leader="none" w:pos="7704"/>
        </w:tabs>
        <w:spacing w:before="122"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246	</w:t>
      </w:r>
      <w:r>
        <w:rPr>
          <w:rFonts w:ascii="Times New Roman" w:hAnsi="Times New Roman" w:eastAsia="Times New Roman"/>
          <w:color w:val="000000"/>
          <w:spacing w:val="0"/>
          <w:w w:val="100"/>
          <w:sz w:val="20"/>
          <w:vertAlign w:val="baseline"/>
          <w:lang w:val="en-US"/>
        </w:rPr>
        <w:t xml:space="preserve">Items of plant to be registered	</w:t>
      </w:r>
      <w:r>
        <w:rPr>
          <w:rFonts w:ascii="Times New Roman" w:hAnsi="Times New Roman" w:eastAsia="Times New Roman"/>
          <w:color w:val="000000"/>
          <w:spacing w:val="0"/>
          <w:w w:val="100"/>
          <w:sz w:val="20"/>
          <w:vertAlign w:val="baseline"/>
          <w:lang w:val="en-US"/>
        </w:rPr>
        <w:t xml:space="preserve">185</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247	</w:t>
      </w:r>
      <w:r>
        <w:rPr>
          <w:rFonts w:ascii="Times New Roman" w:hAnsi="Times New Roman" w:eastAsia="Times New Roman"/>
          <w:color w:val="000000"/>
          <w:spacing w:val="0"/>
          <w:w w:val="100"/>
          <w:sz w:val="20"/>
          <w:vertAlign w:val="baseline"/>
          <w:lang w:val="en-US"/>
        </w:rPr>
        <w:t xml:space="preserve">Recognition of plant registered by corresponding regulator	</w:t>
      </w:r>
      <w:r>
        <w:rPr>
          <w:rFonts w:ascii="Times New Roman" w:hAnsi="Times New Roman" w:eastAsia="Times New Roman"/>
          <w:color w:val="000000"/>
          <w:spacing w:val="0"/>
          <w:w w:val="100"/>
          <w:sz w:val="20"/>
          <w:vertAlign w:val="baseline"/>
          <w:lang w:val="en-US"/>
        </w:rPr>
        <w:t xml:space="preserve">185</w:t>
      </w:r>
    </w:p>
    <w:p>
      <w:pPr>
        <w:tabs>
          <w:tab w:val="left" w:leader="none" w:pos="1368"/>
          <w:tab w:val="right" w:leader="none" w:pos="7704"/>
        </w:tabs>
        <w:spacing w:before="2"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3	</w:t>
      </w:r>
      <w:r>
        <w:rPr>
          <w:rFonts w:ascii="Times New Roman" w:hAnsi="Times New Roman" w:eastAsia="Times New Roman"/>
          <w:b w:val="true"/>
          <w:color w:val="000000"/>
          <w:spacing w:val="0"/>
          <w:w w:val="100"/>
          <w:sz w:val="20"/>
          <w:vertAlign w:val="baseline"/>
          <w:lang w:val="en-US"/>
        </w:rPr>
        <w:t xml:space="preserve">Registration process for plant designs	</w:t>
      </w:r>
      <w:r>
        <w:rPr>
          <w:rFonts w:ascii="Times New Roman" w:hAnsi="Times New Roman" w:eastAsia="Times New Roman"/>
          <w:b w:val="true"/>
          <w:color w:val="000000"/>
          <w:spacing w:val="0"/>
          <w:w w:val="100"/>
          <w:sz w:val="20"/>
          <w:vertAlign w:val="baseline"/>
          <w:lang w:val="en-US"/>
        </w:rPr>
        <w:t xml:space="preserve">185</w:t>
      </w:r>
    </w:p>
    <w:p>
      <w:pPr>
        <w:tabs>
          <w:tab w:val="left" w:leader="none" w:pos="720"/>
          <w:tab w:val="right" w:leader="none" w:pos="7704"/>
        </w:tabs>
        <w:spacing w:before="117"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248	</w:t>
      </w:r>
      <w:r>
        <w:rPr>
          <w:rFonts w:ascii="Times New Roman" w:hAnsi="Times New Roman" w:eastAsia="Times New Roman"/>
          <w:color w:val="000000"/>
          <w:spacing w:val="0"/>
          <w:w w:val="100"/>
          <w:sz w:val="20"/>
          <w:vertAlign w:val="baseline"/>
          <w:lang w:val="en-US"/>
        </w:rPr>
        <w:t xml:space="preserve">Application of Division 3	</w:t>
      </w:r>
      <w:r>
        <w:rPr>
          <w:rFonts w:ascii="Times New Roman" w:hAnsi="Times New Roman" w:eastAsia="Times New Roman"/>
          <w:color w:val="000000"/>
          <w:spacing w:val="0"/>
          <w:w w:val="100"/>
          <w:sz w:val="20"/>
          <w:vertAlign w:val="baseline"/>
          <w:lang w:val="en-US"/>
        </w:rPr>
        <w:t xml:space="preserve">185</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249	</w:t>
      </w:r>
      <w:r>
        <w:rPr>
          <w:rFonts w:ascii="Times New Roman" w:hAnsi="Times New Roman" w:eastAsia="Times New Roman"/>
          <w:color w:val="000000"/>
          <w:spacing w:val="0"/>
          <w:w w:val="100"/>
          <w:sz w:val="20"/>
          <w:vertAlign w:val="baseline"/>
          <w:lang w:val="en-US"/>
        </w:rPr>
        <w:t xml:space="preserve">Who can apply to register a plant design	</w:t>
      </w:r>
      <w:r>
        <w:rPr>
          <w:rFonts w:ascii="Times New Roman" w:hAnsi="Times New Roman" w:eastAsia="Times New Roman"/>
          <w:color w:val="000000"/>
          <w:spacing w:val="0"/>
          <w:w w:val="100"/>
          <w:sz w:val="20"/>
          <w:vertAlign w:val="baseline"/>
          <w:lang w:val="en-US"/>
        </w:rPr>
        <w:t xml:space="preserve">185</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250	</w:t>
      </w:r>
      <w:r>
        <w:rPr>
          <w:rFonts w:ascii="Times New Roman" w:hAnsi="Times New Roman" w:eastAsia="Times New Roman"/>
          <w:color w:val="000000"/>
          <w:spacing w:val="0"/>
          <w:w w:val="100"/>
          <w:sz w:val="20"/>
          <w:vertAlign w:val="baseline"/>
          <w:lang w:val="en-US"/>
        </w:rPr>
        <w:t xml:space="preserve">Application for registration	</w:t>
      </w:r>
      <w:r>
        <w:rPr>
          <w:rFonts w:ascii="Times New Roman" w:hAnsi="Times New Roman" w:eastAsia="Times New Roman"/>
          <w:color w:val="000000"/>
          <w:spacing w:val="0"/>
          <w:w w:val="100"/>
          <w:sz w:val="20"/>
          <w:vertAlign w:val="baseline"/>
          <w:lang w:val="en-US"/>
        </w:rPr>
        <w:t xml:space="preserve">185</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251	</w:t>
      </w:r>
      <w:r>
        <w:rPr>
          <w:rFonts w:ascii="Times New Roman" w:hAnsi="Times New Roman" w:eastAsia="Times New Roman"/>
          <w:color w:val="000000"/>
          <w:spacing w:val="0"/>
          <w:w w:val="100"/>
          <w:sz w:val="20"/>
          <w:vertAlign w:val="baseline"/>
          <w:lang w:val="en-US"/>
        </w:rPr>
        <w:t xml:space="preserve">Design verification statement	</w:t>
      </w:r>
      <w:r>
        <w:rPr>
          <w:rFonts w:ascii="Times New Roman" w:hAnsi="Times New Roman" w:eastAsia="Times New Roman"/>
          <w:color w:val="000000"/>
          <w:spacing w:val="0"/>
          <w:w w:val="100"/>
          <w:sz w:val="20"/>
          <w:vertAlign w:val="baseline"/>
          <w:lang w:val="en-US"/>
        </w:rPr>
        <w:t xml:space="preserve">186</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252	</w:t>
      </w:r>
      <w:r>
        <w:rPr>
          <w:rFonts w:ascii="Times New Roman" w:hAnsi="Times New Roman" w:eastAsia="Times New Roman"/>
          <w:color w:val="000000"/>
          <w:spacing w:val="0"/>
          <w:w w:val="100"/>
          <w:sz w:val="20"/>
          <w:vertAlign w:val="baseline"/>
          <w:lang w:val="en-US"/>
        </w:rPr>
        <w:t xml:space="preserve">Who can be the design verifier	</w:t>
      </w:r>
      <w:r>
        <w:rPr>
          <w:rFonts w:ascii="Times New Roman" w:hAnsi="Times New Roman" w:eastAsia="Times New Roman"/>
          <w:color w:val="000000"/>
          <w:spacing w:val="0"/>
          <w:w w:val="100"/>
          <w:sz w:val="20"/>
          <w:vertAlign w:val="baseline"/>
          <w:lang w:val="en-US"/>
        </w:rPr>
        <w:t xml:space="preserve">186</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253	</w:t>
      </w:r>
      <w:r>
        <w:rPr>
          <w:rFonts w:ascii="Times New Roman" w:hAnsi="Times New Roman" w:eastAsia="Times New Roman"/>
          <w:color w:val="000000"/>
          <w:spacing w:val="0"/>
          <w:w w:val="100"/>
          <w:sz w:val="20"/>
          <w:vertAlign w:val="baseline"/>
          <w:lang w:val="en-US"/>
        </w:rPr>
        <w:t xml:space="preserve">Duty of design verifier	</w:t>
      </w:r>
      <w:r>
        <w:rPr>
          <w:rFonts w:ascii="Times New Roman" w:hAnsi="Times New Roman" w:eastAsia="Times New Roman"/>
          <w:color w:val="000000"/>
          <w:spacing w:val="0"/>
          <w:w w:val="100"/>
          <w:sz w:val="20"/>
          <w:vertAlign w:val="baseline"/>
          <w:lang w:val="en-US"/>
        </w:rPr>
        <w:t xml:space="preserve">187</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254	</w:t>
      </w:r>
      <w:r>
        <w:rPr>
          <w:rFonts w:ascii="Times New Roman" w:hAnsi="Times New Roman" w:eastAsia="Times New Roman"/>
          <w:color w:val="000000"/>
          <w:spacing w:val="0"/>
          <w:w w:val="100"/>
          <w:sz w:val="20"/>
          <w:vertAlign w:val="baseline"/>
          <w:lang w:val="en-US"/>
        </w:rPr>
        <w:t xml:space="preserve">Design verification statements not to be made in certain circumstances	</w:t>
      </w:r>
      <w:r>
        <w:rPr>
          <w:rFonts w:ascii="Times New Roman" w:hAnsi="Times New Roman" w:eastAsia="Times New Roman"/>
          <w:color w:val="000000"/>
          <w:spacing w:val="0"/>
          <w:w w:val="100"/>
          <w:sz w:val="20"/>
          <w:vertAlign w:val="baseline"/>
          <w:lang w:val="en-US"/>
        </w:rPr>
        <w:t xml:space="preserve">187</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255	</w:t>
      </w:r>
      <w:r>
        <w:rPr>
          <w:rFonts w:ascii="Times New Roman" w:hAnsi="Times New Roman" w:eastAsia="Times New Roman"/>
          <w:color w:val="000000"/>
          <w:spacing w:val="0"/>
          <w:w w:val="100"/>
          <w:sz w:val="20"/>
          <w:vertAlign w:val="baseline"/>
          <w:lang w:val="en-US"/>
        </w:rPr>
        <w:t xml:space="preserve">Additional information	</w:t>
      </w:r>
      <w:r>
        <w:rPr>
          <w:rFonts w:ascii="Times New Roman" w:hAnsi="Times New Roman" w:eastAsia="Times New Roman"/>
          <w:color w:val="000000"/>
          <w:spacing w:val="0"/>
          <w:w w:val="100"/>
          <w:sz w:val="20"/>
          <w:vertAlign w:val="baseline"/>
          <w:lang w:val="en-US"/>
        </w:rPr>
        <w:t xml:space="preserve">187</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256	</w:t>
      </w:r>
      <w:r>
        <w:rPr>
          <w:rFonts w:ascii="Times New Roman" w:hAnsi="Times New Roman" w:eastAsia="Times New Roman"/>
          <w:color w:val="000000"/>
          <w:spacing w:val="0"/>
          <w:w w:val="100"/>
          <w:sz w:val="20"/>
          <w:vertAlign w:val="baseline"/>
          <w:lang w:val="en-US"/>
        </w:rPr>
        <w:t xml:space="preserve">Decision on application	</w:t>
      </w:r>
      <w:r>
        <w:rPr>
          <w:rFonts w:ascii="Times New Roman" w:hAnsi="Times New Roman" w:eastAsia="Times New Roman"/>
          <w:color w:val="000000"/>
          <w:spacing w:val="0"/>
          <w:w w:val="100"/>
          <w:sz w:val="20"/>
          <w:vertAlign w:val="baseline"/>
          <w:lang w:val="en-US"/>
        </w:rPr>
        <w:t xml:space="preserve">188</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257	</w:t>
      </w:r>
      <w:r>
        <w:rPr>
          <w:rFonts w:ascii="Times New Roman" w:hAnsi="Times New Roman" w:eastAsia="Times New Roman"/>
          <w:color w:val="000000"/>
          <w:spacing w:val="0"/>
          <w:w w:val="100"/>
          <w:sz w:val="20"/>
          <w:vertAlign w:val="baseline"/>
          <w:lang w:val="en-US"/>
        </w:rPr>
        <w:t xml:space="preserve">Refusal of registration—process	</w:t>
      </w:r>
      <w:r>
        <w:rPr>
          <w:rFonts w:ascii="Times New Roman" w:hAnsi="Times New Roman" w:eastAsia="Times New Roman"/>
          <w:color w:val="000000"/>
          <w:spacing w:val="0"/>
          <w:w w:val="100"/>
          <w:sz w:val="20"/>
          <w:vertAlign w:val="baseline"/>
          <w:lang w:val="en-US"/>
        </w:rPr>
        <w:t xml:space="preserve">189</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258	</w:t>
      </w:r>
      <w:r>
        <w:rPr>
          <w:rFonts w:ascii="Times New Roman" w:hAnsi="Times New Roman" w:eastAsia="Times New Roman"/>
          <w:color w:val="000000"/>
          <w:spacing w:val="0"/>
          <w:w w:val="100"/>
          <w:sz w:val="20"/>
          <w:vertAlign w:val="baseline"/>
          <w:lang w:val="en-US"/>
        </w:rPr>
        <w:t xml:space="preserve">Conditions of registration	</w:t>
      </w:r>
      <w:r>
        <w:rPr>
          <w:rFonts w:ascii="Times New Roman" w:hAnsi="Times New Roman" w:eastAsia="Times New Roman"/>
          <w:color w:val="000000"/>
          <w:spacing w:val="0"/>
          <w:w w:val="100"/>
          <w:sz w:val="20"/>
          <w:vertAlign w:val="baseline"/>
          <w:lang w:val="en-US"/>
        </w:rPr>
        <w:t xml:space="preserve">189</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259	</w:t>
      </w:r>
      <w:r>
        <w:rPr>
          <w:rFonts w:ascii="Times New Roman" w:hAnsi="Times New Roman" w:eastAsia="Times New Roman"/>
          <w:color w:val="000000"/>
          <w:spacing w:val="0"/>
          <w:w w:val="100"/>
          <w:sz w:val="20"/>
          <w:vertAlign w:val="baseline"/>
          <w:lang w:val="en-US"/>
        </w:rPr>
        <w:t xml:space="preserve">Duration of registration of plant design	</w:t>
      </w:r>
      <w:r>
        <w:rPr>
          <w:rFonts w:ascii="Times New Roman" w:hAnsi="Times New Roman" w:eastAsia="Times New Roman"/>
          <w:color w:val="000000"/>
          <w:spacing w:val="0"/>
          <w:w w:val="100"/>
          <w:sz w:val="20"/>
          <w:vertAlign w:val="baseline"/>
          <w:lang w:val="en-US"/>
        </w:rPr>
        <w:t xml:space="preserve">190</w:t>
      </w:r>
    </w:p>
    <w:p>
      <w:pPr>
        <w:tabs>
          <w:tab w:val="left" w:leader="none" w:pos="720"/>
          <w:tab w:val="right" w:leader="none" w:pos="7704"/>
        </w:tabs>
        <w:spacing w:before="0" w:after="0" w:line="226"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260	</w:t>
      </w:r>
      <w:r>
        <w:rPr>
          <w:rFonts w:ascii="Times New Roman" w:hAnsi="Times New Roman" w:eastAsia="Times New Roman"/>
          <w:color w:val="000000"/>
          <w:spacing w:val="0"/>
          <w:w w:val="100"/>
          <w:sz w:val="20"/>
          <w:vertAlign w:val="baseline"/>
          <w:lang w:val="en-US"/>
        </w:rPr>
        <w:t xml:space="preserve">Plant design registration number	</w:t>
      </w:r>
      <w:r>
        <w:rPr>
          <w:rFonts w:ascii="Times New Roman" w:hAnsi="Times New Roman" w:eastAsia="Times New Roman"/>
          <w:color w:val="000000"/>
          <w:spacing w:val="0"/>
          <w:w w:val="100"/>
          <w:sz w:val="20"/>
          <w:vertAlign w:val="baseline"/>
          <w:lang w:val="en-US"/>
        </w:rPr>
        <w:t xml:space="preserve">190</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261	</w:t>
      </w:r>
      <w:r>
        <w:rPr>
          <w:rFonts w:ascii="Times New Roman" w:hAnsi="Times New Roman" w:eastAsia="Times New Roman"/>
          <w:color w:val="000000"/>
          <w:spacing w:val="0"/>
          <w:w w:val="100"/>
          <w:sz w:val="20"/>
          <w:vertAlign w:val="baseline"/>
          <w:lang w:val="en-US"/>
        </w:rPr>
        <w:t xml:space="preserve">Registration document	</w:t>
      </w:r>
      <w:r>
        <w:rPr>
          <w:rFonts w:ascii="Times New Roman" w:hAnsi="Times New Roman" w:eastAsia="Times New Roman"/>
          <w:color w:val="000000"/>
          <w:spacing w:val="0"/>
          <w:w w:val="100"/>
          <w:sz w:val="20"/>
          <w:vertAlign w:val="baseline"/>
          <w:lang w:val="en-US"/>
        </w:rPr>
        <w:t xml:space="preserve">190</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262	</w:t>
      </w:r>
      <w:r>
        <w:rPr>
          <w:rFonts w:ascii="Times New Roman" w:hAnsi="Times New Roman" w:eastAsia="Times New Roman"/>
          <w:color w:val="000000"/>
          <w:spacing w:val="0"/>
          <w:w w:val="100"/>
          <w:sz w:val="20"/>
          <w:vertAlign w:val="baseline"/>
          <w:lang w:val="en-US"/>
        </w:rPr>
        <w:t xml:space="preserve">Registration document to be available	</w:t>
      </w:r>
      <w:r>
        <w:rPr>
          <w:rFonts w:ascii="Times New Roman" w:hAnsi="Times New Roman" w:eastAsia="Times New Roman"/>
          <w:color w:val="000000"/>
          <w:spacing w:val="0"/>
          <w:w w:val="100"/>
          <w:sz w:val="20"/>
          <w:vertAlign w:val="baseline"/>
          <w:lang w:val="en-US"/>
        </w:rPr>
        <w:t xml:space="preserve">191</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263	</w:t>
      </w:r>
      <w:r>
        <w:rPr>
          <w:rFonts w:ascii="Times New Roman" w:hAnsi="Times New Roman" w:eastAsia="Times New Roman"/>
          <w:color w:val="000000"/>
          <w:spacing w:val="0"/>
          <w:w w:val="100"/>
          <w:sz w:val="20"/>
          <w:vertAlign w:val="baseline"/>
          <w:lang w:val="en-US"/>
        </w:rPr>
        <w:t xml:space="preserve">Disclosure of design information	</w:t>
      </w:r>
      <w:r>
        <w:rPr>
          <w:rFonts w:ascii="Times New Roman" w:hAnsi="Times New Roman" w:eastAsia="Times New Roman"/>
          <w:color w:val="000000"/>
          <w:spacing w:val="0"/>
          <w:w w:val="100"/>
          <w:sz w:val="20"/>
          <w:vertAlign w:val="baseline"/>
          <w:lang w:val="en-US"/>
        </w:rPr>
        <w:t xml:space="preserve">191</w:t>
      </w:r>
    </w:p>
    <w:p>
      <w:pPr>
        <w:tabs>
          <w:tab w:val="left" w:leader="none" w:pos="1368"/>
          <w:tab w:val="right" w:leader="none" w:pos="7704"/>
        </w:tabs>
        <w:spacing w:before="3"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4	</w:t>
      </w:r>
      <w:r>
        <w:rPr>
          <w:rFonts w:ascii="Times New Roman" w:hAnsi="Times New Roman" w:eastAsia="Times New Roman"/>
          <w:b w:val="true"/>
          <w:color w:val="000000"/>
          <w:spacing w:val="0"/>
          <w:w w:val="100"/>
          <w:sz w:val="20"/>
          <w:vertAlign w:val="baseline"/>
          <w:lang w:val="en-US"/>
        </w:rPr>
        <w:t xml:space="preserve">Registration process for an item of plant	</w:t>
      </w:r>
      <w:r>
        <w:rPr>
          <w:rFonts w:ascii="Times New Roman" w:hAnsi="Times New Roman" w:eastAsia="Times New Roman"/>
          <w:b w:val="true"/>
          <w:color w:val="000000"/>
          <w:spacing w:val="0"/>
          <w:w w:val="100"/>
          <w:sz w:val="20"/>
          <w:vertAlign w:val="baseline"/>
          <w:lang w:val="en-US"/>
        </w:rPr>
        <w:t xml:space="preserve">192</w:t>
      </w:r>
    </w:p>
    <w:p>
      <w:pPr>
        <w:tabs>
          <w:tab w:val="left" w:leader="none" w:pos="720"/>
          <w:tab w:val="right" w:leader="none" w:pos="7704"/>
        </w:tabs>
        <w:spacing w:before="12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264	</w:t>
      </w:r>
      <w:r>
        <w:rPr>
          <w:rFonts w:ascii="Times New Roman" w:hAnsi="Times New Roman" w:eastAsia="Times New Roman"/>
          <w:color w:val="000000"/>
          <w:spacing w:val="0"/>
          <w:w w:val="100"/>
          <w:sz w:val="20"/>
          <w:vertAlign w:val="baseline"/>
          <w:lang w:val="en-US"/>
        </w:rPr>
        <w:t xml:space="preserve">Application of Division 4	</w:t>
      </w:r>
      <w:r>
        <w:rPr>
          <w:rFonts w:ascii="Times New Roman" w:hAnsi="Times New Roman" w:eastAsia="Times New Roman"/>
          <w:color w:val="000000"/>
          <w:spacing w:val="0"/>
          <w:w w:val="100"/>
          <w:sz w:val="20"/>
          <w:vertAlign w:val="baseline"/>
          <w:lang w:val="en-US"/>
        </w:rPr>
        <w:t xml:space="preserve">192</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265	</w:t>
      </w:r>
      <w:r>
        <w:rPr>
          <w:rFonts w:ascii="Times New Roman" w:hAnsi="Times New Roman" w:eastAsia="Times New Roman"/>
          <w:color w:val="000000"/>
          <w:spacing w:val="0"/>
          <w:w w:val="100"/>
          <w:sz w:val="20"/>
          <w:vertAlign w:val="baseline"/>
          <w:lang w:val="en-US"/>
        </w:rPr>
        <w:t xml:space="preserve">Who can apply to register an item of plant	</w:t>
      </w:r>
      <w:r>
        <w:rPr>
          <w:rFonts w:ascii="Times New Roman" w:hAnsi="Times New Roman" w:eastAsia="Times New Roman"/>
          <w:color w:val="000000"/>
          <w:spacing w:val="0"/>
          <w:w w:val="100"/>
          <w:sz w:val="20"/>
          <w:vertAlign w:val="baseline"/>
          <w:lang w:val="en-US"/>
        </w:rPr>
        <w:t xml:space="preserve">192</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266	</w:t>
      </w:r>
      <w:r>
        <w:rPr>
          <w:rFonts w:ascii="Times New Roman" w:hAnsi="Times New Roman" w:eastAsia="Times New Roman"/>
          <w:color w:val="000000"/>
          <w:spacing w:val="0"/>
          <w:w w:val="100"/>
          <w:sz w:val="20"/>
          <w:vertAlign w:val="baseline"/>
          <w:lang w:val="en-US"/>
        </w:rPr>
        <w:t xml:space="preserve">Application for registration	</w:t>
      </w:r>
      <w:r>
        <w:rPr>
          <w:rFonts w:ascii="Times New Roman" w:hAnsi="Times New Roman" w:eastAsia="Times New Roman"/>
          <w:color w:val="000000"/>
          <w:spacing w:val="0"/>
          <w:w w:val="100"/>
          <w:sz w:val="20"/>
          <w:vertAlign w:val="baseline"/>
          <w:lang w:val="en-US"/>
        </w:rPr>
        <w:t xml:space="preserve">192</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267	</w:t>
      </w:r>
      <w:r>
        <w:rPr>
          <w:rFonts w:ascii="Times New Roman" w:hAnsi="Times New Roman" w:eastAsia="Times New Roman"/>
          <w:color w:val="000000"/>
          <w:spacing w:val="0"/>
          <w:w w:val="100"/>
          <w:sz w:val="20"/>
          <w:vertAlign w:val="baseline"/>
          <w:lang w:val="en-US"/>
        </w:rPr>
        <w:t xml:space="preserve">When is a person competent to inspect plant	</w:t>
      </w:r>
      <w:r>
        <w:rPr>
          <w:rFonts w:ascii="Times New Roman" w:hAnsi="Times New Roman" w:eastAsia="Times New Roman"/>
          <w:color w:val="000000"/>
          <w:spacing w:val="0"/>
          <w:w w:val="100"/>
          <w:sz w:val="20"/>
          <w:vertAlign w:val="baseline"/>
          <w:lang w:val="en-US"/>
        </w:rPr>
        <w:t xml:space="preserve">193</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268	</w:t>
      </w:r>
      <w:r>
        <w:rPr>
          <w:rFonts w:ascii="Times New Roman" w:hAnsi="Times New Roman" w:eastAsia="Times New Roman"/>
          <w:color w:val="000000"/>
          <w:spacing w:val="0"/>
          <w:w w:val="100"/>
          <w:sz w:val="20"/>
          <w:vertAlign w:val="baseline"/>
          <w:lang w:val="en-US"/>
        </w:rPr>
        <w:t xml:space="preserve">Additional information	</w:t>
      </w:r>
      <w:r>
        <w:rPr>
          <w:rFonts w:ascii="Times New Roman" w:hAnsi="Times New Roman" w:eastAsia="Times New Roman"/>
          <w:color w:val="000000"/>
          <w:spacing w:val="0"/>
          <w:w w:val="100"/>
          <w:sz w:val="20"/>
          <w:vertAlign w:val="baseline"/>
          <w:lang w:val="en-US"/>
        </w:rPr>
        <w:t xml:space="preserve">193</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269	</w:t>
      </w:r>
      <w:r>
        <w:rPr>
          <w:rFonts w:ascii="Times New Roman" w:hAnsi="Times New Roman" w:eastAsia="Times New Roman"/>
          <w:color w:val="000000"/>
          <w:spacing w:val="0"/>
          <w:w w:val="100"/>
          <w:sz w:val="20"/>
          <w:vertAlign w:val="baseline"/>
          <w:lang w:val="en-US"/>
        </w:rPr>
        <w:t xml:space="preserve">Decision on application	</w:t>
      </w:r>
      <w:r>
        <w:rPr>
          <w:rFonts w:ascii="Times New Roman" w:hAnsi="Times New Roman" w:eastAsia="Times New Roman"/>
          <w:color w:val="000000"/>
          <w:spacing w:val="0"/>
          <w:w w:val="100"/>
          <w:sz w:val="20"/>
          <w:vertAlign w:val="baseline"/>
          <w:lang w:val="en-US"/>
        </w:rPr>
        <w:t xml:space="preserve">193</w:t>
      </w:r>
    </w:p>
    <w:p>
      <w:pPr>
        <w:tabs>
          <w:tab w:val="left" w:leader="none" w:pos="720"/>
          <w:tab w:val="right" w:leader="none" w:pos="7704"/>
        </w:tabs>
        <w:spacing w:before="0" w:after="0" w:line="226"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270	</w:t>
      </w:r>
      <w:r>
        <w:rPr>
          <w:rFonts w:ascii="Times New Roman" w:hAnsi="Times New Roman" w:eastAsia="Times New Roman"/>
          <w:color w:val="000000"/>
          <w:spacing w:val="0"/>
          <w:w w:val="100"/>
          <w:sz w:val="20"/>
          <w:vertAlign w:val="baseline"/>
          <w:lang w:val="en-US"/>
        </w:rPr>
        <w:t xml:space="preserve">Refusal of registration—process	</w:t>
      </w:r>
      <w:r>
        <w:rPr>
          <w:rFonts w:ascii="Times New Roman" w:hAnsi="Times New Roman" w:eastAsia="Times New Roman"/>
          <w:color w:val="000000"/>
          <w:spacing w:val="0"/>
          <w:w w:val="100"/>
          <w:sz w:val="20"/>
          <w:vertAlign w:val="baseline"/>
          <w:lang w:val="en-US"/>
        </w:rPr>
        <w:t xml:space="preserve">195</w:t>
      </w:r>
    </w:p>
    <w:p>
      <w:pPr>
        <w:tabs>
          <w:tab w:val="left" w:leader="none" w:pos="720"/>
          <w:tab w:val="right" w:leader="none" w:pos="7704"/>
        </w:tabs>
        <w:spacing w:before="0" w:after="632"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10.65pt" to="498.5pt,710.6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271	</w:t>
      </w:r>
      <w:r>
        <w:rPr>
          <w:rFonts w:ascii="Times New Roman" w:hAnsi="Times New Roman" w:eastAsia="Times New Roman"/>
          <w:color w:val="000000"/>
          <w:spacing w:val="0"/>
          <w:w w:val="100"/>
          <w:sz w:val="20"/>
          <w:vertAlign w:val="baseline"/>
          <w:lang w:val="en-US"/>
        </w:rPr>
        <w:t xml:space="preserve">Conditions of registration	</w:t>
      </w:r>
      <w:r>
        <w:rPr>
          <w:rFonts w:ascii="Times New Roman" w:hAnsi="Times New Roman" w:eastAsia="Times New Roman"/>
          <w:color w:val="000000"/>
          <w:spacing w:val="0"/>
          <w:w w:val="100"/>
          <w:sz w:val="20"/>
          <w:vertAlign w:val="baseline"/>
          <w:lang w:val="en-US"/>
        </w:rPr>
        <w:t xml:space="preserve">195</w:t>
      </w:r>
    </w:p>
    <w:p>
      <w:pPr>
        <w:spacing w:before="0" w:after="632" w:line="230" w:lineRule="exact"/>
        <w:sectPr>
          <w:type w:val="nextPage"/>
          <w:pgSz w:w="11909" w:h="16838" w:orient="portrait"/>
          <w:pgMar w:bottom="1542" w:top="1320" w:right="1940" w:left="1949" w:header="720" w:footer="720"/>
          <w:titlePg w:val="false"/>
          <w:textDirection w:val="lrTb"/>
        </w:sectPr>
      </w:pPr>
    </w:p>
    <w:p>
      <w:pPr>
        <w:tabs>
          <w:tab w:val="right" w:leader="none" w:pos="4032"/>
        </w:tabs>
        <w:spacing w:before="0" w:after="0" w:line="177"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1.1.2021	</w:t>
      </w:r>
      <w:r>
        <w:rPr>
          <w:rFonts w:ascii="Times New Roman" w:hAnsi="Times New Roman" w:eastAsia="Times New Roman"/>
          <w:color w:val="000000"/>
          <w:spacing w:val="0"/>
          <w:w w:val="100"/>
          <w:sz w:val="16"/>
          <w:vertAlign w:val="baseline"/>
          <w:lang w:val="en-US"/>
        </w:rPr>
        <w:t xml:space="preserve">9</w:t>
      </w:r>
    </w:p>
    <w:p>
      <w:pPr>
        <w:sectPr>
          <w:type w:val="continuous"/>
          <w:pgSz w:w="11909" w:h="16838" w:orient="portrait"/>
          <w:pgMar w:bottom="1542" w:top="1320" w:right="5915" w:left="1994" w:header="720" w:footer="720"/>
          <w:titlePg w:val="false"/>
          <w:textDirection w:val="lrTb"/>
        </w:sectPr>
      </w:pPr>
    </w:p>
    <w:p>
      <w:pPr>
        <w:spacing w:before="21" w:after="229"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720"/>
          <w:tab w:val="right" w:leader="none" w:pos="7704"/>
        </w:tabs>
        <w:spacing w:before="478"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90.95pt" to="498.5pt,90.9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272	</w:t>
      </w:r>
      <w:r>
        <w:rPr>
          <w:rFonts w:ascii="Times New Roman" w:hAnsi="Times New Roman" w:eastAsia="Times New Roman"/>
          <w:color w:val="000000"/>
          <w:spacing w:val="0"/>
          <w:w w:val="100"/>
          <w:sz w:val="20"/>
          <w:vertAlign w:val="baseline"/>
          <w:lang w:val="en-US"/>
        </w:rPr>
        <w:t xml:space="preserve">Duration of registration	</w:t>
      </w:r>
      <w:r>
        <w:rPr>
          <w:rFonts w:ascii="Times New Roman" w:hAnsi="Times New Roman" w:eastAsia="Times New Roman"/>
          <w:color w:val="000000"/>
          <w:spacing w:val="0"/>
          <w:w w:val="100"/>
          <w:sz w:val="20"/>
          <w:vertAlign w:val="baseline"/>
          <w:lang w:val="en-US"/>
        </w:rPr>
        <w:t xml:space="preserve">196</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273	</w:t>
      </w:r>
      <w:r>
        <w:rPr>
          <w:rFonts w:ascii="Times New Roman" w:hAnsi="Times New Roman" w:eastAsia="Times New Roman"/>
          <w:color w:val="000000"/>
          <w:spacing w:val="0"/>
          <w:w w:val="100"/>
          <w:sz w:val="20"/>
          <w:vertAlign w:val="baseline"/>
          <w:lang w:val="en-US"/>
        </w:rPr>
        <w:t xml:space="preserve">Plant registration number	</w:t>
      </w:r>
      <w:r>
        <w:rPr>
          <w:rFonts w:ascii="Times New Roman" w:hAnsi="Times New Roman" w:eastAsia="Times New Roman"/>
          <w:color w:val="000000"/>
          <w:spacing w:val="0"/>
          <w:w w:val="100"/>
          <w:sz w:val="20"/>
          <w:vertAlign w:val="baseline"/>
          <w:lang w:val="en-US"/>
        </w:rPr>
        <w:t xml:space="preserve">196</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274	</w:t>
      </w:r>
      <w:r>
        <w:rPr>
          <w:rFonts w:ascii="Times New Roman" w:hAnsi="Times New Roman" w:eastAsia="Times New Roman"/>
          <w:color w:val="000000"/>
          <w:spacing w:val="0"/>
          <w:w w:val="100"/>
          <w:sz w:val="20"/>
          <w:vertAlign w:val="baseline"/>
          <w:lang w:val="en-US"/>
        </w:rPr>
        <w:t xml:space="preserve">Registration document	</w:t>
      </w:r>
      <w:r>
        <w:rPr>
          <w:rFonts w:ascii="Times New Roman" w:hAnsi="Times New Roman" w:eastAsia="Times New Roman"/>
          <w:color w:val="000000"/>
          <w:spacing w:val="0"/>
          <w:w w:val="100"/>
          <w:sz w:val="20"/>
          <w:vertAlign w:val="baseline"/>
          <w:lang w:val="en-US"/>
        </w:rPr>
        <w:t xml:space="preserve">196</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275	</w:t>
      </w:r>
      <w:r>
        <w:rPr>
          <w:rFonts w:ascii="Times New Roman" w:hAnsi="Times New Roman" w:eastAsia="Times New Roman"/>
          <w:color w:val="000000"/>
          <w:spacing w:val="0"/>
          <w:w w:val="100"/>
          <w:sz w:val="20"/>
          <w:vertAlign w:val="baseline"/>
          <w:lang w:val="en-US"/>
        </w:rPr>
        <w:t xml:space="preserve">Registration document to be available	</w:t>
      </w:r>
      <w:r>
        <w:rPr>
          <w:rFonts w:ascii="Times New Roman" w:hAnsi="Times New Roman" w:eastAsia="Times New Roman"/>
          <w:color w:val="000000"/>
          <w:spacing w:val="0"/>
          <w:w w:val="100"/>
          <w:sz w:val="20"/>
          <w:vertAlign w:val="baseline"/>
          <w:lang w:val="en-US"/>
        </w:rPr>
        <w:t xml:space="preserve">197</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276	</w:t>
      </w:r>
      <w:r>
        <w:rPr>
          <w:rFonts w:ascii="Times New Roman" w:hAnsi="Times New Roman" w:eastAsia="Times New Roman"/>
          <w:color w:val="000000"/>
          <w:spacing w:val="0"/>
          <w:w w:val="100"/>
          <w:sz w:val="20"/>
          <w:vertAlign w:val="baseline"/>
          <w:lang w:val="en-US"/>
        </w:rPr>
        <w:t xml:space="preserve">Regulator may renew registration	</w:t>
      </w:r>
      <w:r>
        <w:rPr>
          <w:rFonts w:ascii="Times New Roman" w:hAnsi="Times New Roman" w:eastAsia="Times New Roman"/>
          <w:color w:val="000000"/>
          <w:spacing w:val="0"/>
          <w:w w:val="100"/>
          <w:sz w:val="20"/>
          <w:vertAlign w:val="baseline"/>
          <w:lang w:val="en-US"/>
        </w:rPr>
        <w:t xml:space="preserve">197</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277	</w:t>
      </w:r>
      <w:r>
        <w:rPr>
          <w:rFonts w:ascii="Times New Roman" w:hAnsi="Times New Roman" w:eastAsia="Times New Roman"/>
          <w:color w:val="000000"/>
          <w:spacing w:val="0"/>
          <w:w w:val="100"/>
          <w:sz w:val="20"/>
          <w:vertAlign w:val="baseline"/>
          <w:lang w:val="en-US"/>
        </w:rPr>
        <w:t xml:space="preserve">Application for renewal	</w:t>
      </w:r>
      <w:r>
        <w:rPr>
          <w:rFonts w:ascii="Times New Roman" w:hAnsi="Times New Roman" w:eastAsia="Times New Roman"/>
          <w:color w:val="000000"/>
          <w:spacing w:val="0"/>
          <w:w w:val="100"/>
          <w:sz w:val="20"/>
          <w:vertAlign w:val="baseline"/>
          <w:lang w:val="en-US"/>
        </w:rPr>
        <w:t xml:space="preserve">197</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278	</w:t>
      </w:r>
      <w:r>
        <w:rPr>
          <w:rFonts w:ascii="Times New Roman" w:hAnsi="Times New Roman" w:eastAsia="Times New Roman"/>
          <w:color w:val="000000"/>
          <w:spacing w:val="0"/>
          <w:w w:val="100"/>
          <w:sz w:val="20"/>
          <w:vertAlign w:val="baseline"/>
          <w:lang w:val="en-US"/>
        </w:rPr>
        <w:t xml:space="preserve">Registration continues in force until application is decided	</w:t>
      </w:r>
      <w:r>
        <w:rPr>
          <w:rFonts w:ascii="Times New Roman" w:hAnsi="Times New Roman" w:eastAsia="Times New Roman"/>
          <w:color w:val="000000"/>
          <w:spacing w:val="0"/>
          <w:w w:val="100"/>
          <w:sz w:val="20"/>
          <w:vertAlign w:val="baseline"/>
          <w:lang w:val="en-US"/>
        </w:rPr>
        <w:t xml:space="preserve">198</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279	</w:t>
      </w:r>
      <w:r>
        <w:rPr>
          <w:rFonts w:ascii="Times New Roman" w:hAnsi="Times New Roman" w:eastAsia="Times New Roman"/>
          <w:color w:val="000000"/>
          <w:spacing w:val="0"/>
          <w:w w:val="100"/>
          <w:sz w:val="20"/>
          <w:vertAlign w:val="baseline"/>
          <w:lang w:val="en-US"/>
        </w:rPr>
        <w:t xml:space="preserve">Decision on application	</w:t>
      </w:r>
      <w:r>
        <w:rPr>
          <w:rFonts w:ascii="Times New Roman" w:hAnsi="Times New Roman" w:eastAsia="Times New Roman"/>
          <w:color w:val="000000"/>
          <w:spacing w:val="0"/>
          <w:w w:val="100"/>
          <w:sz w:val="20"/>
          <w:vertAlign w:val="baseline"/>
          <w:lang w:val="en-US"/>
        </w:rPr>
        <w:t xml:space="preserve">198</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280	</w:t>
      </w:r>
      <w:r>
        <w:rPr>
          <w:rFonts w:ascii="Times New Roman" w:hAnsi="Times New Roman" w:eastAsia="Times New Roman"/>
          <w:color w:val="000000"/>
          <w:spacing w:val="0"/>
          <w:w w:val="100"/>
          <w:sz w:val="20"/>
          <w:vertAlign w:val="baseline"/>
          <w:lang w:val="en-US"/>
        </w:rPr>
        <w:t xml:space="preserve">Status of registration during review	</w:t>
      </w:r>
      <w:r>
        <w:rPr>
          <w:rFonts w:ascii="Times New Roman" w:hAnsi="Times New Roman" w:eastAsia="Times New Roman"/>
          <w:color w:val="000000"/>
          <w:spacing w:val="0"/>
          <w:w w:val="100"/>
          <w:sz w:val="20"/>
          <w:vertAlign w:val="baseline"/>
          <w:lang w:val="en-US"/>
        </w:rPr>
        <w:t xml:space="preserve">198</w:t>
      </w:r>
    </w:p>
    <w:p>
      <w:pPr>
        <w:tabs>
          <w:tab w:val="left" w:leader="none" w:pos="1368"/>
          <w:tab w:val="right" w:leader="none" w:pos="7704"/>
        </w:tabs>
        <w:spacing w:before="3" w:after="0" w:line="230"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5	</w:t>
      </w:r>
      <w:r>
        <w:rPr>
          <w:rFonts w:ascii="Times New Roman" w:hAnsi="Times New Roman" w:eastAsia="Times New Roman"/>
          <w:b w:val="true"/>
          <w:color w:val="000000"/>
          <w:spacing w:val="0"/>
          <w:w w:val="100"/>
          <w:sz w:val="20"/>
          <w:vertAlign w:val="baseline"/>
          <w:lang w:val="en-US"/>
        </w:rPr>
        <w:t xml:space="preserve">Changes to registration and registration documents	</w:t>
      </w:r>
      <w:r>
        <w:rPr>
          <w:rFonts w:ascii="Times New Roman" w:hAnsi="Times New Roman" w:eastAsia="Times New Roman"/>
          <w:b w:val="true"/>
          <w:color w:val="000000"/>
          <w:spacing w:val="0"/>
          <w:w w:val="100"/>
          <w:sz w:val="20"/>
          <w:vertAlign w:val="baseline"/>
          <w:lang w:val="en-US"/>
        </w:rPr>
        <w:t xml:space="preserve">199</w:t>
      </w:r>
    </w:p>
    <w:p>
      <w:pPr>
        <w:tabs>
          <w:tab w:val="left" w:leader="none" w:pos="720"/>
          <w:tab w:val="right" w:leader="none" w:pos="7704"/>
        </w:tabs>
        <w:spacing w:before="113"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281	</w:t>
      </w:r>
      <w:r>
        <w:rPr>
          <w:rFonts w:ascii="Times New Roman" w:hAnsi="Times New Roman" w:eastAsia="Times New Roman"/>
          <w:color w:val="000000"/>
          <w:spacing w:val="0"/>
          <w:w w:val="100"/>
          <w:sz w:val="20"/>
          <w:vertAlign w:val="baseline"/>
          <w:lang w:val="en-US"/>
        </w:rPr>
        <w:t xml:space="preserve">Application of Division	</w:t>
      </w:r>
      <w:r>
        <w:rPr>
          <w:rFonts w:ascii="Times New Roman" w:hAnsi="Times New Roman" w:eastAsia="Times New Roman"/>
          <w:color w:val="000000"/>
          <w:spacing w:val="0"/>
          <w:w w:val="100"/>
          <w:sz w:val="20"/>
          <w:vertAlign w:val="baseline"/>
          <w:lang w:val="en-US"/>
        </w:rPr>
        <w:t xml:space="preserve">199</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282	</w:t>
      </w:r>
      <w:r>
        <w:rPr>
          <w:rFonts w:ascii="Times New Roman" w:hAnsi="Times New Roman" w:eastAsia="Times New Roman"/>
          <w:color w:val="000000"/>
          <w:spacing w:val="0"/>
          <w:w w:val="100"/>
          <w:sz w:val="20"/>
          <w:vertAlign w:val="baseline"/>
          <w:lang w:val="en-US"/>
        </w:rPr>
        <w:t xml:space="preserve">Changes to information	</w:t>
      </w:r>
      <w:r>
        <w:rPr>
          <w:rFonts w:ascii="Times New Roman" w:hAnsi="Times New Roman" w:eastAsia="Times New Roman"/>
          <w:color w:val="000000"/>
          <w:spacing w:val="0"/>
          <w:w w:val="100"/>
          <w:sz w:val="20"/>
          <w:vertAlign w:val="baseline"/>
          <w:lang w:val="en-US"/>
        </w:rPr>
        <w:t xml:space="preserve">199</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283	</w:t>
      </w:r>
      <w:r>
        <w:rPr>
          <w:rFonts w:ascii="Times New Roman" w:hAnsi="Times New Roman" w:eastAsia="Times New Roman"/>
          <w:color w:val="000000"/>
          <w:spacing w:val="0"/>
          <w:w w:val="100"/>
          <w:sz w:val="20"/>
          <w:vertAlign w:val="baseline"/>
          <w:lang w:val="en-US"/>
        </w:rPr>
        <w:t xml:space="preserve">Amendment of registration imposed by regulator	</w:t>
      </w:r>
      <w:r>
        <w:rPr>
          <w:rFonts w:ascii="Times New Roman" w:hAnsi="Times New Roman" w:eastAsia="Times New Roman"/>
          <w:color w:val="000000"/>
          <w:spacing w:val="0"/>
          <w:w w:val="100"/>
          <w:sz w:val="20"/>
          <w:vertAlign w:val="baseline"/>
          <w:lang w:val="en-US"/>
        </w:rPr>
        <w:t xml:space="preserve">200</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284	</w:t>
      </w:r>
      <w:r>
        <w:rPr>
          <w:rFonts w:ascii="Times New Roman" w:hAnsi="Times New Roman" w:eastAsia="Times New Roman"/>
          <w:color w:val="000000"/>
          <w:spacing w:val="0"/>
          <w:w w:val="100"/>
          <w:sz w:val="20"/>
          <w:vertAlign w:val="baseline"/>
          <w:lang w:val="en-US"/>
        </w:rPr>
        <w:t xml:space="preserve">Amendment on application by registration holder	</w:t>
      </w:r>
      <w:r>
        <w:rPr>
          <w:rFonts w:ascii="Times New Roman" w:hAnsi="Times New Roman" w:eastAsia="Times New Roman"/>
          <w:color w:val="000000"/>
          <w:spacing w:val="0"/>
          <w:w w:val="100"/>
          <w:sz w:val="20"/>
          <w:vertAlign w:val="baseline"/>
          <w:lang w:val="en-US"/>
        </w:rPr>
        <w:t xml:space="preserve">201</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285	</w:t>
      </w:r>
      <w:r>
        <w:rPr>
          <w:rFonts w:ascii="Times New Roman" w:hAnsi="Times New Roman" w:eastAsia="Times New Roman"/>
          <w:color w:val="000000"/>
          <w:spacing w:val="0"/>
          <w:w w:val="100"/>
          <w:sz w:val="20"/>
          <w:vertAlign w:val="baseline"/>
          <w:lang w:val="en-US"/>
        </w:rPr>
        <w:t xml:space="preserve">Minor corrections to registration	</w:t>
      </w:r>
      <w:r>
        <w:rPr>
          <w:rFonts w:ascii="Times New Roman" w:hAnsi="Times New Roman" w:eastAsia="Times New Roman"/>
          <w:color w:val="000000"/>
          <w:spacing w:val="0"/>
          <w:w w:val="100"/>
          <w:sz w:val="20"/>
          <w:vertAlign w:val="baseline"/>
          <w:lang w:val="en-US"/>
        </w:rPr>
        <w:t xml:space="preserve">202</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286	</w:t>
      </w:r>
      <w:r>
        <w:rPr>
          <w:rFonts w:ascii="Times New Roman" w:hAnsi="Times New Roman" w:eastAsia="Times New Roman"/>
          <w:color w:val="000000"/>
          <w:spacing w:val="0"/>
          <w:w w:val="100"/>
          <w:sz w:val="20"/>
          <w:vertAlign w:val="baseline"/>
          <w:lang w:val="en-US"/>
        </w:rPr>
        <w:t xml:space="preserve">Regulator to give amended registration document	</w:t>
      </w:r>
      <w:r>
        <w:rPr>
          <w:rFonts w:ascii="Times New Roman" w:hAnsi="Times New Roman" w:eastAsia="Times New Roman"/>
          <w:color w:val="000000"/>
          <w:spacing w:val="0"/>
          <w:w w:val="100"/>
          <w:sz w:val="20"/>
          <w:vertAlign w:val="baseline"/>
          <w:lang w:val="en-US"/>
        </w:rPr>
        <w:t xml:space="preserve">202</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287	</w:t>
      </w:r>
      <w:r>
        <w:rPr>
          <w:rFonts w:ascii="Times New Roman" w:hAnsi="Times New Roman" w:eastAsia="Times New Roman"/>
          <w:color w:val="000000"/>
          <w:spacing w:val="0"/>
          <w:w w:val="100"/>
          <w:sz w:val="20"/>
          <w:vertAlign w:val="baseline"/>
          <w:lang w:val="en-US"/>
        </w:rPr>
        <w:t xml:space="preserve">Registration holder to return registration document	</w:t>
      </w:r>
      <w:r>
        <w:rPr>
          <w:rFonts w:ascii="Times New Roman" w:hAnsi="Times New Roman" w:eastAsia="Times New Roman"/>
          <w:color w:val="000000"/>
          <w:spacing w:val="0"/>
          <w:w w:val="100"/>
          <w:sz w:val="20"/>
          <w:vertAlign w:val="baseline"/>
          <w:lang w:val="en-US"/>
        </w:rPr>
        <w:t xml:space="preserve">202</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288	</w:t>
      </w:r>
      <w:r>
        <w:rPr>
          <w:rFonts w:ascii="Times New Roman" w:hAnsi="Times New Roman" w:eastAsia="Times New Roman"/>
          <w:color w:val="000000"/>
          <w:spacing w:val="0"/>
          <w:w w:val="100"/>
          <w:sz w:val="20"/>
          <w:vertAlign w:val="baseline"/>
          <w:lang w:val="en-US"/>
        </w:rPr>
        <w:t xml:space="preserve">Replacement registration document	</w:t>
      </w:r>
      <w:r>
        <w:rPr>
          <w:rFonts w:ascii="Times New Roman" w:hAnsi="Times New Roman" w:eastAsia="Times New Roman"/>
          <w:color w:val="000000"/>
          <w:spacing w:val="0"/>
          <w:w w:val="100"/>
          <w:sz w:val="20"/>
          <w:vertAlign w:val="baseline"/>
          <w:lang w:val="en-US"/>
        </w:rPr>
        <w:t xml:space="preserve">203</w:t>
      </w:r>
    </w:p>
    <w:p>
      <w:pPr>
        <w:tabs>
          <w:tab w:val="right" w:leader="none" w:pos="7704"/>
        </w:tabs>
        <w:spacing w:before="3" w:after="0" w:line="230"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6—Cancellation of registration	</w:t>
      </w:r>
      <w:r>
        <w:rPr>
          <w:rFonts w:ascii="Times New Roman" w:hAnsi="Times New Roman" w:eastAsia="Times New Roman"/>
          <w:b w:val="true"/>
          <w:color w:val="000000"/>
          <w:spacing w:val="0"/>
          <w:w w:val="100"/>
          <w:sz w:val="20"/>
          <w:vertAlign w:val="baseline"/>
          <w:lang w:val="en-US"/>
        </w:rPr>
        <w:t xml:space="preserve">204</w:t>
      </w:r>
    </w:p>
    <w:p>
      <w:pPr>
        <w:tabs>
          <w:tab w:val="right" w:leader="none" w:pos="7704"/>
        </w:tabs>
        <w:spacing w:before="118"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288A Application of Division	</w:t>
      </w:r>
      <w:r>
        <w:rPr>
          <w:rFonts w:ascii="Times New Roman" w:hAnsi="Times New Roman" w:eastAsia="Times New Roman"/>
          <w:color w:val="000000"/>
          <w:spacing w:val="0"/>
          <w:w w:val="100"/>
          <w:sz w:val="20"/>
          <w:vertAlign w:val="baseline"/>
          <w:lang w:val="en-US"/>
        </w:rPr>
        <w:t xml:space="preserve">204</w:t>
      </w:r>
    </w:p>
    <w:p>
      <w:pPr>
        <w:tabs>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288B Regulator may cancel registration	</w:t>
      </w:r>
      <w:r>
        <w:rPr>
          <w:rFonts w:ascii="Times New Roman" w:hAnsi="Times New Roman" w:eastAsia="Times New Roman"/>
          <w:color w:val="000000"/>
          <w:spacing w:val="0"/>
          <w:w w:val="100"/>
          <w:sz w:val="20"/>
          <w:vertAlign w:val="baseline"/>
          <w:lang w:val="en-US"/>
        </w:rPr>
        <w:t xml:space="preserve">204</w:t>
      </w:r>
    </w:p>
    <w:p>
      <w:pPr>
        <w:tabs>
          <w:tab w:val="right" w:leader="none" w:pos="7704"/>
        </w:tabs>
        <w:spacing w:before="0" w:after="0" w:line="226"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288C Cancellation process	</w:t>
      </w:r>
      <w:r>
        <w:rPr>
          <w:rFonts w:ascii="Times New Roman" w:hAnsi="Times New Roman" w:eastAsia="Times New Roman"/>
          <w:color w:val="000000"/>
          <w:spacing w:val="0"/>
          <w:w w:val="100"/>
          <w:sz w:val="20"/>
          <w:vertAlign w:val="baseline"/>
          <w:lang w:val="en-US"/>
        </w:rPr>
        <w:t xml:space="preserve">204</w:t>
      </w:r>
    </w:p>
    <w:p>
      <w:pPr>
        <w:tabs>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288D Registration holder to return registration document	</w:t>
      </w:r>
      <w:r>
        <w:rPr>
          <w:rFonts w:ascii="Times New Roman" w:hAnsi="Times New Roman" w:eastAsia="Times New Roman"/>
          <w:color w:val="000000"/>
          <w:spacing w:val="0"/>
          <w:w w:val="100"/>
          <w:sz w:val="20"/>
          <w:vertAlign w:val="baseline"/>
          <w:lang w:val="en-US"/>
        </w:rPr>
        <w:t xml:space="preserve">205</w:t>
      </w:r>
    </w:p>
    <w:p>
      <w:pPr>
        <w:tabs>
          <w:tab w:val="left" w:leader="none" w:pos="1944"/>
          <w:tab w:val="right" w:leader="none" w:pos="7704"/>
        </w:tabs>
        <w:spacing w:before="243" w:after="0" w:line="230"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CHAPTER 6	</w:t>
      </w:r>
      <w:r>
        <w:rPr>
          <w:rFonts w:ascii="Times New Roman" w:hAnsi="Times New Roman" w:eastAsia="Times New Roman"/>
          <w:b w:val="true"/>
          <w:color w:val="000000"/>
          <w:spacing w:val="0"/>
          <w:w w:val="100"/>
          <w:sz w:val="20"/>
          <w:vertAlign w:val="baseline"/>
          <w:lang w:val="en-US"/>
        </w:rPr>
        <w:t xml:space="preserve">CONSTRUCTION WORK	</w:t>
      </w:r>
      <w:r>
        <w:rPr>
          <w:rFonts w:ascii="Times New Roman" w:hAnsi="Times New Roman" w:eastAsia="Times New Roman"/>
          <w:b w:val="true"/>
          <w:color w:val="000000"/>
          <w:spacing w:val="0"/>
          <w:w w:val="100"/>
          <w:sz w:val="20"/>
          <w:vertAlign w:val="baseline"/>
          <w:lang w:val="en-US"/>
        </w:rPr>
        <w:t xml:space="preserve">206</w:t>
      </w:r>
    </w:p>
    <w:p>
      <w:pPr>
        <w:tabs>
          <w:tab w:val="left" w:leader="none" w:pos="1368"/>
          <w:tab w:val="right" w:leader="none" w:pos="7704"/>
        </w:tabs>
        <w:spacing w:before="240" w:after="0" w:line="230"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6.1	</w:t>
      </w:r>
      <w:r>
        <w:rPr>
          <w:rFonts w:ascii="Times New Roman" w:hAnsi="Times New Roman" w:eastAsia="Times New Roman"/>
          <w:b w:val="true"/>
          <w:color w:val="000000"/>
          <w:spacing w:val="0"/>
          <w:w w:val="100"/>
          <w:sz w:val="20"/>
          <w:vertAlign w:val="baseline"/>
          <w:lang w:val="en-US"/>
        </w:rPr>
        <w:t xml:space="preserve">PRELIMINARY	</w:t>
      </w:r>
      <w:r>
        <w:rPr>
          <w:rFonts w:ascii="Times New Roman" w:hAnsi="Times New Roman" w:eastAsia="Times New Roman"/>
          <w:b w:val="true"/>
          <w:color w:val="000000"/>
          <w:spacing w:val="0"/>
          <w:w w:val="100"/>
          <w:sz w:val="20"/>
          <w:vertAlign w:val="baseline"/>
          <w:lang w:val="en-US"/>
        </w:rPr>
        <w:t xml:space="preserve">206</w:t>
      </w:r>
    </w:p>
    <w:p>
      <w:pPr>
        <w:tabs>
          <w:tab w:val="left" w:leader="none" w:pos="720"/>
          <w:tab w:val="right" w:leader="none" w:pos="7704"/>
        </w:tabs>
        <w:spacing w:before="119"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289	</w:t>
      </w:r>
      <w:r>
        <w:rPr>
          <w:rFonts w:ascii="Times New Roman" w:hAnsi="Times New Roman" w:eastAsia="Times New Roman"/>
          <w:color w:val="000000"/>
          <w:spacing w:val="0"/>
          <w:w w:val="100"/>
          <w:sz w:val="20"/>
          <w:vertAlign w:val="baseline"/>
          <w:lang w:val="en-US"/>
        </w:rPr>
        <w:t xml:space="preserve">Meaning of construction work	</w:t>
      </w:r>
      <w:r>
        <w:rPr>
          <w:rFonts w:ascii="Times New Roman" w:hAnsi="Times New Roman" w:eastAsia="Times New Roman"/>
          <w:color w:val="000000"/>
          <w:spacing w:val="0"/>
          <w:w w:val="100"/>
          <w:sz w:val="20"/>
          <w:vertAlign w:val="baseline"/>
          <w:lang w:val="en-US"/>
        </w:rPr>
        <w:t xml:space="preserve">206</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290	</w:t>
      </w:r>
      <w:r>
        <w:rPr>
          <w:rFonts w:ascii="Times New Roman" w:hAnsi="Times New Roman" w:eastAsia="Times New Roman"/>
          <w:color w:val="000000"/>
          <w:spacing w:val="0"/>
          <w:w w:val="100"/>
          <w:sz w:val="20"/>
          <w:vertAlign w:val="baseline"/>
          <w:lang w:val="en-US"/>
        </w:rPr>
        <w:t xml:space="preserve">Meaning of </w:t>
      </w:r>
      <w:r>
        <w:rPr>
          <w:rFonts w:ascii="Times New Roman" w:hAnsi="Times New Roman" w:eastAsia="Times New Roman"/>
          <w:i w:val="true"/>
          <w:color w:val="000000"/>
          <w:spacing w:val="0"/>
          <w:w w:val="100"/>
          <w:sz w:val="20"/>
          <w:vertAlign w:val="baseline"/>
          <w:lang w:val="en-US"/>
        </w:rPr>
        <w:t xml:space="preserve">structure	</w:t>
      </w:r>
      <w:r>
        <w:rPr>
          <w:rFonts w:ascii="Times New Roman" w:hAnsi="Times New Roman" w:eastAsia="Times New Roman"/>
          <w:color w:val="000000"/>
          <w:spacing w:val="0"/>
          <w:w w:val="100"/>
          <w:sz w:val="20"/>
          <w:vertAlign w:val="baseline"/>
          <w:lang w:val="en-US"/>
        </w:rPr>
        <w:t xml:space="preserve">207</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291	</w:t>
      </w:r>
      <w:r>
        <w:rPr>
          <w:rFonts w:ascii="Times New Roman" w:hAnsi="Times New Roman" w:eastAsia="Times New Roman"/>
          <w:color w:val="000000"/>
          <w:spacing w:val="0"/>
          <w:w w:val="100"/>
          <w:sz w:val="20"/>
          <w:vertAlign w:val="baseline"/>
          <w:lang w:val="en-US"/>
        </w:rPr>
        <w:t xml:space="preserve">Meaning of high risk construction work	</w:t>
      </w:r>
      <w:r>
        <w:rPr>
          <w:rFonts w:ascii="Times New Roman" w:hAnsi="Times New Roman" w:eastAsia="Times New Roman"/>
          <w:color w:val="000000"/>
          <w:spacing w:val="0"/>
          <w:w w:val="100"/>
          <w:sz w:val="20"/>
          <w:vertAlign w:val="baseline"/>
          <w:lang w:val="en-US"/>
        </w:rPr>
        <w:t xml:space="preserve">208</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292	</w:t>
      </w:r>
      <w:r>
        <w:rPr>
          <w:rFonts w:ascii="Times New Roman" w:hAnsi="Times New Roman" w:eastAsia="Times New Roman"/>
          <w:color w:val="000000"/>
          <w:spacing w:val="0"/>
          <w:w w:val="100"/>
          <w:sz w:val="20"/>
          <w:vertAlign w:val="baseline"/>
          <w:lang w:val="en-US"/>
        </w:rPr>
        <w:t xml:space="preserve">Meaning of construction project	</w:t>
      </w:r>
      <w:r>
        <w:rPr>
          <w:rFonts w:ascii="Times New Roman" w:hAnsi="Times New Roman" w:eastAsia="Times New Roman"/>
          <w:color w:val="000000"/>
          <w:spacing w:val="0"/>
          <w:w w:val="100"/>
          <w:sz w:val="20"/>
          <w:vertAlign w:val="baseline"/>
          <w:lang w:val="en-US"/>
        </w:rPr>
        <w:t xml:space="preserve">209</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293	</w:t>
      </w:r>
      <w:r>
        <w:rPr>
          <w:rFonts w:ascii="Times New Roman" w:hAnsi="Times New Roman" w:eastAsia="Times New Roman"/>
          <w:color w:val="000000"/>
          <w:spacing w:val="0"/>
          <w:w w:val="100"/>
          <w:sz w:val="20"/>
          <w:vertAlign w:val="baseline"/>
          <w:lang w:val="en-US"/>
        </w:rPr>
        <w:t xml:space="preserve">Meaning of principal contractor	</w:t>
      </w:r>
      <w:r>
        <w:rPr>
          <w:rFonts w:ascii="Times New Roman" w:hAnsi="Times New Roman" w:eastAsia="Times New Roman"/>
          <w:color w:val="000000"/>
          <w:spacing w:val="0"/>
          <w:w w:val="100"/>
          <w:sz w:val="20"/>
          <w:vertAlign w:val="baseline"/>
          <w:lang w:val="en-US"/>
        </w:rPr>
        <w:t xml:space="preserve">209</w:t>
      </w:r>
    </w:p>
    <w:p>
      <w:pPr>
        <w:tabs>
          <w:tab w:val="left" w:leader="none" w:pos="1368"/>
        </w:tabs>
        <w:spacing w:before="243" w:after="0" w:line="230"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6.2	</w:t>
      </w:r>
      <w:r>
        <w:rPr>
          <w:rFonts w:ascii="Times New Roman" w:hAnsi="Times New Roman" w:eastAsia="Times New Roman"/>
          <w:b w:val="true"/>
          <w:color w:val="000000"/>
          <w:spacing w:val="0"/>
          <w:w w:val="100"/>
          <w:sz w:val="20"/>
          <w:vertAlign w:val="baseline"/>
          <w:lang w:val="en-US"/>
        </w:rPr>
        <w:t xml:space="preserve">DUTIES OF DESIGNER OF STRUCTURE AND PERSON WHO</w:t>
      </w:r>
    </w:p>
    <w:p>
      <w:pPr>
        <w:tabs>
          <w:tab w:val="right" w:leader="none" w:pos="7704"/>
        </w:tabs>
        <w:spacing w:before="0" w:after="0" w:line="230"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COMMISSIONS CONSTRUCTION WORK	</w:t>
      </w:r>
      <w:r>
        <w:rPr>
          <w:rFonts w:ascii="Times New Roman" w:hAnsi="Times New Roman" w:eastAsia="Times New Roman"/>
          <w:b w:val="true"/>
          <w:color w:val="000000"/>
          <w:spacing w:val="0"/>
          <w:w w:val="100"/>
          <w:sz w:val="20"/>
          <w:vertAlign w:val="baseline"/>
          <w:lang w:val="en-US"/>
        </w:rPr>
        <w:t xml:space="preserve">210</w:t>
      </w:r>
    </w:p>
    <w:p>
      <w:pPr>
        <w:tabs>
          <w:tab w:val="left" w:leader="none" w:pos="720"/>
          <w:tab w:val="right" w:leader="none" w:pos="7704"/>
        </w:tabs>
        <w:spacing w:before="118"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294	</w:t>
      </w:r>
      <w:r>
        <w:rPr>
          <w:rFonts w:ascii="Times New Roman" w:hAnsi="Times New Roman" w:eastAsia="Times New Roman"/>
          <w:color w:val="000000"/>
          <w:spacing w:val="0"/>
          <w:w w:val="100"/>
          <w:sz w:val="20"/>
          <w:vertAlign w:val="baseline"/>
          <w:lang w:val="en-US"/>
        </w:rPr>
        <w:t xml:space="preserve">Person who commissions work must consult with designer	</w:t>
      </w:r>
      <w:r>
        <w:rPr>
          <w:rFonts w:ascii="Times New Roman" w:hAnsi="Times New Roman" w:eastAsia="Times New Roman"/>
          <w:color w:val="000000"/>
          <w:spacing w:val="0"/>
          <w:w w:val="100"/>
          <w:sz w:val="20"/>
          <w:vertAlign w:val="baseline"/>
          <w:lang w:val="en-US"/>
        </w:rPr>
        <w:t xml:space="preserve">210</w:t>
      </w:r>
    </w:p>
    <w:p>
      <w:pPr>
        <w:tabs>
          <w:tab w:val="left" w:leader="none" w:pos="720"/>
          <w:tab w:val="right" w:leader="none" w:pos="7704"/>
        </w:tabs>
        <w:spacing w:before="0" w:after="0" w:line="226"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295	</w:t>
      </w:r>
      <w:r>
        <w:rPr>
          <w:rFonts w:ascii="Times New Roman" w:hAnsi="Times New Roman" w:eastAsia="Times New Roman"/>
          <w:color w:val="000000"/>
          <w:spacing w:val="0"/>
          <w:w w:val="100"/>
          <w:sz w:val="20"/>
          <w:vertAlign w:val="baseline"/>
          <w:lang w:val="en-US"/>
        </w:rPr>
        <w:t xml:space="preserve">Designer must give safety report to person who commissions design	</w:t>
      </w:r>
      <w:r>
        <w:rPr>
          <w:rFonts w:ascii="Times New Roman" w:hAnsi="Times New Roman" w:eastAsia="Times New Roman"/>
          <w:color w:val="000000"/>
          <w:spacing w:val="0"/>
          <w:w w:val="100"/>
          <w:sz w:val="20"/>
          <w:vertAlign w:val="baseline"/>
          <w:lang w:val="en-US"/>
        </w:rPr>
        <w:t xml:space="preserve">210</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296	</w:t>
      </w:r>
      <w:r>
        <w:rPr>
          <w:rFonts w:ascii="Times New Roman" w:hAnsi="Times New Roman" w:eastAsia="Times New Roman"/>
          <w:color w:val="000000"/>
          <w:spacing w:val="0"/>
          <w:w w:val="100"/>
          <w:sz w:val="20"/>
          <w:vertAlign w:val="baseline"/>
          <w:lang w:val="en-US"/>
        </w:rPr>
        <w:t xml:space="preserve">Person who commissions project must give information to principal contractor	</w:t>
      </w:r>
      <w:r>
        <w:rPr>
          <w:rFonts w:ascii="Times New Roman" w:hAnsi="Times New Roman" w:eastAsia="Times New Roman"/>
          <w:color w:val="000000"/>
          <w:spacing w:val="0"/>
          <w:w w:val="100"/>
          <w:sz w:val="20"/>
          <w:vertAlign w:val="baseline"/>
          <w:lang w:val="en-US"/>
        </w:rPr>
        <w:t xml:space="preserve">211</w:t>
      </w:r>
    </w:p>
    <w:p>
      <w:pPr>
        <w:tabs>
          <w:tab w:val="left" w:leader="none" w:pos="1368"/>
        </w:tabs>
        <w:spacing w:before="243" w:after="0" w:line="230"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6.3	</w:t>
      </w:r>
      <w:r>
        <w:rPr>
          <w:rFonts w:ascii="Times New Roman" w:hAnsi="Times New Roman" w:eastAsia="Times New Roman"/>
          <w:b w:val="true"/>
          <w:color w:val="000000"/>
          <w:spacing w:val="0"/>
          <w:w w:val="100"/>
          <w:sz w:val="20"/>
          <w:vertAlign w:val="baseline"/>
          <w:lang w:val="en-US"/>
        </w:rPr>
        <w:t xml:space="preserve">DUTIES OF PERSON CONDUCTING BUSINESS OR</w:t>
      </w:r>
    </w:p>
    <w:p>
      <w:pPr>
        <w:tabs>
          <w:tab w:val="right" w:leader="none" w:pos="7704"/>
        </w:tabs>
        <w:spacing w:before="0" w:after="0" w:line="230"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UNDERTAKING	</w:t>
      </w:r>
      <w:r>
        <w:rPr>
          <w:rFonts w:ascii="Times New Roman" w:hAnsi="Times New Roman" w:eastAsia="Times New Roman"/>
          <w:b w:val="true"/>
          <w:color w:val="000000"/>
          <w:spacing w:val="0"/>
          <w:w w:val="100"/>
          <w:sz w:val="20"/>
          <w:vertAlign w:val="baseline"/>
          <w:lang w:val="en-US"/>
        </w:rPr>
        <w:t xml:space="preserve">212</w:t>
      </w:r>
    </w:p>
    <w:p>
      <w:pPr>
        <w:tabs>
          <w:tab w:val="left" w:leader="none" w:pos="1368"/>
          <w:tab w:val="right" w:leader="none" w:pos="7704"/>
        </w:tabs>
        <w:spacing w:before="121" w:after="0" w:line="230"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1	</w:t>
      </w:r>
      <w:r>
        <w:rPr>
          <w:rFonts w:ascii="Times New Roman" w:hAnsi="Times New Roman" w:eastAsia="Times New Roman"/>
          <w:b w:val="true"/>
          <w:color w:val="000000"/>
          <w:spacing w:val="0"/>
          <w:w w:val="100"/>
          <w:sz w:val="20"/>
          <w:vertAlign w:val="baseline"/>
          <w:lang w:val="en-US"/>
        </w:rPr>
        <w:t xml:space="preserve">General	</w:t>
      </w:r>
      <w:r>
        <w:rPr>
          <w:rFonts w:ascii="Times New Roman" w:hAnsi="Times New Roman" w:eastAsia="Times New Roman"/>
          <w:b w:val="true"/>
          <w:color w:val="000000"/>
          <w:spacing w:val="0"/>
          <w:w w:val="100"/>
          <w:sz w:val="20"/>
          <w:vertAlign w:val="baseline"/>
          <w:lang w:val="en-US"/>
        </w:rPr>
        <w:t xml:space="preserve">212</w:t>
      </w:r>
    </w:p>
    <w:p>
      <w:pPr>
        <w:tabs>
          <w:tab w:val="left" w:leader="none" w:pos="720"/>
          <w:tab w:val="right" w:leader="none" w:pos="7704"/>
        </w:tabs>
        <w:spacing w:before="118"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297	</w:t>
      </w:r>
      <w:r>
        <w:rPr>
          <w:rFonts w:ascii="Times New Roman" w:hAnsi="Times New Roman" w:eastAsia="Times New Roman"/>
          <w:color w:val="000000"/>
          <w:spacing w:val="0"/>
          <w:w w:val="100"/>
          <w:sz w:val="20"/>
          <w:vertAlign w:val="baseline"/>
          <w:lang w:val="en-US"/>
        </w:rPr>
        <w:t xml:space="preserve">Management of risks to health and safety	</w:t>
      </w:r>
      <w:r>
        <w:rPr>
          <w:rFonts w:ascii="Times New Roman" w:hAnsi="Times New Roman" w:eastAsia="Times New Roman"/>
          <w:color w:val="000000"/>
          <w:spacing w:val="0"/>
          <w:w w:val="100"/>
          <w:sz w:val="20"/>
          <w:vertAlign w:val="baseline"/>
          <w:lang w:val="en-US"/>
        </w:rPr>
        <w:t xml:space="preserve">212</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298	</w:t>
      </w:r>
      <w:r>
        <w:rPr>
          <w:rFonts w:ascii="Times New Roman" w:hAnsi="Times New Roman" w:eastAsia="Times New Roman"/>
          <w:color w:val="000000"/>
          <w:spacing w:val="0"/>
          <w:w w:val="100"/>
          <w:sz w:val="20"/>
          <w:vertAlign w:val="baseline"/>
          <w:lang w:val="en-US"/>
        </w:rPr>
        <w:t xml:space="preserve">Security of workplace	</w:t>
      </w:r>
      <w:r>
        <w:rPr>
          <w:rFonts w:ascii="Times New Roman" w:hAnsi="Times New Roman" w:eastAsia="Times New Roman"/>
          <w:color w:val="000000"/>
          <w:spacing w:val="0"/>
          <w:w w:val="100"/>
          <w:sz w:val="20"/>
          <w:vertAlign w:val="baseline"/>
          <w:lang w:val="en-US"/>
        </w:rPr>
        <w:t xml:space="preserve">212</w:t>
      </w:r>
    </w:p>
    <w:p>
      <w:pPr>
        <w:tabs>
          <w:tab w:val="left" w:leader="none" w:pos="1368"/>
          <w:tab w:val="right" w:leader="none" w:pos="7704"/>
        </w:tabs>
        <w:spacing w:before="3" w:after="0" w:line="230"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2	</w:t>
      </w:r>
      <w:r>
        <w:rPr>
          <w:rFonts w:ascii="Times New Roman" w:hAnsi="Times New Roman" w:eastAsia="Times New Roman"/>
          <w:b w:val="true"/>
          <w:color w:val="000000"/>
          <w:spacing w:val="0"/>
          <w:w w:val="100"/>
          <w:sz w:val="20"/>
          <w:vertAlign w:val="baseline"/>
          <w:lang w:val="en-US"/>
        </w:rPr>
        <w:t xml:space="preserve">High risk construction work—safe work method statements	</w:t>
      </w:r>
      <w:r>
        <w:rPr>
          <w:rFonts w:ascii="Times New Roman" w:hAnsi="Times New Roman" w:eastAsia="Times New Roman"/>
          <w:b w:val="true"/>
          <w:color w:val="000000"/>
          <w:spacing w:val="0"/>
          <w:w w:val="100"/>
          <w:sz w:val="20"/>
          <w:vertAlign w:val="baseline"/>
          <w:lang w:val="en-US"/>
        </w:rPr>
        <w:t xml:space="preserve">212</w:t>
      </w:r>
    </w:p>
    <w:p>
      <w:pPr>
        <w:tabs>
          <w:tab w:val="left" w:leader="none" w:pos="720"/>
          <w:tab w:val="right" w:leader="none" w:pos="7704"/>
        </w:tabs>
        <w:spacing w:before="118"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299	</w:t>
      </w:r>
      <w:r>
        <w:rPr>
          <w:rFonts w:ascii="Times New Roman" w:hAnsi="Times New Roman" w:eastAsia="Times New Roman"/>
          <w:color w:val="000000"/>
          <w:spacing w:val="0"/>
          <w:w w:val="100"/>
          <w:sz w:val="20"/>
          <w:vertAlign w:val="baseline"/>
          <w:lang w:val="en-US"/>
        </w:rPr>
        <w:t xml:space="preserve">Safe work method statement required for high risk construction work	</w:t>
      </w:r>
      <w:r>
        <w:rPr>
          <w:rFonts w:ascii="Times New Roman" w:hAnsi="Times New Roman" w:eastAsia="Times New Roman"/>
          <w:color w:val="000000"/>
          <w:spacing w:val="0"/>
          <w:w w:val="100"/>
          <w:sz w:val="20"/>
          <w:vertAlign w:val="baseline"/>
          <w:lang w:val="en-US"/>
        </w:rPr>
        <w:t xml:space="preserve">212</w:t>
      </w:r>
    </w:p>
    <w:p>
      <w:pPr>
        <w:tabs>
          <w:tab w:val="left" w:leader="none" w:pos="720"/>
          <w:tab w:val="right" w:leader="none" w:pos="7704"/>
        </w:tabs>
        <w:spacing w:before="1" w:after="718"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10.65pt" to="498.5pt,710.6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300	</w:t>
      </w:r>
      <w:r>
        <w:rPr>
          <w:rFonts w:ascii="Times New Roman" w:hAnsi="Times New Roman" w:eastAsia="Times New Roman"/>
          <w:color w:val="000000"/>
          <w:spacing w:val="0"/>
          <w:w w:val="100"/>
          <w:sz w:val="20"/>
          <w:vertAlign w:val="baseline"/>
          <w:lang w:val="en-US"/>
        </w:rPr>
        <w:t xml:space="preserve">Compliance with safe work method statement	</w:t>
      </w:r>
      <w:r>
        <w:rPr>
          <w:rFonts w:ascii="Times New Roman" w:hAnsi="Times New Roman" w:eastAsia="Times New Roman"/>
          <w:color w:val="000000"/>
          <w:spacing w:val="0"/>
          <w:w w:val="100"/>
          <w:sz w:val="20"/>
          <w:vertAlign w:val="baseline"/>
          <w:lang w:val="en-US"/>
        </w:rPr>
        <w:t xml:space="preserve">213</w:t>
      </w:r>
    </w:p>
    <w:p>
      <w:pPr>
        <w:spacing w:before="1" w:after="718" w:line="230" w:lineRule="exact"/>
        <w:sectPr>
          <w:type w:val="nextPage"/>
          <w:pgSz w:w="11909" w:h="16838" w:orient="portrait"/>
          <w:pgMar w:bottom="1542" w:top="1320" w:right="1940" w:left="1949" w:header="720" w:footer="720"/>
          <w:titlePg w:val="false"/>
          <w:textDirection w:val="lrTb"/>
        </w:sectPr>
      </w:pPr>
    </w:p>
    <w:p>
      <w:pPr>
        <w:tabs>
          <w:tab w:val="right" w:leader="none" w:pos="4032"/>
        </w:tabs>
        <w:spacing w:before="5" w:after="0" w:line="178"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1.1.2021	</w:t>
      </w:r>
      <w:r>
        <w:rPr>
          <w:rFonts w:ascii="Times New Roman" w:hAnsi="Times New Roman" w:eastAsia="Times New Roman"/>
          <w:color w:val="000000"/>
          <w:spacing w:val="0"/>
          <w:w w:val="100"/>
          <w:sz w:val="16"/>
          <w:vertAlign w:val="baseline"/>
          <w:lang w:val="en-US"/>
        </w:rPr>
        <w:t xml:space="preserve">10</w:t>
      </w:r>
    </w:p>
    <w:p>
      <w:pPr>
        <w:sectPr>
          <w:type w:val="continuous"/>
          <w:pgSz w:w="11909" w:h="16838" w:orient="portrait"/>
          <w:pgMar w:bottom="1542" w:top="1320" w:right="5872" w:left="1997" w:header="720" w:footer="720"/>
          <w:titlePg w:val="false"/>
          <w:textDirection w:val="lrTb"/>
        </w:sectPr>
      </w:pPr>
    </w:p>
    <w:p>
      <w:pPr>
        <w:spacing w:before="21" w:after="229"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720"/>
          <w:tab w:val="left" w:leader="none" w:pos="7272"/>
        </w:tabs>
        <w:spacing w:before="478"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90.95pt" to="498.5pt,90.9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301	</w:t>
      </w:r>
      <w:r>
        <w:rPr>
          <w:rFonts w:ascii="Times New Roman" w:hAnsi="Times New Roman" w:eastAsia="Times New Roman"/>
          <w:color w:val="000000"/>
          <w:spacing w:val="0"/>
          <w:w w:val="100"/>
          <w:sz w:val="20"/>
          <w:vertAlign w:val="baseline"/>
          <w:lang w:val="en-US"/>
        </w:rPr>
        <w:t xml:space="preserve">Safe work method statement—copy to be given to principal contractor	</w:t>
      </w:r>
      <w:r>
        <w:rPr>
          <w:rFonts w:ascii="Times New Roman" w:hAnsi="Times New Roman" w:eastAsia="Times New Roman"/>
          <w:color w:val="000000"/>
          <w:spacing w:val="0"/>
          <w:w w:val="100"/>
          <w:sz w:val="20"/>
          <w:vertAlign w:val="baseline"/>
          <w:lang w:val="en-US"/>
        </w:rPr>
        <w:t xml:space="preserve">214</w:t>
      </w:r>
    </w:p>
    <w:p>
      <w:pPr>
        <w:tabs>
          <w:tab w:val="left" w:leader="none" w:pos="720"/>
          <w:tab w:val="left" w:leader="none" w:pos="7272"/>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302	</w:t>
      </w:r>
      <w:r>
        <w:rPr>
          <w:rFonts w:ascii="Times New Roman" w:hAnsi="Times New Roman" w:eastAsia="Times New Roman"/>
          <w:color w:val="000000"/>
          <w:spacing w:val="0"/>
          <w:w w:val="100"/>
          <w:sz w:val="20"/>
          <w:vertAlign w:val="baseline"/>
          <w:lang w:val="en-US"/>
        </w:rPr>
        <w:t xml:space="preserve">Review of safe work method statement	</w:t>
      </w:r>
      <w:r>
        <w:rPr>
          <w:rFonts w:ascii="Times New Roman" w:hAnsi="Times New Roman" w:eastAsia="Times New Roman"/>
          <w:color w:val="000000"/>
          <w:spacing w:val="0"/>
          <w:w w:val="100"/>
          <w:sz w:val="20"/>
          <w:vertAlign w:val="baseline"/>
          <w:lang w:val="en-US"/>
        </w:rPr>
        <w:t xml:space="preserve">214</w:t>
      </w:r>
    </w:p>
    <w:p>
      <w:pPr>
        <w:tabs>
          <w:tab w:val="left" w:leader="none" w:pos="720"/>
          <w:tab w:val="left" w:leader="none" w:pos="7272"/>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303	</w:t>
      </w:r>
      <w:r>
        <w:rPr>
          <w:rFonts w:ascii="Times New Roman" w:hAnsi="Times New Roman" w:eastAsia="Times New Roman"/>
          <w:color w:val="000000"/>
          <w:spacing w:val="0"/>
          <w:w w:val="100"/>
          <w:sz w:val="20"/>
          <w:vertAlign w:val="baseline"/>
          <w:lang w:val="en-US"/>
        </w:rPr>
        <w:t xml:space="preserve">Safe work method statement must be kept	</w:t>
      </w:r>
      <w:r>
        <w:rPr>
          <w:rFonts w:ascii="Times New Roman" w:hAnsi="Times New Roman" w:eastAsia="Times New Roman"/>
          <w:color w:val="000000"/>
          <w:spacing w:val="0"/>
          <w:w w:val="100"/>
          <w:sz w:val="20"/>
          <w:vertAlign w:val="baseline"/>
          <w:lang w:val="en-US"/>
        </w:rPr>
        <w:t xml:space="preserve">214</w:t>
      </w:r>
    </w:p>
    <w:p>
      <w:pPr>
        <w:tabs>
          <w:tab w:val="left" w:leader="none" w:pos="1368"/>
          <w:tab w:val="left" w:leader="none" w:pos="7272"/>
        </w:tabs>
        <w:spacing w:before="2"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3	</w:t>
      </w:r>
      <w:r>
        <w:rPr>
          <w:rFonts w:ascii="Times New Roman" w:hAnsi="Times New Roman" w:eastAsia="Times New Roman"/>
          <w:b w:val="true"/>
          <w:color w:val="000000"/>
          <w:spacing w:val="0"/>
          <w:w w:val="100"/>
          <w:sz w:val="20"/>
          <w:vertAlign w:val="baseline"/>
          <w:lang w:val="en-US"/>
        </w:rPr>
        <w:t xml:space="preserve">Excavation Work	</w:t>
      </w:r>
      <w:r>
        <w:rPr>
          <w:rFonts w:ascii="Times New Roman" w:hAnsi="Times New Roman" w:eastAsia="Times New Roman"/>
          <w:b w:val="true"/>
          <w:color w:val="000000"/>
          <w:spacing w:val="0"/>
          <w:w w:val="100"/>
          <w:sz w:val="20"/>
          <w:vertAlign w:val="baseline"/>
          <w:lang w:val="en-US"/>
        </w:rPr>
        <w:t xml:space="preserve">215</w:t>
      </w:r>
    </w:p>
    <w:p>
      <w:pPr>
        <w:tabs>
          <w:tab w:val="left" w:leader="none" w:pos="720"/>
          <w:tab w:val="left" w:leader="none" w:pos="7272"/>
        </w:tabs>
        <w:spacing w:before="12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304	</w:t>
      </w:r>
      <w:r>
        <w:rPr>
          <w:rFonts w:ascii="Times New Roman" w:hAnsi="Times New Roman" w:eastAsia="Times New Roman"/>
          <w:color w:val="000000"/>
          <w:spacing w:val="0"/>
          <w:w w:val="100"/>
          <w:sz w:val="20"/>
          <w:vertAlign w:val="baseline"/>
          <w:lang w:val="en-US"/>
        </w:rPr>
        <w:t xml:space="preserve">Excavation work—underground essential services information	</w:t>
      </w:r>
      <w:r>
        <w:rPr>
          <w:rFonts w:ascii="Times New Roman" w:hAnsi="Times New Roman" w:eastAsia="Times New Roman"/>
          <w:color w:val="000000"/>
          <w:spacing w:val="0"/>
          <w:w w:val="100"/>
          <w:sz w:val="20"/>
          <w:vertAlign w:val="baseline"/>
          <w:lang w:val="en-US"/>
        </w:rPr>
        <w:t xml:space="preserve">215</w:t>
      </w:r>
    </w:p>
    <w:p>
      <w:pPr>
        <w:tabs>
          <w:tab w:val="left" w:leader="none" w:pos="720"/>
          <w:tab w:val="left" w:leader="none" w:pos="7272"/>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305	</w:t>
      </w:r>
      <w:r>
        <w:rPr>
          <w:rFonts w:ascii="Times New Roman" w:hAnsi="Times New Roman" w:eastAsia="Times New Roman"/>
          <w:color w:val="000000"/>
          <w:spacing w:val="0"/>
          <w:w w:val="100"/>
          <w:sz w:val="20"/>
          <w:vertAlign w:val="baseline"/>
          <w:lang w:val="en-US"/>
        </w:rPr>
        <w:t xml:space="preserve">Management of risks to health and safety associated with excavation work	</w:t>
      </w:r>
      <w:r>
        <w:rPr>
          <w:rFonts w:ascii="Times New Roman" w:hAnsi="Times New Roman" w:eastAsia="Times New Roman"/>
          <w:color w:val="000000"/>
          <w:spacing w:val="0"/>
          <w:w w:val="100"/>
          <w:sz w:val="20"/>
          <w:vertAlign w:val="baseline"/>
          <w:lang w:val="en-US"/>
        </w:rPr>
        <w:t xml:space="preserve">217</w:t>
      </w:r>
    </w:p>
    <w:p>
      <w:pPr>
        <w:tabs>
          <w:tab w:val="left" w:leader="none" w:pos="720"/>
          <w:tab w:val="left" w:leader="none" w:pos="7272"/>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306	</w:t>
      </w:r>
      <w:r>
        <w:rPr>
          <w:rFonts w:ascii="Times New Roman" w:hAnsi="Times New Roman" w:eastAsia="Times New Roman"/>
          <w:color w:val="000000"/>
          <w:spacing w:val="0"/>
          <w:w w:val="100"/>
          <w:sz w:val="20"/>
          <w:vertAlign w:val="baseline"/>
          <w:lang w:val="en-US"/>
        </w:rPr>
        <w:t xml:space="preserve">Additional controls—trenches	</w:t>
      </w:r>
      <w:r>
        <w:rPr>
          <w:rFonts w:ascii="Times New Roman" w:hAnsi="Times New Roman" w:eastAsia="Times New Roman"/>
          <w:color w:val="000000"/>
          <w:spacing w:val="0"/>
          <w:w w:val="100"/>
          <w:sz w:val="20"/>
          <w:vertAlign w:val="baseline"/>
          <w:lang w:val="en-US"/>
        </w:rPr>
        <w:t xml:space="preserve">217</w:t>
      </w:r>
    </w:p>
    <w:p>
      <w:pPr>
        <w:tabs>
          <w:tab w:val="left" w:leader="none" w:pos="1368"/>
          <w:tab w:val="left" w:leader="none" w:pos="7272"/>
        </w:tabs>
        <w:spacing w:before="242"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6.4	</w:t>
      </w:r>
      <w:r>
        <w:rPr>
          <w:rFonts w:ascii="Times New Roman" w:hAnsi="Times New Roman" w:eastAsia="Times New Roman"/>
          <w:b w:val="true"/>
          <w:color w:val="000000"/>
          <w:spacing w:val="0"/>
          <w:w w:val="100"/>
          <w:sz w:val="20"/>
          <w:vertAlign w:val="baseline"/>
          <w:lang w:val="en-US"/>
        </w:rPr>
        <w:t xml:space="preserve">ADDITIONAL DUTIES OF PRINCIPAL CONTRACTOR	</w:t>
      </w:r>
      <w:r>
        <w:rPr>
          <w:rFonts w:ascii="Times New Roman" w:hAnsi="Times New Roman" w:eastAsia="Times New Roman"/>
          <w:b w:val="true"/>
          <w:color w:val="000000"/>
          <w:spacing w:val="0"/>
          <w:w w:val="100"/>
          <w:sz w:val="20"/>
          <w:vertAlign w:val="baseline"/>
          <w:lang w:val="en-US"/>
        </w:rPr>
        <w:t xml:space="preserve">219</w:t>
      </w:r>
    </w:p>
    <w:p>
      <w:pPr>
        <w:tabs>
          <w:tab w:val="left" w:leader="none" w:pos="720"/>
          <w:tab w:val="left" w:leader="none" w:pos="7272"/>
        </w:tabs>
        <w:spacing w:before="12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307	</w:t>
      </w:r>
      <w:r>
        <w:rPr>
          <w:rFonts w:ascii="Times New Roman" w:hAnsi="Times New Roman" w:eastAsia="Times New Roman"/>
          <w:color w:val="000000"/>
          <w:spacing w:val="0"/>
          <w:w w:val="100"/>
          <w:sz w:val="20"/>
          <w:vertAlign w:val="baseline"/>
          <w:lang w:val="en-US"/>
        </w:rPr>
        <w:t xml:space="preserve">Application of Part 6.4	</w:t>
      </w:r>
      <w:r>
        <w:rPr>
          <w:rFonts w:ascii="Times New Roman" w:hAnsi="Times New Roman" w:eastAsia="Times New Roman"/>
          <w:color w:val="000000"/>
          <w:spacing w:val="0"/>
          <w:w w:val="100"/>
          <w:sz w:val="20"/>
          <w:vertAlign w:val="baseline"/>
          <w:lang w:val="en-US"/>
        </w:rPr>
        <w:t xml:space="preserve">219</w:t>
      </w:r>
    </w:p>
    <w:p>
      <w:pPr>
        <w:tabs>
          <w:tab w:val="left" w:leader="none" w:pos="720"/>
          <w:tab w:val="left" w:leader="none" w:pos="7272"/>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308	</w:t>
      </w:r>
      <w:r>
        <w:rPr>
          <w:rFonts w:ascii="Times New Roman" w:hAnsi="Times New Roman" w:eastAsia="Times New Roman"/>
          <w:color w:val="000000"/>
          <w:spacing w:val="0"/>
          <w:w w:val="100"/>
          <w:sz w:val="20"/>
          <w:vertAlign w:val="baseline"/>
          <w:lang w:val="en-US"/>
        </w:rPr>
        <w:t xml:space="preserve">Specific control measure—signage identifying principal contractor	</w:t>
      </w:r>
      <w:r>
        <w:rPr>
          <w:rFonts w:ascii="Times New Roman" w:hAnsi="Times New Roman" w:eastAsia="Times New Roman"/>
          <w:color w:val="000000"/>
          <w:spacing w:val="0"/>
          <w:w w:val="100"/>
          <w:sz w:val="20"/>
          <w:vertAlign w:val="baseline"/>
          <w:lang w:val="en-US"/>
        </w:rPr>
        <w:t xml:space="preserve">219</w:t>
      </w:r>
    </w:p>
    <w:p>
      <w:pPr>
        <w:tabs>
          <w:tab w:val="left" w:leader="none" w:pos="720"/>
          <w:tab w:val="left" w:leader="none" w:pos="7272"/>
        </w:tabs>
        <w:spacing w:before="0" w:after="0" w:line="225"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309	</w:t>
      </w:r>
      <w:r>
        <w:rPr>
          <w:rFonts w:ascii="Times New Roman" w:hAnsi="Times New Roman" w:eastAsia="Times New Roman"/>
          <w:color w:val="000000"/>
          <w:spacing w:val="0"/>
          <w:w w:val="100"/>
          <w:sz w:val="20"/>
          <w:vertAlign w:val="baseline"/>
          <w:lang w:val="en-US"/>
        </w:rPr>
        <w:t xml:space="preserve">WHS management plan—preparation	</w:t>
      </w:r>
      <w:r>
        <w:rPr>
          <w:rFonts w:ascii="Times New Roman" w:hAnsi="Times New Roman" w:eastAsia="Times New Roman"/>
          <w:color w:val="000000"/>
          <w:spacing w:val="0"/>
          <w:w w:val="100"/>
          <w:sz w:val="20"/>
          <w:vertAlign w:val="baseline"/>
          <w:lang w:val="en-US"/>
        </w:rPr>
        <w:t xml:space="preserve">219</w:t>
      </w:r>
    </w:p>
    <w:p>
      <w:pPr>
        <w:tabs>
          <w:tab w:val="left" w:leader="none" w:pos="720"/>
          <w:tab w:val="left" w:leader="none" w:pos="7272"/>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310	</w:t>
      </w:r>
      <w:r>
        <w:rPr>
          <w:rFonts w:ascii="Times New Roman" w:hAnsi="Times New Roman" w:eastAsia="Times New Roman"/>
          <w:color w:val="000000"/>
          <w:spacing w:val="0"/>
          <w:w w:val="100"/>
          <w:sz w:val="20"/>
          <w:vertAlign w:val="baseline"/>
          <w:lang w:val="en-US"/>
        </w:rPr>
        <w:t xml:space="preserve">WHS management plan—duty to inform	</w:t>
      </w:r>
      <w:r>
        <w:rPr>
          <w:rFonts w:ascii="Times New Roman" w:hAnsi="Times New Roman" w:eastAsia="Times New Roman"/>
          <w:color w:val="000000"/>
          <w:spacing w:val="0"/>
          <w:w w:val="100"/>
          <w:sz w:val="20"/>
          <w:vertAlign w:val="baseline"/>
          <w:lang w:val="en-US"/>
        </w:rPr>
        <w:t xml:space="preserve">220</w:t>
      </w:r>
    </w:p>
    <w:p>
      <w:pPr>
        <w:tabs>
          <w:tab w:val="left" w:leader="none" w:pos="720"/>
          <w:tab w:val="left" w:leader="none" w:pos="7272"/>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311	</w:t>
      </w:r>
      <w:r>
        <w:rPr>
          <w:rFonts w:ascii="Times New Roman" w:hAnsi="Times New Roman" w:eastAsia="Times New Roman"/>
          <w:color w:val="000000"/>
          <w:spacing w:val="0"/>
          <w:w w:val="100"/>
          <w:sz w:val="20"/>
          <w:vertAlign w:val="baseline"/>
          <w:lang w:val="en-US"/>
        </w:rPr>
        <w:t xml:space="preserve">WHS management plan—review	</w:t>
      </w:r>
      <w:r>
        <w:rPr>
          <w:rFonts w:ascii="Times New Roman" w:hAnsi="Times New Roman" w:eastAsia="Times New Roman"/>
          <w:color w:val="000000"/>
          <w:spacing w:val="0"/>
          <w:w w:val="100"/>
          <w:sz w:val="20"/>
          <w:vertAlign w:val="baseline"/>
          <w:lang w:val="en-US"/>
        </w:rPr>
        <w:t xml:space="preserve">220</w:t>
      </w:r>
    </w:p>
    <w:p>
      <w:pPr>
        <w:tabs>
          <w:tab w:val="left" w:leader="none" w:pos="720"/>
          <w:tab w:val="left" w:leader="none" w:pos="7272"/>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312	</w:t>
      </w:r>
      <w:r>
        <w:rPr>
          <w:rFonts w:ascii="Times New Roman" w:hAnsi="Times New Roman" w:eastAsia="Times New Roman"/>
          <w:color w:val="000000"/>
          <w:spacing w:val="0"/>
          <w:w w:val="100"/>
          <w:sz w:val="20"/>
          <w:vertAlign w:val="baseline"/>
          <w:lang w:val="en-US"/>
        </w:rPr>
        <w:t xml:space="preserve">High risk construction work—safe work method statements	</w:t>
      </w:r>
      <w:r>
        <w:rPr>
          <w:rFonts w:ascii="Times New Roman" w:hAnsi="Times New Roman" w:eastAsia="Times New Roman"/>
          <w:color w:val="000000"/>
          <w:spacing w:val="0"/>
          <w:w w:val="100"/>
          <w:sz w:val="20"/>
          <w:vertAlign w:val="baseline"/>
          <w:lang w:val="en-US"/>
        </w:rPr>
        <w:t xml:space="preserve">221</w:t>
      </w:r>
    </w:p>
    <w:p>
      <w:pPr>
        <w:tabs>
          <w:tab w:val="left" w:leader="none" w:pos="720"/>
          <w:tab w:val="left" w:leader="none" w:pos="7272"/>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313	</w:t>
      </w:r>
      <w:r>
        <w:rPr>
          <w:rFonts w:ascii="Times New Roman" w:hAnsi="Times New Roman" w:eastAsia="Times New Roman"/>
          <w:color w:val="000000"/>
          <w:spacing w:val="0"/>
          <w:w w:val="100"/>
          <w:sz w:val="20"/>
          <w:vertAlign w:val="baseline"/>
          <w:lang w:val="en-US"/>
        </w:rPr>
        <w:t xml:space="preserve">Copy of WHS management plan must be kept	</w:t>
      </w:r>
      <w:r>
        <w:rPr>
          <w:rFonts w:ascii="Times New Roman" w:hAnsi="Times New Roman" w:eastAsia="Times New Roman"/>
          <w:color w:val="000000"/>
          <w:spacing w:val="0"/>
          <w:w w:val="100"/>
          <w:sz w:val="20"/>
          <w:vertAlign w:val="baseline"/>
          <w:lang w:val="en-US"/>
        </w:rPr>
        <w:t xml:space="preserve">221</w:t>
      </w:r>
    </w:p>
    <w:p>
      <w:pPr>
        <w:tabs>
          <w:tab w:val="left" w:leader="none" w:pos="720"/>
          <w:tab w:val="left" w:leader="none" w:pos="7272"/>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314	</w:t>
      </w:r>
      <w:r>
        <w:rPr>
          <w:rFonts w:ascii="Times New Roman" w:hAnsi="Times New Roman" w:eastAsia="Times New Roman"/>
          <w:color w:val="000000"/>
          <w:spacing w:val="0"/>
          <w:w w:val="100"/>
          <w:sz w:val="20"/>
          <w:vertAlign w:val="baseline"/>
          <w:lang w:val="en-US"/>
        </w:rPr>
        <w:t xml:space="preserve">Further health and safety duties—specific regulations	</w:t>
      </w:r>
      <w:r>
        <w:rPr>
          <w:rFonts w:ascii="Times New Roman" w:hAnsi="Times New Roman" w:eastAsia="Times New Roman"/>
          <w:color w:val="000000"/>
          <w:spacing w:val="0"/>
          <w:w w:val="100"/>
          <w:sz w:val="20"/>
          <w:vertAlign w:val="baseline"/>
          <w:lang w:val="en-US"/>
        </w:rPr>
        <w:t xml:space="preserve">222</w:t>
      </w:r>
    </w:p>
    <w:p>
      <w:pPr>
        <w:tabs>
          <w:tab w:val="left" w:leader="none" w:pos="720"/>
          <w:tab w:val="left" w:leader="none" w:pos="7272"/>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315	</w:t>
      </w:r>
      <w:r>
        <w:rPr>
          <w:rFonts w:ascii="Times New Roman" w:hAnsi="Times New Roman" w:eastAsia="Times New Roman"/>
          <w:color w:val="000000"/>
          <w:spacing w:val="0"/>
          <w:w w:val="100"/>
          <w:sz w:val="20"/>
          <w:vertAlign w:val="baseline"/>
          <w:lang w:val="en-US"/>
        </w:rPr>
        <w:t xml:space="preserve">Further health and safety duties—specific risks	</w:t>
      </w:r>
      <w:r>
        <w:rPr>
          <w:rFonts w:ascii="Times New Roman" w:hAnsi="Times New Roman" w:eastAsia="Times New Roman"/>
          <w:color w:val="000000"/>
          <w:spacing w:val="0"/>
          <w:w w:val="100"/>
          <w:sz w:val="20"/>
          <w:vertAlign w:val="baseline"/>
          <w:lang w:val="en-US"/>
        </w:rPr>
        <w:t xml:space="preserve">223</w:t>
      </w:r>
    </w:p>
    <w:p>
      <w:pPr>
        <w:tabs>
          <w:tab w:val="left" w:leader="none" w:pos="1368"/>
          <w:tab w:val="left" w:leader="none" w:pos="7272"/>
        </w:tabs>
        <w:spacing w:before="242"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6.5	</w:t>
      </w:r>
      <w:r>
        <w:rPr>
          <w:rFonts w:ascii="Times New Roman" w:hAnsi="Times New Roman" w:eastAsia="Times New Roman"/>
          <w:b w:val="true"/>
          <w:color w:val="000000"/>
          <w:spacing w:val="0"/>
          <w:w w:val="100"/>
          <w:sz w:val="20"/>
          <w:vertAlign w:val="baseline"/>
          <w:lang w:val="en-US"/>
        </w:rPr>
        <w:t xml:space="preserve">GENERAL CONSTRUCTION INDUCTION TRAINING	</w:t>
      </w:r>
      <w:r>
        <w:rPr>
          <w:rFonts w:ascii="Times New Roman" w:hAnsi="Times New Roman" w:eastAsia="Times New Roman"/>
          <w:b w:val="true"/>
          <w:color w:val="000000"/>
          <w:spacing w:val="0"/>
          <w:w w:val="100"/>
          <w:sz w:val="20"/>
          <w:vertAlign w:val="baseline"/>
          <w:lang w:val="en-US"/>
        </w:rPr>
        <w:t xml:space="preserve">224</w:t>
      </w:r>
    </w:p>
    <w:p>
      <w:pPr>
        <w:tabs>
          <w:tab w:val="left" w:leader="none" w:pos="1368"/>
          <w:tab w:val="left" w:leader="none" w:pos="7272"/>
        </w:tabs>
        <w:spacing w:before="123"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1	</w:t>
      </w:r>
      <w:r>
        <w:rPr>
          <w:rFonts w:ascii="Times New Roman" w:hAnsi="Times New Roman" w:eastAsia="Times New Roman"/>
          <w:b w:val="true"/>
          <w:color w:val="000000"/>
          <w:spacing w:val="0"/>
          <w:w w:val="100"/>
          <w:sz w:val="20"/>
          <w:vertAlign w:val="baseline"/>
          <w:lang w:val="en-US"/>
        </w:rPr>
        <w:t xml:space="preserve">General construction induction training requirements	</w:t>
      </w:r>
      <w:r>
        <w:rPr>
          <w:rFonts w:ascii="Times New Roman" w:hAnsi="Times New Roman" w:eastAsia="Times New Roman"/>
          <w:b w:val="true"/>
          <w:color w:val="000000"/>
          <w:spacing w:val="0"/>
          <w:w w:val="100"/>
          <w:sz w:val="20"/>
          <w:vertAlign w:val="baseline"/>
          <w:lang w:val="en-US"/>
        </w:rPr>
        <w:t xml:space="preserve">224</w:t>
      </w:r>
    </w:p>
    <w:p>
      <w:pPr>
        <w:tabs>
          <w:tab w:val="left" w:leader="none" w:pos="720"/>
          <w:tab w:val="left" w:leader="none" w:pos="7272"/>
        </w:tabs>
        <w:spacing w:before="12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316	</w:t>
      </w:r>
      <w:r>
        <w:rPr>
          <w:rFonts w:ascii="Times New Roman" w:hAnsi="Times New Roman" w:eastAsia="Times New Roman"/>
          <w:color w:val="000000"/>
          <w:spacing w:val="0"/>
          <w:w w:val="100"/>
          <w:sz w:val="20"/>
          <w:vertAlign w:val="baseline"/>
          <w:lang w:val="en-US"/>
        </w:rPr>
        <w:t xml:space="preserve">Duty to provide general construction induction training	</w:t>
      </w:r>
      <w:r>
        <w:rPr>
          <w:rFonts w:ascii="Times New Roman" w:hAnsi="Times New Roman" w:eastAsia="Times New Roman"/>
          <w:color w:val="000000"/>
          <w:spacing w:val="0"/>
          <w:w w:val="100"/>
          <w:sz w:val="20"/>
          <w:vertAlign w:val="baseline"/>
          <w:lang w:val="en-US"/>
        </w:rPr>
        <w:t xml:space="preserve">224</w:t>
      </w:r>
    </w:p>
    <w:p>
      <w:pPr>
        <w:tabs>
          <w:tab w:val="left" w:leader="none" w:pos="720"/>
          <w:tab w:val="left" w:leader="none" w:pos="7272"/>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317	</w:t>
      </w:r>
      <w:r>
        <w:rPr>
          <w:rFonts w:ascii="Times New Roman" w:hAnsi="Times New Roman" w:eastAsia="Times New Roman"/>
          <w:color w:val="000000"/>
          <w:spacing w:val="0"/>
          <w:w w:val="100"/>
          <w:sz w:val="20"/>
          <w:vertAlign w:val="baseline"/>
          <w:lang w:val="en-US"/>
        </w:rPr>
        <w:t xml:space="preserve">Duty to ensure worker has been trained	</w:t>
      </w:r>
      <w:r>
        <w:rPr>
          <w:rFonts w:ascii="Times New Roman" w:hAnsi="Times New Roman" w:eastAsia="Times New Roman"/>
          <w:color w:val="000000"/>
          <w:spacing w:val="0"/>
          <w:w w:val="100"/>
          <w:sz w:val="20"/>
          <w:vertAlign w:val="baseline"/>
          <w:lang w:val="en-US"/>
        </w:rPr>
        <w:t xml:space="preserve">224</w:t>
      </w:r>
    </w:p>
    <w:p>
      <w:pPr>
        <w:tabs>
          <w:tab w:val="left" w:leader="none" w:pos="720"/>
        </w:tabs>
        <w:spacing w:before="0" w:after="0" w:line="226"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318	</w:t>
      </w:r>
      <w:r>
        <w:rPr>
          <w:rFonts w:ascii="Times New Roman" w:hAnsi="Times New Roman" w:eastAsia="Times New Roman"/>
          <w:color w:val="000000"/>
          <w:spacing w:val="0"/>
          <w:w w:val="100"/>
          <w:sz w:val="20"/>
          <w:vertAlign w:val="baseline"/>
          <w:lang w:val="en-US"/>
        </w:rPr>
        <w:t xml:space="preserve">Recognition of general construction induction training cards issued in other</w:t>
      </w:r>
    </w:p>
    <w:p>
      <w:pPr>
        <w:tabs>
          <w:tab w:val="left" w:leader="none" w:pos="7272"/>
        </w:tabs>
        <w:spacing w:before="0" w:after="0" w:line="230" w:lineRule="exact"/>
        <w:ind w:right="0" w:left="64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jurisdictions	</w:t>
      </w:r>
      <w:r>
        <w:rPr>
          <w:rFonts w:ascii="Times New Roman" w:hAnsi="Times New Roman" w:eastAsia="Times New Roman"/>
          <w:color w:val="000000"/>
          <w:spacing w:val="0"/>
          <w:w w:val="100"/>
          <w:sz w:val="20"/>
          <w:vertAlign w:val="baseline"/>
          <w:lang w:val="en-US"/>
        </w:rPr>
        <w:t xml:space="preserve">225</w:t>
      </w:r>
    </w:p>
    <w:p>
      <w:pPr>
        <w:tabs>
          <w:tab w:val="left" w:leader="none" w:pos="1368"/>
          <w:tab w:val="left" w:leader="none" w:pos="7272"/>
        </w:tabs>
        <w:spacing w:before="3"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2	</w:t>
      </w:r>
      <w:r>
        <w:rPr>
          <w:rFonts w:ascii="Times New Roman" w:hAnsi="Times New Roman" w:eastAsia="Times New Roman"/>
          <w:b w:val="true"/>
          <w:color w:val="000000"/>
          <w:spacing w:val="0"/>
          <w:w w:val="100"/>
          <w:sz w:val="20"/>
          <w:vertAlign w:val="baseline"/>
          <w:lang w:val="en-US"/>
        </w:rPr>
        <w:t xml:space="preserve">General construction induction training cards	</w:t>
      </w:r>
      <w:r>
        <w:rPr>
          <w:rFonts w:ascii="Times New Roman" w:hAnsi="Times New Roman" w:eastAsia="Times New Roman"/>
          <w:b w:val="true"/>
          <w:color w:val="000000"/>
          <w:spacing w:val="0"/>
          <w:w w:val="100"/>
          <w:sz w:val="20"/>
          <w:vertAlign w:val="baseline"/>
          <w:lang w:val="en-US"/>
        </w:rPr>
        <w:t xml:space="preserve">225</w:t>
      </w:r>
    </w:p>
    <w:p>
      <w:pPr>
        <w:tabs>
          <w:tab w:val="left" w:leader="none" w:pos="720"/>
          <w:tab w:val="left" w:leader="none" w:pos="7272"/>
        </w:tabs>
        <w:spacing w:before="12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319	</w:t>
      </w:r>
      <w:r>
        <w:rPr>
          <w:rFonts w:ascii="Times New Roman" w:hAnsi="Times New Roman" w:eastAsia="Times New Roman"/>
          <w:color w:val="000000"/>
          <w:spacing w:val="0"/>
          <w:w w:val="100"/>
          <w:sz w:val="20"/>
          <w:vertAlign w:val="baseline"/>
          <w:lang w:val="en-US"/>
        </w:rPr>
        <w:t xml:space="preserve">Issue of card	</w:t>
      </w:r>
      <w:r>
        <w:rPr>
          <w:rFonts w:ascii="Times New Roman" w:hAnsi="Times New Roman" w:eastAsia="Times New Roman"/>
          <w:color w:val="000000"/>
          <w:spacing w:val="0"/>
          <w:w w:val="100"/>
          <w:sz w:val="20"/>
          <w:vertAlign w:val="baseline"/>
          <w:lang w:val="en-US"/>
        </w:rPr>
        <w:t xml:space="preserve">225</w:t>
      </w:r>
    </w:p>
    <w:p>
      <w:pPr>
        <w:tabs>
          <w:tab w:val="left" w:leader="none" w:pos="720"/>
          <w:tab w:val="left" w:leader="none" w:pos="7272"/>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320	</w:t>
      </w:r>
      <w:r>
        <w:rPr>
          <w:rFonts w:ascii="Times New Roman" w:hAnsi="Times New Roman" w:eastAsia="Times New Roman"/>
          <w:color w:val="000000"/>
          <w:spacing w:val="0"/>
          <w:w w:val="100"/>
          <w:sz w:val="20"/>
          <w:vertAlign w:val="baseline"/>
          <w:lang w:val="en-US"/>
        </w:rPr>
        <w:t xml:space="preserve">Content of card	</w:t>
      </w:r>
      <w:r>
        <w:rPr>
          <w:rFonts w:ascii="Times New Roman" w:hAnsi="Times New Roman" w:eastAsia="Times New Roman"/>
          <w:color w:val="000000"/>
          <w:spacing w:val="0"/>
          <w:w w:val="100"/>
          <w:sz w:val="20"/>
          <w:vertAlign w:val="baseline"/>
          <w:lang w:val="en-US"/>
        </w:rPr>
        <w:t xml:space="preserve">226</w:t>
      </w:r>
    </w:p>
    <w:p>
      <w:pPr>
        <w:tabs>
          <w:tab w:val="left" w:leader="none" w:pos="720"/>
          <w:tab w:val="left" w:leader="none" w:pos="7272"/>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321	</w:t>
      </w:r>
      <w:r>
        <w:rPr>
          <w:rFonts w:ascii="Times New Roman" w:hAnsi="Times New Roman" w:eastAsia="Times New Roman"/>
          <w:color w:val="000000"/>
          <w:spacing w:val="0"/>
          <w:w w:val="100"/>
          <w:sz w:val="20"/>
          <w:vertAlign w:val="baseline"/>
          <w:lang w:val="en-US"/>
        </w:rPr>
        <w:t xml:space="preserve">Replacement card	</w:t>
      </w:r>
      <w:r>
        <w:rPr>
          <w:rFonts w:ascii="Times New Roman" w:hAnsi="Times New Roman" w:eastAsia="Times New Roman"/>
          <w:color w:val="000000"/>
          <w:spacing w:val="0"/>
          <w:w w:val="100"/>
          <w:sz w:val="20"/>
          <w:vertAlign w:val="baseline"/>
          <w:lang w:val="en-US"/>
        </w:rPr>
        <w:t xml:space="preserve">226</w:t>
      </w:r>
    </w:p>
    <w:p>
      <w:pPr>
        <w:tabs>
          <w:tab w:val="left" w:leader="none" w:pos="720"/>
          <w:tab w:val="left" w:leader="none" w:pos="7272"/>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322	</w:t>
      </w:r>
      <w:r>
        <w:rPr>
          <w:rFonts w:ascii="Times New Roman" w:hAnsi="Times New Roman" w:eastAsia="Times New Roman"/>
          <w:color w:val="000000"/>
          <w:spacing w:val="0"/>
          <w:w w:val="100"/>
          <w:sz w:val="20"/>
          <w:vertAlign w:val="baseline"/>
          <w:lang w:val="en-US"/>
        </w:rPr>
        <w:t xml:space="preserve">Refusal to issue or replace card	</w:t>
      </w:r>
      <w:r>
        <w:rPr>
          <w:rFonts w:ascii="Times New Roman" w:hAnsi="Times New Roman" w:eastAsia="Times New Roman"/>
          <w:color w:val="000000"/>
          <w:spacing w:val="0"/>
          <w:w w:val="100"/>
          <w:sz w:val="20"/>
          <w:vertAlign w:val="baseline"/>
          <w:lang w:val="en-US"/>
        </w:rPr>
        <w:t xml:space="preserve">227</w:t>
      </w:r>
    </w:p>
    <w:p>
      <w:pPr>
        <w:tabs>
          <w:tab w:val="left" w:leader="none" w:pos="720"/>
          <w:tab w:val="left" w:leader="none" w:pos="7272"/>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323	</w:t>
      </w:r>
      <w:r>
        <w:rPr>
          <w:rFonts w:ascii="Times New Roman" w:hAnsi="Times New Roman" w:eastAsia="Times New Roman"/>
          <w:color w:val="000000"/>
          <w:spacing w:val="0"/>
          <w:w w:val="100"/>
          <w:sz w:val="20"/>
          <w:vertAlign w:val="baseline"/>
          <w:lang w:val="en-US"/>
        </w:rPr>
        <w:t xml:space="preserve">Cancellation of card—grounds	</w:t>
      </w:r>
      <w:r>
        <w:rPr>
          <w:rFonts w:ascii="Times New Roman" w:hAnsi="Times New Roman" w:eastAsia="Times New Roman"/>
          <w:color w:val="000000"/>
          <w:spacing w:val="0"/>
          <w:w w:val="100"/>
          <w:sz w:val="20"/>
          <w:vertAlign w:val="baseline"/>
          <w:lang w:val="en-US"/>
        </w:rPr>
        <w:t xml:space="preserve">227</w:t>
      </w:r>
    </w:p>
    <w:p>
      <w:pPr>
        <w:tabs>
          <w:tab w:val="left" w:leader="none" w:pos="720"/>
          <w:tab w:val="left" w:leader="none" w:pos="7272"/>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324	</w:t>
      </w:r>
      <w:r>
        <w:rPr>
          <w:rFonts w:ascii="Times New Roman" w:hAnsi="Times New Roman" w:eastAsia="Times New Roman"/>
          <w:color w:val="000000"/>
          <w:spacing w:val="0"/>
          <w:w w:val="100"/>
          <w:sz w:val="20"/>
          <w:vertAlign w:val="baseline"/>
          <w:lang w:val="en-US"/>
        </w:rPr>
        <w:t xml:space="preserve">Cancellation of card—process	</w:t>
      </w:r>
      <w:r>
        <w:rPr>
          <w:rFonts w:ascii="Times New Roman" w:hAnsi="Times New Roman" w:eastAsia="Times New Roman"/>
          <w:color w:val="000000"/>
          <w:spacing w:val="0"/>
          <w:w w:val="100"/>
          <w:sz w:val="20"/>
          <w:vertAlign w:val="baseline"/>
          <w:lang w:val="en-US"/>
        </w:rPr>
        <w:t xml:space="preserve">227</w:t>
      </w:r>
    </w:p>
    <w:p>
      <w:pPr>
        <w:tabs>
          <w:tab w:val="left" w:leader="none" w:pos="720"/>
          <w:tab w:val="left" w:leader="none" w:pos="7272"/>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325	</w:t>
      </w:r>
      <w:r>
        <w:rPr>
          <w:rFonts w:ascii="Times New Roman" w:hAnsi="Times New Roman" w:eastAsia="Times New Roman"/>
          <w:color w:val="000000"/>
          <w:spacing w:val="0"/>
          <w:w w:val="100"/>
          <w:sz w:val="20"/>
          <w:vertAlign w:val="baseline"/>
          <w:lang w:val="en-US"/>
        </w:rPr>
        <w:t xml:space="preserve">RTO may enter agreement to issue cards	</w:t>
      </w:r>
      <w:r>
        <w:rPr>
          <w:rFonts w:ascii="Times New Roman" w:hAnsi="Times New Roman" w:eastAsia="Times New Roman"/>
          <w:color w:val="000000"/>
          <w:spacing w:val="0"/>
          <w:w w:val="100"/>
          <w:sz w:val="20"/>
          <w:vertAlign w:val="baseline"/>
          <w:lang w:val="en-US"/>
        </w:rPr>
        <w:t xml:space="preserve">228</w:t>
      </w:r>
    </w:p>
    <w:p>
      <w:pPr>
        <w:tabs>
          <w:tab w:val="left" w:leader="none" w:pos="1368"/>
          <w:tab w:val="left" w:leader="none" w:pos="7272"/>
        </w:tabs>
        <w:spacing w:before="2"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3	</w:t>
      </w:r>
      <w:r>
        <w:rPr>
          <w:rFonts w:ascii="Times New Roman" w:hAnsi="Times New Roman" w:eastAsia="Times New Roman"/>
          <w:b w:val="true"/>
          <w:color w:val="000000"/>
          <w:spacing w:val="0"/>
          <w:w w:val="100"/>
          <w:sz w:val="20"/>
          <w:vertAlign w:val="baseline"/>
          <w:lang w:val="en-US"/>
        </w:rPr>
        <w:t xml:space="preserve">Duties of workers	</w:t>
      </w:r>
      <w:r>
        <w:rPr>
          <w:rFonts w:ascii="Times New Roman" w:hAnsi="Times New Roman" w:eastAsia="Times New Roman"/>
          <w:b w:val="true"/>
          <w:color w:val="000000"/>
          <w:spacing w:val="0"/>
          <w:w w:val="100"/>
          <w:sz w:val="20"/>
          <w:vertAlign w:val="baseline"/>
          <w:lang w:val="en-US"/>
        </w:rPr>
        <w:t xml:space="preserve">228</w:t>
      </w:r>
    </w:p>
    <w:p>
      <w:pPr>
        <w:tabs>
          <w:tab w:val="left" w:leader="none" w:pos="720"/>
          <w:tab w:val="left" w:leader="none" w:pos="7272"/>
        </w:tabs>
        <w:spacing w:before="12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326	</w:t>
      </w:r>
      <w:r>
        <w:rPr>
          <w:rFonts w:ascii="Times New Roman" w:hAnsi="Times New Roman" w:eastAsia="Times New Roman"/>
          <w:color w:val="000000"/>
          <w:spacing w:val="0"/>
          <w:w w:val="100"/>
          <w:sz w:val="20"/>
          <w:vertAlign w:val="baseline"/>
          <w:lang w:val="en-US"/>
        </w:rPr>
        <w:t xml:space="preserve">Duties of workers	</w:t>
      </w:r>
      <w:r>
        <w:rPr>
          <w:rFonts w:ascii="Times New Roman" w:hAnsi="Times New Roman" w:eastAsia="Times New Roman"/>
          <w:color w:val="000000"/>
          <w:spacing w:val="0"/>
          <w:w w:val="100"/>
          <w:sz w:val="20"/>
          <w:vertAlign w:val="baseline"/>
          <w:lang w:val="en-US"/>
        </w:rPr>
        <w:t xml:space="preserve">228</w:t>
      </w:r>
    </w:p>
    <w:p>
      <w:pPr>
        <w:tabs>
          <w:tab w:val="left" w:leader="none" w:pos="720"/>
          <w:tab w:val="left" w:leader="none" w:pos="7272"/>
        </w:tabs>
        <w:spacing w:before="0" w:after="0" w:line="226"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327	</w:t>
      </w:r>
      <w:r>
        <w:rPr>
          <w:rFonts w:ascii="Times New Roman" w:hAnsi="Times New Roman" w:eastAsia="Times New Roman"/>
          <w:color w:val="000000"/>
          <w:spacing w:val="0"/>
          <w:w w:val="100"/>
          <w:sz w:val="20"/>
          <w:vertAlign w:val="baseline"/>
          <w:lang w:val="en-US"/>
        </w:rPr>
        <w:t xml:space="preserve">Alteration of general construction induction training card	</w:t>
      </w:r>
      <w:r>
        <w:rPr>
          <w:rFonts w:ascii="Times New Roman" w:hAnsi="Times New Roman" w:eastAsia="Times New Roman"/>
          <w:color w:val="000000"/>
          <w:spacing w:val="0"/>
          <w:w w:val="100"/>
          <w:sz w:val="20"/>
          <w:vertAlign w:val="baseline"/>
          <w:lang w:val="en-US"/>
        </w:rPr>
        <w:t xml:space="preserve">229</w:t>
      </w:r>
    </w:p>
    <w:p>
      <w:pPr>
        <w:tabs>
          <w:tab w:val="left" w:leader="none" w:pos="1944"/>
          <w:tab w:val="left" w:leader="none" w:pos="7272"/>
        </w:tabs>
        <w:spacing w:before="242"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CHAPTER 7	</w:t>
      </w:r>
      <w:r>
        <w:rPr>
          <w:rFonts w:ascii="Times New Roman" w:hAnsi="Times New Roman" w:eastAsia="Times New Roman"/>
          <w:b w:val="true"/>
          <w:color w:val="000000"/>
          <w:spacing w:val="0"/>
          <w:w w:val="100"/>
          <w:sz w:val="20"/>
          <w:vertAlign w:val="baseline"/>
          <w:lang w:val="en-US"/>
        </w:rPr>
        <w:t xml:space="preserve">HAZARDOUS CHEMICALS	</w:t>
      </w:r>
      <w:r>
        <w:rPr>
          <w:rFonts w:ascii="Times New Roman" w:hAnsi="Times New Roman" w:eastAsia="Times New Roman"/>
          <w:b w:val="true"/>
          <w:color w:val="000000"/>
          <w:spacing w:val="0"/>
          <w:w w:val="100"/>
          <w:sz w:val="20"/>
          <w:vertAlign w:val="baseline"/>
          <w:lang w:val="en-US"/>
        </w:rPr>
        <w:t xml:space="preserve">230</w:t>
      </w:r>
    </w:p>
    <w:p>
      <w:pPr>
        <w:tabs>
          <w:tab w:val="left" w:leader="none" w:pos="1368"/>
          <w:tab w:val="left" w:leader="none" w:pos="7272"/>
        </w:tabs>
        <w:spacing w:before="243"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7.1	</w:t>
      </w:r>
      <w:r>
        <w:rPr>
          <w:rFonts w:ascii="Times New Roman" w:hAnsi="Times New Roman" w:eastAsia="Times New Roman"/>
          <w:b w:val="true"/>
          <w:color w:val="000000"/>
          <w:spacing w:val="0"/>
          <w:w w:val="100"/>
          <w:sz w:val="20"/>
          <w:vertAlign w:val="baseline"/>
          <w:lang w:val="en-US"/>
        </w:rPr>
        <w:t xml:space="preserve">HAZARDOUS CHEMICALS	</w:t>
      </w:r>
      <w:r>
        <w:rPr>
          <w:rFonts w:ascii="Times New Roman" w:hAnsi="Times New Roman" w:eastAsia="Times New Roman"/>
          <w:b w:val="true"/>
          <w:color w:val="000000"/>
          <w:spacing w:val="0"/>
          <w:w w:val="100"/>
          <w:sz w:val="20"/>
          <w:vertAlign w:val="baseline"/>
          <w:lang w:val="en-US"/>
        </w:rPr>
        <w:t xml:space="preserve">230</w:t>
      </w:r>
    </w:p>
    <w:p>
      <w:pPr>
        <w:tabs>
          <w:tab w:val="left" w:leader="none" w:pos="1368"/>
          <w:tab w:val="left" w:leader="none" w:pos="7272"/>
        </w:tabs>
        <w:spacing w:before="122"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1	</w:t>
      </w:r>
      <w:r>
        <w:rPr>
          <w:rFonts w:ascii="Times New Roman" w:hAnsi="Times New Roman" w:eastAsia="Times New Roman"/>
          <w:b w:val="true"/>
          <w:color w:val="000000"/>
          <w:spacing w:val="0"/>
          <w:w w:val="100"/>
          <w:sz w:val="20"/>
          <w:vertAlign w:val="baseline"/>
          <w:lang w:val="en-US"/>
        </w:rPr>
        <w:t xml:space="preserve">Application of Part 7.1	</w:t>
      </w:r>
      <w:r>
        <w:rPr>
          <w:rFonts w:ascii="Times New Roman" w:hAnsi="Times New Roman" w:eastAsia="Times New Roman"/>
          <w:b w:val="true"/>
          <w:color w:val="000000"/>
          <w:spacing w:val="0"/>
          <w:w w:val="100"/>
          <w:sz w:val="20"/>
          <w:vertAlign w:val="baseline"/>
          <w:lang w:val="en-US"/>
        </w:rPr>
        <w:t xml:space="preserve">230</w:t>
      </w:r>
    </w:p>
    <w:p>
      <w:pPr>
        <w:tabs>
          <w:tab w:val="left" w:leader="none" w:pos="720"/>
          <w:tab w:val="left" w:leader="none" w:pos="7272"/>
        </w:tabs>
        <w:spacing w:before="12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328	</w:t>
      </w:r>
      <w:r>
        <w:rPr>
          <w:rFonts w:ascii="Times New Roman" w:hAnsi="Times New Roman" w:eastAsia="Times New Roman"/>
          <w:color w:val="000000"/>
          <w:spacing w:val="0"/>
          <w:w w:val="100"/>
          <w:sz w:val="20"/>
          <w:vertAlign w:val="baseline"/>
          <w:lang w:val="en-US"/>
        </w:rPr>
        <w:t xml:space="preserve">Application of Part 7.1	</w:t>
      </w:r>
      <w:r>
        <w:rPr>
          <w:rFonts w:ascii="Times New Roman" w:hAnsi="Times New Roman" w:eastAsia="Times New Roman"/>
          <w:color w:val="000000"/>
          <w:spacing w:val="0"/>
          <w:w w:val="100"/>
          <w:sz w:val="20"/>
          <w:vertAlign w:val="baseline"/>
          <w:lang w:val="en-US"/>
        </w:rPr>
        <w:t xml:space="preserve">230</w:t>
      </w:r>
    </w:p>
    <w:p>
      <w:pPr>
        <w:tabs>
          <w:tab w:val="left" w:leader="none" w:pos="1368"/>
          <w:tab w:val="left" w:leader="none" w:pos="7272"/>
        </w:tabs>
        <w:spacing w:before="2"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2	</w:t>
      </w:r>
      <w:r>
        <w:rPr>
          <w:rFonts w:ascii="Times New Roman" w:hAnsi="Times New Roman" w:eastAsia="Times New Roman"/>
          <w:b w:val="true"/>
          <w:color w:val="000000"/>
          <w:spacing w:val="0"/>
          <w:w w:val="100"/>
          <w:sz w:val="20"/>
          <w:vertAlign w:val="baseline"/>
          <w:lang w:val="en-US"/>
        </w:rPr>
        <w:t xml:space="preserve">Obligations relating to safety data sheets and other matters	</w:t>
      </w:r>
      <w:r>
        <w:rPr>
          <w:rFonts w:ascii="Times New Roman" w:hAnsi="Times New Roman" w:eastAsia="Times New Roman"/>
          <w:b w:val="true"/>
          <w:color w:val="000000"/>
          <w:spacing w:val="0"/>
          <w:w w:val="100"/>
          <w:sz w:val="20"/>
          <w:vertAlign w:val="baseline"/>
          <w:lang w:val="en-US"/>
        </w:rPr>
        <w:t xml:space="preserve">231</w:t>
      </w:r>
    </w:p>
    <w:p>
      <w:pPr>
        <w:tabs>
          <w:tab w:val="left" w:leader="none" w:pos="1944"/>
          <w:tab w:val="left" w:leader="none" w:pos="7272"/>
        </w:tabs>
        <w:spacing w:before="122"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Subdivision 1	</w:t>
      </w:r>
      <w:r>
        <w:rPr>
          <w:rFonts w:ascii="Times New Roman" w:hAnsi="Times New Roman" w:eastAsia="Times New Roman"/>
          <w:b w:val="true"/>
          <w:color w:val="000000"/>
          <w:spacing w:val="0"/>
          <w:w w:val="100"/>
          <w:sz w:val="20"/>
          <w:vertAlign w:val="baseline"/>
          <w:lang w:val="en-US"/>
        </w:rPr>
        <w:t xml:space="preserve">Obligations of manufacturers and importers	</w:t>
      </w:r>
      <w:r>
        <w:rPr>
          <w:rFonts w:ascii="Times New Roman" w:hAnsi="Times New Roman" w:eastAsia="Times New Roman"/>
          <w:b w:val="true"/>
          <w:color w:val="000000"/>
          <w:spacing w:val="0"/>
          <w:w w:val="100"/>
          <w:sz w:val="20"/>
          <w:vertAlign w:val="baseline"/>
          <w:lang w:val="en-US"/>
        </w:rPr>
        <w:t xml:space="preserve">231</w:t>
      </w:r>
    </w:p>
    <w:p>
      <w:pPr>
        <w:tabs>
          <w:tab w:val="left" w:leader="none" w:pos="720"/>
          <w:tab w:val="left" w:leader="none" w:pos="7272"/>
        </w:tabs>
        <w:spacing w:before="121" w:after="819"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10.65pt" to="498.5pt,710.6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329	</w:t>
      </w:r>
      <w:r>
        <w:rPr>
          <w:rFonts w:ascii="Times New Roman" w:hAnsi="Times New Roman" w:eastAsia="Times New Roman"/>
          <w:color w:val="000000"/>
          <w:spacing w:val="0"/>
          <w:w w:val="100"/>
          <w:sz w:val="20"/>
          <w:vertAlign w:val="baseline"/>
          <w:lang w:val="en-US"/>
        </w:rPr>
        <w:t xml:space="preserve">Classification of hazardous chemicals	</w:t>
      </w:r>
      <w:r>
        <w:rPr>
          <w:rFonts w:ascii="Times New Roman" w:hAnsi="Times New Roman" w:eastAsia="Times New Roman"/>
          <w:color w:val="000000"/>
          <w:spacing w:val="0"/>
          <w:w w:val="100"/>
          <w:sz w:val="20"/>
          <w:vertAlign w:val="baseline"/>
          <w:lang w:val="en-US"/>
        </w:rPr>
        <w:t xml:space="preserve">232</w:t>
      </w:r>
    </w:p>
    <w:p>
      <w:pPr>
        <w:spacing w:before="121" w:after="819" w:line="230" w:lineRule="exact"/>
        <w:sectPr>
          <w:type w:val="nextPage"/>
          <w:pgSz w:w="11909" w:h="16838" w:orient="portrait"/>
          <w:pgMar w:bottom="1542" w:top="1320" w:right="1940" w:left="1949" w:header="720" w:footer="720"/>
          <w:titlePg w:val="false"/>
          <w:textDirection w:val="lrTb"/>
        </w:sectPr>
      </w:pPr>
    </w:p>
    <w:p>
      <w:pPr>
        <w:tabs>
          <w:tab w:val="right" w:leader="none" w:pos="4032"/>
        </w:tabs>
        <w:spacing w:before="5" w:after="0" w:line="178"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1.1.2021	</w:t>
      </w:r>
      <w:r>
        <w:rPr>
          <w:rFonts w:ascii="Times New Roman" w:hAnsi="Times New Roman" w:eastAsia="Times New Roman"/>
          <w:color w:val="000000"/>
          <w:spacing w:val="0"/>
          <w:w w:val="100"/>
          <w:sz w:val="16"/>
          <w:vertAlign w:val="baseline"/>
          <w:lang w:val="en-US"/>
        </w:rPr>
        <w:t xml:space="preserve">11</w:t>
      </w:r>
    </w:p>
    <w:p>
      <w:pPr>
        <w:sectPr>
          <w:type w:val="continuous"/>
          <w:pgSz w:w="11909" w:h="16838" w:orient="portrait"/>
          <w:pgMar w:bottom="1542" w:top="1320" w:right="5881" w:left="1988" w:header="720" w:footer="720"/>
          <w:titlePg w:val="false"/>
          <w:textDirection w:val="lrTb"/>
        </w:sectPr>
      </w:pPr>
    </w:p>
    <w:p>
      <w:pPr>
        <w:spacing w:before="21" w:after="229"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720"/>
          <w:tab w:val="right" w:leader="none" w:pos="7704"/>
        </w:tabs>
        <w:spacing w:before="478"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90.95pt" to="498.5pt,90.9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330	</w:t>
      </w:r>
      <w:r>
        <w:rPr>
          <w:rFonts w:ascii="Times New Roman" w:hAnsi="Times New Roman" w:eastAsia="Times New Roman"/>
          <w:color w:val="000000"/>
          <w:spacing w:val="0"/>
          <w:w w:val="100"/>
          <w:sz w:val="20"/>
          <w:vertAlign w:val="baseline"/>
          <w:lang w:val="en-US"/>
        </w:rPr>
        <w:t xml:space="preserve">Manufacturer or importer to prepare and provide safety data sheets	</w:t>
      </w:r>
      <w:r>
        <w:rPr>
          <w:rFonts w:ascii="Times New Roman" w:hAnsi="Times New Roman" w:eastAsia="Times New Roman"/>
          <w:color w:val="000000"/>
          <w:spacing w:val="0"/>
          <w:w w:val="100"/>
          <w:sz w:val="20"/>
          <w:vertAlign w:val="baseline"/>
          <w:lang w:val="en-US"/>
        </w:rPr>
        <w:t xml:space="preserve">232</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331	</w:t>
      </w:r>
      <w:r>
        <w:rPr>
          <w:rFonts w:ascii="Times New Roman" w:hAnsi="Times New Roman" w:eastAsia="Times New Roman"/>
          <w:color w:val="000000"/>
          <w:spacing w:val="0"/>
          <w:w w:val="100"/>
          <w:sz w:val="20"/>
          <w:vertAlign w:val="baseline"/>
          <w:lang w:val="en-US"/>
        </w:rPr>
        <w:t xml:space="preserve">Safety data sheets—research chemical, waste product or sample for analysis	</w:t>
      </w:r>
      <w:r>
        <w:rPr>
          <w:rFonts w:ascii="Times New Roman" w:hAnsi="Times New Roman" w:eastAsia="Times New Roman"/>
          <w:color w:val="000000"/>
          <w:spacing w:val="0"/>
          <w:w w:val="100"/>
          <w:sz w:val="20"/>
          <w:vertAlign w:val="baseline"/>
          <w:lang w:val="en-US"/>
        </w:rPr>
        <w:t xml:space="preserve">233</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332	</w:t>
      </w:r>
      <w:r>
        <w:rPr>
          <w:rFonts w:ascii="Times New Roman" w:hAnsi="Times New Roman" w:eastAsia="Times New Roman"/>
          <w:color w:val="000000"/>
          <w:spacing w:val="0"/>
          <w:w w:val="100"/>
          <w:sz w:val="20"/>
          <w:vertAlign w:val="baseline"/>
          <w:lang w:val="en-US"/>
        </w:rPr>
        <w:t xml:space="preserve">Emergency disclosure of chemical identities to registered medical practitioner	</w:t>
      </w:r>
      <w:r>
        <w:rPr>
          <w:rFonts w:ascii="Times New Roman" w:hAnsi="Times New Roman" w:eastAsia="Times New Roman"/>
          <w:color w:val="000000"/>
          <w:spacing w:val="0"/>
          <w:w w:val="100"/>
          <w:sz w:val="20"/>
          <w:vertAlign w:val="baseline"/>
          <w:lang w:val="en-US"/>
        </w:rPr>
        <w:t xml:space="preserve">233</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333	</w:t>
      </w:r>
      <w:r>
        <w:rPr>
          <w:rFonts w:ascii="Times New Roman" w:hAnsi="Times New Roman" w:eastAsia="Times New Roman"/>
          <w:color w:val="000000"/>
          <w:spacing w:val="0"/>
          <w:w w:val="100"/>
          <w:sz w:val="20"/>
          <w:vertAlign w:val="baseline"/>
          <w:lang w:val="en-US"/>
        </w:rPr>
        <w:t xml:space="preserve">Emergency disclosure of chemical identities to emergency service worker	</w:t>
      </w:r>
      <w:r>
        <w:rPr>
          <w:rFonts w:ascii="Times New Roman" w:hAnsi="Times New Roman" w:eastAsia="Times New Roman"/>
          <w:color w:val="000000"/>
          <w:spacing w:val="0"/>
          <w:w w:val="100"/>
          <w:sz w:val="20"/>
          <w:vertAlign w:val="baseline"/>
          <w:lang w:val="en-US"/>
        </w:rPr>
        <w:t xml:space="preserve">234</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334	</w:t>
      </w:r>
      <w:r>
        <w:rPr>
          <w:rFonts w:ascii="Times New Roman" w:hAnsi="Times New Roman" w:eastAsia="Times New Roman"/>
          <w:color w:val="000000"/>
          <w:spacing w:val="0"/>
          <w:w w:val="100"/>
          <w:sz w:val="20"/>
          <w:vertAlign w:val="baseline"/>
          <w:lang w:val="en-US"/>
        </w:rPr>
        <w:t xml:space="preserve">Packing hazardous chemicals	</w:t>
      </w:r>
      <w:r>
        <w:rPr>
          <w:rFonts w:ascii="Times New Roman" w:hAnsi="Times New Roman" w:eastAsia="Times New Roman"/>
          <w:color w:val="000000"/>
          <w:spacing w:val="0"/>
          <w:w w:val="100"/>
          <w:sz w:val="20"/>
          <w:vertAlign w:val="baseline"/>
          <w:lang w:val="en-US"/>
        </w:rPr>
        <w:t xml:space="preserve">234</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335	</w:t>
      </w:r>
      <w:r>
        <w:rPr>
          <w:rFonts w:ascii="Times New Roman" w:hAnsi="Times New Roman" w:eastAsia="Times New Roman"/>
          <w:color w:val="000000"/>
          <w:spacing w:val="0"/>
          <w:w w:val="100"/>
          <w:sz w:val="20"/>
          <w:vertAlign w:val="baseline"/>
          <w:lang w:val="en-US"/>
        </w:rPr>
        <w:t xml:space="preserve">Labelling hazardous chemicals	</w:t>
      </w:r>
      <w:r>
        <w:rPr>
          <w:rFonts w:ascii="Times New Roman" w:hAnsi="Times New Roman" w:eastAsia="Times New Roman"/>
          <w:color w:val="000000"/>
          <w:spacing w:val="0"/>
          <w:w w:val="100"/>
          <w:sz w:val="20"/>
          <w:vertAlign w:val="baseline"/>
          <w:lang w:val="en-US"/>
        </w:rPr>
        <w:t xml:space="preserve">234</w:t>
      </w:r>
    </w:p>
    <w:p>
      <w:pPr>
        <w:tabs>
          <w:tab w:val="left" w:leader="none" w:pos="1944"/>
          <w:tab w:val="right" w:leader="none" w:pos="7704"/>
        </w:tabs>
        <w:spacing w:before="3"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Subdivision 2	</w:t>
      </w:r>
      <w:r>
        <w:rPr>
          <w:rFonts w:ascii="Times New Roman" w:hAnsi="Times New Roman" w:eastAsia="Times New Roman"/>
          <w:b w:val="true"/>
          <w:color w:val="000000"/>
          <w:spacing w:val="0"/>
          <w:w w:val="100"/>
          <w:sz w:val="20"/>
          <w:vertAlign w:val="baseline"/>
          <w:lang w:val="en-US"/>
        </w:rPr>
        <w:t xml:space="preserve">Obligations of suppliers	</w:t>
      </w:r>
      <w:r>
        <w:rPr>
          <w:rFonts w:ascii="Times New Roman" w:hAnsi="Times New Roman" w:eastAsia="Times New Roman"/>
          <w:b w:val="true"/>
          <w:color w:val="000000"/>
          <w:spacing w:val="0"/>
          <w:w w:val="100"/>
          <w:sz w:val="20"/>
          <w:vertAlign w:val="baseline"/>
          <w:lang w:val="en-US"/>
        </w:rPr>
        <w:t xml:space="preserve">236</w:t>
      </w:r>
    </w:p>
    <w:p>
      <w:pPr>
        <w:tabs>
          <w:tab w:val="left" w:leader="none" w:pos="720"/>
          <w:tab w:val="right" w:leader="none" w:pos="7704"/>
        </w:tabs>
        <w:spacing w:before="12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336	</w:t>
      </w:r>
      <w:r>
        <w:rPr>
          <w:rFonts w:ascii="Times New Roman" w:hAnsi="Times New Roman" w:eastAsia="Times New Roman"/>
          <w:color w:val="000000"/>
          <w:spacing w:val="0"/>
          <w:w w:val="100"/>
          <w:sz w:val="20"/>
          <w:vertAlign w:val="baseline"/>
          <w:lang w:val="en-US"/>
        </w:rPr>
        <w:t xml:space="preserve">Restriction on age of person who can supply hazardous chemicals	</w:t>
      </w:r>
      <w:r>
        <w:rPr>
          <w:rFonts w:ascii="Times New Roman" w:hAnsi="Times New Roman" w:eastAsia="Times New Roman"/>
          <w:color w:val="000000"/>
          <w:spacing w:val="0"/>
          <w:w w:val="100"/>
          <w:sz w:val="20"/>
          <w:vertAlign w:val="baseline"/>
          <w:lang w:val="en-US"/>
        </w:rPr>
        <w:t xml:space="preserve">236</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337	</w:t>
      </w:r>
      <w:r>
        <w:rPr>
          <w:rFonts w:ascii="Times New Roman" w:hAnsi="Times New Roman" w:eastAsia="Times New Roman"/>
          <w:color w:val="000000"/>
          <w:spacing w:val="0"/>
          <w:w w:val="100"/>
          <w:sz w:val="20"/>
          <w:vertAlign w:val="baseline"/>
          <w:lang w:val="en-US"/>
        </w:rPr>
        <w:t xml:space="preserve">Retailer or supplier packing hazardous chemicals	</w:t>
      </w:r>
      <w:r>
        <w:rPr>
          <w:rFonts w:ascii="Times New Roman" w:hAnsi="Times New Roman" w:eastAsia="Times New Roman"/>
          <w:color w:val="000000"/>
          <w:spacing w:val="0"/>
          <w:w w:val="100"/>
          <w:sz w:val="20"/>
          <w:vertAlign w:val="baseline"/>
          <w:lang w:val="en-US"/>
        </w:rPr>
        <w:t xml:space="preserve">236</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338	</w:t>
      </w:r>
      <w:r>
        <w:rPr>
          <w:rFonts w:ascii="Times New Roman" w:hAnsi="Times New Roman" w:eastAsia="Times New Roman"/>
          <w:color w:val="000000"/>
          <w:spacing w:val="0"/>
          <w:w w:val="100"/>
          <w:sz w:val="20"/>
          <w:vertAlign w:val="baseline"/>
          <w:lang w:val="en-US"/>
        </w:rPr>
        <w:t xml:space="preserve">Supplier labelling hazardous chemicals	</w:t>
      </w:r>
      <w:r>
        <w:rPr>
          <w:rFonts w:ascii="Times New Roman" w:hAnsi="Times New Roman" w:eastAsia="Times New Roman"/>
          <w:color w:val="000000"/>
          <w:spacing w:val="0"/>
          <w:w w:val="100"/>
          <w:sz w:val="20"/>
          <w:vertAlign w:val="baseline"/>
          <w:lang w:val="en-US"/>
        </w:rPr>
        <w:t xml:space="preserve">237</w:t>
      </w:r>
    </w:p>
    <w:p>
      <w:pPr>
        <w:tabs>
          <w:tab w:val="left" w:leader="none" w:pos="720"/>
          <w:tab w:val="right" w:leader="none" w:pos="7704"/>
        </w:tabs>
        <w:spacing w:before="0" w:after="0" w:line="225"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339	</w:t>
      </w:r>
      <w:r>
        <w:rPr>
          <w:rFonts w:ascii="Times New Roman" w:hAnsi="Times New Roman" w:eastAsia="Times New Roman"/>
          <w:color w:val="000000"/>
          <w:spacing w:val="0"/>
          <w:w w:val="100"/>
          <w:sz w:val="20"/>
          <w:vertAlign w:val="baseline"/>
          <w:lang w:val="en-US"/>
        </w:rPr>
        <w:t xml:space="preserve">Supplier to provide safety data sheets	</w:t>
      </w:r>
      <w:r>
        <w:rPr>
          <w:rFonts w:ascii="Times New Roman" w:hAnsi="Times New Roman" w:eastAsia="Times New Roman"/>
          <w:color w:val="000000"/>
          <w:spacing w:val="0"/>
          <w:w w:val="100"/>
          <w:sz w:val="20"/>
          <w:vertAlign w:val="baseline"/>
          <w:lang w:val="en-US"/>
        </w:rPr>
        <w:t xml:space="preserve">237</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340	</w:t>
      </w:r>
      <w:r>
        <w:rPr>
          <w:rFonts w:ascii="Times New Roman" w:hAnsi="Times New Roman" w:eastAsia="Times New Roman"/>
          <w:color w:val="000000"/>
          <w:spacing w:val="0"/>
          <w:w w:val="100"/>
          <w:sz w:val="20"/>
          <w:vertAlign w:val="baseline"/>
          <w:lang w:val="en-US"/>
        </w:rPr>
        <w:t xml:space="preserve">Supply of prohibited and restricted carcinogens	</w:t>
      </w:r>
      <w:r>
        <w:rPr>
          <w:rFonts w:ascii="Times New Roman" w:hAnsi="Times New Roman" w:eastAsia="Times New Roman"/>
          <w:color w:val="000000"/>
          <w:spacing w:val="0"/>
          <w:w w:val="100"/>
          <w:sz w:val="20"/>
          <w:vertAlign w:val="baseline"/>
          <w:lang w:val="en-US"/>
        </w:rPr>
        <w:t xml:space="preserve">238</w:t>
      </w:r>
    </w:p>
    <w:p>
      <w:pPr>
        <w:tabs>
          <w:tab w:val="right" w:leader="none" w:pos="7704"/>
        </w:tabs>
        <w:spacing w:before="2"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Subdivision 3	</w:t>
      </w:r>
      <w:r>
        <w:rPr>
          <w:rFonts w:ascii="Times New Roman" w:hAnsi="Times New Roman" w:eastAsia="Times New Roman"/>
          <w:b w:val="true"/>
          <w:color w:val="000000"/>
          <w:spacing w:val="0"/>
          <w:w w:val="100"/>
          <w:sz w:val="20"/>
          <w:vertAlign w:val="baseline"/>
          <w:lang w:val="en-US"/>
        </w:rPr>
        <w:t xml:space="preserve">Obligations of persons conducting businesses or undertakings 239</w:t>
      </w:r>
    </w:p>
    <w:p>
      <w:pPr>
        <w:tabs>
          <w:tab w:val="left" w:leader="none" w:pos="720"/>
          <w:tab w:val="right" w:leader="none" w:pos="7704"/>
        </w:tabs>
        <w:spacing w:before="12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341	</w:t>
      </w:r>
      <w:r>
        <w:rPr>
          <w:rFonts w:ascii="Times New Roman" w:hAnsi="Times New Roman" w:eastAsia="Times New Roman"/>
          <w:color w:val="000000"/>
          <w:spacing w:val="0"/>
          <w:w w:val="100"/>
          <w:sz w:val="20"/>
          <w:vertAlign w:val="baseline"/>
          <w:lang w:val="en-US"/>
        </w:rPr>
        <w:t xml:space="preserve">Labelling hazardous chemicals—general requirement	</w:t>
      </w:r>
      <w:r>
        <w:rPr>
          <w:rFonts w:ascii="Times New Roman" w:hAnsi="Times New Roman" w:eastAsia="Times New Roman"/>
          <w:color w:val="000000"/>
          <w:spacing w:val="0"/>
          <w:w w:val="100"/>
          <w:sz w:val="20"/>
          <w:vertAlign w:val="baseline"/>
          <w:lang w:val="en-US"/>
        </w:rPr>
        <w:t xml:space="preserve">239</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342	</w:t>
      </w:r>
      <w:r>
        <w:rPr>
          <w:rFonts w:ascii="Times New Roman" w:hAnsi="Times New Roman" w:eastAsia="Times New Roman"/>
          <w:color w:val="000000"/>
          <w:spacing w:val="0"/>
          <w:w w:val="100"/>
          <w:sz w:val="20"/>
          <w:vertAlign w:val="baseline"/>
          <w:lang w:val="en-US"/>
        </w:rPr>
        <w:t xml:space="preserve">Labelling hazardous chemicals—containers	</w:t>
      </w:r>
      <w:r>
        <w:rPr>
          <w:rFonts w:ascii="Times New Roman" w:hAnsi="Times New Roman" w:eastAsia="Times New Roman"/>
          <w:color w:val="000000"/>
          <w:spacing w:val="0"/>
          <w:w w:val="100"/>
          <w:sz w:val="20"/>
          <w:vertAlign w:val="baseline"/>
          <w:lang w:val="en-US"/>
        </w:rPr>
        <w:t xml:space="preserve">240</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343	</w:t>
      </w:r>
      <w:r>
        <w:rPr>
          <w:rFonts w:ascii="Times New Roman" w:hAnsi="Times New Roman" w:eastAsia="Times New Roman"/>
          <w:color w:val="000000"/>
          <w:spacing w:val="0"/>
          <w:w w:val="100"/>
          <w:sz w:val="20"/>
          <w:vertAlign w:val="baseline"/>
          <w:lang w:val="en-US"/>
        </w:rPr>
        <w:t xml:space="preserve">Labelling hazardous chemicals—pipe work	</w:t>
      </w:r>
      <w:r>
        <w:rPr>
          <w:rFonts w:ascii="Times New Roman" w:hAnsi="Times New Roman" w:eastAsia="Times New Roman"/>
          <w:color w:val="000000"/>
          <w:spacing w:val="0"/>
          <w:w w:val="100"/>
          <w:sz w:val="20"/>
          <w:vertAlign w:val="baseline"/>
          <w:lang w:val="en-US"/>
        </w:rPr>
        <w:t xml:space="preserve">241</w:t>
      </w:r>
    </w:p>
    <w:p>
      <w:pPr>
        <w:tabs>
          <w:tab w:val="left" w:leader="none" w:pos="720"/>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344	</w:t>
      </w:r>
      <w:r>
        <w:rPr>
          <w:rFonts w:ascii="Times New Roman" w:hAnsi="Times New Roman" w:eastAsia="Times New Roman"/>
          <w:color w:val="000000"/>
          <w:spacing w:val="0"/>
          <w:w w:val="100"/>
          <w:sz w:val="20"/>
          <w:vertAlign w:val="baseline"/>
          <w:lang w:val="en-US"/>
        </w:rPr>
        <w:t xml:space="preserve">Person conducting business or undertaking to obtain and give access to safety data</w:t>
      </w:r>
    </w:p>
    <w:p>
      <w:pPr>
        <w:tabs>
          <w:tab w:val="right" w:leader="none" w:pos="7704"/>
        </w:tabs>
        <w:spacing w:before="0" w:after="0" w:line="230" w:lineRule="exact"/>
        <w:ind w:right="0" w:left="7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sheets	</w:t>
      </w:r>
      <w:r>
        <w:rPr>
          <w:rFonts w:ascii="Times New Roman" w:hAnsi="Times New Roman" w:eastAsia="Times New Roman"/>
          <w:color w:val="000000"/>
          <w:spacing w:val="0"/>
          <w:w w:val="100"/>
          <w:sz w:val="20"/>
          <w:vertAlign w:val="baseline"/>
          <w:lang w:val="en-US"/>
        </w:rPr>
        <w:t xml:space="preserve">242</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345	</w:t>
      </w:r>
      <w:r>
        <w:rPr>
          <w:rFonts w:ascii="Times New Roman" w:hAnsi="Times New Roman" w:eastAsia="Times New Roman"/>
          <w:color w:val="000000"/>
          <w:spacing w:val="0"/>
          <w:w w:val="100"/>
          <w:sz w:val="20"/>
          <w:vertAlign w:val="baseline"/>
          <w:lang w:val="en-US"/>
        </w:rPr>
        <w:t xml:space="preserve">Changes to safety data sheets	</w:t>
      </w:r>
      <w:r>
        <w:rPr>
          <w:rFonts w:ascii="Times New Roman" w:hAnsi="Times New Roman" w:eastAsia="Times New Roman"/>
          <w:color w:val="000000"/>
          <w:spacing w:val="0"/>
          <w:w w:val="100"/>
          <w:sz w:val="20"/>
          <w:vertAlign w:val="baseline"/>
          <w:lang w:val="en-US"/>
        </w:rPr>
        <w:t xml:space="preserve">244</w:t>
      </w:r>
    </w:p>
    <w:p>
      <w:pPr>
        <w:tabs>
          <w:tab w:val="left" w:leader="none" w:pos="1368"/>
          <w:tab w:val="right" w:leader="none" w:pos="7704"/>
        </w:tabs>
        <w:spacing w:before="2"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3	</w:t>
      </w:r>
      <w:r>
        <w:rPr>
          <w:rFonts w:ascii="Times New Roman" w:hAnsi="Times New Roman" w:eastAsia="Times New Roman"/>
          <w:b w:val="true"/>
          <w:color w:val="000000"/>
          <w:spacing w:val="0"/>
          <w:w w:val="100"/>
          <w:sz w:val="20"/>
          <w:vertAlign w:val="baseline"/>
          <w:lang w:val="en-US"/>
        </w:rPr>
        <w:t xml:space="preserve">Register and manifest of hazardous chemicals	</w:t>
      </w:r>
      <w:r>
        <w:rPr>
          <w:rFonts w:ascii="Times New Roman" w:hAnsi="Times New Roman" w:eastAsia="Times New Roman"/>
          <w:b w:val="true"/>
          <w:color w:val="000000"/>
          <w:spacing w:val="0"/>
          <w:w w:val="100"/>
          <w:sz w:val="20"/>
          <w:vertAlign w:val="baseline"/>
          <w:lang w:val="en-US"/>
        </w:rPr>
        <w:t xml:space="preserve">244</w:t>
      </w:r>
    </w:p>
    <w:p>
      <w:pPr>
        <w:tabs>
          <w:tab w:val="left" w:leader="none" w:pos="1944"/>
          <w:tab w:val="right" w:leader="none" w:pos="7704"/>
        </w:tabs>
        <w:spacing w:before="122"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Subdivision 1	</w:t>
      </w:r>
      <w:r>
        <w:rPr>
          <w:rFonts w:ascii="Times New Roman" w:hAnsi="Times New Roman" w:eastAsia="Times New Roman"/>
          <w:b w:val="true"/>
          <w:color w:val="000000"/>
          <w:spacing w:val="0"/>
          <w:w w:val="100"/>
          <w:sz w:val="20"/>
          <w:vertAlign w:val="baseline"/>
          <w:lang w:val="en-US"/>
        </w:rPr>
        <w:t xml:space="preserve">Hazardous chemicals register	</w:t>
      </w:r>
      <w:r>
        <w:rPr>
          <w:rFonts w:ascii="Times New Roman" w:hAnsi="Times New Roman" w:eastAsia="Times New Roman"/>
          <w:b w:val="true"/>
          <w:color w:val="000000"/>
          <w:spacing w:val="0"/>
          <w:w w:val="100"/>
          <w:sz w:val="20"/>
          <w:vertAlign w:val="baseline"/>
          <w:lang w:val="en-US"/>
        </w:rPr>
        <w:t xml:space="preserve">244</w:t>
      </w:r>
    </w:p>
    <w:p>
      <w:pPr>
        <w:tabs>
          <w:tab w:val="left" w:leader="none" w:pos="720"/>
          <w:tab w:val="right" w:leader="none" w:pos="7704"/>
        </w:tabs>
        <w:spacing w:before="116"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346	</w:t>
      </w:r>
      <w:r>
        <w:rPr>
          <w:rFonts w:ascii="Times New Roman" w:hAnsi="Times New Roman" w:eastAsia="Times New Roman"/>
          <w:color w:val="000000"/>
          <w:spacing w:val="0"/>
          <w:w w:val="100"/>
          <w:sz w:val="20"/>
          <w:vertAlign w:val="baseline"/>
          <w:lang w:val="en-US"/>
        </w:rPr>
        <w:t xml:space="preserve">Hazardous chemicals register	</w:t>
      </w:r>
      <w:r>
        <w:rPr>
          <w:rFonts w:ascii="Times New Roman" w:hAnsi="Times New Roman" w:eastAsia="Times New Roman"/>
          <w:color w:val="000000"/>
          <w:spacing w:val="0"/>
          <w:w w:val="100"/>
          <w:sz w:val="20"/>
          <w:vertAlign w:val="baseline"/>
          <w:lang w:val="en-US"/>
        </w:rPr>
        <w:t xml:space="preserve">244</w:t>
      </w:r>
    </w:p>
    <w:p>
      <w:pPr>
        <w:tabs>
          <w:tab w:val="left" w:leader="none" w:pos="1944"/>
          <w:tab w:val="right" w:leader="none" w:pos="7704"/>
        </w:tabs>
        <w:spacing w:before="2"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Subdivision 2	</w:t>
      </w:r>
      <w:r>
        <w:rPr>
          <w:rFonts w:ascii="Times New Roman" w:hAnsi="Times New Roman" w:eastAsia="Times New Roman"/>
          <w:b w:val="true"/>
          <w:color w:val="000000"/>
          <w:spacing w:val="0"/>
          <w:w w:val="100"/>
          <w:sz w:val="20"/>
          <w:vertAlign w:val="baseline"/>
          <w:lang w:val="en-US"/>
        </w:rPr>
        <w:t xml:space="preserve">Manifest of Schedule 11 hazardous chemicals	</w:t>
      </w:r>
      <w:r>
        <w:rPr>
          <w:rFonts w:ascii="Times New Roman" w:hAnsi="Times New Roman" w:eastAsia="Times New Roman"/>
          <w:b w:val="true"/>
          <w:color w:val="000000"/>
          <w:spacing w:val="0"/>
          <w:w w:val="100"/>
          <w:sz w:val="20"/>
          <w:vertAlign w:val="baseline"/>
          <w:lang w:val="en-US"/>
        </w:rPr>
        <w:t xml:space="preserve">245</w:t>
      </w:r>
    </w:p>
    <w:p>
      <w:pPr>
        <w:tabs>
          <w:tab w:val="left" w:leader="none" w:pos="720"/>
          <w:tab w:val="right" w:leader="none" w:pos="7704"/>
        </w:tabs>
        <w:spacing w:before="12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347	</w:t>
      </w:r>
      <w:r>
        <w:rPr>
          <w:rFonts w:ascii="Times New Roman" w:hAnsi="Times New Roman" w:eastAsia="Times New Roman"/>
          <w:color w:val="000000"/>
          <w:spacing w:val="0"/>
          <w:w w:val="100"/>
          <w:sz w:val="20"/>
          <w:vertAlign w:val="baseline"/>
          <w:lang w:val="en-US"/>
        </w:rPr>
        <w:t xml:space="preserve">Manifest of hazardous chemicals	</w:t>
      </w:r>
      <w:r>
        <w:rPr>
          <w:rFonts w:ascii="Times New Roman" w:hAnsi="Times New Roman" w:eastAsia="Times New Roman"/>
          <w:color w:val="000000"/>
          <w:spacing w:val="0"/>
          <w:w w:val="100"/>
          <w:sz w:val="20"/>
          <w:vertAlign w:val="baseline"/>
          <w:lang w:val="en-US"/>
        </w:rPr>
        <w:t xml:space="preserve">245</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348	</w:t>
      </w:r>
      <w:r>
        <w:rPr>
          <w:rFonts w:ascii="Times New Roman" w:hAnsi="Times New Roman" w:eastAsia="Times New Roman"/>
          <w:color w:val="000000"/>
          <w:spacing w:val="0"/>
          <w:w w:val="100"/>
          <w:sz w:val="20"/>
          <w:vertAlign w:val="baseline"/>
          <w:lang w:val="en-US"/>
        </w:rPr>
        <w:t xml:space="preserve">Regulator must be notified if manifest quantities to be exceeded	</w:t>
      </w:r>
      <w:r>
        <w:rPr>
          <w:rFonts w:ascii="Times New Roman" w:hAnsi="Times New Roman" w:eastAsia="Times New Roman"/>
          <w:color w:val="000000"/>
          <w:spacing w:val="0"/>
          <w:w w:val="100"/>
          <w:sz w:val="20"/>
          <w:vertAlign w:val="baseline"/>
          <w:lang w:val="en-US"/>
        </w:rPr>
        <w:t xml:space="preserve">246</w:t>
      </w:r>
    </w:p>
    <w:p>
      <w:pPr>
        <w:tabs>
          <w:tab w:val="left" w:leader="none" w:pos="1368"/>
          <w:tab w:val="right" w:leader="none" w:pos="7704"/>
        </w:tabs>
        <w:spacing w:before="3"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4	</w:t>
      </w:r>
      <w:r>
        <w:rPr>
          <w:rFonts w:ascii="Times New Roman" w:hAnsi="Times New Roman" w:eastAsia="Times New Roman"/>
          <w:b w:val="true"/>
          <w:color w:val="000000"/>
          <w:spacing w:val="0"/>
          <w:w w:val="100"/>
          <w:sz w:val="20"/>
          <w:vertAlign w:val="baseline"/>
          <w:lang w:val="en-US"/>
        </w:rPr>
        <w:t xml:space="preserve">Placards	</w:t>
      </w:r>
      <w:r>
        <w:rPr>
          <w:rFonts w:ascii="Times New Roman" w:hAnsi="Times New Roman" w:eastAsia="Times New Roman"/>
          <w:b w:val="true"/>
          <w:color w:val="000000"/>
          <w:spacing w:val="0"/>
          <w:w w:val="100"/>
          <w:sz w:val="20"/>
          <w:vertAlign w:val="baseline"/>
          <w:lang w:val="en-US"/>
        </w:rPr>
        <w:t xml:space="preserve">248</w:t>
      </w:r>
    </w:p>
    <w:p>
      <w:pPr>
        <w:tabs>
          <w:tab w:val="left" w:leader="none" w:pos="720"/>
          <w:tab w:val="right" w:leader="none" w:pos="7704"/>
        </w:tabs>
        <w:spacing w:before="12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349	</w:t>
      </w:r>
      <w:r>
        <w:rPr>
          <w:rFonts w:ascii="Times New Roman" w:hAnsi="Times New Roman" w:eastAsia="Times New Roman"/>
          <w:color w:val="000000"/>
          <w:spacing w:val="0"/>
          <w:w w:val="100"/>
          <w:sz w:val="20"/>
          <w:vertAlign w:val="baseline"/>
          <w:lang w:val="en-US"/>
        </w:rPr>
        <w:t xml:space="preserve">Outer warning placards—requirement to display	</w:t>
      </w:r>
      <w:r>
        <w:rPr>
          <w:rFonts w:ascii="Times New Roman" w:hAnsi="Times New Roman" w:eastAsia="Times New Roman"/>
          <w:color w:val="000000"/>
          <w:spacing w:val="0"/>
          <w:w w:val="100"/>
          <w:sz w:val="20"/>
          <w:vertAlign w:val="baseline"/>
          <w:lang w:val="en-US"/>
        </w:rPr>
        <w:t xml:space="preserve">248</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350	</w:t>
      </w:r>
      <w:r>
        <w:rPr>
          <w:rFonts w:ascii="Times New Roman" w:hAnsi="Times New Roman" w:eastAsia="Times New Roman"/>
          <w:color w:val="000000"/>
          <w:spacing w:val="0"/>
          <w:w w:val="100"/>
          <w:sz w:val="20"/>
          <w:vertAlign w:val="baseline"/>
          <w:lang w:val="en-US"/>
        </w:rPr>
        <w:t xml:space="preserve">Placard—requirement to display	</w:t>
      </w:r>
      <w:r>
        <w:rPr>
          <w:rFonts w:ascii="Times New Roman" w:hAnsi="Times New Roman" w:eastAsia="Times New Roman"/>
          <w:color w:val="000000"/>
          <w:spacing w:val="0"/>
          <w:w w:val="100"/>
          <w:sz w:val="20"/>
          <w:vertAlign w:val="baseline"/>
          <w:lang w:val="en-US"/>
        </w:rPr>
        <w:t xml:space="preserve">248</w:t>
      </w:r>
    </w:p>
    <w:p>
      <w:pPr>
        <w:tabs>
          <w:tab w:val="left" w:leader="none" w:pos="1368"/>
        </w:tabs>
        <w:spacing w:before="1" w:after="0" w:line="230" w:lineRule="exact"/>
        <w:ind w:right="1152"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5	</w:t>
      </w:r>
      <w:r>
        <w:rPr>
          <w:rFonts w:ascii="Times New Roman" w:hAnsi="Times New Roman" w:eastAsia="Times New Roman"/>
          <w:b w:val="true"/>
          <w:color w:val="000000"/>
          <w:spacing w:val="0"/>
          <w:w w:val="100"/>
          <w:sz w:val="20"/>
          <w:vertAlign w:val="baseline"/>
          <w:lang w:val="en-US"/>
        </w:rPr>
        <w:t xml:space="preserve">Control of risk—obligations of persons conducting businesses or undertakings 249</w:t>
      </w:r>
    </w:p>
    <w:p>
      <w:pPr>
        <w:tabs>
          <w:tab w:val="left" w:leader="none" w:pos="1944"/>
          <w:tab w:val="right" w:leader="none" w:pos="7704"/>
        </w:tabs>
        <w:spacing w:before="123"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Subdivision 1	</w:t>
      </w:r>
      <w:r>
        <w:rPr>
          <w:rFonts w:ascii="Times New Roman" w:hAnsi="Times New Roman" w:eastAsia="Times New Roman"/>
          <w:b w:val="true"/>
          <w:color w:val="000000"/>
          <w:spacing w:val="0"/>
          <w:w w:val="100"/>
          <w:sz w:val="20"/>
          <w:vertAlign w:val="baseline"/>
          <w:lang w:val="en-US"/>
        </w:rPr>
        <w:t xml:space="preserve">General obligations relating to management of risk	</w:t>
      </w:r>
      <w:r>
        <w:rPr>
          <w:rFonts w:ascii="Times New Roman" w:hAnsi="Times New Roman" w:eastAsia="Times New Roman"/>
          <w:b w:val="true"/>
          <w:color w:val="000000"/>
          <w:spacing w:val="0"/>
          <w:w w:val="100"/>
          <w:sz w:val="20"/>
          <w:vertAlign w:val="baseline"/>
          <w:lang w:val="en-US"/>
        </w:rPr>
        <w:t xml:space="preserve">249</w:t>
      </w:r>
    </w:p>
    <w:p>
      <w:pPr>
        <w:tabs>
          <w:tab w:val="left" w:leader="none" w:pos="720"/>
          <w:tab w:val="right" w:leader="none" w:pos="7704"/>
        </w:tabs>
        <w:spacing w:before="12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351	</w:t>
      </w:r>
      <w:r>
        <w:rPr>
          <w:rFonts w:ascii="Times New Roman" w:hAnsi="Times New Roman" w:eastAsia="Times New Roman"/>
          <w:color w:val="000000"/>
          <w:spacing w:val="0"/>
          <w:w w:val="100"/>
          <w:sz w:val="20"/>
          <w:vertAlign w:val="baseline"/>
          <w:lang w:val="en-US"/>
        </w:rPr>
        <w:t xml:space="preserve">Management of risks to health or safety	</w:t>
      </w:r>
      <w:r>
        <w:rPr>
          <w:rFonts w:ascii="Times New Roman" w:hAnsi="Times New Roman" w:eastAsia="Times New Roman"/>
          <w:color w:val="000000"/>
          <w:spacing w:val="0"/>
          <w:w w:val="100"/>
          <w:sz w:val="20"/>
          <w:vertAlign w:val="baseline"/>
          <w:lang w:val="en-US"/>
        </w:rPr>
        <w:t xml:space="preserve">249</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352	</w:t>
      </w:r>
      <w:r>
        <w:rPr>
          <w:rFonts w:ascii="Times New Roman" w:hAnsi="Times New Roman" w:eastAsia="Times New Roman"/>
          <w:color w:val="000000"/>
          <w:spacing w:val="0"/>
          <w:w w:val="100"/>
          <w:sz w:val="20"/>
          <w:vertAlign w:val="baseline"/>
          <w:lang w:val="en-US"/>
        </w:rPr>
        <w:t xml:space="preserve">Review of control measures	</w:t>
      </w:r>
      <w:r>
        <w:rPr>
          <w:rFonts w:ascii="Times New Roman" w:hAnsi="Times New Roman" w:eastAsia="Times New Roman"/>
          <w:color w:val="000000"/>
          <w:spacing w:val="0"/>
          <w:w w:val="100"/>
          <w:sz w:val="20"/>
          <w:vertAlign w:val="baseline"/>
          <w:lang w:val="en-US"/>
        </w:rPr>
        <w:t xml:space="preserve">249</w:t>
      </w:r>
    </w:p>
    <w:p>
      <w:pPr>
        <w:tabs>
          <w:tab w:val="left" w:leader="none" w:pos="720"/>
          <w:tab w:val="right" w:leader="none" w:pos="7704"/>
        </w:tabs>
        <w:spacing w:before="0" w:after="0" w:line="226"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353	</w:t>
      </w:r>
      <w:r>
        <w:rPr>
          <w:rFonts w:ascii="Times New Roman" w:hAnsi="Times New Roman" w:eastAsia="Times New Roman"/>
          <w:color w:val="000000"/>
          <w:spacing w:val="0"/>
          <w:w w:val="100"/>
          <w:sz w:val="20"/>
          <w:vertAlign w:val="baseline"/>
          <w:lang w:val="en-US"/>
        </w:rPr>
        <w:t xml:space="preserve">Safety signs	</w:t>
      </w:r>
      <w:r>
        <w:rPr>
          <w:rFonts w:ascii="Times New Roman" w:hAnsi="Times New Roman" w:eastAsia="Times New Roman"/>
          <w:color w:val="000000"/>
          <w:spacing w:val="0"/>
          <w:w w:val="100"/>
          <w:sz w:val="20"/>
          <w:vertAlign w:val="baseline"/>
          <w:lang w:val="en-US"/>
        </w:rPr>
        <w:t xml:space="preserve">250</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354	</w:t>
      </w:r>
      <w:r>
        <w:rPr>
          <w:rFonts w:ascii="Times New Roman" w:hAnsi="Times New Roman" w:eastAsia="Times New Roman"/>
          <w:color w:val="000000"/>
          <w:spacing w:val="0"/>
          <w:w w:val="100"/>
          <w:sz w:val="20"/>
          <w:vertAlign w:val="baseline"/>
          <w:lang w:val="en-US"/>
        </w:rPr>
        <w:t xml:space="preserve">Identification of risk of physical or chemical reaction	</w:t>
      </w:r>
      <w:r>
        <w:rPr>
          <w:rFonts w:ascii="Times New Roman" w:hAnsi="Times New Roman" w:eastAsia="Times New Roman"/>
          <w:color w:val="000000"/>
          <w:spacing w:val="0"/>
          <w:w w:val="100"/>
          <w:sz w:val="20"/>
          <w:vertAlign w:val="baseline"/>
          <w:lang w:val="en-US"/>
        </w:rPr>
        <w:t xml:space="preserve">251</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355	</w:t>
      </w:r>
      <w:r>
        <w:rPr>
          <w:rFonts w:ascii="Times New Roman" w:hAnsi="Times New Roman" w:eastAsia="Times New Roman"/>
          <w:color w:val="000000"/>
          <w:spacing w:val="0"/>
          <w:w w:val="100"/>
          <w:sz w:val="20"/>
          <w:vertAlign w:val="baseline"/>
          <w:lang w:val="en-US"/>
        </w:rPr>
        <w:t xml:space="preserve">Specific control—fire and explosion	</w:t>
      </w:r>
      <w:r>
        <w:rPr>
          <w:rFonts w:ascii="Times New Roman" w:hAnsi="Times New Roman" w:eastAsia="Times New Roman"/>
          <w:color w:val="000000"/>
          <w:spacing w:val="0"/>
          <w:w w:val="100"/>
          <w:sz w:val="20"/>
          <w:vertAlign w:val="baseline"/>
          <w:lang w:val="en-US"/>
        </w:rPr>
        <w:t xml:space="preserve">252</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356	</w:t>
      </w:r>
      <w:r>
        <w:rPr>
          <w:rFonts w:ascii="Times New Roman" w:hAnsi="Times New Roman" w:eastAsia="Times New Roman"/>
          <w:color w:val="000000"/>
          <w:spacing w:val="0"/>
          <w:w w:val="100"/>
          <w:sz w:val="20"/>
          <w:vertAlign w:val="baseline"/>
          <w:lang w:val="en-US"/>
        </w:rPr>
        <w:t xml:space="preserve">Keeping hazardous chemicals stable	</w:t>
      </w:r>
      <w:r>
        <w:rPr>
          <w:rFonts w:ascii="Times New Roman" w:hAnsi="Times New Roman" w:eastAsia="Times New Roman"/>
          <w:color w:val="000000"/>
          <w:spacing w:val="0"/>
          <w:w w:val="100"/>
          <w:sz w:val="20"/>
          <w:vertAlign w:val="baseline"/>
          <w:lang w:val="en-US"/>
        </w:rPr>
        <w:t xml:space="preserve">252</w:t>
      </w:r>
    </w:p>
    <w:p>
      <w:pPr>
        <w:tabs>
          <w:tab w:val="left" w:leader="none" w:pos="1944"/>
          <w:tab w:val="right" w:leader="none" w:pos="7704"/>
        </w:tabs>
        <w:spacing w:before="3"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Subdivision 2	</w:t>
      </w:r>
      <w:r>
        <w:rPr>
          <w:rFonts w:ascii="Times New Roman" w:hAnsi="Times New Roman" w:eastAsia="Times New Roman"/>
          <w:b w:val="true"/>
          <w:color w:val="000000"/>
          <w:spacing w:val="0"/>
          <w:w w:val="100"/>
          <w:sz w:val="20"/>
          <w:vertAlign w:val="baseline"/>
          <w:lang w:val="en-US"/>
        </w:rPr>
        <w:t xml:space="preserve">Spills and damage	</w:t>
      </w:r>
      <w:r>
        <w:rPr>
          <w:rFonts w:ascii="Times New Roman" w:hAnsi="Times New Roman" w:eastAsia="Times New Roman"/>
          <w:b w:val="true"/>
          <w:color w:val="000000"/>
          <w:spacing w:val="0"/>
          <w:w w:val="100"/>
          <w:sz w:val="20"/>
          <w:vertAlign w:val="baseline"/>
          <w:lang w:val="en-US"/>
        </w:rPr>
        <w:t xml:space="preserve">253</w:t>
      </w:r>
    </w:p>
    <w:p>
      <w:pPr>
        <w:tabs>
          <w:tab w:val="left" w:leader="none" w:pos="720"/>
          <w:tab w:val="right" w:leader="none" w:pos="7704"/>
        </w:tabs>
        <w:spacing w:before="12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357	</w:t>
      </w:r>
      <w:r>
        <w:rPr>
          <w:rFonts w:ascii="Times New Roman" w:hAnsi="Times New Roman" w:eastAsia="Times New Roman"/>
          <w:color w:val="000000"/>
          <w:spacing w:val="0"/>
          <w:w w:val="100"/>
          <w:sz w:val="20"/>
          <w:vertAlign w:val="baseline"/>
          <w:lang w:val="en-US"/>
        </w:rPr>
        <w:t xml:space="preserve">Containing and managing spills	</w:t>
      </w:r>
      <w:r>
        <w:rPr>
          <w:rFonts w:ascii="Times New Roman" w:hAnsi="Times New Roman" w:eastAsia="Times New Roman"/>
          <w:color w:val="000000"/>
          <w:spacing w:val="0"/>
          <w:w w:val="100"/>
          <w:sz w:val="20"/>
          <w:vertAlign w:val="baseline"/>
          <w:lang w:val="en-US"/>
        </w:rPr>
        <w:t xml:space="preserve">253</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358	</w:t>
      </w:r>
      <w:r>
        <w:rPr>
          <w:rFonts w:ascii="Times New Roman" w:hAnsi="Times New Roman" w:eastAsia="Times New Roman"/>
          <w:color w:val="000000"/>
          <w:spacing w:val="0"/>
          <w:w w:val="100"/>
          <w:sz w:val="20"/>
          <w:vertAlign w:val="baseline"/>
          <w:lang w:val="en-US"/>
        </w:rPr>
        <w:t xml:space="preserve">Protecting hazardous chemicals from damage	</w:t>
      </w:r>
      <w:r>
        <w:rPr>
          <w:rFonts w:ascii="Times New Roman" w:hAnsi="Times New Roman" w:eastAsia="Times New Roman"/>
          <w:color w:val="000000"/>
          <w:spacing w:val="0"/>
          <w:w w:val="100"/>
          <w:sz w:val="20"/>
          <w:vertAlign w:val="baseline"/>
          <w:lang w:val="en-US"/>
        </w:rPr>
        <w:t xml:space="preserve">254</w:t>
      </w:r>
    </w:p>
    <w:p>
      <w:pPr>
        <w:tabs>
          <w:tab w:val="left" w:leader="none" w:pos="1944"/>
          <w:tab w:val="right" w:leader="none" w:pos="7704"/>
        </w:tabs>
        <w:spacing w:before="3"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Subdivision 3	</w:t>
      </w:r>
      <w:r>
        <w:rPr>
          <w:rFonts w:ascii="Times New Roman" w:hAnsi="Times New Roman" w:eastAsia="Times New Roman"/>
          <w:b w:val="true"/>
          <w:color w:val="000000"/>
          <w:spacing w:val="0"/>
          <w:w w:val="100"/>
          <w:sz w:val="20"/>
          <w:vertAlign w:val="baseline"/>
          <w:lang w:val="en-US"/>
        </w:rPr>
        <w:t xml:space="preserve">Emergency plans and safety equipment	</w:t>
      </w:r>
      <w:r>
        <w:rPr>
          <w:rFonts w:ascii="Times New Roman" w:hAnsi="Times New Roman" w:eastAsia="Times New Roman"/>
          <w:b w:val="true"/>
          <w:color w:val="000000"/>
          <w:spacing w:val="0"/>
          <w:w w:val="100"/>
          <w:sz w:val="20"/>
          <w:vertAlign w:val="baseline"/>
          <w:lang w:val="en-US"/>
        </w:rPr>
        <w:t xml:space="preserve">254</w:t>
      </w:r>
    </w:p>
    <w:p>
      <w:pPr>
        <w:tabs>
          <w:tab w:val="left" w:leader="none" w:pos="720"/>
          <w:tab w:val="right" w:leader="none" w:pos="7704"/>
        </w:tabs>
        <w:spacing w:before="12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359	</w:t>
      </w:r>
      <w:r>
        <w:rPr>
          <w:rFonts w:ascii="Times New Roman" w:hAnsi="Times New Roman" w:eastAsia="Times New Roman"/>
          <w:color w:val="000000"/>
          <w:spacing w:val="0"/>
          <w:w w:val="100"/>
          <w:sz w:val="20"/>
          <w:vertAlign w:val="baseline"/>
          <w:lang w:val="en-US"/>
        </w:rPr>
        <w:t xml:space="preserve">Fire protection and firefighting equipment	</w:t>
      </w:r>
      <w:r>
        <w:rPr>
          <w:rFonts w:ascii="Times New Roman" w:hAnsi="Times New Roman" w:eastAsia="Times New Roman"/>
          <w:color w:val="000000"/>
          <w:spacing w:val="0"/>
          <w:w w:val="100"/>
          <w:sz w:val="20"/>
          <w:vertAlign w:val="baseline"/>
          <w:lang w:val="en-US"/>
        </w:rPr>
        <w:t xml:space="preserve">254</w:t>
      </w:r>
    </w:p>
    <w:p>
      <w:pPr>
        <w:tabs>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360 Emergency equipment	</w:t>
      </w:r>
      <w:r>
        <w:rPr>
          <w:rFonts w:ascii="Times New Roman" w:hAnsi="Times New Roman" w:eastAsia="Times New Roman"/>
          <w:color w:val="000000"/>
          <w:spacing w:val="0"/>
          <w:w w:val="100"/>
          <w:sz w:val="20"/>
          <w:vertAlign w:val="baseline"/>
          <w:lang w:val="en-US"/>
        </w:rPr>
        <w:t xml:space="preserve">255</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361	</w:t>
      </w:r>
      <w:r>
        <w:rPr>
          <w:rFonts w:ascii="Times New Roman" w:hAnsi="Times New Roman" w:eastAsia="Times New Roman"/>
          <w:color w:val="000000"/>
          <w:spacing w:val="0"/>
          <w:w w:val="100"/>
          <w:sz w:val="20"/>
          <w:vertAlign w:val="baseline"/>
          <w:lang w:val="en-US"/>
        </w:rPr>
        <w:t xml:space="preserve">Emergency plans	</w:t>
      </w:r>
      <w:r>
        <w:rPr>
          <w:rFonts w:ascii="Times New Roman" w:hAnsi="Times New Roman" w:eastAsia="Times New Roman"/>
          <w:color w:val="000000"/>
          <w:spacing w:val="0"/>
          <w:w w:val="100"/>
          <w:sz w:val="20"/>
          <w:vertAlign w:val="baseline"/>
          <w:lang w:val="en-US"/>
        </w:rPr>
        <w:t xml:space="preserve">255</w:t>
      </w:r>
    </w:p>
    <w:p>
      <w:pPr>
        <w:tabs>
          <w:tab w:val="left" w:leader="none" w:pos="720"/>
          <w:tab w:val="right" w:leader="none" w:pos="7704"/>
        </w:tabs>
        <w:spacing w:before="0" w:after="848" w:line="226"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10.65pt" to="498.5pt,710.6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362	</w:t>
      </w:r>
      <w:r>
        <w:rPr>
          <w:rFonts w:ascii="Times New Roman" w:hAnsi="Times New Roman" w:eastAsia="Times New Roman"/>
          <w:color w:val="000000"/>
          <w:spacing w:val="0"/>
          <w:w w:val="100"/>
          <w:sz w:val="20"/>
          <w:vertAlign w:val="baseline"/>
          <w:lang w:val="en-US"/>
        </w:rPr>
        <w:t xml:space="preserve">Safety equipment	</w:t>
      </w:r>
      <w:r>
        <w:rPr>
          <w:rFonts w:ascii="Times New Roman" w:hAnsi="Times New Roman" w:eastAsia="Times New Roman"/>
          <w:color w:val="000000"/>
          <w:spacing w:val="0"/>
          <w:w w:val="100"/>
          <w:sz w:val="20"/>
          <w:vertAlign w:val="baseline"/>
          <w:lang w:val="en-US"/>
        </w:rPr>
        <w:t xml:space="preserve">256</w:t>
      </w:r>
    </w:p>
    <w:p>
      <w:pPr>
        <w:spacing w:before="0" w:after="848" w:line="226" w:lineRule="exact"/>
        <w:sectPr>
          <w:type w:val="nextPage"/>
          <w:pgSz w:w="11909" w:h="16838" w:orient="portrait"/>
          <w:pgMar w:bottom="1542" w:top="1320" w:right="1940" w:left="1949" w:header="720" w:footer="720"/>
          <w:titlePg w:val="false"/>
          <w:textDirection w:val="lrTb"/>
        </w:sectPr>
      </w:pPr>
    </w:p>
    <w:p>
      <w:pPr>
        <w:tabs>
          <w:tab w:val="right" w:leader="none" w:pos="4104"/>
        </w:tabs>
        <w:spacing w:before="12" w:after="0" w:line="179" w:lineRule="exact"/>
        <w:ind w:right="0" w:left="0" w:firstLine="0"/>
        <w:jc w:val="left"/>
        <w:textAlignment w:val="baseline"/>
        <w:rPr>
          <w:rFonts w:ascii="Times New Roman" w:hAnsi="Times New Roman" w:eastAsia="Times New Roman"/>
          <w:color w:val="000000"/>
          <w:spacing w:val="0"/>
          <w:w w:val="100"/>
          <w:sz w:val="17"/>
          <w:vertAlign w:val="baseline"/>
          <w:lang w:val="en-US"/>
        </w:rPr>
      </w:pPr>
      <w:r>
        <w:rPr>
          <w:rFonts w:ascii="Times New Roman" w:hAnsi="Times New Roman" w:eastAsia="Times New Roman"/>
          <w:color w:val="000000"/>
          <w:spacing w:val="0"/>
          <w:w w:val="100"/>
          <w:sz w:val="17"/>
          <w:vertAlign w:val="baseline"/>
          <w:lang w:val="en-US"/>
        </w:rPr>
        <w:t xml:space="preserve">PCC [359] 1.1.2021	</w:t>
      </w:r>
      <w:r>
        <w:rPr>
          <w:rFonts w:ascii="Times New Roman" w:hAnsi="Times New Roman" w:eastAsia="Times New Roman"/>
          <w:color w:val="000000"/>
          <w:spacing w:val="0"/>
          <w:w w:val="100"/>
          <w:sz w:val="17"/>
          <w:vertAlign w:val="baseline"/>
          <w:lang w:val="en-US"/>
        </w:rPr>
        <w:t xml:space="preserve">12</w:t>
      </w:r>
    </w:p>
    <w:p>
      <w:pPr>
        <w:sectPr>
          <w:type w:val="continuous"/>
          <w:pgSz w:w="11909" w:h="16838" w:orient="portrait"/>
          <w:pgMar w:bottom="1542" w:top="1320" w:right="5873" w:left="1996" w:header="720" w:footer="720"/>
          <w:titlePg w:val="false"/>
          <w:textDirection w:val="lrTb"/>
        </w:sectPr>
      </w:pPr>
    </w:p>
    <w:p>
      <w:pPr>
        <w:spacing w:before="21" w:after="229"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944"/>
          <w:tab w:val="left" w:leader="none" w:pos="7272"/>
        </w:tabs>
        <w:spacing w:before="480" w:after="0" w:line="226"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7.45pt,90.95pt" to="498.5pt,90.95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Subdivision 4	</w:t>
      </w:r>
      <w:r>
        <w:rPr>
          <w:rFonts w:ascii="Times New Roman" w:hAnsi="Times New Roman" w:eastAsia="Times New Roman"/>
          <w:b w:val="true"/>
          <w:color w:val="000000"/>
          <w:spacing w:val="0"/>
          <w:w w:val="100"/>
          <w:sz w:val="20"/>
          <w:vertAlign w:val="baseline"/>
          <w:lang w:val="en-US"/>
        </w:rPr>
        <w:t xml:space="preserve">Storage and handling systems	</w:t>
      </w:r>
      <w:r>
        <w:rPr>
          <w:rFonts w:ascii="Times New Roman" w:hAnsi="Times New Roman" w:eastAsia="Times New Roman"/>
          <w:b w:val="true"/>
          <w:color w:val="000000"/>
          <w:spacing w:val="0"/>
          <w:w w:val="100"/>
          <w:sz w:val="20"/>
          <w:vertAlign w:val="baseline"/>
          <w:lang w:val="en-US"/>
        </w:rPr>
        <w:t xml:space="preserve">256</w:t>
      </w:r>
    </w:p>
    <w:p>
      <w:pPr>
        <w:tabs>
          <w:tab w:val="left" w:leader="none" w:pos="720"/>
          <w:tab w:val="left" w:leader="none" w:pos="7272"/>
        </w:tabs>
        <w:spacing w:before="123"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363	</w:t>
      </w:r>
      <w:r>
        <w:rPr>
          <w:rFonts w:ascii="Times New Roman" w:hAnsi="Times New Roman" w:eastAsia="Times New Roman"/>
          <w:color w:val="000000"/>
          <w:spacing w:val="0"/>
          <w:w w:val="100"/>
          <w:sz w:val="20"/>
          <w:vertAlign w:val="baseline"/>
          <w:lang w:val="en-US"/>
        </w:rPr>
        <w:t xml:space="preserve">Control of risks from storage or handling systems	</w:t>
      </w:r>
      <w:r>
        <w:rPr>
          <w:rFonts w:ascii="Times New Roman" w:hAnsi="Times New Roman" w:eastAsia="Times New Roman"/>
          <w:color w:val="000000"/>
          <w:spacing w:val="0"/>
          <w:w w:val="100"/>
          <w:sz w:val="20"/>
          <w:vertAlign w:val="baseline"/>
          <w:lang w:val="en-US"/>
        </w:rPr>
        <w:t xml:space="preserve">256</w:t>
      </w:r>
    </w:p>
    <w:p>
      <w:pPr>
        <w:tabs>
          <w:tab w:val="left" w:leader="none" w:pos="720"/>
          <w:tab w:val="left" w:leader="none" w:pos="7272"/>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364	</w:t>
      </w:r>
      <w:r>
        <w:rPr>
          <w:rFonts w:ascii="Times New Roman" w:hAnsi="Times New Roman" w:eastAsia="Times New Roman"/>
          <w:color w:val="000000"/>
          <w:spacing w:val="0"/>
          <w:w w:val="100"/>
          <w:sz w:val="20"/>
          <w:vertAlign w:val="baseline"/>
          <w:lang w:val="en-US"/>
        </w:rPr>
        <w:t xml:space="preserve">Containers for hazardous chemicals used, handled or stored in bulk	</w:t>
      </w:r>
      <w:r>
        <w:rPr>
          <w:rFonts w:ascii="Times New Roman" w:hAnsi="Times New Roman" w:eastAsia="Times New Roman"/>
          <w:color w:val="000000"/>
          <w:spacing w:val="0"/>
          <w:w w:val="100"/>
          <w:sz w:val="20"/>
          <w:vertAlign w:val="baseline"/>
          <w:lang w:val="en-US"/>
        </w:rPr>
        <w:t xml:space="preserve">257</w:t>
      </w:r>
    </w:p>
    <w:p>
      <w:pPr>
        <w:tabs>
          <w:tab w:val="left" w:leader="none" w:pos="720"/>
          <w:tab w:val="left" w:leader="none" w:pos="7272"/>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365	</w:t>
      </w:r>
      <w:r>
        <w:rPr>
          <w:rFonts w:ascii="Times New Roman" w:hAnsi="Times New Roman" w:eastAsia="Times New Roman"/>
          <w:color w:val="000000"/>
          <w:spacing w:val="0"/>
          <w:w w:val="100"/>
          <w:sz w:val="20"/>
          <w:vertAlign w:val="baseline"/>
          <w:lang w:val="en-US"/>
        </w:rPr>
        <w:t xml:space="preserve">Stopping use and disposing of handling systems	</w:t>
      </w:r>
      <w:r>
        <w:rPr>
          <w:rFonts w:ascii="Times New Roman" w:hAnsi="Times New Roman" w:eastAsia="Times New Roman"/>
          <w:color w:val="000000"/>
          <w:spacing w:val="0"/>
          <w:w w:val="100"/>
          <w:sz w:val="20"/>
          <w:vertAlign w:val="baseline"/>
          <w:lang w:val="en-US"/>
        </w:rPr>
        <w:t xml:space="preserve">257</w:t>
      </w:r>
    </w:p>
    <w:p>
      <w:pPr>
        <w:tabs>
          <w:tab w:val="left" w:leader="none" w:pos="720"/>
          <w:tab w:val="left" w:leader="none" w:pos="7272"/>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366	</w:t>
      </w:r>
      <w:r>
        <w:rPr>
          <w:rFonts w:ascii="Times New Roman" w:hAnsi="Times New Roman" w:eastAsia="Times New Roman"/>
          <w:color w:val="000000"/>
          <w:spacing w:val="0"/>
          <w:w w:val="100"/>
          <w:sz w:val="20"/>
          <w:vertAlign w:val="baseline"/>
          <w:lang w:val="en-US"/>
        </w:rPr>
        <w:t xml:space="preserve">Stopping use of underground storage and handling systems	</w:t>
      </w:r>
      <w:r>
        <w:rPr>
          <w:rFonts w:ascii="Times New Roman" w:hAnsi="Times New Roman" w:eastAsia="Times New Roman"/>
          <w:color w:val="000000"/>
          <w:spacing w:val="0"/>
          <w:w w:val="100"/>
          <w:sz w:val="20"/>
          <w:vertAlign w:val="baseline"/>
          <w:lang w:val="en-US"/>
        </w:rPr>
        <w:t xml:space="preserve">258</w:t>
      </w:r>
    </w:p>
    <w:p>
      <w:pPr>
        <w:tabs>
          <w:tab w:val="left" w:leader="none" w:pos="720"/>
          <w:tab w:val="left" w:leader="none" w:pos="7272"/>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367	</w:t>
      </w:r>
      <w:r>
        <w:rPr>
          <w:rFonts w:ascii="Times New Roman" w:hAnsi="Times New Roman" w:eastAsia="Times New Roman"/>
          <w:color w:val="000000"/>
          <w:spacing w:val="0"/>
          <w:w w:val="100"/>
          <w:sz w:val="20"/>
          <w:vertAlign w:val="baseline"/>
          <w:lang w:val="en-US"/>
        </w:rPr>
        <w:t xml:space="preserve">Notification of abandoned tank	</w:t>
      </w:r>
      <w:r>
        <w:rPr>
          <w:rFonts w:ascii="Times New Roman" w:hAnsi="Times New Roman" w:eastAsia="Times New Roman"/>
          <w:color w:val="000000"/>
          <w:spacing w:val="0"/>
          <w:w w:val="100"/>
          <w:sz w:val="20"/>
          <w:vertAlign w:val="baseline"/>
          <w:lang w:val="en-US"/>
        </w:rPr>
        <w:t xml:space="preserve">258</w:t>
      </w:r>
    </w:p>
    <w:p>
      <w:pPr>
        <w:tabs>
          <w:tab w:val="left" w:leader="none" w:pos="1368"/>
          <w:tab w:val="left" w:leader="none" w:pos="7272"/>
        </w:tabs>
        <w:spacing w:before="3" w:after="0" w:line="226"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6	</w:t>
      </w:r>
      <w:r>
        <w:rPr>
          <w:rFonts w:ascii="Times New Roman" w:hAnsi="Times New Roman" w:eastAsia="Times New Roman"/>
          <w:b w:val="true"/>
          <w:color w:val="000000"/>
          <w:spacing w:val="0"/>
          <w:w w:val="100"/>
          <w:sz w:val="20"/>
          <w:vertAlign w:val="baseline"/>
          <w:lang w:val="en-US"/>
        </w:rPr>
        <w:t xml:space="preserve">Health monitoring	</w:t>
      </w:r>
      <w:r>
        <w:rPr>
          <w:rFonts w:ascii="Times New Roman" w:hAnsi="Times New Roman" w:eastAsia="Times New Roman"/>
          <w:b w:val="true"/>
          <w:color w:val="000000"/>
          <w:spacing w:val="0"/>
          <w:w w:val="100"/>
          <w:sz w:val="20"/>
          <w:vertAlign w:val="baseline"/>
          <w:lang w:val="en-US"/>
        </w:rPr>
        <w:t xml:space="preserve">259</w:t>
      </w:r>
    </w:p>
    <w:p>
      <w:pPr>
        <w:tabs>
          <w:tab w:val="left" w:leader="none" w:pos="720"/>
          <w:tab w:val="left" w:leader="none" w:pos="7272"/>
        </w:tabs>
        <w:spacing w:before="122"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368	</w:t>
      </w:r>
      <w:r>
        <w:rPr>
          <w:rFonts w:ascii="Times New Roman" w:hAnsi="Times New Roman" w:eastAsia="Times New Roman"/>
          <w:color w:val="000000"/>
          <w:spacing w:val="0"/>
          <w:w w:val="100"/>
          <w:sz w:val="20"/>
          <w:vertAlign w:val="baseline"/>
          <w:lang w:val="en-US"/>
        </w:rPr>
        <w:t xml:space="preserve">Duty to provide health monitoring	</w:t>
      </w:r>
      <w:r>
        <w:rPr>
          <w:rFonts w:ascii="Times New Roman" w:hAnsi="Times New Roman" w:eastAsia="Times New Roman"/>
          <w:color w:val="000000"/>
          <w:spacing w:val="0"/>
          <w:w w:val="100"/>
          <w:sz w:val="20"/>
          <w:vertAlign w:val="baseline"/>
          <w:lang w:val="en-US"/>
        </w:rPr>
        <w:t xml:space="preserve">259</w:t>
      </w:r>
    </w:p>
    <w:p>
      <w:pPr>
        <w:tabs>
          <w:tab w:val="left" w:leader="none" w:pos="720"/>
          <w:tab w:val="left" w:leader="none" w:pos="7272"/>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369	</w:t>
      </w:r>
      <w:r>
        <w:rPr>
          <w:rFonts w:ascii="Times New Roman" w:hAnsi="Times New Roman" w:eastAsia="Times New Roman"/>
          <w:color w:val="000000"/>
          <w:spacing w:val="0"/>
          <w:w w:val="100"/>
          <w:sz w:val="20"/>
          <w:vertAlign w:val="baseline"/>
          <w:lang w:val="en-US"/>
        </w:rPr>
        <w:t xml:space="preserve">Duty to inform of health monitoring	</w:t>
      </w:r>
      <w:r>
        <w:rPr>
          <w:rFonts w:ascii="Times New Roman" w:hAnsi="Times New Roman" w:eastAsia="Times New Roman"/>
          <w:color w:val="000000"/>
          <w:spacing w:val="0"/>
          <w:w w:val="100"/>
          <w:sz w:val="20"/>
          <w:vertAlign w:val="baseline"/>
          <w:lang w:val="en-US"/>
        </w:rPr>
        <w:t xml:space="preserve">260</w:t>
      </w:r>
    </w:p>
    <w:p>
      <w:pPr>
        <w:tabs>
          <w:tab w:val="left" w:leader="none" w:pos="720"/>
          <w:tab w:val="left" w:leader="none" w:pos="7272"/>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370	</w:t>
      </w:r>
      <w:r>
        <w:rPr>
          <w:rFonts w:ascii="Times New Roman" w:hAnsi="Times New Roman" w:eastAsia="Times New Roman"/>
          <w:color w:val="000000"/>
          <w:spacing w:val="0"/>
          <w:w w:val="100"/>
          <w:sz w:val="20"/>
          <w:vertAlign w:val="baseline"/>
          <w:lang w:val="en-US"/>
        </w:rPr>
        <w:t xml:space="preserve">Duty to ensure that appropriate health monitoring is provided	</w:t>
      </w:r>
      <w:r>
        <w:rPr>
          <w:rFonts w:ascii="Times New Roman" w:hAnsi="Times New Roman" w:eastAsia="Times New Roman"/>
          <w:color w:val="000000"/>
          <w:spacing w:val="0"/>
          <w:w w:val="100"/>
          <w:sz w:val="20"/>
          <w:vertAlign w:val="baseline"/>
          <w:lang w:val="en-US"/>
        </w:rPr>
        <w:t xml:space="preserve">260</w:t>
      </w:r>
    </w:p>
    <w:p>
      <w:pPr>
        <w:tabs>
          <w:tab w:val="left" w:leader="none" w:pos="720"/>
        </w:tabs>
        <w:spacing w:before="0" w:after="0" w:line="225"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371	</w:t>
      </w:r>
      <w:r>
        <w:rPr>
          <w:rFonts w:ascii="Times New Roman" w:hAnsi="Times New Roman" w:eastAsia="Times New Roman"/>
          <w:color w:val="000000"/>
          <w:spacing w:val="0"/>
          <w:w w:val="100"/>
          <w:sz w:val="20"/>
          <w:vertAlign w:val="baseline"/>
          <w:lang w:val="en-US"/>
        </w:rPr>
        <w:t xml:space="preserve">Duty to ensure health monitoring is supervised by registered medical practitioner with</w:t>
      </w:r>
    </w:p>
    <w:p>
      <w:pPr>
        <w:tabs>
          <w:tab w:val="left" w:leader="none" w:pos="7272"/>
        </w:tabs>
        <w:spacing w:before="1" w:after="0" w:line="230" w:lineRule="exact"/>
        <w:ind w:right="0" w:left="7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experience.	</w:t>
      </w:r>
      <w:r>
        <w:rPr>
          <w:rFonts w:ascii="Times New Roman" w:hAnsi="Times New Roman" w:eastAsia="Times New Roman"/>
          <w:color w:val="000000"/>
          <w:spacing w:val="0"/>
          <w:w w:val="100"/>
          <w:sz w:val="20"/>
          <w:vertAlign w:val="baseline"/>
          <w:lang w:val="en-US"/>
        </w:rPr>
        <w:t xml:space="preserve">260</w:t>
      </w:r>
    </w:p>
    <w:p>
      <w:pPr>
        <w:tabs>
          <w:tab w:val="left" w:leader="none" w:pos="720"/>
          <w:tab w:val="left" w:leader="none" w:pos="7272"/>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372	</w:t>
      </w:r>
      <w:r>
        <w:rPr>
          <w:rFonts w:ascii="Times New Roman" w:hAnsi="Times New Roman" w:eastAsia="Times New Roman"/>
          <w:color w:val="000000"/>
          <w:spacing w:val="0"/>
          <w:w w:val="100"/>
          <w:sz w:val="20"/>
          <w:vertAlign w:val="baseline"/>
          <w:lang w:val="en-US"/>
        </w:rPr>
        <w:t xml:space="preserve">Duty to pay costs of health monitoring	</w:t>
      </w:r>
      <w:r>
        <w:rPr>
          <w:rFonts w:ascii="Times New Roman" w:hAnsi="Times New Roman" w:eastAsia="Times New Roman"/>
          <w:color w:val="000000"/>
          <w:spacing w:val="0"/>
          <w:w w:val="100"/>
          <w:sz w:val="20"/>
          <w:vertAlign w:val="baseline"/>
          <w:lang w:val="en-US"/>
        </w:rPr>
        <w:t xml:space="preserve">261</w:t>
      </w:r>
    </w:p>
    <w:p>
      <w:pPr>
        <w:tabs>
          <w:tab w:val="left" w:leader="none" w:pos="720"/>
          <w:tab w:val="left" w:leader="none" w:pos="7272"/>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373	</w:t>
      </w:r>
      <w:r>
        <w:rPr>
          <w:rFonts w:ascii="Times New Roman" w:hAnsi="Times New Roman" w:eastAsia="Times New Roman"/>
          <w:color w:val="000000"/>
          <w:spacing w:val="0"/>
          <w:w w:val="100"/>
          <w:sz w:val="20"/>
          <w:vertAlign w:val="baseline"/>
          <w:lang w:val="en-US"/>
        </w:rPr>
        <w:t xml:space="preserve">Information that must be provided to registered medical practitioner	</w:t>
      </w:r>
      <w:r>
        <w:rPr>
          <w:rFonts w:ascii="Times New Roman" w:hAnsi="Times New Roman" w:eastAsia="Times New Roman"/>
          <w:color w:val="000000"/>
          <w:spacing w:val="0"/>
          <w:w w:val="100"/>
          <w:sz w:val="20"/>
          <w:vertAlign w:val="baseline"/>
          <w:lang w:val="en-US"/>
        </w:rPr>
        <w:t xml:space="preserve">261</w:t>
      </w:r>
    </w:p>
    <w:p>
      <w:pPr>
        <w:tabs>
          <w:tab w:val="left" w:leader="none" w:pos="720"/>
          <w:tab w:val="left" w:leader="none" w:pos="7272"/>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374	</w:t>
      </w:r>
      <w:r>
        <w:rPr>
          <w:rFonts w:ascii="Times New Roman" w:hAnsi="Times New Roman" w:eastAsia="Times New Roman"/>
          <w:color w:val="000000"/>
          <w:spacing w:val="0"/>
          <w:w w:val="100"/>
          <w:sz w:val="20"/>
          <w:vertAlign w:val="baseline"/>
          <w:lang w:val="en-US"/>
        </w:rPr>
        <w:t xml:space="preserve">Duty to obtain health monitoring report	</w:t>
      </w:r>
      <w:r>
        <w:rPr>
          <w:rFonts w:ascii="Times New Roman" w:hAnsi="Times New Roman" w:eastAsia="Times New Roman"/>
          <w:color w:val="000000"/>
          <w:spacing w:val="0"/>
          <w:w w:val="100"/>
          <w:sz w:val="20"/>
          <w:vertAlign w:val="baseline"/>
          <w:lang w:val="en-US"/>
        </w:rPr>
        <w:t xml:space="preserve">262</w:t>
      </w:r>
    </w:p>
    <w:p>
      <w:pPr>
        <w:tabs>
          <w:tab w:val="left" w:leader="none" w:pos="720"/>
          <w:tab w:val="left" w:leader="none" w:pos="7272"/>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375	</w:t>
      </w:r>
      <w:r>
        <w:rPr>
          <w:rFonts w:ascii="Times New Roman" w:hAnsi="Times New Roman" w:eastAsia="Times New Roman"/>
          <w:color w:val="000000"/>
          <w:spacing w:val="0"/>
          <w:w w:val="100"/>
          <w:sz w:val="20"/>
          <w:vertAlign w:val="baseline"/>
          <w:lang w:val="en-US"/>
        </w:rPr>
        <w:t xml:space="preserve">Duty to give health monitoring report to worker	</w:t>
      </w:r>
      <w:r>
        <w:rPr>
          <w:rFonts w:ascii="Times New Roman" w:hAnsi="Times New Roman" w:eastAsia="Times New Roman"/>
          <w:color w:val="000000"/>
          <w:spacing w:val="0"/>
          <w:w w:val="100"/>
          <w:sz w:val="20"/>
          <w:vertAlign w:val="baseline"/>
          <w:lang w:val="en-US"/>
        </w:rPr>
        <w:t xml:space="preserve">262</w:t>
      </w:r>
    </w:p>
    <w:p>
      <w:pPr>
        <w:tabs>
          <w:tab w:val="left" w:leader="none" w:pos="720"/>
          <w:tab w:val="left" w:leader="none" w:pos="7272"/>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376	</w:t>
      </w:r>
      <w:r>
        <w:rPr>
          <w:rFonts w:ascii="Times New Roman" w:hAnsi="Times New Roman" w:eastAsia="Times New Roman"/>
          <w:color w:val="000000"/>
          <w:spacing w:val="0"/>
          <w:w w:val="100"/>
          <w:sz w:val="20"/>
          <w:vertAlign w:val="baseline"/>
          <w:lang w:val="en-US"/>
        </w:rPr>
        <w:t xml:space="preserve">Duty to give health monitoring report to regulator	</w:t>
      </w:r>
      <w:r>
        <w:rPr>
          <w:rFonts w:ascii="Times New Roman" w:hAnsi="Times New Roman" w:eastAsia="Times New Roman"/>
          <w:color w:val="000000"/>
          <w:spacing w:val="0"/>
          <w:w w:val="100"/>
          <w:sz w:val="20"/>
          <w:vertAlign w:val="baseline"/>
          <w:lang w:val="en-US"/>
        </w:rPr>
        <w:t xml:space="preserve">263</w:t>
      </w:r>
    </w:p>
    <w:p>
      <w:pPr>
        <w:tabs>
          <w:tab w:val="left" w:leader="none" w:pos="720"/>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377	</w:t>
      </w:r>
      <w:r>
        <w:rPr>
          <w:rFonts w:ascii="Times New Roman" w:hAnsi="Times New Roman" w:eastAsia="Times New Roman"/>
          <w:color w:val="000000"/>
          <w:spacing w:val="0"/>
          <w:w w:val="100"/>
          <w:sz w:val="20"/>
          <w:vertAlign w:val="baseline"/>
          <w:lang w:val="en-US"/>
        </w:rPr>
        <w:t xml:space="preserve">Duty to give health monitoring report to relevant persons conducting businesses or</w:t>
      </w:r>
    </w:p>
    <w:p>
      <w:pPr>
        <w:tabs>
          <w:tab w:val="left" w:leader="none" w:pos="7272"/>
        </w:tabs>
        <w:spacing w:before="1" w:after="0" w:line="230" w:lineRule="exact"/>
        <w:ind w:right="0" w:left="7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undertakings	</w:t>
      </w:r>
      <w:r>
        <w:rPr>
          <w:rFonts w:ascii="Times New Roman" w:hAnsi="Times New Roman" w:eastAsia="Times New Roman"/>
          <w:color w:val="000000"/>
          <w:spacing w:val="0"/>
          <w:w w:val="100"/>
          <w:sz w:val="20"/>
          <w:vertAlign w:val="baseline"/>
          <w:lang w:val="en-US"/>
        </w:rPr>
        <w:t xml:space="preserve">263</w:t>
      </w:r>
    </w:p>
    <w:p>
      <w:pPr>
        <w:tabs>
          <w:tab w:val="left" w:leader="none" w:pos="720"/>
          <w:tab w:val="left" w:leader="none" w:pos="7272"/>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378	</w:t>
      </w:r>
      <w:r>
        <w:rPr>
          <w:rFonts w:ascii="Times New Roman" w:hAnsi="Times New Roman" w:eastAsia="Times New Roman"/>
          <w:color w:val="000000"/>
          <w:spacing w:val="0"/>
          <w:w w:val="100"/>
          <w:sz w:val="20"/>
          <w:vertAlign w:val="baseline"/>
          <w:lang w:val="en-US"/>
        </w:rPr>
        <w:t xml:space="preserve">Health monitoring records	</w:t>
      </w:r>
      <w:r>
        <w:rPr>
          <w:rFonts w:ascii="Times New Roman" w:hAnsi="Times New Roman" w:eastAsia="Times New Roman"/>
          <w:color w:val="000000"/>
          <w:spacing w:val="0"/>
          <w:w w:val="100"/>
          <w:sz w:val="20"/>
          <w:vertAlign w:val="baseline"/>
          <w:lang w:val="en-US"/>
        </w:rPr>
        <w:t xml:space="preserve">263</w:t>
      </w:r>
    </w:p>
    <w:p>
      <w:pPr>
        <w:tabs>
          <w:tab w:val="left" w:leader="none" w:pos="1368"/>
          <w:tab w:val="left" w:leader="none" w:pos="7272"/>
        </w:tabs>
        <w:spacing w:before="2" w:after="0" w:line="226"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7	</w:t>
      </w:r>
      <w:r>
        <w:rPr>
          <w:rFonts w:ascii="Times New Roman" w:hAnsi="Times New Roman" w:eastAsia="Times New Roman"/>
          <w:b w:val="true"/>
          <w:color w:val="000000"/>
          <w:spacing w:val="0"/>
          <w:w w:val="100"/>
          <w:sz w:val="20"/>
          <w:vertAlign w:val="baseline"/>
          <w:lang w:val="en-US"/>
        </w:rPr>
        <w:t xml:space="preserve">Induction, information, training and supervision	</w:t>
      </w:r>
      <w:r>
        <w:rPr>
          <w:rFonts w:ascii="Times New Roman" w:hAnsi="Times New Roman" w:eastAsia="Times New Roman"/>
          <w:b w:val="true"/>
          <w:color w:val="000000"/>
          <w:spacing w:val="0"/>
          <w:w w:val="100"/>
          <w:sz w:val="20"/>
          <w:vertAlign w:val="baseline"/>
          <w:lang w:val="en-US"/>
        </w:rPr>
        <w:t xml:space="preserve">264</w:t>
      </w:r>
    </w:p>
    <w:p>
      <w:pPr>
        <w:tabs>
          <w:tab w:val="left" w:leader="none" w:pos="720"/>
          <w:tab w:val="left" w:leader="none" w:pos="7272"/>
        </w:tabs>
        <w:spacing w:before="118"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379	</w:t>
      </w:r>
      <w:r>
        <w:rPr>
          <w:rFonts w:ascii="Times New Roman" w:hAnsi="Times New Roman" w:eastAsia="Times New Roman"/>
          <w:color w:val="000000"/>
          <w:spacing w:val="0"/>
          <w:w w:val="100"/>
          <w:sz w:val="20"/>
          <w:vertAlign w:val="baseline"/>
          <w:lang w:val="en-US"/>
        </w:rPr>
        <w:t xml:space="preserve">Duty to provide supervision	</w:t>
      </w:r>
      <w:r>
        <w:rPr>
          <w:rFonts w:ascii="Times New Roman" w:hAnsi="Times New Roman" w:eastAsia="Times New Roman"/>
          <w:color w:val="000000"/>
          <w:spacing w:val="0"/>
          <w:w w:val="100"/>
          <w:sz w:val="20"/>
          <w:vertAlign w:val="baseline"/>
          <w:lang w:val="en-US"/>
        </w:rPr>
        <w:t xml:space="preserve">264</w:t>
      </w:r>
    </w:p>
    <w:p>
      <w:pPr>
        <w:tabs>
          <w:tab w:val="left" w:leader="none" w:pos="1368"/>
          <w:tab w:val="left" w:leader="none" w:pos="7272"/>
        </w:tabs>
        <w:spacing w:before="2" w:after="0" w:line="226"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8	</w:t>
      </w:r>
      <w:r>
        <w:rPr>
          <w:rFonts w:ascii="Times New Roman" w:hAnsi="Times New Roman" w:eastAsia="Times New Roman"/>
          <w:b w:val="true"/>
          <w:color w:val="000000"/>
          <w:spacing w:val="0"/>
          <w:w w:val="100"/>
          <w:sz w:val="20"/>
          <w:vertAlign w:val="baseline"/>
          <w:lang w:val="en-US"/>
        </w:rPr>
        <w:t xml:space="preserve">Prohibition, authorisation and restricted use	</w:t>
      </w:r>
      <w:r>
        <w:rPr>
          <w:rFonts w:ascii="Times New Roman" w:hAnsi="Times New Roman" w:eastAsia="Times New Roman"/>
          <w:b w:val="true"/>
          <w:color w:val="000000"/>
          <w:spacing w:val="0"/>
          <w:w w:val="100"/>
          <w:sz w:val="20"/>
          <w:vertAlign w:val="baseline"/>
          <w:lang w:val="en-US"/>
        </w:rPr>
        <w:t xml:space="preserve">265</w:t>
      </w:r>
    </w:p>
    <w:p>
      <w:pPr>
        <w:tabs>
          <w:tab w:val="left" w:leader="none" w:pos="720"/>
          <w:tab w:val="left" w:leader="none" w:pos="7272"/>
        </w:tabs>
        <w:spacing w:before="123"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380	</w:t>
      </w:r>
      <w:r>
        <w:rPr>
          <w:rFonts w:ascii="Times New Roman" w:hAnsi="Times New Roman" w:eastAsia="Times New Roman"/>
          <w:color w:val="000000"/>
          <w:spacing w:val="0"/>
          <w:w w:val="100"/>
          <w:sz w:val="20"/>
          <w:vertAlign w:val="baseline"/>
          <w:lang w:val="en-US"/>
        </w:rPr>
        <w:t xml:space="preserve">Using, handling and storing prohibited carcinogens	</w:t>
      </w:r>
      <w:r>
        <w:rPr>
          <w:rFonts w:ascii="Times New Roman" w:hAnsi="Times New Roman" w:eastAsia="Times New Roman"/>
          <w:color w:val="000000"/>
          <w:spacing w:val="0"/>
          <w:w w:val="100"/>
          <w:sz w:val="20"/>
          <w:vertAlign w:val="baseline"/>
          <w:lang w:val="en-US"/>
        </w:rPr>
        <w:t xml:space="preserve">265</w:t>
      </w:r>
    </w:p>
    <w:p>
      <w:pPr>
        <w:tabs>
          <w:tab w:val="left" w:leader="none" w:pos="720"/>
          <w:tab w:val="left" w:leader="none" w:pos="7272"/>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381	</w:t>
      </w:r>
      <w:r>
        <w:rPr>
          <w:rFonts w:ascii="Times New Roman" w:hAnsi="Times New Roman" w:eastAsia="Times New Roman"/>
          <w:color w:val="000000"/>
          <w:spacing w:val="0"/>
          <w:w w:val="100"/>
          <w:sz w:val="20"/>
          <w:vertAlign w:val="baseline"/>
          <w:lang w:val="en-US"/>
        </w:rPr>
        <w:t xml:space="preserve">Using, handling and storing restricted carcinogens	</w:t>
      </w:r>
      <w:r>
        <w:rPr>
          <w:rFonts w:ascii="Times New Roman" w:hAnsi="Times New Roman" w:eastAsia="Times New Roman"/>
          <w:color w:val="000000"/>
          <w:spacing w:val="0"/>
          <w:w w:val="100"/>
          <w:sz w:val="20"/>
          <w:vertAlign w:val="baseline"/>
          <w:lang w:val="en-US"/>
        </w:rPr>
        <w:t xml:space="preserve">265</w:t>
      </w:r>
    </w:p>
    <w:p>
      <w:pPr>
        <w:tabs>
          <w:tab w:val="left" w:leader="none" w:pos="720"/>
          <w:tab w:val="left" w:leader="none" w:pos="7272"/>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382	</w:t>
      </w:r>
      <w:r>
        <w:rPr>
          <w:rFonts w:ascii="Times New Roman" w:hAnsi="Times New Roman" w:eastAsia="Times New Roman"/>
          <w:color w:val="000000"/>
          <w:spacing w:val="0"/>
          <w:w w:val="100"/>
          <w:sz w:val="20"/>
          <w:vertAlign w:val="baseline"/>
          <w:lang w:val="en-US"/>
        </w:rPr>
        <w:t xml:space="preserve">Using, handling and storing restricted hazardous chemicals	</w:t>
      </w:r>
      <w:r>
        <w:rPr>
          <w:rFonts w:ascii="Times New Roman" w:hAnsi="Times New Roman" w:eastAsia="Times New Roman"/>
          <w:color w:val="000000"/>
          <w:spacing w:val="0"/>
          <w:w w:val="100"/>
          <w:sz w:val="20"/>
          <w:vertAlign w:val="baseline"/>
          <w:lang w:val="en-US"/>
        </w:rPr>
        <w:t xml:space="preserve">265</w:t>
      </w:r>
    </w:p>
    <w:p>
      <w:pPr>
        <w:tabs>
          <w:tab w:val="left" w:leader="none" w:pos="720"/>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383	</w:t>
      </w:r>
      <w:r>
        <w:rPr>
          <w:rFonts w:ascii="Times New Roman" w:hAnsi="Times New Roman" w:eastAsia="Times New Roman"/>
          <w:color w:val="000000"/>
          <w:spacing w:val="0"/>
          <w:w w:val="100"/>
          <w:sz w:val="20"/>
          <w:vertAlign w:val="baseline"/>
          <w:lang w:val="en-US"/>
        </w:rPr>
        <w:t xml:space="preserve">Application for authorisation to use, handle or store prohibited and restricted</w:t>
      </w:r>
    </w:p>
    <w:p>
      <w:pPr>
        <w:tabs>
          <w:tab w:val="left" w:leader="none" w:pos="7272"/>
        </w:tabs>
        <w:spacing w:before="0" w:after="0" w:line="230" w:lineRule="exact"/>
        <w:ind w:right="0" w:left="7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carcinogens	</w:t>
      </w:r>
      <w:r>
        <w:rPr>
          <w:rFonts w:ascii="Times New Roman" w:hAnsi="Times New Roman" w:eastAsia="Times New Roman"/>
          <w:color w:val="000000"/>
          <w:spacing w:val="0"/>
          <w:w w:val="100"/>
          <w:sz w:val="20"/>
          <w:vertAlign w:val="baseline"/>
          <w:lang w:val="en-US"/>
        </w:rPr>
        <w:t xml:space="preserve">266</w:t>
      </w:r>
    </w:p>
    <w:p>
      <w:pPr>
        <w:tabs>
          <w:tab w:val="left" w:leader="none" w:pos="720"/>
        </w:tabs>
        <w:spacing w:before="1" w:after="0" w:line="230" w:lineRule="exact"/>
        <w:ind w:right="0" w:left="144"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384	</w:t>
      </w:r>
      <w:r>
        <w:rPr>
          <w:rFonts w:ascii="Times New Roman" w:hAnsi="Times New Roman" w:eastAsia="Times New Roman"/>
          <w:color w:val="000000"/>
          <w:spacing w:val="-1"/>
          <w:w w:val="100"/>
          <w:sz w:val="20"/>
          <w:vertAlign w:val="baseline"/>
          <w:lang w:val="en-US"/>
        </w:rPr>
        <w:t xml:space="preserve">Authorisation to use, handle or store prohibited carcinogens and restricted carcinogens267</w:t>
      </w:r>
    </w:p>
    <w:p>
      <w:pPr>
        <w:tabs>
          <w:tab w:val="left" w:leader="none" w:pos="720"/>
          <w:tab w:val="left" w:leader="none" w:pos="7272"/>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385	</w:t>
      </w:r>
      <w:r>
        <w:rPr>
          <w:rFonts w:ascii="Times New Roman" w:hAnsi="Times New Roman" w:eastAsia="Times New Roman"/>
          <w:color w:val="000000"/>
          <w:spacing w:val="0"/>
          <w:w w:val="100"/>
          <w:sz w:val="20"/>
          <w:vertAlign w:val="baseline"/>
          <w:lang w:val="en-US"/>
        </w:rPr>
        <w:t xml:space="preserve">Changes to information in application to be reported	</w:t>
      </w:r>
      <w:r>
        <w:rPr>
          <w:rFonts w:ascii="Times New Roman" w:hAnsi="Times New Roman" w:eastAsia="Times New Roman"/>
          <w:color w:val="000000"/>
          <w:spacing w:val="0"/>
          <w:w w:val="100"/>
          <w:sz w:val="20"/>
          <w:vertAlign w:val="baseline"/>
          <w:lang w:val="en-US"/>
        </w:rPr>
        <w:t xml:space="preserve">267</w:t>
      </w:r>
    </w:p>
    <w:p>
      <w:pPr>
        <w:tabs>
          <w:tab w:val="left" w:leader="none" w:pos="720"/>
          <w:tab w:val="left" w:leader="none" w:pos="7272"/>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386	</w:t>
      </w:r>
      <w:r>
        <w:rPr>
          <w:rFonts w:ascii="Times New Roman" w:hAnsi="Times New Roman" w:eastAsia="Times New Roman"/>
          <w:color w:val="000000"/>
          <w:spacing w:val="0"/>
          <w:w w:val="100"/>
          <w:sz w:val="20"/>
          <w:vertAlign w:val="baseline"/>
          <w:lang w:val="en-US"/>
        </w:rPr>
        <w:t xml:space="preserve">Regulator may cancel authorisation	</w:t>
      </w:r>
      <w:r>
        <w:rPr>
          <w:rFonts w:ascii="Times New Roman" w:hAnsi="Times New Roman" w:eastAsia="Times New Roman"/>
          <w:color w:val="000000"/>
          <w:spacing w:val="0"/>
          <w:w w:val="100"/>
          <w:sz w:val="20"/>
          <w:vertAlign w:val="baseline"/>
          <w:lang w:val="en-US"/>
        </w:rPr>
        <w:t xml:space="preserve">267</w:t>
      </w:r>
    </w:p>
    <w:p>
      <w:pPr>
        <w:tabs>
          <w:tab w:val="left" w:leader="none" w:pos="720"/>
          <w:tab w:val="left" w:leader="none" w:pos="7272"/>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387	</w:t>
      </w:r>
      <w:r>
        <w:rPr>
          <w:rFonts w:ascii="Times New Roman" w:hAnsi="Times New Roman" w:eastAsia="Times New Roman"/>
          <w:color w:val="000000"/>
          <w:spacing w:val="0"/>
          <w:w w:val="100"/>
          <w:sz w:val="20"/>
          <w:vertAlign w:val="baseline"/>
          <w:lang w:val="en-US"/>
        </w:rPr>
        <w:t xml:space="preserve">Statement of exposure to be given to workers	</w:t>
      </w:r>
      <w:r>
        <w:rPr>
          <w:rFonts w:ascii="Times New Roman" w:hAnsi="Times New Roman" w:eastAsia="Times New Roman"/>
          <w:color w:val="000000"/>
          <w:spacing w:val="0"/>
          <w:w w:val="100"/>
          <w:sz w:val="20"/>
          <w:vertAlign w:val="baseline"/>
          <w:lang w:val="en-US"/>
        </w:rPr>
        <w:t xml:space="preserve">268</w:t>
      </w:r>
    </w:p>
    <w:p>
      <w:pPr>
        <w:tabs>
          <w:tab w:val="left" w:leader="none" w:pos="720"/>
          <w:tab w:val="left" w:leader="none" w:pos="7272"/>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388	</w:t>
      </w:r>
      <w:r>
        <w:rPr>
          <w:rFonts w:ascii="Times New Roman" w:hAnsi="Times New Roman" w:eastAsia="Times New Roman"/>
          <w:color w:val="000000"/>
          <w:spacing w:val="0"/>
          <w:w w:val="100"/>
          <w:sz w:val="20"/>
          <w:vertAlign w:val="baseline"/>
          <w:lang w:val="en-US"/>
        </w:rPr>
        <w:t xml:space="preserve">Records to be kept	</w:t>
      </w:r>
      <w:r>
        <w:rPr>
          <w:rFonts w:ascii="Times New Roman" w:hAnsi="Times New Roman" w:eastAsia="Times New Roman"/>
          <w:color w:val="000000"/>
          <w:spacing w:val="0"/>
          <w:w w:val="100"/>
          <w:sz w:val="20"/>
          <w:vertAlign w:val="baseline"/>
          <w:lang w:val="en-US"/>
        </w:rPr>
        <w:t xml:space="preserve">268</w:t>
      </w:r>
    </w:p>
    <w:p>
      <w:pPr>
        <w:tabs>
          <w:tab w:val="left" w:leader="none" w:pos="1368"/>
          <w:tab w:val="left" w:leader="none" w:pos="7272"/>
        </w:tabs>
        <w:spacing w:before="3" w:after="0" w:line="226"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9	</w:t>
      </w:r>
      <w:r>
        <w:rPr>
          <w:rFonts w:ascii="Times New Roman" w:hAnsi="Times New Roman" w:eastAsia="Times New Roman"/>
          <w:b w:val="true"/>
          <w:color w:val="000000"/>
          <w:spacing w:val="0"/>
          <w:w w:val="100"/>
          <w:sz w:val="20"/>
          <w:vertAlign w:val="baseline"/>
          <w:lang w:val="en-US"/>
        </w:rPr>
        <w:t xml:space="preserve">Pipelines	</w:t>
      </w:r>
      <w:r>
        <w:rPr>
          <w:rFonts w:ascii="Times New Roman" w:hAnsi="Times New Roman" w:eastAsia="Times New Roman"/>
          <w:b w:val="true"/>
          <w:color w:val="000000"/>
          <w:spacing w:val="0"/>
          <w:w w:val="100"/>
          <w:sz w:val="20"/>
          <w:vertAlign w:val="baseline"/>
          <w:lang w:val="en-US"/>
        </w:rPr>
        <w:t xml:space="preserve">269</w:t>
      </w:r>
    </w:p>
    <w:p>
      <w:pPr>
        <w:tabs>
          <w:tab w:val="left" w:leader="none" w:pos="720"/>
          <w:tab w:val="left" w:leader="none" w:pos="7272"/>
        </w:tabs>
        <w:spacing w:before="117"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389	</w:t>
      </w:r>
      <w:r>
        <w:rPr>
          <w:rFonts w:ascii="Times New Roman" w:hAnsi="Times New Roman" w:eastAsia="Times New Roman"/>
          <w:color w:val="000000"/>
          <w:spacing w:val="0"/>
          <w:w w:val="100"/>
          <w:sz w:val="20"/>
          <w:vertAlign w:val="baseline"/>
          <w:lang w:val="en-US"/>
        </w:rPr>
        <w:t xml:space="preserve">Management of risk by pipeline owner	</w:t>
      </w:r>
      <w:r>
        <w:rPr>
          <w:rFonts w:ascii="Times New Roman" w:hAnsi="Times New Roman" w:eastAsia="Times New Roman"/>
          <w:color w:val="000000"/>
          <w:spacing w:val="0"/>
          <w:w w:val="100"/>
          <w:sz w:val="20"/>
          <w:vertAlign w:val="baseline"/>
          <w:lang w:val="en-US"/>
        </w:rPr>
        <w:t xml:space="preserve">269</w:t>
      </w:r>
    </w:p>
    <w:p>
      <w:pPr>
        <w:tabs>
          <w:tab w:val="left" w:leader="none" w:pos="720"/>
          <w:tab w:val="left" w:leader="none" w:pos="7272"/>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390	</w:t>
      </w:r>
      <w:r>
        <w:rPr>
          <w:rFonts w:ascii="Times New Roman" w:hAnsi="Times New Roman" w:eastAsia="Times New Roman"/>
          <w:color w:val="000000"/>
          <w:spacing w:val="0"/>
          <w:w w:val="100"/>
          <w:sz w:val="20"/>
          <w:vertAlign w:val="baseline"/>
          <w:lang w:val="en-US"/>
        </w:rPr>
        <w:t xml:space="preserve">Pipeline builder's duties	</w:t>
      </w:r>
      <w:r>
        <w:rPr>
          <w:rFonts w:ascii="Times New Roman" w:hAnsi="Times New Roman" w:eastAsia="Times New Roman"/>
          <w:color w:val="000000"/>
          <w:spacing w:val="0"/>
          <w:w w:val="100"/>
          <w:sz w:val="20"/>
          <w:vertAlign w:val="baseline"/>
          <w:lang w:val="en-US"/>
        </w:rPr>
        <w:t xml:space="preserve">269</w:t>
      </w:r>
    </w:p>
    <w:p>
      <w:pPr>
        <w:tabs>
          <w:tab w:val="left" w:leader="none" w:pos="720"/>
          <w:tab w:val="left" w:leader="none" w:pos="7272"/>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391	</w:t>
      </w:r>
      <w:r>
        <w:rPr>
          <w:rFonts w:ascii="Times New Roman" w:hAnsi="Times New Roman" w:eastAsia="Times New Roman"/>
          <w:color w:val="000000"/>
          <w:spacing w:val="0"/>
          <w:w w:val="100"/>
          <w:sz w:val="20"/>
          <w:vertAlign w:val="baseline"/>
          <w:lang w:val="en-US"/>
        </w:rPr>
        <w:t xml:space="preserve">Management of risks to health and safety by pipeline operator	</w:t>
      </w:r>
      <w:r>
        <w:rPr>
          <w:rFonts w:ascii="Times New Roman" w:hAnsi="Times New Roman" w:eastAsia="Times New Roman"/>
          <w:color w:val="000000"/>
          <w:spacing w:val="0"/>
          <w:w w:val="100"/>
          <w:sz w:val="20"/>
          <w:vertAlign w:val="baseline"/>
          <w:lang w:val="en-US"/>
        </w:rPr>
        <w:t xml:space="preserve">270</w:t>
      </w:r>
    </w:p>
    <w:p>
      <w:pPr>
        <w:tabs>
          <w:tab w:val="left" w:leader="none" w:pos="1368"/>
          <w:tab w:val="left" w:leader="none" w:pos="7272"/>
        </w:tabs>
        <w:spacing w:before="243" w:after="0" w:line="226"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7.2	</w:t>
      </w:r>
      <w:r>
        <w:rPr>
          <w:rFonts w:ascii="Times New Roman" w:hAnsi="Times New Roman" w:eastAsia="Times New Roman"/>
          <w:b w:val="true"/>
          <w:color w:val="000000"/>
          <w:spacing w:val="0"/>
          <w:w w:val="100"/>
          <w:sz w:val="20"/>
          <w:vertAlign w:val="baseline"/>
          <w:lang w:val="en-US"/>
        </w:rPr>
        <w:t xml:space="preserve">LEAD	</w:t>
      </w:r>
      <w:r>
        <w:rPr>
          <w:rFonts w:ascii="Times New Roman" w:hAnsi="Times New Roman" w:eastAsia="Times New Roman"/>
          <w:b w:val="true"/>
          <w:color w:val="000000"/>
          <w:spacing w:val="0"/>
          <w:w w:val="100"/>
          <w:sz w:val="20"/>
          <w:vertAlign w:val="baseline"/>
          <w:lang w:val="en-US"/>
        </w:rPr>
        <w:t xml:space="preserve">272</w:t>
      </w:r>
    </w:p>
    <w:p>
      <w:pPr>
        <w:tabs>
          <w:tab w:val="left" w:leader="none" w:pos="1368"/>
          <w:tab w:val="left" w:leader="none" w:pos="7272"/>
        </w:tabs>
        <w:spacing w:before="124" w:after="0" w:line="226"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1	</w:t>
      </w:r>
      <w:r>
        <w:rPr>
          <w:rFonts w:ascii="Times New Roman" w:hAnsi="Times New Roman" w:eastAsia="Times New Roman"/>
          <w:b w:val="true"/>
          <w:color w:val="000000"/>
          <w:spacing w:val="0"/>
          <w:w w:val="100"/>
          <w:sz w:val="20"/>
          <w:vertAlign w:val="baseline"/>
          <w:lang w:val="en-US"/>
        </w:rPr>
        <w:t xml:space="preserve">Lead process	</w:t>
      </w:r>
      <w:r>
        <w:rPr>
          <w:rFonts w:ascii="Times New Roman" w:hAnsi="Times New Roman" w:eastAsia="Times New Roman"/>
          <w:b w:val="true"/>
          <w:color w:val="000000"/>
          <w:spacing w:val="0"/>
          <w:w w:val="100"/>
          <w:sz w:val="20"/>
          <w:vertAlign w:val="baseline"/>
          <w:lang w:val="en-US"/>
        </w:rPr>
        <w:t xml:space="preserve">272</w:t>
      </w:r>
    </w:p>
    <w:p>
      <w:pPr>
        <w:tabs>
          <w:tab w:val="left" w:leader="none" w:pos="720"/>
          <w:tab w:val="left" w:leader="none" w:pos="7272"/>
        </w:tabs>
        <w:spacing w:before="122"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392	</w:t>
      </w:r>
      <w:r>
        <w:rPr>
          <w:rFonts w:ascii="Times New Roman" w:hAnsi="Times New Roman" w:eastAsia="Times New Roman"/>
          <w:color w:val="000000"/>
          <w:spacing w:val="0"/>
          <w:w w:val="100"/>
          <w:sz w:val="20"/>
          <w:vertAlign w:val="baseline"/>
          <w:lang w:val="en-US"/>
        </w:rPr>
        <w:t xml:space="preserve">Meaning of </w:t>
      </w:r>
      <w:r>
        <w:rPr>
          <w:rFonts w:ascii="Times New Roman" w:hAnsi="Times New Roman" w:eastAsia="Times New Roman"/>
          <w:i w:val="true"/>
          <w:color w:val="000000"/>
          <w:spacing w:val="0"/>
          <w:w w:val="100"/>
          <w:sz w:val="20"/>
          <w:vertAlign w:val="baseline"/>
          <w:lang w:val="en-US"/>
        </w:rPr>
        <w:t xml:space="preserve">lead process	</w:t>
      </w:r>
      <w:r>
        <w:rPr>
          <w:rFonts w:ascii="Times New Roman" w:hAnsi="Times New Roman" w:eastAsia="Times New Roman"/>
          <w:color w:val="000000"/>
          <w:spacing w:val="0"/>
          <w:w w:val="100"/>
          <w:sz w:val="20"/>
          <w:vertAlign w:val="baseline"/>
          <w:lang w:val="en-US"/>
        </w:rPr>
        <w:t xml:space="preserve">272</w:t>
      </w:r>
    </w:p>
    <w:p>
      <w:pPr>
        <w:tabs>
          <w:tab w:val="left" w:leader="none" w:pos="720"/>
          <w:tab w:val="left" w:leader="none" w:pos="7272"/>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393	</w:t>
      </w:r>
      <w:r>
        <w:rPr>
          <w:rFonts w:ascii="Times New Roman" w:hAnsi="Times New Roman" w:eastAsia="Times New Roman"/>
          <w:color w:val="000000"/>
          <w:spacing w:val="0"/>
          <w:w w:val="100"/>
          <w:sz w:val="20"/>
          <w:vertAlign w:val="baseline"/>
          <w:lang w:val="en-US"/>
        </w:rPr>
        <w:t xml:space="preserve">Regulator may decide lead process	</w:t>
      </w:r>
      <w:r>
        <w:rPr>
          <w:rFonts w:ascii="Times New Roman" w:hAnsi="Times New Roman" w:eastAsia="Times New Roman"/>
          <w:color w:val="000000"/>
          <w:spacing w:val="0"/>
          <w:w w:val="100"/>
          <w:sz w:val="20"/>
          <w:vertAlign w:val="baseline"/>
          <w:lang w:val="en-US"/>
        </w:rPr>
        <w:t xml:space="preserve">273</w:t>
      </w:r>
    </w:p>
    <w:p>
      <w:pPr>
        <w:tabs>
          <w:tab w:val="left" w:leader="none" w:pos="720"/>
          <w:tab w:val="left" w:leader="none" w:pos="7272"/>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394	</w:t>
      </w:r>
      <w:r>
        <w:rPr>
          <w:rFonts w:ascii="Times New Roman" w:hAnsi="Times New Roman" w:eastAsia="Times New Roman"/>
          <w:color w:val="000000"/>
          <w:spacing w:val="0"/>
          <w:w w:val="100"/>
          <w:sz w:val="20"/>
          <w:vertAlign w:val="baseline"/>
          <w:lang w:val="en-US"/>
        </w:rPr>
        <w:t xml:space="preserve">Meaning of </w:t>
      </w:r>
      <w:r>
        <w:rPr>
          <w:rFonts w:ascii="Times New Roman" w:hAnsi="Times New Roman" w:eastAsia="Times New Roman"/>
          <w:i w:val="true"/>
          <w:color w:val="000000"/>
          <w:spacing w:val="0"/>
          <w:w w:val="100"/>
          <w:sz w:val="20"/>
          <w:vertAlign w:val="baseline"/>
          <w:lang w:val="en-US"/>
        </w:rPr>
        <w:t xml:space="preserve">lead risk work	</w:t>
      </w:r>
      <w:r>
        <w:rPr>
          <w:rFonts w:ascii="Times New Roman" w:hAnsi="Times New Roman" w:eastAsia="Times New Roman"/>
          <w:color w:val="000000"/>
          <w:spacing w:val="0"/>
          <w:w w:val="100"/>
          <w:sz w:val="20"/>
          <w:vertAlign w:val="baseline"/>
          <w:lang w:val="en-US"/>
        </w:rPr>
        <w:t xml:space="preserve">274</w:t>
      </w:r>
    </w:p>
    <w:p>
      <w:pPr>
        <w:tabs>
          <w:tab w:val="left" w:leader="none" w:pos="720"/>
          <w:tab w:val="left" w:leader="none" w:pos="7272"/>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395	</w:t>
      </w:r>
      <w:r>
        <w:rPr>
          <w:rFonts w:ascii="Times New Roman" w:hAnsi="Times New Roman" w:eastAsia="Times New Roman"/>
          <w:color w:val="000000"/>
          <w:spacing w:val="0"/>
          <w:w w:val="100"/>
          <w:sz w:val="20"/>
          <w:vertAlign w:val="baseline"/>
          <w:lang w:val="en-US"/>
        </w:rPr>
        <w:t xml:space="preserve">Duty to give information about health risks of lead process	</w:t>
      </w:r>
      <w:r>
        <w:rPr>
          <w:rFonts w:ascii="Times New Roman" w:hAnsi="Times New Roman" w:eastAsia="Times New Roman"/>
          <w:color w:val="000000"/>
          <w:spacing w:val="0"/>
          <w:w w:val="100"/>
          <w:sz w:val="20"/>
          <w:vertAlign w:val="baseline"/>
          <w:lang w:val="en-US"/>
        </w:rPr>
        <w:t xml:space="preserve">274</w:t>
      </w:r>
    </w:p>
    <w:p>
      <w:pPr>
        <w:tabs>
          <w:tab w:val="left" w:leader="none" w:pos="1368"/>
          <w:tab w:val="left" w:leader="none" w:pos="7272"/>
        </w:tabs>
        <w:spacing w:before="2" w:after="0" w:line="226"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2	</w:t>
      </w:r>
      <w:r>
        <w:rPr>
          <w:rFonts w:ascii="Times New Roman" w:hAnsi="Times New Roman" w:eastAsia="Times New Roman"/>
          <w:b w:val="true"/>
          <w:color w:val="000000"/>
          <w:spacing w:val="0"/>
          <w:w w:val="100"/>
          <w:sz w:val="20"/>
          <w:vertAlign w:val="baseline"/>
          <w:lang w:val="en-US"/>
        </w:rPr>
        <w:t xml:space="preserve">Control of risk	</w:t>
      </w:r>
      <w:r>
        <w:rPr>
          <w:rFonts w:ascii="Times New Roman" w:hAnsi="Times New Roman" w:eastAsia="Times New Roman"/>
          <w:b w:val="true"/>
          <w:color w:val="000000"/>
          <w:spacing w:val="0"/>
          <w:w w:val="100"/>
          <w:sz w:val="20"/>
          <w:vertAlign w:val="baseline"/>
          <w:lang w:val="en-US"/>
        </w:rPr>
        <w:t xml:space="preserve">275</w:t>
      </w:r>
    </w:p>
    <w:p>
      <w:pPr>
        <w:tabs>
          <w:tab w:val="left" w:leader="none" w:pos="720"/>
          <w:tab w:val="left" w:leader="none" w:pos="7272"/>
        </w:tabs>
        <w:spacing w:before="118"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396	</w:t>
      </w:r>
      <w:r>
        <w:rPr>
          <w:rFonts w:ascii="Times New Roman" w:hAnsi="Times New Roman" w:eastAsia="Times New Roman"/>
          <w:color w:val="000000"/>
          <w:spacing w:val="0"/>
          <w:w w:val="100"/>
          <w:sz w:val="20"/>
          <w:vertAlign w:val="baseline"/>
          <w:lang w:val="en-US"/>
        </w:rPr>
        <w:t xml:space="preserve">Containment of lead contamination	</w:t>
      </w:r>
      <w:r>
        <w:rPr>
          <w:rFonts w:ascii="Times New Roman" w:hAnsi="Times New Roman" w:eastAsia="Times New Roman"/>
          <w:color w:val="000000"/>
          <w:spacing w:val="0"/>
          <w:w w:val="100"/>
          <w:sz w:val="20"/>
          <w:vertAlign w:val="baseline"/>
          <w:lang w:val="en-US"/>
        </w:rPr>
        <w:t xml:space="preserve">275</w:t>
      </w:r>
    </w:p>
    <w:p>
      <w:pPr>
        <w:tabs>
          <w:tab w:val="left" w:leader="none" w:pos="720"/>
          <w:tab w:val="left" w:leader="none" w:pos="7272"/>
        </w:tabs>
        <w:spacing w:before="0" w:after="632"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10.65pt" to="498.5pt,710.6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397	</w:t>
      </w:r>
      <w:r>
        <w:rPr>
          <w:rFonts w:ascii="Times New Roman" w:hAnsi="Times New Roman" w:eastAsia="Times New Roman"/>
          <w:color w:val="000000"/>
          <w:spacing w:val="0"/>
          <w:w w:val="100"/>
          <w:sz w:val="20"/>
          <w:vertAlign w:val="baseline"/>
          <w:lang w:val="en-US"/>
        </w:rPr>
        <w:t xml:space="preserve">Cleaning methods	</w:t>
      </w:r>
      <w:r>
        <w:rPr>
          <w:rFonts w:ascii="Times New Roman" w:hAnsi="Times New Roman" w:eastAsia="Times New Roman"/>
          <w:color w:val="000000"/>
          <w:spacing w:val="0"/>
          <w:w w:val="100"/>
          <w:sz w:val="20"/>
          <w:vertAlign w:val="baseline"/>
          <w:lang w:val="en-US"/>
        </w:rPr>
        <w:t xml:space="preserve">275</w:t>
      </w:r>
    </w:p>
    <w:p>
      <w:pPr>
        <w:spacing w:before="0" w:after="632" w:line="230" w:lineRule="exact"/>
        <w:sectPr>
          <w:type w:val="nextPage"/>
          <w:pgSz w:w="11909" w:h="16838" w:orient="portrait"/>
          <w:pgMar w:bottom="1542" w:top="1320" w:right="1940" w:left="1949" w:header="720" w:footer="720"/>
          <w:titlePg w:val="false"/>
          <w:textDirection w:val="lrTb"/>
        </w:sectPr>
      </w:pPr>
    </w:p>
    <w:p>
      <w:pPr>
        <w:tabs>
          <w:tab w:val="right" w:leader="none" w:pos="4032"/>
        </w:tabs>
        <w:spacing w:before="5" w:after="0" w:line="178"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1.1.2021	</w:t>
      </w:r>
      <w:r>
        <w:rPr>
          <w:rFonts w:ascii="Times New Roman" w:hAnsi="Times New Roman" w:eastAsia="Times New Roman"/>
          <w:color w:val="000000"/>
          <w:spacing w:val="0"/>
          <w:w w:val="100"/>
          <w:sz w:val="16"/>
          <w:vertAlign w:val="baseline"/>
          <w:lang w:val="en-US"/>
        </w:rPr>
        <w:t xml:space="preserve">13</w:t>
      </w:r>
    </w:p>
    <w:p>
      <w:pPr>
        <w:sectPr>
          <w:type w:val="continuous"/>
          <w:pgSz w:w="11909" w:h="16838" w:orient="portrait"/>
          <w:pgMar w:bottom="1542" w:top="1320" w:right="5878" w:left="1991" w:header="720" w:footer="720"/>
          <w:titlePg w:val="false"/>
          <w:textDirection w:val="lrTb"/>
        </w:sectPr>
      </w:pPr>
    </w:p>
    <w:p>
      <w:pPr>
        <w:spacing w:before="21" w:after="229"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720"/>
          <w:tab w:val="left" w:leader="none" w:pos="7272"/>
        </w:tabs>
        <w:spacing w:before="478"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90.95pt" to="498.5pt,90.9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398	</w:t>
      </w:r>
      <w:r>
        <w:rPr>
          <w:rFonts w:ascii="Times New Roman" w:hAnsi="Times New Roman" w:eastAsia="Times New Roman"/>
          <w:color w:val="000000"/>
          <w:spacing w:val="0"/>
          <w:w w:val="100"/>
          <w:sz w:val="20"/>
          <w:vertAlign w:val="baseline"/>
          <w:lang w:val="en-US"/>
        </w:rPr>
        <w:t xml:space="preserve">Prohibition on eating, drinking and smoking	</w:t>
      </w:r>
      <w:r>
        <w:rPr>
          <w:rFonts w:ascii="Times New Roman" w:hAnsi="Times New Roman" w:eastAsia="Times New Roman"/>
          <w:color w:val="000000"/>
          <w:spacing w:val="0"/>
          <w:w w:val="100"/>
          <w:sz w:val="20"/>
          <w:vertAlign w:val="baseline"/>
          <w:lang w:val="en-US"/>
        </w:rPr>
        <w:t xml:space="preserve">275</w:t>
      </w:r>
    </w:p>
    <w:p>
      <w:pPr>
        <w:tabs>
          <w:tab w:val="left" w:leader="none" w:pos="720"/>
          <w:tab w:val="left" w:leader="none" w:pos="7272"/>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399	</w:t>
      </w:r>
      <w:r>
        <w:rPr>
          <w:rFonts w:ascii="Times New Roman" w:hAnsi="Times New Roman" w:eastAsia="Times New Roman"/>
          <w:color w:val="000000"/>
          <w:spacing w:val="0"/>
          <w:w w:val="100"/>
          <w:sz w:val="20"/>
          <w:vertAlign w:val="baseline"/>
          <w:lang w:val="en-US"/>
        </w:rPr>
        <w:t xml:space="preserve">Provision of changing and washing facilities	</w:t>
      </w:r>
      <w:r>
        <w:rPr>
          <w:rFonts w:ascii="Times New Roman" w:hAnsi="Times New Roman" w:eastAsia="Times New Roman"/>
          <w:color w:val="000000"/>
          <w:spacing w:val="0"/>
          <w:w w:val="100"/>
          <w:sz w:val="20"/>
          <w:vertAlign w:val="baseline"/>
          <w:lang w:val="en-US"/>
        </w:rPr>
        <w:t xml:space="preserve">276</w:t>
      </w:r>
    </w:p>
    <w:p>
      <w:pPr>
        <w:tabs>
          <w:tab w:val="left" w:leader="none" w:pos="720"/>
          <w:tab w:val="left" w:leader="none" w:pos="7272"/>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400	</w:t>
      </w:r>
      <w:r>
        <w:rPr>
          <w:rFonts w:ascii="Times New Roman" w:hAnsi="Times New Roman" w:eastAsia="Times New Roman"/>
          <w:color w:val="000000"/>
          <w:spacing w:val="0"/>
          <w:w w:val="100"/>
          <w:sz w:val="20"/>
          <w:vertAlign w:val="baseline"/>
          <w:lang w:val="en-US"/>
        </w:rPr>
        <w:t xml:space="preserve">Laundering, disposal and removal of personal protective equipment	</w:t>
      </w:r>
      <w:r>
        <w:rPr>
          <w:rFonts w:ascii="Times New Roman" w:hAnsi="Times New Roman" w:eastAsia="Times New Roman"/>
          <w:color w:val="000000"/>
          <w:spacing w:val="0"/>
          <w:w w:val="100"/>
          <w:sz w:val="20"/>
          <w:vertAlign w:val="baseline"/>
          <w:lang w:val="en-US"/>
        </w:rPr>
        <w:t xml:space="preserve">276</w:t>
      </w:r>
    </w:p>
    <w:p>
      <w:pPr>
        <w:tabs>
          <w:tab w:val="left" w:leader="none" w:pos="720"/>
          <w:tab w:val="left" w:leader="none" w:pos="7272"/>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401	</w:t>
      </w:r>
      <w:r>
        <w:rPr>
          <w:rFonts w:ascii="Times New Roman" w:hAnsi="Times New Roman" w:eastAsia="Times New Roman"/>
          <w:color w:val="000000"/>
          <w:spacing w:val="0"/>
          <w:w w:val="100"/>
          <w:sz w:val="20"/>
          <w:vertAlign w:val="baseline"/>
          <w:lang w:val="en-US"/>
        </w:rPr>
        <w:t xml:space="preserve">Review of control measures	</w:t>
      </w:r>
      <w:r>
        <w:rPr>
          <w:rFonts w:ascii="Times New Roman" w:hAnsi="Times New Roman" w:eastAsia="Times New Roman"/>
          <w:color w:val="000000"/>
          <w:spacing w:val="0"/>
          <w:w w:val="100"/>
          <w:sz w:val="20"/>
          <w:vertAlign w:val="baseline"/>
          <w:lang w:val="en-US"/>
        </w:rPr>
        <w:t xml:space="preserve">278</w:t>
      </w:r>
    </w:p>
    <w:p>
      <w:pPr>
        <w:tabs>
          <w:tab w:val="left" w:leader="none" w:pos="1368"/>
          <w:tab w:val="left" w:leader="none" w:pos="7272"/>
        </w:tabs>
        <w:spacing w:before="3" w:after="0" w:line="230"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3	</w:t>
      </w:r>
      <w:r>
        <w:rPr>
          <w:rFonts w:ascii="Times New Roman" w:hAnsi="Times New Roman" w:eastAsia="Times New Roman"/>
          <w:b w:val="true"/>
          <w:color w:val="000000"/>
          <w:spacing w:val="0"/>
          <w:w w:val="100"/>
          <w:sz w:val="20"/>
          <w:vertAlign w:val="baseline"/>
          <w:lang w:val="en-US"/>
        </w:rPr>
        <w:t xml:space="preserve">Lead risk work	</w:t>
      </w:r>
      <w:r>
        <w:rPr>
          <w:rFonts w:ascii="Times New Roman" w:hAnsi="Times New Roman" w:eastAsia="Times New Roman"/>
          <w:b w:val="true"/>
          <w:color w:val="000000"/>
          <w:spacing w:val="0"/>
          <w:w w:val="100"/>
          <w:sz w:val="20"/>
          <w:vertAlign w:val="baseline"/>
          <w:lang w:val="en-US"/>
        </w:rPr>
        <w:t xml:space="preserve">279</w:t>
      </w:r>
    </w:p>
    <w:p>
      <w:pPr>
        <w:tabs>
          <w:tab w:val="left" w:leader="none" w:pos="720"/>
          <w:tab w:val="left" w:leader="none" w:pos="7272"/>
        </w:tabs>
        <w:spacing w:before="118"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402	</w:t>
      </w:r>
      <w:r>
        <w:rPr>
          <w:rFonts w:ascii="Times New Roman" w:hAnsi="Times New Roman" w:eastAsia="Times New Roman"/>
          <w:color w:val="000000"/>
          <w:spacing w:val="0"/>
          <w:w w:val="100"/>
          <w:sz w:val="20"/>
          <w:vertAlign w:val="baseline"/>
          <w:lang w:val="en-US"/>
        </w:rPr>
        <w:t xml:space="preserve">Identifying lead risk work	</w:t>
      </w:r>
      <w:r>
        <w:rPr>
          <w:rFonts w:ascii="Times New Roman" w:hAnsi="Times New Roman" w:eastAsia="Times New Roman"/>
          <w:color w:val="000000"/>
          <w:spacing w:val="0"/>
          <w:w w:val="100"/>
          <w:sz w:val="20"/>
          <w:vertAlign w:val="baseline"/>
          <w:lang w:val="en-US"/>
        </w:rPr>
        <w:t xml:space="preserve">279</w:t>
      </w:r>
    </w:p>
    <w:p>
      <w:pPr>
        <w:tabs>
          <w:tab w:val="left" w:leader="none" w:pos="720"/>
          <w:tab w:val="left" w:leader="none" w:pos="7272"/>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403	</w:t>
      </w:r>
      <w:r>
        <w:rPr>
          <w:rFonts w:ascii="Times New Roman" w:hAnsi="Times New Roman" w:eastAsia="Times New Roman"/>
          <w:color w:val="000000"/>
          <w:spacing w:val="0"/>
          <w:w w:val="100"/>
          <w:sz w:val="20"/>
          <w:vertAlign w:val="baseline"/>
          <w:lang w:val="en-US"/>
        </w:rPr>
        <w:t xml:space="preserve">Notification of lead risk work	</w:t>
      </w:r>
      <w:r>
        <w:rPr>
          <w:rFonts w:ascii="Times New Roman" w:hAnsi="Times New Roman" w:eastAsia="Times New Roman"/>
          <w:color w:val="000000"/>
          <w:spacing w:val="0"/>
          <w:w w:val="100"/>
          <w:sz w:val="20"/>
          <w:vertAlign w:val="baseline"/>
          <w:lang w:val="en-US"/>
        </w:rPr>
        <w:t xml:space="preserve">280</w:t>
      </w:r>
    </w:p>
    <w:p>
      <w:pPr>
        <w:tabs>
          <w:tab w:val="left" w:leader="none" w:pos="720"/>
          <w:tab w:val="left" w:leader="none" w:pos="7272"/>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404	</w:t>
      </w:r>
      <w:r>
        <w:rPr>
          <w:rFonts w:ascii="Times New Roman" w:hAnsi="Times New Roman" w:eastAsia="Times New Roman"/>
          <w:color w:val="000000"/>
          <w:spacing w:val="0"/>
          <w:w w:val="100"/>
          <w:sz w:val="20"/>
          <w:vertAlign w:val="baseline"/>
          <w:lang w:val="en-US"/>
        </w:rPr>
        <w:t xml:space="preserve">Changes to information in notification of lead risk work	</w:t>
      </w:r>
      <w:r>
        <w:rPr>
          <w:rFonts w:ascii="Times New Roman" w:hAnsi="Times New Roman" w:eastAsia="Times New Roman"/>
          <w:color w:val="000000"/>
          <w:spacing w:val="0"/>
          <w:w w:val="100"/>
          <w:sz w:val="20"/>
          <w:vertAlign w:val="baseline"/>
          <w:lang w:val="en-US"/>
        </w:rPr>
        <w:t xml:space="preserve">281</w:t>
      </w:r>
    </w:p>
    <w:p>
      <w:pPr>
        <w:tabs>
          <w:tab w:val="left" w:leader="none" w:pos="1368"/>
          <w:tab w:val="left" w:leader="none" w:pos="7272"/>
        </w:tabs>
        <w:spacing w:before="2" w:after="0" w:line="230"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4	</w:t>
      </w:r>
      <w:r>
        <w:rPr>
          <w:rFonts w:ascii="Times New Roman" w:hAnsi="Times New Roman" w:eastAsia="Times New Roman"/>
          <w:b w:val="true"/>
          <w:color w:val="000000"/>
          <w:spacing w:val="0"/>
          <w:w w:val="100"/>
          <w:sz w:val="20"/>
          <w:vertAlign w:val="baseline"/>
          <w:lang w:val="en-US"/>
        </w:rPr>
        <w:t xml:space="preserve">Health monitoring	</w:t>
      </w:r>
      <w:r>
        <w:rPr>
          <w:rFonts w:ascii="Times New Roman" w:hAnsi="Times New Roman" w:eastAsia="Times New Roman"/>
          <w:b w:val="true"/>
          <w:color w:val="000000"/>
          <w:spacing w:val="0"/>
          <w:w w:val="100"/>
          <w:sz w:val="20"/>
          <w:vertAlign w:val="baseline"/>
          <w:lang w:val="en-US"/>
        </w:rPr>
        <w:t xml:space="preserve">281</w:t>
      </w:r>
    </w:p>
    <w:p>
      <w:pPr>
        <w:tabs>
          <w:tab w:val="left" w:leader="none" w:pos="720"/>
          <w:tab w:val="left" w:leader="none" w:pos="7272"/>
        </w:tabs>
        <w:spacing w:before="119"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405	</w:t>
      </w:r>
      <w:r>
        <w:rPr>
          <w:rFonts w:ascii="Times New Roman" w:hAnsi="Times New Roman" w:eastAsia="Times New Roman"/>
          <w:color w:val="000000"/>
          <w:spacing w:val="0"/>
          <w:w w:val="100"/>
          <w:sz w:val="20"/>
          <w:vertAlign w:val="baseline"/>
          <w:lang w:val="en-US"/>
        </w:rPr>
        <w:t xml:space="preserve">Duty to provide health monitoring before first commencing lead risk work	</w:t>
      </w:r>
      <w:r>
        <w:rPr>
          <w:rFonts w:ascii="Times New Roman" w:hAnsi="Times New Roman" w:eastAsia="Times New Roman"/>
          <w:color w:val="000000"/>
          <w:spacing w:val="0"/>
          <w:w w:val="100"/>
          <w:sz w:val="20"/>
          <w:vertAlign w:val="baseline"/>
          <w:lang w:val="en-US"/>
        </w:rPr>
        <w:t xml:space="preserve">281</w:t>
      </w:r>
    </w:p>
    <w:p>
      <w:pPr>
        <w:tabs>
          <w:tab w:val="left" w:leader="none" w:pos="720"/>
          <w:tab w:val="left" w:leader="none" w:pos="7272"/>
        </w:tabs>
        <w:spacing w:before="0" w:after="0" w:line="225"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406	</w:t>
      </w:r>
      <w:r>
        <w:rPr>
          <w:rFonts w:ascii="Times New Roman" w:hAnsi="Times New Roman" w:eastAsia="Times New Roman"/>
          <w:color w:val="000000"/>
          <w:spacing w:val="0"/>
          <w:w w:val="100"/>
          <w:sz w:val="20"/>
          <w:vertAlign w:val="baseline"/>
          <w:lang w:val="en-US"/>
        </w:rPr>
        <w:t xml:space="preserve">Duty to ensure that appropriate health monitoring is provided	</w:t>
      </w:r>
      <w:r>
        <w:rPr>
          <w:rFonts w:ascii="Times New Roman" w:hAnsi="Times New Roman" w:eastAsia="Times New Roman"/>
          <w:color w:val="000000"/>
          <w:spacing w:val="0"/>
          <w:w w:val="100"/>
          <w:sz w:val="20"/>
          <w:vertAlign w:val="baseline"/>
          <w:lang w:val="en-US"/>
        </w:rPr>
        <w:t xml:space="preserve">282</w:t>
      </w:r>
    </w:p>
    <w:p>
      <w:pPr>
        <w:tabs>
          <w:tab w:val="left" w:leader="none" w:pos="720"/>
          <w:tab w:val="left" w:leader="none" w:pos="7272"/>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407	</w:t>
      </w:r>
      <w:r>
        <w:rPr>
          <w:rFonts w:ascii="Times New Roman" w:hAnsi="Times New Roman" w:eastAsia="Times New Roman"/>
          <w:color w:val="000000"/>
          <w:spacing w:val="0"/>
          <w:w w:val="100"/>
          <w:sz w:val="20"/>
          <w:vertAlign w:val="baseline"/>
          <w:lang w:val="en-US"/>
        </w:rPr>
        <w:t xml:space="preserve">Frequency of biological monitoring	</w:t>
      </w:r>
      <w:r>
        <w:rPr>
          <w:rFonts w:ascii="Times New Roman" w:hAnsi="Times New Roman" w:eastAsia="Times New Roman"/>
          <w:color w:val="000000"/>
          <w:spacing w:val="0"/>
          <w:w w:val="100"/>
          <w:sz w:val="20"/>
          <w:vertAlign w:val="baseline"/>
          <w:lang w:val="en-US"/>
        </w:rPr>
        <w:t xml:space="preserve">282</w:t>
      </w:r>
    </w:p>
    <w:p>
      <w:pPr>
        <w:tabs>
          <w:tab w:val="left" w:leader="none" w:pos="720"/>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408	</w:t>
      </w:r>
      <w:r>
        <w:rPr>
          <w:rFonts w:ascii="Times New Roman" w:hAnsi="Times New Roman" w:eastAsia="Times New Roman"/>
          <w:color w:val="000000"/>
          <w:spacing w:val="0"/>
          <w:w w:val="100"/>
          <w:sz w:val="20"/>
          <w:vertAlign w:val="baseline"/>
          <w:lang w:val="en-US"/>
        </w:rPr>
        <w:t xml:space="preserve">Duty to ensure health monitoring is supervised by registered medical practitioner with</w:t>
      </w:r>
    </w:p>
    <w:p>
      <w:pPr>
        <w:tabs>
          <w:tab w:val="left" w:leader="none" w:pos="7272"/>
        </w:tabs>
        <w:spacing w:before="1" w:after="0" w:line="230" w:lineRule="exact"/>
        <w:ind w:right="0" w:left="7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relevant experience	</w:t>
      </w:r>
      <w:r>
        <w:rPr>
          <w:rFonts w:ascii="Times New Roman" w:hAnsi="Times New Roman" w:eastAsia="Times New Roman"/>
          <w:color w:val="000000"/>
          <w:spacing w:val="0"/>
          <w:w w:val="100"/>
          <w:sz w:val="20"/>
          <w:vertAlign w:val="baseline"/>
          <w:lang w:val="en-US"/>
        </w:rPr>
        <w:t xml:space="preserve">284</w:t>
      </w:r>
    </w:p>
    <w:p>
      <w:pPr>
        <w:tabs>
          <w:tab w:val="left" w:leader="none" w:pos="720"/>
          <w:tab w:val="left" w:leader="none" w:pos="7272"/>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409	</w:t>
      </w:r>
      <w:r>
        <w:rPr>
          <w:rFonts w:ascii="Times New Roman" w:hAnsi="Times New Roman" w:eastAsia="Times New Roman"/>
          <w:color w:val="000000"/>
          <w:spacing w:val="0"/>
          <w:w w:val="100"/>
          <w:sz w:val="20"/>
          <w:vertAlign w:val="baseline"/>
          <w:lang w:val="en-US"/>
        </w:rPr>
        <w:t xml:space="preserve">Duty to pay costs of health monitoring	</w:t>
      </w:r>
      <w:r>
        <w:rPr>
          <w:rFonts w:ascii="Times New Roman" w:hAnsi="Times New Roman" w:eastAsia="Times New Roman"/>
          <w:color w:val="000000"/>
          <w:spacing w:val="0"/>
          <w:w w:val="100"/>
          <w:sz w:val="20"/>
          <w:vertAlign w:val="baseline"/>
          <w:lang w:val="en-US"/>
        </w:rPr>
        <w:t xml:space="preserve">284</w:t>
      </w:r>
    </w:p>
    <w:p>
      <w:pPr>
        <w:tabs>
          <w:tab w:val="left" w:leader="none" w:pos="720"/>
          <w:tab w:val="left" w:leader="none" w:pos="7272"/>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410	</w:t>
      </w:r>
      <w:r>
        <w:rPr>
          <w:rFonts w:ascii="Times New Roman" w:hAnsi="Times New Roman" w:eastAsia="Times New Roman"/>
          <w:color w:val="000000"/>
          <w:spacing w:val="0"/>
          <w:w w:val="100"/>
          <w:sz w:val="20"/>
          <w:vertAlign w:val="baseline"/>
          <w:lang w:val="en-US"/>
        </w:rPr>
        <w:t xml:space="preserve">Information that must be provided to registered medical practitioner	</w:t>
      </w:r>
      <w:r>
        <w:rPr>
          <w:rFonts w:ascii="Times New Roman" w:hAnsi="Times New Roman" w:eastAsia="Times New Roman"/>
          <w:color w:val="000000"/>
          <w:spacing w:val="0"/>
          <w:w w:val="100"/>
          <w:sz w:val="20"/>
          <w:vertAlign w:val="baseline"/>
          <w:lang w:val="en-US"/>
        </w:rPr>
        <w:t xml:space="preserve">284</w:t>
      </w:r>
    </w:p>
    <w:p>
      <w:pPr>
        <w:tabs>
          <w:tab w:val="left" w:leader="none" w:pos="720"/>
          <w:tab w:val="left" w:leader="none" w:pos="7272"/>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411	</w:t>
      </w:r>
      <w:r>
        <w:rPr>
          <w:rFonts w:ascii="Times New Roman" w:hAnsi="Times New Roman" w:eastAsia="Times New Roman"/>
          <w:color w:val="000000"/>
          <w:spacing w:val="0"/>
          <w:w w:val="100"/>
          <w:sz w:val="20"/>
          <w:vertAlign w:val="baseline"/>
          <w:lang w:val="en-US"/>
        </w:rPr>
        <w:t xml:space="preserve">Duty to obtain health monitoring report	</w:t>
      </w:r>
      <w:r>
        <w:rPr>
          <w:rFonts w:ascii="Times New Roman" w:hAnsi="Times New Roman" w:eastAsia="Times New Roman"/>
          <w:color w:val="000000"/>
          <w:spacing w:val="0"/>
          <w:w w:val="100"/>
          <w:sz w:val="20"/>
          <w:vertAlign w:val="baseline"/>
          <w:lang w:val="en-US"/>
        </w:rPr>
        <w:t xml:space="preserve">285</w:t>
      </w:r>
    </w:p>
    <w:p>
      <w:pPr>
        <w:tabs>
          <w:tab w:val="left" w:leader="none" w:pos="720"/>
          <w:tab w:val="left" w:leader="none" w:pos="7272"/>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412	</w:t>
      </w:r>
      <w:r>
        <w:rPr>
          <w:rFonts w:ascii="Times New Roman" w:hAnsi="Times New Roman" w:eastAsia="Times New Roman"/>
          <w:color w:val="000000"/>
          <w:spacing w:val="0"/>
          <w:w w:val="100"/>
          <w:sz w:val="20"/>
          <w:vertAlign w:val="baseline"/>
          <w:lang w:val="en-US"/>
        </w:rPr>
        <w:t xml:space="preserve">Duty to give health monitoring report to worker	</w:t>
      </w:r>
      <w:r>
        <w:rPr>
          <w:rFonts w:ascii="Times New Roman" w:hAnsi="Times New Roman" w:eastAsia="Times New Roman"/>
          <w:color w:val="000000"/>
          <w:spacing w:val="0"/>
          <w:w w:val="100"/>
          <w:sz w:val="20"/>
          <w:vertAlign w:val="baseline"/>
          <w:lang w:val="en-US"/>
        </w:rPr>
        <w:t xml:space="preserve">286</w:t>
      </w:r>
    </w:p>
    <w:p>
      <w:pPr>
        <w:tabs>
          <w:tab w:val="left" w:leader="none" w:pos="720"/>
          <w:tab w:val="left" w:leader="none" w:pos="7272"/>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413	</w:t>
      </w:r>
      <w:r>
        <w:rPr>
          <w:rFonts w:ascii="Times New Roman" w:hAnsi="Times New Roman" w:eastAsia="Times New Roman"/>
          <w:color w:val="000000"/>
          <w:spacing w:val="0"/>
          <w:w w:val="100"/>
          <w:sz w:val="20"/>
          <w:vertAlign w:val="baseline"/>
          <w:lang w:val="en-US"/>
        </w:rPr>
        <w:t xml:space="preserve">Duty to give health monitoring report to regulator	</w:t>
      </w:r>
      <w:r>
        <w:rPr>
          <w:rFonts w:ascii="Times New Roman" w:hAnsi="Times New Roman" w:eastAsia="Times New Roman"/>
          <w:color w:val="000000"/>
          <w:spacing w:val="0"/>
          <w:w w:val="100"/>
          <w:sz w:val="20"/>
          <w:vertAlign w:val="baseline"/>
          <w:lang w:val="en-US"/>
        </w:rPr>
        <w:t xml:space="preserve">286</w:t>
      </w:r>
    </w:p>
    <w:p>
      <w:pPr>
        <w:tabs>
          <w:tab w:val="left" w:leader="none" w:pos="720"/>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414	</w:t>
      </w:r>
      <w:r>
        <w:rPr>
          <w:rFonts w:ascii="Times New Roman" w:hAnsi="Times New Roman" w:eastAsia="Times New Roman"/>
          <w:color w:val="000000"/>
          <w:spacing w:val="0"/>
          <w:w w:val="100"/>
          <w:sz w:val="20"/>
          <w:vertAlign w:val="baseline"/>
          <w:lang w:val="en-US"/>
        </w:rPr>
        <w:t xml:space="preserve">Duty to give health monitoring report to relevant persons conducting businesses or</w:t>
      </w:r>
    </w:p>
    <w:p>
      <w:pPr>
        <w:tabs>
          <w:tab w:val="left" w:leader="none" w:pos="7272"/>
        </w:tabs>
        <w:spacing w:before="0" w:after="0" w:line="230" w:lineRule="exact"/>
        <w:ind w:right="0" w:left="7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undertakings	</w:t>
      </w:r>
      <w:r>
        <w:rPr>
          <w:rFonts w:ascii="Times New Roman" w:hAnsi="Times New Roman" w:eastAsia="Times New Roman"/>
          <w:color w:val="000000"/>
          <w:spacing w:val="0"/>
          <w:w w:val="100"/>
          <w:sz w:val="20"/>
          <w:vertAlign w:val="baseline"/>
          <w:lang w:val="en-US"/>
        </w:rPr>
        <w:t xml:space="preserve">287</w:t>
      </w:r>
    </w:p>
    <w:p>
      <w:pPr>
        <w:tabs>
          <w:tab w:val="left" w:leader="none" w:pos="720"/>
          <w:tab w:val="left" w:leader="none" w:pos="7272"/>
        </w:tabs>
        <w:spacing w:before="0" w:after="0" w:line="226"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415	</w:t>
      </w:r>
      <w:r>
        <w:rPr>
          <w:rFonts w:ascii="Times New Roman" w:hAnsi="Times New Roman" w:eastAsia="Times New Roman"/>
          <w:color w:val="000000"/>
          <w:spacing w:val="0"/>
          <w:w w:val="100"/>
          <w:sz w:val="20"/>
          <w:vertAlign w:val="baseline"/>
          <w:lang w:val="en-US"/>
        </w:rPr>
        <w:t xml:space="preserve">Removal of worker from lead risk work	</w:t>
      </w:r>
      <w:r>
        <w:rPr>
          <w:rFonts w:ascii="Times New Roman" w:hAnsi="Times New Roman" w:eastAsia="Times New Roman"/>
          <w:color w:val="000000"/>
          <w:spacing w:val="0"/>
          <w:w w:val="100"/>
          <w:sz w:val="20"/>
          <w:vertAlign w:val="baseline"/>
          <w:lang w:val="en-US"/>
        </w:rPr>
        <w:t xml:space="preserve">287</w:t>
      </w:r>
    </w:p>
    <w:p>
      <w:pPr>
        <w:tabs>
          <w:tab w:val="left" w:leader="none" w:pos="720"/>
          <w:tab w:val="left" w:leader="none" w:pos="7272"/>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416	</w:t>
      </w:r>
      <w:r>
        <w:rPr>
          <w:rFonts w:ascii="Times New Roman" w:hAnsi="Times New Roman" w:eastAsia="Times New Roman"/>
          <w:color w:val="000000"/>
          <w:spacing w:val="0"/>
          <w:w w:val="100"/>
          <w:sz w:val="20"/>
          <w:vertAlign w:val="baseline"/>
          <w:lang w:val="en-US"/>
        </w:rPr>
        <w:t xml:space="preserve">Duty to ensure medical examination if worker removed from lead risk work	</w:t>
      </w:r>
      <w:r>
        <w:rPr>
          <w:rFonts w:ascii="Times New Roman" w:hAnsi="Times New Roman" w:eastAsia="Times New Roman"/>
          <w:color w:val="000000"/>
          <w:spacing w:val="0"/>
          <w:w w:val="100"/>
          <w:sz w:val="20"/>
          <w:vertAlign w:val="baseline"/>
          <w:lang w:val="en-US"/>
        </w:rPr>
        <w:t xml:space="preserve">288</w:t>
      </w:r>
    </w:p>
    <w:p>
      <w:pPr>
        <w:tabs>
          <w:tab w:val="left" w:leader="none" w:pos="720"/>
          <w:tab w:val="left" w:leader="none" w:pos="7272"/>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417	</w:t>
      </w:r>
      <w:r>
        <w:rPr>
          <w:rFonts w:ascii="Times New Roman" w:hAnsi="Times New Roman" w:eastAsia="Times New Roman"/>
          <w:color w:val="000000"/>
          <w:spacing w:val="0"/>
          <w:w w:val="100"/>
          <w:sz w:val="20"/>
          <w:vertAlign w:val="baseline"/>
          <w:lang w:val="en-US"/>
        </w:rPr>
        <w:t xml:space="preserve">Return to lead risk work after removal	</w:t>
      </w:r>
      <w:r>
        <w:rPr>
          <w:rFonts w:ascii="Times New Roman" w:hAnsi="Times New Roman" w:eastAsia="Times New Roman"/>
          <w:color w:val="000000"/>
          <w:spacing w:val="0"/>
          <w:w w:val="100"/>
          <w:sz w:val="20"/>
          <w:vertAlign w:val="baseline"/>
          <w:lang w:val="en-US"/>
        </w:rPr>
        <w:t xml:space="preserve">288</w:t>
      </w:r>
    </w:p>
    <w:p>
      <w:pPr>
        <w:tabs>
          <w:tab w:val="left" w:leader="none" w:pos="720"/>
          <w:tab w:val="left" w:leader="none" w:pos="7272"/>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418	</w:t>
      </w:r>
      <w:r>
        <w:rPr>
          <w:rFonts w:ascii="Times New Roman" w:hAnsi="Times New Roman" w:eastAsia="Times New Roman"/>
          <w:color w:val="000000"/>
          <w:spacing w:val="0"/>
          <w:w w:val="100"/>
          <w:sz w:val="20"/>
          <w:vertAlign w:val="baseline"/>
          <w:lang w:val="en-US"/>
        </w:rPr>
        <w:t xml:space="preserve">Health monitoring records	</w:t>
      </w:r>
      <w:r>
        <w:rPr>
          <w:rFonts w:ascii="Times New Roman" w:hAnsi="Times New Roman" w:eastAsia="Times New Roman"/>
          <w:color w:val="000000"/>
          <w:spacing w:val="0"/>
          <w:w w:val="100"/>
          <w:sz w:val="20"/>
          <w:vertAlign w:val="baseline"/>
          <w:lang w:val="en-US"/>
        </w:rPr>
        <w:t xml:space="preserve">289</w:t>
      </w:r>
    </w:p>
    <w:p>
      <w:pPr>
        <w:tabs>
          <w:tab w:val="left" w:leader="none" w:pos="1944"/>
          <w:tab w:val="left" w:leader="none" w:pos="7272"/>
        </w:tabs>
        <w:spacing w:before="243" w:after="0" w:line="230"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CHAPTER 8	</w:t>
      </w:r>
      <w:r>
        <w:rPr>
          <w:rFonts w:ascii="Times New Roman" w:hAnsi="Times New Roman" w:eastAsia="Times New Roman"/>
          <w:b w:val="true"/>
          <w:color w:val="000000"/>
          <w:spacing w:val="0"/>
          <w:w w:val="100"/>
          <w:sz w:val="20"/>
          <w:vertAlign w:val="baseline"/>
          <w:lang w:val="en-US"/>
        </w:rPr>
        <w:t xml:space="preserve">ASBESTOS	</w:t>
      </w:r>
      <w:r>
        <w:rPr>
          <w:rFonts w:ascii="Times New Roman" w:hAnsi="Times New Roman" w:eastAsia="Times New Roman"/>
          <w:b w:val="true"/>
          <w:color w:val="000000"/>
          <w:spacing w:val="0"/>
          <w:w w:val="100"/>
          <w:sz w:val="20"/>
          <w:vertAlign w:val="baseline"/>
          <w:lang w:val="en-US"/>
        </w:rPr>
        <w:t xml:space="preserve">291</w:t>
      </w:r>
    </w:p>
    <w:p>
      <w:pPr>
        <w:tabs>
          <w:tab w:val="left" w:leader="none" w:pos="1368"/>
          <w:tab w:val="left" w:leader="none" w:pos="7272"/>
        </w:tabs>
        <w:spacing w:before="240" w:after="0" w:line="230"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8.1	</w:t>
      </w:r>
      <w:r>
        <w:rPr>
          <w:rFonts w:ascii="Times New Roman" w:hAnsi="Times New Roman" w:eastAsia="Times New Roman"/>
          <w:b w:val="true"/>
          <w:color w:val="000000"/>
          <w:spacing w:val="0"/>
          <w:w w:val="100"/>
          <w:sz w:val="20"/>
          <w:vertAlign w:val="baseline"/>
          <w:lang w:val="en-US"/>
        </w:rPr>
        <w:t xml:space="preserve">PROHIBITIONS AND AUTHORISED CONDUCT	</w:t>
      </w:r>
      <w:r>
        <w:rPr>
          <w:rFonts w:ascii="Times New Roman" w:hAnsi="Times New Roman" w:eastAsia="Times New Roman"/>
          <w:b w:val="true"/>
          <w:color w:val="000000"/>
          <w:spacing w:val="0"/>
          <w:w w:val="100"/>
          <w:sz w:val="20"/>
          <w:vertAlign w:val="baseline"/>
          <w:lang w:val="en-US"/>
        </w:rPr>
        <w:t xml:space="preserve">291</w:t>
      </w:r>
    </w:p>
    <w:p>
      <w:pPr>
        <w:tabs>
          <w:tab w:val="left" w:leader="none" w:pos="720"/>
          <w:tab w:val="left" w:leader="none" w:pos="7272"/>
        </w:tabs>
        <w:spacing w:before="118"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419	</w:t>
      </w:r>
      <w:r>
        <w:rPr>
          <w:rFonts w:ascii="Times New Roman" w:hAnsi="Times New Roman" w:eastAsia="Times New Roman"/>
          <w:color w:val="000000"/>
          <w:spacing w:val="0"/>
          <w:w w:val="100"/>
          <w:sz w:val="20"/>
          <w:vertAlign w:val="baseline"/>
          <w:lang w:val="en-US"/>
        </w:rPr>
        <w:t xml:space="preserve">Work involving asbestos or ACM—prohibitions and exceptions	</w:t>
      </w:r>
      <w:r>
        <w:rPr>
          <w:rFonts w:ascii="Times New Roman" w:hAnsi="Times New Roman" w:eastAsia="Times New Roman"/>
          <w:color w:val="000000"/>
          <w:spacing w:val="0"/>
          <w:w w:val="100"/>
          <w:sz w:val="20"/>
          <w:vertAlign w:val="baseline"/>
          <w:lang w:val="en-US"/>
        </w:rPr>
        <w:t xml:space="preserve">291</w:t>
      </w:r>
    </w:p>
    <w:p>
      <w:pPr>
        <w:tabs>
          <w:tab w:val="left" w:leader="none" w:pos="1368"/>
          <w:tab w:val="left" w:leader="none" w:pos="7272"/>
        </w:tabs>
        <w:spacing w:before="243" w:after="0" w:line="230"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8.2	</w:t>
      </w:r>
      <w:r>
        <w:rPr>
          <w:rFonts w:ascii="Times New Roman" w:hAnsi="Times New Roman" w:eastAsia="Times New Roman"/>
          <w:b w:val="true"/>
          <w:color w:val="000000"/>
          <w:spacing w:val="0"/>
          <w:w w:val="100"/>
          <w:sz w:val="20"/>
          <w:vertAlign w:val="baseline"/>
          <w:lang w:val="en-US"/>
        </w:rPr>
        <w:t xml:space="preserve">GENERAL DUTY	</w:t>
      </w:r>
      <w:r>
        <w:rPr>
          <w:rFonts w:ascii="Times New Roman" w:hAnsi="Times New Roman" w:eastAsia="Times New Roman"/>
          <w:b w:val="true"/>
          <w:color w:val="000000"/>
          <w:spacing w:val="0"/>
          <w:w w:val="100"/>
          <w:sz w:val="20"/>
          <w:vertAlign w:val="baseline"/>
          <w:lang w:val="en-US"/>
        </w:rPr>
        <w:t xml:space="preserve">293</w:t>
      </w:r>
    </w:p>
    <w:p>
      <w:pPr>
        <w:tabs>
          <w:tab w:val="left" w:leader="none" w:pos="720"/>
          <w:tab w:val="left" w:leader="none" w:pos="7272"/>
        </w:tabs>
        <w:spacing w:before="118"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420	</w:t>
      </w:r>
      <w:r>
        <w:rPr>
          <w:rFonts w:ascii="Times New Roman" w:hAnsi="Times New Roman" w:eastAsia="Times New Roman"/>
          <w:color w:val="000000"/>
          <w:spacing w:val="0"/>
          <w:w w:val="100"/>
          <w:sz w:val="20"/>
          <w:vertAlign w:val="baseline"/>
          <w:lang w:val="en-US"/>
        </w:rPr>
        <w:t xml:space="preserve">Exposure to airborne asbestos at workplace	</w:t>
      </w:r>
      <w:r>
        <w:rPr>
          <w:rFonts w:ascii="Times New Roman" w:hAnsi="Times New Roman" w:eastAsia="Times New Roman"/>
          <w:color w:val="000000"/>
          <w:spacing w:val="0"/>
          <w:w w:val="100"/>
          <w:sz w:val="20"/>
          <w:vertAlign w:val="baseline"/>
          <w:lang w:val="en-US"/>
        </w:rPr>
        <w:t xml:space="preserve">293</w:t>
      </w:r>
    </w:p>
    <w:p>
      <w:pPr>
        <w:tabs>
          <w:tab w:val="left" w:leader="none" w:pos="1368"/>
          <w:tab w:val="left" w:leader="none" w:pos="7272"/>
        </w:tabs>
        <w:spacing w:before="243" w:after="0" w:line="230"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8.3	</w:t>
      </w:r>
      <w:r>
        <w:rPr>
          <w:rFonts w:ascii="Times New Roman" w:hAnsi="Times New Roman" w:eastAsia="Times New Roman"/>
          <w:b w:val="true"/>
          <w:color w:val="000000"/>
          <w:spacing w:val="0"/>
          <w:w w:val="100"/>
          <w:sz w:val="20"/>
          <w:vertAlign w:val="baseline"/>
          <w:lang w:val="en-US"/>
        </w:rPr>
        <w:t xml:space="preserve">MANAGEMENT OF ASBESTOS AND ASSOCIATED RISKS	</w:t>
      </w:r>
      <w:r>
        <w:rPr>
          <w:rFonts w:ascii="Times New Roman" w:hAnsi="Times New Roman" w:eastAsia="Times New Roman"/>
          <w:b w:val="true"/>
          <w:color w:val="000000"/>
          <w:spacing w:val="0"/>
          <w:w w:val="100"/>
          <w:sz w:val="20"/>
          <w:vertAlign w:val="baseline"/>
          <w:lang w:val="en-US"/>
        </w:rPr>
        <w:t xml:space="preserve">294</w:t>
      </w:r>
    </w:p>
    <w:p>
      <w:pPr>
        <w:tabs>
          <w:tab w:val="left" w:leader="none" w:pos="720"/>
          <w:tab w:val="left" w:leader="none" w:pos="7272"/>
        </w:tabs>
        <w:spacing w:before="118"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421	</w:t>
      </w:r>
      <w:r>
        <w:rPr>
          <w:rFonts w:ascii="Times New Roman" w:hAnsi="Times New Roman" w:eastAsia="Times New Roman"/>
          <w:color w:val="000000"/>
          <w:spacing w:val="0"/>
          <w:w w:val="100"/>
          <w:sz w:val="20"/>
          <w:vertAlign w:val="baseline"/>
          <w:lang w:val="en-US"/>
        </w:rPr>
        <w:t xml:space="preserve">Application of Part 8.3	</w:t>
      </w:r>
      <w:r>
        <w:rPr>
          <w:rFonts w:ascii="Times New Roman" w:hAnsi="Times New Roman" w:eastAsia="Times New Roman"/>
          <w:color w:val="000000"/>
          <w:spacing w:val="0"/>
          <w:w w:val="100"/>
          <w:sz w:val="20"/>
          <w:vertAlign w:val="baseline"/>
          <w:lang w:val="en-US"/>
        </w:rPr>
        <w:t xml:space="preserve">294</w:t>
      </w:r>
    </w:p>
    <w:p>
      <w:pPr>
        <w:tabs>
          <w:tab w:val="left" w:leader="none" w:pos="720"/>
          <w:tab w:val="left" w:leader="none" w:pos="7272"/>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422	</w:t>
      </w:r>
      <w:r>
        <w:rPr>
          <w:rFonts w:ascii="Times New Roman" w:hAnsi="Times New Roman" w:eastAsia="Times New Roman"/>
          <w:color w:val="000000"/>
          <w:spacing w:val="0"/>
          <w:w w:val="100"/>
          <w:sz w:val="20"/>
          <w:vertAlign w:val="baseline"/>
          <w:lang w:val="en-US"/>
        </w:rPr>
        <w:t xml:space="preserve">Asbestos to be identified or assumed at workplace	</w:t>
      </w:r>
      <w:r>
        <w:rPr>
          <w:rFonts w:ascii="Times New Roman" w:hAnsi="Times New Roman" w:eastAsia="Times New Roman"/>
          <w:color w:val="000000"/>
          <w:spacing w:val="0"/>
          <w:w w:val="100"/>
          <w:sz w:val="20"/>
          <w:vertAlign w:val="baseline"/>
          <w:lang w:val="en-US"/>
        </w:rPr>
        <w:t xml:space="preserve">294</w:t>
      </w:r>
    </w:p>
    <w:p>
      <w:pPr>
        <w:tabs>
          <w:tab w:val="left" w:leader="none" w:pos="720"/>
          <w:tab w:val="left" w:leader="none" w:pos="7272"/>
        </w:tabs>
        <w:spacing w:before="0" w:after="0" w:line="226"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423	</w:t>
      </w:r>
      <w:r>
        <w:rPr>
          <w:rFonts w:ascii="Times New Roman" w:hAnsi="Times New Roman" w:eastAsia="Times New Roman"/>
          <w:color w:val="000000"/>
          <w:spacing w:val="0"/>
          <w:w w:val="100"/>
          <w:sz w:val="20"/>
          <w:vertAlign w:val="baseline"/>
          <w:lang w:val="en-US"/>
        </w:rPr>
        <w:t xml:space="preserve">Analysis of sample	</w:t>
      </w:r>
      <w:r>
        <w:rPr>
          <w:rFonts w:ascii="Times New Roman" w:hAnsi="Times New Roman" w:eastAsia="Times New Roman"/>
          <w:color w:val="000000"/>
          <w:spacing w:val="0"/>
          <w:w w:val="100"/>
          <w:sz w:val="20"/>
          <w:vertAlign w:val="baseline"/>
          <w:lang w:val="en-US"/>
        </w:rPr>
        <w:t xml:space="preserve">294</w:t>
      </w:r>
    </w:p>
    <w:p>
      <w:pPr>
        <w:tabs>
          <w:tab w:val="left" w:leader="none" w:pos="720"/>
          <w:tab w:val="left" w:leader="none" w:pos="7272"/>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424	</w:t>
      </w:r>
      <w:r>
        <w:rPr>
          <w:rFonts w:ascii="Times New Roman" w:hAnsi="Times New Roman" w:eastAsia="Times New Roman"/>
          <w:color w:val="000000"/>
          <w:spacing w:val="0"/>
          <w:w w:val="100"/>
          <w:sz w:val="20"/>
          <w:vertAlign w:val="baseline"/>
          <w:lang w:val="en-US"/>
        </w:rPr>
        <w:t xml:space="preserve">Presence and location of asbestos to be indicated	</w:t>
      </w:r>
      <w:r>
        <w:rPr>
          <w:rFonts w:ascii="Times New Roman" w:hAnsi="Times New Roman" w:eastAsia="Times New Roman"/>
          <w:color w:val="000000"/>
          <w:spacing w:val="0"/>
          <w:w w:val="100"/>
          <w:sz w:val="20"/>
          <w:vertAlign w:val="baseline"/>
          <w:lang w:val="en-US"/>
        </w:rPr>
        <w:t xml:space="preserve">295</w:t>
      </w:r>
    </w:p>
    <w:p>
      <w:pPr>
        <w:tabs>
          <w:tab w:val="left" w:leader="none" w:pos="720"/>
          <w:tab w:val="left" w:leader="none" w:pos="7272"/>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425	</w:t>
      </w:r>
      <w:r>
        <w:rPr>
          <w:rFonts w:ascii="Times New Roman" w:hAnsi="Times New Roman" w:eastAsia="Times New Roman"/>
          <w:color w:val="000000"/>
          <w:spacing w:val="0"/>
          <w:w w:val="100"/>
          <w:sz w:val="20"/>
          <w:vertAlign w:val="baseline"/>
          <w:lang w:val="en-US"/>
        </w:rPr>
        <w:t xml:space="preserve">Asbestos register	</w:t>
      </w:r>
      <w:r>
        <w:rPr>
          <w:rFonts w:ascii="Times New Roman" w:hAnsi="Times New Roman" w:eastAsia="Times New Roman"/>
          <w:color w:val="000000"/>
          <w:spacing w:val="0"/>
          <w:w w:val="100"/>
          <w:sz w:val="20"/>
          <w:vertAlign w:val="baseline"/>
          <w:lang w:val="en-US"/>
        </w:rPr>
        <w:t xml:space="preserve">295</w:t>
      </w:r>
    </w:p>
    <w:p>
      <w:pPr>
        <w:tabs>
          <w:tab w:val="left" w:leader="none" w:pos="720"/>
          <w:tab w:val="left" w:leader="none" w:pos="7272"/>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426	</w:t>
      </w:r>
      <w:r>
        <w:rPr>
          <w:rFonts w:ascii="Times New Roman" w:hAnsi="Times New Roman" w:eastAsia="Times New Roman"/>
          <w:color w:val="000000"/>
          <w:spacing w:val="0"/>
          <w:w w:val="100"/>
          <w:sz w:val="20"/>
          <w:vertAlign w:val="baseline"/>
          <w:lang w:val="en-US"/>
        </w:rPr>
        <w:t xml:space="preserve">Review of asbestos register	</w:t>
      </w:r>
      <w:r>
        <w:rPr>
          <w:rFonts w:ascii="Times New Roman" w:hAnsi="Times New Roman" w:eastAsia="Times New Roman"/>
          <w:color w:val="000000"/>
          <w:spacing w:val="0"/>
          <w:w w:val="100"/>
          <w:sz w:val="20"/>
          <w:vertAlign w:val="baseline"/>
          <w:lang w:val="en-US"/>
        </w:rPr>
        <w:t xml:space="preserve">296</w:t>
      </w:r>
    </w:p>
    <w:p>
      <w:pPr>
        <w:tabs>
          <w:tab w:val="left" w:leader="none" w:pos="720"/>
          <w:tab w:val="left" w:leader="none" w:pos="7272"/>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427	</w:t>
      </w:r>
      <w:r>
        <w:rPr>
          <w:rFonts w:ascii="Times New Roman" w:hAnsi="Times New Roman" w:eastAsia="Times New Roman"/>
          <w:color w:val="000000"/>
          <w:spacing w:val="0"/>
          <w:w w:val="100"/>
          <w:sz w:val="20"/>
          <w:vertAlign w:val="baseline"/>
          <w:lang w:val="en-US"/>
        </w:rPr>
        <w:t xml:space="preserve">Access to asbestos register	</w:t>
      </w:r>
      <w:r>
        <w:rPr>
          <w:rFonts w:ascii="Times New Roman" w:hAnsi="Times New Roman" w:eastAsia="Times New Roman"/>
          <w:color w:val="000000"/>
          <w:spacing w:val="0"/>
          <w:w w:val="100"/>
          <w:sz w:val="20"/>
          <w:vertAlign w:val="baseline"/>
          <w:lang w:val="en-US"/>
        </w:rPr>
        <w:t xml:space="preserve">296</w:t>
      </w:r>
    </w:p>
    <w:p>
      <w:pPr>
        <w:tabs>
          <w:tab w:val="left" w:leader="none" w:pos="720"/>
          <w:tab w:val="left" w:leader="none" w:pos="7272"/>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428	</w:t>
      </w:r>
      <w:r>
        <w:rPr>
          <w:rFonts w:ascii="Times New Roman" w:hAnsi="Times New Roman" w:eastAsia="Times New Roman"/>
          <w:color w:val="000000"/>
          <w:spacing w:val="0"/>
          <w:w w:val="100"/>
          <w:sz w:val="20"/>
          <w:vertAlign w:val="baseline"/>
          <w:lang w:val="en-US"/>
        </w:rPr>
        <w:t xml:space="preserve">Transfer of asbestos register by person relinquishing management or control	</w:t>
      </w:r>
      <w:r>
        <w:rPr>
          <w:rFonts w:ascii="Times New Roman" w:hAnsi="Times New Roman" w:eastAsia="Times New Roman"/>
          <w:color w:val="000000"/>
          <w:spacing w:val="0"/>
          <w:w w:val="100"/>
          <w:sz w:val="20"/>
          <w:vertAlign w:val="baseline"/>
          <w:lang w:val="en-US"/>
        </w:rPr>
        <w:t xml:space="preserve">297</w:t>
      </w:r>
    </w:p>
    <w:p>
      <w:pPr>
        <w:tabs>
          <w:tab w:val="left" w:leader="none" w:pos="720"/>
          <w:tab w:val="left" w:leader="none" w:pos="7272"/>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429	</w:t>
      </w:r>
      <w:r>
        <w:rPr>
          <w:rFonts w:ascii="Times New Roman" w:hAnsi="Times New Roman" w:eastAsia="Times New Roman"/>
          <w:color w:val="000000"/>
          <w:spacing w:val="0"/>
          <w:w w:val="100"/>
          <w:sz w:val="20"/>
          <w:vertAlign w:val="baseline"/>
          <w:lang w:val="en-US"/>
        </w:rPr>
        <w:t xml:space="preserve">Asbestos management plan	</w:t>
      </w:r>
      <w:r>
        <w:rPr>
          <w:rFonts w:ascii="Times New Roman" w:hAnsi="Times New Roman" w:eastAsia="Times New Roman"/>
          <w:color w:val="000000"/>
          <w:spacing w:val="0"/>
          <w:w w:val="100"/>
          <w:sz w:val="20"/>
          <w:vertAlign w:val="baseline"/>
          <w:lang w:val="en-US"/>
        </w:rPr>
        <w:t xml:space="preserve">297</w:t>
      </w:r>
    </w:p>
    <w:p>
      <w:pPr>
        <w:tabs>
          <w:tab w:val="left" w:leader="none" w:pos="720"/>
          <w:tab w:val="left" w:leader="none" w:pos="7272"/>
        </w:tabs>
        <w:spacing w:before="1" w:after="1419"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10.65pt" to="498.5pt,710.6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430	</w:t>
      </w:r>
      <w:r>
        <w:rPr>
          <w:rFonts w:ascii="Times New Roman" w:hAnsi="Times New Roman" w:eastAsia="Times New Roman"/>
          <w:color w:val="000000"/>
          <w:spacing w:val="0"/>
          <w:w w:val="100"/>
          <w:sz w:val="20"/>
          <w:vertAlign w:val="baseline"/>
          <w:lang w:val="en-US"/>
        </w:rPr>
        <w:t xml:space="preserve">Review of asbestos management plan	</w:t>
      </w:r>
      <w:r>
        <w:rPr>
          <w:rFonts w:ascii="Times New Roman" w:hAnsi="Times New Roman" w:eastAsia="Times New Roman"/>
          <w:color w:val="000000"/>
          <w:spacing w:val="0"/>
          <w:w w:val="100"/>
          <w:sz w:val="20"/>
          <w:vertAlign w:val="baseline"/>
          <w:lang w:val="en-US"/>
        </w:rPr>
        <w:t xml:space="preserve">299</w:t>
      </w:r>
    </w:p>
    <w:p>
      <w:pPr>
        <w:spacing w:before="1" w:after="1419" w:line="230" w:lineRule="exact"/>
        <w:sectPr>
          <w:type w:val="nextPage"/>
          <w:pgSz w:w="11909" w:h="16838" w:orient="portrait"/>
          <w:pgMar w:bottom="1542" w:top="1320" w:right="1940" w:left="1949" w:header="720" w:footer="720"/>
          <w:titlePg w:val="false"/>
          <w:textDirection w:val="lrTb"/>
        </w:sectPr>
      </w:pPr>
    </w:p>
    <w:p>
      <w:pPr>
        <w:tabs>
          <w:tab w:val="right" w:leader="none" w:pos="4104"/>
        </w:tabs>
        <w:spacing w:before="5" w:after="0" w:line="178"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1.1.2021	</w:t>
      </w:r>
      <w:r>
        <w:rPr>
          <w:rFonts w:ascii="Times New Roman" w:hAnsi="Times New Roman" w:eastAsia="Times New Roman"/>
          <w:color w:val="000000"/>
          <w:spacing w:val="0"/>
          <w:w w:val="100"/>
          <w:sz w:val="16"/>
          <w:vertAlign w:val="baseline"/>
          <w:lang w:val="en-US"/>
        </w:rPr>
        <w:t xml:space="preserve">14</w:t>
      </w:r>
    </w:p>
    <w:p>
      <w:pPr>
        <w:sectPr>
          <w:type w:val="continuous"/>
          <w:pgSz w:w="11909" w:h="16838" w:orient="portrait"/>
          <w:pgMar w:bottom="1542" w:top="1320" w:right="5873" w:left="1996" w:header="720" w:footer="720"/>
          <w:titlePg w:val="false"/>
          <w:textDirection w:val="lrTb"/>
        </w:sectPr>
      </w:pPr>
    </w:p>
    <w:p>
      <w:pPr>
        <w:spacing w:before="21" w:after="229"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spacing w:before="480" w:after="0" w:line="228" w:lineRule="exact"/>
        <w:ind w:right="0" w:left="0" w:firstLine="0"/>
        <w:jc w:val="left"/>
        <w:textAlignment w:val="baseline"/>
        <w:rPr>
          <w:rFonts w:ascii="Times New Roman" w:hAnsi="Times New Roman" w:eastAsia="Times New Roman"/>
          <w:b w:val="true"/>
          <w:color w:val="000000"/>
          <w:spacing w:val="15"/>
          <w:w w:val="100"/>
          <w:sz w:val="20"/>
          <w:vertAlign w:val="baseline"/>
          <w:lang w:val="en-US"/>
        </w:rPr>
      </w:pPr>
      <w:r>
        <w:pict>
          <v:line strokeweight="0.5pt" strokecolor="#000000" from="97.45pt,90.95pt" to="498.5pt,90.95pt" style="position:absolute;mso-position-horizontal-relative:page;mso-position-vertical-relative:page;">
            <v:stroke dashstyle="solid"/>
          </v:line>
        </w:pict>
      </w:r>
      <w:r>
        <w:rPr>
          <w:rFonts w:ascii="Times New Roman" w:hAnsi="Times New Roman" w:eastAsia="Times New Roman"/>
          <w:b w:val="true"/>
          <w:color w:val="000000"/>
          <w:spacing w:val="15"/>
          <w:w w:val="100"/>
          <w:sz w:val="20"/>
          <w:vertAlign w:val="baseline"/>
          <w:lang w:val="en-US"/>
        </w:rPr>
        <w:t xml:space="preserve">PART 8.4 MANAGEMENT OF NATURALLY OCCURRING ASBESTOS 300</w:t>
      </w:r>
    </w:p>
    <w:p>
      <w:pPr>
        <w:tabs>
          <w:tab w:val="left" w:leader="none" w:pos="720"/>
          <w:tab w:val="right" w:leader="none" w:pos="7704"/>
        </w:tabs>
        <w:spacing w:before="12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431	</w:t>
      </w:r>
      <w:r>
        <w:rPr>
          <w:rFonts w:ascii="Times New Roman" w:hAnsi="Times New Roman" w:eastAsia="Times New Roman"/>
          <w:color w:val="000000"/>
          <w:spacing w:val="0"/>
          <w:w w:val="100"/>
          <w:sz w:val="20"/>
          <w:vertAlign w:val="baseline"/>
          <w:lang w:val="en-US"/>
        </w:rPr>
        <w:t xml:space="preserve">Naturally occurring asbestos	</w:t>
      </w:r>
      <w:r>
        <w:rPr>
          <w:rFonts w:ascii="Times New Roman" w:hAnsi="Times New Roman" w:eastAsia="Times New Roman"/>
          <w:color w:val="000000"/>
          <w:spacing w:val="0"/>
          <w:w w:val="100"/>
          <w:sz w:val="20"/>
          <w:vertAlign w:val="baseline"/>
          <w:lang w:val="en-US"/>
        </w:rPr>
        <w:t xml:space="preserve">300</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432	</w:t>
      </w:r>
      <w:r>
        <w:rPr>
          <w:rFonts w:ascii="Times New Roman" w:hAnsi="Times New Roman" w:eastAsia="Times New Roman"/>
          <w:color w:val="000000"/>
          <w:spacing w:val="0"/>
          <w:w w:val="100"/>
          <w:sz w:val="20"/>
          <w:vertAlign w:val="baseline"/>
          <w:lang w:val="en-US"/>
        </w:rPr>
        <w:t xml:space="preserve">Asbestos management plan	</w:t>
      </w:r>
      <w:r>
        <w:rPr>
          <w:rFonts w:ascii="Times New Roman" w:hAnsi="Times New Roman" w:eastAsia="Times New Roman"/>
          <w:color w:val="000000"/>
          <w:spacing w:val="0"/>
          <w:w w:val="100"/>
          <w:sz w:val="20"/>
          <w:vertAlign w:val="baseline"/>
          <w:lang w:val="en-US"/>
        </w:rPr>
        <w:t xml:space="preserve">300</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433	</w:t>
      </w:r>
      <w:r>
        <w:rPr>
          <w:rFonts w:ascii="Times New Roman" w:hAnsi="Times New Roman" w:eastAsia="Times New Roman"/>
          <w:color w:val="000000"/>
          <w:spacing w:val="0"/>
          <w:w w:val="100"/>
          <w:sz w:val="20"/>
          <w:vertAlign w:val="baseline"/>
          <w:lang w:val="en-US"/>
        </w:rPr>
        <w:t xml:space="preserve">Review of asbestos management plan	</w:t>
      </w:r>
      <w:r>
        <w:rPr>
          <w:rFonts w:ascii="Times New Roman" w:hAnsi="Times New Roman" w:eastAsia="Times New Roman"/>
          <w:color w:val="000000"/>
          <w:spacing w:val="0"/>
          <w:w w:val="100"/>
          <w:sz w:val="20"/>
          <w:vertAlign w:val="baseline"/>
          <w:lang w:val="en-US"/>
        </w:rPr>
        <w:t xml:space="preserve">301</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434	</w:t>
      </w:r>
      <w:r>
        <w:rPr>
          <w:rFonts w:ascii="Times New Roman" w:hAnsi="Times New Roman" w:eastAsia="Times New Roman"/>
          <w:color w:val="000000"/>
          <w:spacing w:val="0"/>
          <w:w w:val="100"/>
          <w:sz w:val="20"/>
          <w:vertAlign w:val="baseline"/>
          <w:lang w:val="en-US"/>
        </w:rPr>
        <w:t xml:space="preserve">Training in relation to naturally occurring asbestos	</w:t>
      </w:r>
      <w:r>
        <w:rPr>
          <w:rFonts w:ascii="Times New Roman" w:hAnsi="Times New Roman" w:eastAsia="Times New Roman"/>
          <w:color w:val="000000"/>
          <w:spacing w:val="0"/>
          <w:w w:val="100"/>
          <w:sz w:val="20"/>
          <w:vertAlign w:val="baseline"/>
          <w:lang w:val="en-US"/>
        </w:rPr>
        <w:t xml:space="preserve">301</w:t>
      </w:r>
    </w:p>
    <w:p>
      <w:pPr>
        <w:tabs>
          <w:tab w:val="left" w:leader="none" w:pos="1368"/>
          <w:tab w:val="right" w:leader="none" w:pos="7704"/>
        </w:tabs>
        <w:spacing w:before="242"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8.5	</w:t>
      </w:r>
      <w:r>
        <w:rPr>
          <w:rFonts w:ascii="Times New Roman" w:hAnsi="Times New Roman" w:eastAsia="Times New Roman"/>
          <w:b w:val="true"/>
          <w:color w:val="000000"/>
          <w:spacing w:val="0"/>
          <w:w w:val="100"/>
          <w:sz w:val="20"/>
          <w:vertAlign w:val="baseline"/>
          <w:lang w:val="en-US"/>
        </w:rPr>
        <w:t xml:space="preserve">ASBESTOS AT THE WORKPLACE	</w:t>
      </w:r>
      <w:r>
        <w:rPr>
          <w:rFonts w:ascii="Times New Roman" w:hAnsi="Times New Roman" w:eastAsia="Times New Roman"/>
          <w:b w:val="true"/>
          <w:color w:val="000000"/>
          <w:spacing w:val="0"/>
          <w:w w:val="100"/>
          <w:sz w:val="20"/>
          <w:vertAlign w:val="baseline"/>
          <w:lang w:val="en-US"/>
        </w:rPr>
        <w:t xml:space="preserve">303</w:t>
      </w:r>
    </w:p>
    <w:p>
      <w:pPr>
        <w:tabs>
          <w:tab w:val="left" w:leader="none" w:pos="1368"/>
          <w:tab w:val="right" w:leader="none" w:pos="7704"/>
        </w:tabs>
        <w:spacing w:before="123"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1	</w:t>
      </w:r>
      <w:r>
        <w:rPr>
          <w:rFonts w:ascii="Times New Roman" w:hAnsi="Times New Roman" w:eastAsia="Times New Roman"/>
          <w:b w:val="true"/>
          <w:color w:val="000000"/>
          <w:spacing w:val="0"/>
          <w:w w:val="100"/>
          <w:sz w:val="20"/>
          <w:vertAlign w:val="baseline"/>
          <w:lang w:val="en-US"/>
        </w:rPr>
        <w:t xml:space="preserve">Health monitoring	</w:t>
      </w:r>
      <w:r>
        <w:rPr>
          <w:rFonts w:ascii="Times New Roman" w:hAnsi="Times New Roman" w:eastAsia="Times New Roman"/>
          <w:b w:val="true"/>
          <w:color w:val="000000"/>
          <w:spacing w:val="0"/>
          <w:w w:val="100"/>
          <w:sz w:val="20"/>
          <w:vertAlign w:val="baseline"/>
          <w:lang w:val="en-US"/>
        </w:rPr>
        <w:t xml:space="preserve">303</w:t>
      </w:r>
    </w:p>
    <w:p>
      <w:pPr>
        <w:tabs>
          <w:tab w:val="left" w:leader="none" w:pos="720"/>
          <w:tab w:val="right" w:leader="none" w:pos="7704"/>
        </w:tabs>
        <w:spacing w:before="12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435	</w:t>
      </w:r>
      <w:r>
        <w:rPr>
          <w:rFonts w:ascii="Times New Roman" w:hAnsi="Times New Roman" w:eastAsia="Times New Roman"/>
          <w:color w:val="000000"/>
          <w:spacing w:val="0"/>
          <w:w w:val="100"/>
          <w:sz w:val="20"/>
          <w:vertAlign w:val="baseline"/>
          <w:lang w:val="en-US"/>
        </w:rPr>
        <w:t xml:space="preserve">Duty to provide health monitoring	</w:t>
      </w:r>
      <w:r>
        <w:rPr>
          <w:rFonts w:ascii="Times New Roman" w:hAnsi="Times New Roman" w:eastAsia="Times New Roman"/>
          <w:color w:val="000000"/>
          <w:spacing w:val="0"/>
          <w:w w:val="100"/>
          <w:sz w:val="20"/>
          <w:vertAlign w:val="baseline"/>
          <w:lang w:val="en-US"/>
        </w:rPr>
        <w:t xml:space="preserve">303</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436	</w:t>
      </w:r>
      <w:r>
        <w:rPr>
          <w:rFonts w:ascii="Times New Roman" w:hAnsi="Times New Roman" w:eastAsia="Times New Roman"/>
          <w:color w:val="000000"/>
          <w:spacing w:val="0"/>
          <w:w w:val="100"/>
          <w:sz w:val="20"/>
          <w:vertAlign w:val="baseline"/>
          <w:lang w:val="en-US"/>
        </w:rPr>
        <w:t xml:space="preserve">Duty to ensure that appropriate health monitoring is provided	</w:t>
      </w:r>
      <w:r>
        <w:rPr>
          <w:rFonts w:ascii="Times New Roman" w:hAnsi="Times New Roman" w:eastAsia="Times New Roman"/>
          <w:color w:val="000000"/>
          <w:spacing w:val="0"/>
          <w:w w:val="100"/>
          <w:sz w:val="20"/>
          <w:vertAlign w:val="baseline"/>
          <w:lang w:val="en-US"/>
        </w:rPr>
        <w:t xml:space="preserve">303</w:t>
      </w:r>
    </w:p>
    <w:p>
      <w:pPr>
        <w:tabs>
          <w:tab w:val="left" w:leader="none" w:pos="720"/>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437	</w:t>
      </w:r>
      <w:r>
        <w:rPr>
          <w:rFonts w:ascii="Times New Roman" w:hAnsi="Times New Roman" w:eastAsia="Times New Roman"/>
          <w:color w:val="000000"/>
          <w:spacing w:val="0"/>
          <w:w w:val="100"/>
          <w:sz w:val="20"/>
          <w:vertAlign w:val="baseline"/>
          <w:lang w:val="en-US"/>
        </w:rPr>
        <w:t xml:space="preserve">Duty to ensure health monitoring is supervised by registered medical practitioner with</w:t>
      </w:r>
    </w:p>
    <w:p>
      <w:pPr>
        <w:tabs>
          <w:tab w:val="right" w:leader="none" w:pos="7704"/>
        </w:tabs>
        <w:spacing w:before="0" w:after="0" w:line="225" w:lineRule="exact"/>
        <w:ind w:right="0" w:left="7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relevant experience	</w:t>
      </w:r>
      <w:r>
        <w:rPr>
          <w:rFonts w:ascii="Times New Roman" w:hAnsi="Times New Roman" w:eastAsia="Times New Roman"/>
          <w:color w:val="000000"/>
          <w:spacing w:val="0"/>
          <w:w w:val="100"/>
          <w:sz w:val="20"/>
          <w:vertAlign w:val="baseline"/>
          <w:lang w:val="en-US"/>
        </w:rPr>
        <w:t xml:space="preserve">304</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438	</w:t>
      </w:r>
      <w:r>
        <w:rPr>
          <w:rFonts w:ascii="Times New Roman" w:hAnsi="Times New Roman" w:eastAsia="Times New Roman"/>
          <w:color w:val="000000"/>
          <w:spacing w:val="0"/>
          <w:w w:val="100"/>
          <w:sz w:val="20"/>
          <w:vertAlign w:val="baseline"/>
          <w:lang w:val="en-US"/>
        </w:rPr>
        <w:t xml:space="preserve">Duty to pay costs of health monitoring	</w:t>
      </w:r>
      <w:r>
        <w:rPr>
          <w:rFonts w:ascii="Times New Roman" w:hAnsi="Times New Roman" w:eastAsia="Times New Roman"/>
          <w:color w:val="000000"/>
          <w:spacing w:val="0"/>
          <w:w w:val="100"/>
          <w:sz w:val="20"/>
          <w:vertAlign w:val="baseline"/>
          <w:lang w:val="en-US"/>
        </w:rPr>
        <w:t xml:space="preserve">304</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439	</w:t>
      </w:r>
      <w:r>
        <w:rPr>
          <w:rFonts w:ascii="Times New Roman" w:hAnsi="Times New Roman" w:eastAsia="Times New Roman"/>
          <w:color w:val="000000"/>
          <w:spacing w:val="0"/>
          <w:w w:val="100"/>
          <w:sz w:val="20"/>
          <w:vertAlign w:val="baseline"/>
          <w:lang w:val="en-US"/>
        </w:rPr>
        <w:t xml:space="preserve">Information that must be provided to registered medical practitioner	</w:t>
      </w:r>
      <w:r>
        <w:rPr>
          <w:rFonts w:ascii="Times New Roman" w:hAnsi="Times New Roman" w:eastAsia="Times New Roman"/>
          <w:color w:val="000000"/>
          <w:spacing w:val="0"/>
          <w:w w:val="100"/>
          <w:sz w:val="20"/>
          <w:vertAlign w:val="baseline"/>
          <w:lang w:val="en-US"/>
        </w:rPr>
        <w:t xml:space="preserve">305</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440	</w:t>
      </w:r>
      <w:r>
        <w:rPr>
          <w:rFonts w:ascii="Times New Roman" w:hAnsi="Times New Roman" w:eastAsia="Times New Roman"/>
          <w:color w:val="000000"/>
          <w:spacing w:val="0"/>
          <w:w w:val="100"/>
          <w:sz w:val="20"/>
          <w:vertAlign w:val="baseline"/>
          <w:lang w:val="en-US"/>
        </w:rPr>
        <w:t xml:space="preserve">Duty to obtain health monitoring report	</w:t>
      </w:r>
      <w:r>
        <w:rPr>
          <w:rFonts w:ascii="Times New Roman" w:hAnsi="Times New Roman" w:eastAsia="Times New Roman"/>
          <w:color w:val="000000"/>
          <w:spacing w:val="0"/>
          <w:w w:val="100"/>
          <w:sz w:val="20"/>
          <w:vertAlign w:val="baseline"/>
          <w:lang w:val="en-US"/>
        </w:rPr>
        <w:t xml:space="preserve">305</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441	</w:t>
      </w:r>
      <w:r>
        <w:rPr>
          <w:rFonts w:ascii="Times New Roman" w:hAnsi="Times New Roman" w:eastAsia="Times New Roman"/>
          <w:color w:val="000000"/>
          <w:spacing w:val="0"/>
          <w:w w:val="100"/>
          <w:sz w:val="20"/>
          <w:vertAlign w:val="baseline"/>
          <w:lang w:val="en-US"/>
        </w:rPr>
        <w:t xml:space="preserve">Duty to give health monitoring report to worker	</w:t>
      </w:r>
      <w:r>
        <w:rPr>
          <w:rFonts w:ascii="Times New Roman" w:hAnsi="Times New Roman" w:eastAsia="Times New Roman"/>
          <w:color w:val="000000"/>
          <w:spacing w:val="0"/>
          <w:w w:val="100"/>
          <w:sz w:val="20"/>
          <w:vertAlign w:val="baseline"/>
          <w:lang w:val="en-US"/>
        </w:rPr>
        <w:t xml:space="preserve">306</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442	</w:t>
      </w:r>
      <w:r>
        <w:rPr>
          <w:rFonts w:ascii="Times New Roman" w:hAnsi="Times New Roman" w:eastAsia="Times New Roman"/>
          <w:color w:val="000000"/>
          <w:spacing w:val="0"/>
          <w:w w:val="100"/>
          <w:sz w:val="20"/>
          <w:vertAlign w:val="baseline"/>
          <w:lang w:val="en-US"/>
        </w:rPr>
        <w:t xml:space="preserve">Duty to give health monitoring report to regulator	</w:t>
      </w:r>
      <w:r>
        <w:rPr>
          <w:rFonts w:ascii="Times New Roman" w:hAnsi="Times New Roman" w:eastAsia="Times New Roman"/>
          <w:color w:val="000000"/>
          <w:spacing w:val="0"/>
          <w:w w:val="100"/>
          <w:sz w:val="20"/>
          <w:vertAlign w:val="baseline"/>
          <w:lang w:val="en-US"/>
        </w:rPr>
        <w:t xml:space="preserve">306</w:t>
      </w:r>
    </w:p>
    <w:p>
      <w:pPr>
        <w:tabs>
          <w:tab w:val="left" w:leader="none" w:pos="720"/>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443	</w:t>
      </w:r>
      <w:r>
        <w:rPr>
          <w:rFonts w:ascii="Times New Roman" w:hAnsi="Times New Roman" w:eastAsia="Times New Roman"/>
          <w:color w:val="000000"/>
          <w:spacing w:val="0"/>
          <w:w w:val="100"/>
          <w:sz w:val="20"/>
          <w:vertAlign w:val="baseline"/>
          <w:lang w:val="en-US"/>
        </w:rPr>
        <w:t xml:space="preserve">Duty to give health monitoring report to relevant persons conducting businesses or</w:t>
      </w:r>
    </w:p>
    <w:p>
      <w:pPr>
        <w:tabs>
          <w:tab w:val="right" w:leader="none" w:pos="7704"/>
        </w:tabs>
        <w:spacing w:before="0" w:after="0" w:line="230" w:lineRule="exact"/>
        <w:ind w:right="0" w:left="7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undertakings	</w:t>
      </w:r>
      <w:r>
        <w:rPr>
          <w:rFonts w:ascii="Times New Roman" w:hAnsi="Times New Roman" w:eastAsia="Times New Roman"/>
          <w:color w:val="000000"/>
          <w:spacing w:val="0"/>
          <w:w w:val="100"/>
          <w:sz w:val="20"/>
          <w:vertAlign w:val="baseline"/>
          <w:lang w:val="en-US"/>
        </w:rPr>
        <w:t xml:space="preserve">306</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444	</w:t>
      </w:r>
      <w:r>
        <w:rPr>
          <w:rFonts w:ascii="Times New Roman" w:hAnsi="Times New Roman" w:eastAsia="Times New Roman"/>
          <w:color w:val="000000"/>
          <w:spacing w:val="0"/>
          <w:w w:val="100"/>
          <w:sz w:val="20"/>
          <w:vertAlign w:val="baseline"/>
          <w:lang w:val="en-US"/>
        </w:rPr>
        <w:t xml:space="preserve">Health monitoring records	</w:t>
      </w:r>
      <w:r>
        <w:rPr>
          <w:rFonts w:ascii="Times New Roman" w:hAnsi="Times New Roman" w:eastAsia="Times New Roman"/>
          <w:color w:val="000000"/>
          <w:spacing w:val="0"/>
          <w:w w:val="100"/>
          <w:sz w:val="20"/>
          <w:vertAlign w:val="baseline"/>
          <w:lang w:val="en-US"/>
        </w:rPr>
        <w:t xml:space="preserve">307</w:t>
      </w:r>
    </w:p>
    <w:p>
      <w:pPr>
        <w:tabs>
          <w:tab w:val="left" w:leader="none" w:pos="1368"/>
          <w:tab w:val="right" w:leader="none" w:pos="7704"/>
        </w:tabs>
        <w:spacing w:before="2"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2	</w:t>
      </w:r>
      <w:r>
        <w:rPr>
          <w:rFonts w:ascii="Times New Roman" w:hAnsi="Times New Roman" w:eastAsia="Times New Roman"/>
          <w:b w:val="true"/>
          <w:color w:val="000000"/>
          <w:spacing w:val="0"/>
          <w:w w:val="100"/>
          <w:sz w:val="20"/>
          <w:vertAlign w:val="baseline"/>
          <w:lang w:val="en-US"/>
        </w:rPr>
        <w:t xml:space="preserve">Training	</w:t>
      </w:r>
      <w:r>
        <w:rPr>
          <w:rFonts w:ascii="Times New Roman" w:hAnsi="Times New Roman" w:eastAsia="Times New Roman"/>
          <w:b w:val="true"/>
          <w:color w:val="000000"/>
          <w:spacing w:val="0"/>
          <w:w w:val="100"/>
          <w:sz w:val="20"/>
          <w:vertAlign w:val="baseline"/>
          <w:lang w:val="en-US"/>
        </w:rPr>
        <w:t xml:space="preserve">307</w:t>
      </w:r>
    </w:p>
    <w:p>
      <w:pPr>
        <w:tabs>
          <w:tab w:val="left" w:leader="none" w:pos="720"/>
          <w:tab w:val="right" w:leader="none" w:pos="7704"/>
        </w:tabs>
        <w:spacing w:before="12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445	</w:t>
      </w:r>
      <w:r>
        <w:rPr>
          <w:rFonts w:ascii="Times New Roman" w:hAnsi="Times New Roman" w:eastAsia="Times New Roman"/>
          <w:color w:val="000000"/>
          <w:spacing w:val="0"/>
          <w:w w:val="100"/>
          <w:sz w:val="20"/>
          <w:vertAlign w:val="baseline"/>
          <w:lang w:val="en-US"/>
        </w:rPr>
        <w:t xml:space="preserve">Duty to train workers about asbestos	</w:t>
      </w:r>
      <w:r>
        <w:rPr>
          <w:rFonts w:ascii="Times New Roman" w:hAnsi="Times New Roman" w:eastAsia="Times New Roman"/>
          <w:color w:val="000000"/>
          <w:spacing w:val="0"/>
          <w:w w:val="100"/>
          <w:sz w:val="20"/>
          <w:vertAlign w:val="baseline"/>
          <w:lang w:val="en-US"/>
        </w:rPr>
        <w:t xml:space="preserve">307</w:t>
      </w:r>
    </w:p>
    <w:p>
      <w:pPr>
        <w:tabs>
          <w:tab w:val="left" w:leader="none" w:pos="1368"/>
          <w:tab w:val="right" w:leader="none" w:pos="7704"/>
        </w:tabs>
        <w:spacing w:before="3"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3	</w:t>
      </w:r>
      <w:r>
        <w:rPr>
          <w:rFonts w:ascii="Times New Roman" w:hAnsi="Times New Roman" w:eastAsia="Times New Roman"/>
          <w:b w:val="true"/>
          <w:color w:val="000000"/>
          <w:spacing w:val="0"/>
          <w:w w:val="100"/>
          <w:sz w:val="20"/>
          <w:vertAlign w:val="baseline"/>
          <w:lang w:val="en-US"/>
        </w:rPr>
        <w:t xml:space="preserve">Control on use of certain equipment	</w:t>
      </w:r>
      <w:r>
        <w:rPr>
          <w:rFonts w:ascii="Times New Roman" w:hAnsi="Times New Roman" w:eastAsia="Times New Roman"/>
          <w:b w:val="true"/>
          <w:color w:val="000000"/>
          <w:spacing w:val="0"/>
          <w:w w:val="100"/>
          <w:sz w:val="20"/>
          <w:vertAlign w:val="baseline"/>
          <w:lang w:val="en-US"/>
        </w:rPr>
        <w:t xml:space="preserve">308</w:t>
      </w:r>
    </w:p>
    <w:p>
      <w:pPr>
        <w:tabs>
          <w:tab w:val="left" w:leader="none" w:pos="720"/>
          <w:tab w:val="right" w:leader="none" w:pos="7704"/>
        </w:tabs>
        <w:spacing w:before="115"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446	</w:t>
      </w:r>
      <w:r>
        <w:rPr>
          <w:rFonts w:ascii="Times New Roman" w:hAnsi="Times New Roman" w:eastAsia="Times New Roman"/>
          <w:color w:val="000000"/>
          <w:spacing w:val="0"/>
          <w:w w:val="100"/>
          <w:sz w:val="20"/>
          <w:vertAlign w:val="baseline"/>
          <w:lang w:val="en-US"/>
        </w:rPr>
        <w:t xml:space="preserve">Duty to limit use of equipment	</w:t>
      </w:r>
      <w:r>
        <w:rPr>
          <w:rFonts w:ascii="Times New Roman" w:hAnsi="Times New Roman" w:eastAsia="Times New Roman"/>
          <w:color w:val="000000"/>
          <w:spacing w:val="0"/>
          <w:w w:val="100"/>
          <w:sz w:val="20"/>
          <w:vertAlign w:val="baseline"/>
          <w:lang w:val="en-US"/>
        </w:rPr>
        <w:t xml:space="preserve">308</w:t>
      </w:r>
    </w:p>
    <w:p>
      <w:pPr>
        <w:tabs>
          <w:tab w:val="left" w:leader="none" w:pos="1368"/>
          <w:tab w:val="right" w:leader="none" w:pos="7704"/>
        </w:tabs>
        <w:spacing w:before="243"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8.6	</w:t>
      </w:r>
      <w:r>
        <w:rPr>
          <w:rFonts w:ascii="Times New Roman" w:hAnsi="Times New Roman" w:eastAsia="Times New Roman"/>
          <w:b w:val="true"/>
          <w:color w:val="000000"/>
          <w:spacing w:val="0"/>
          <w:w w:val="100"/>
          <w:sz w:val="20"/>
          <w:vertAlign w:val="baseline"/>
          <w:lang w:val="en-US"/>
        </w:rPr>
        <w:t xml:space="preserve">DEMOLITION AND REFURBISHMENT	</w:t>
      </w:r>
      <w:r>
        <w:rPr>
          <w:rFonts w:ascii="Times New Roman" w:hAnsi="Times New Roman" w:eastAsia="Times New Roman"/>
          <w:b w:val="true"/>
          <w:color w:val="000000"/>
          <w:spacing w:val="0"/>
          <w:w w:val="100"/>
          <w:sz w:val="20"/>
          <w:vertAlign w:val="baseline"/>
          <w:lang w:val="en-US"/>
        </w:rPr>
        <w:t xml:space="preserve">310</w:t>
      </w:r>
    </w:p>
    <w:p>
      <w:pPr>
        <w:tabs>
          <w:tab w:val="right" w:leader="none" w:pos="7704"/>
        </w:tabs>
        <w:spacing w:before="12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447 Application—Part 8.6	</w:t>
      </w:r>
      <w:r>
        <w:rPr>
          <w:rFonts w:ascii="Times New Roman" w:hAnsi="Times New Roman" w:eastAsia="Times New Roman"/>
          <w:color w:val="000000"/>
          <w:spacing w:val="0"/>
          <w:w w:val="100"/>
          <w:sz w:val="20"/>
          <w:vertAlign w:val="baseline"/>
          <w:lang w:val="en-US"/>
        </w:rPr>
        <w:t xml:space="preserve">310</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448	</w:t>
      </w:r>
      <w:r>
        <w:rPr>
          <w:rFonts w:ascii="Times New Roman" w:hAnsi="Times New Roman" w:eastAsia="Times New Roman"/>
          <w:color w:val="000000"/>
          <w:spacing w:val="0"/>
          <w:w w:val="100"/>
          <w:sz w:val="20"/>
          <w:vertAlign w:val="baseline"/>
          <w:lang w:val="en-US"/>
        </w:rPr>
        <w:t xml:space="preserve">Review of asbestos register	</w:t>
      </w:r>
      <w:r>
        <w:rPr>
          <w:rFonts w:ascii="Times New Roman" w:hAnsi="Times New Roman" w:eastAsia="Times New Roman"/>
          <w:color w:val="000000"/>
          <w:spacing w:val="0"/>
          <w:w w:val="100"/>
          <w:sz w:val="20"/>
          <w:vertAlign w:val="baseline"/>
          <w:lang w:val="en-US"/>
        </w:rPr>
        <w:t xml:space="preserve">310</w:t>
      </w:r>
    </w:p>
    <w:p>
      <w:pPr>
        <w:tabs>
          <w:tab w:val="left" w:leader="none" w:pos="720"/>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449	</w:t>
      </w:r>
      <w:r>
        <w:rPr>
          <w:rFonts w:ascii="Times New Roman" w:hAnsi="Times New Roman" w:eastAsia="Times New Roman"/>
          <w:color w:val="000000"/>
          <w:spacing w:val="0"/>
          <w:w w:val="100"/>
          <w:sz w:val="20"/>
          <w:vertAlign w:val="baseline"/>
          <w:lang w:val="en-US"/>
        </w:rPr>
        <w:t xml:space="preserve">Duty to give asbestos register to person conducting business or undertaking of</w:t>
      </w:r>
    </w:p>
    <w:p>
      <w:pPr>
        <w:tabs>
          <w:tab w:val="right" w:leader="none" w:pos="7704"/>
        </w:tabs>
        <w:spacing w:before="0" w:after="0" w:line="230" w:lineRule="exact"/>
        <w:ind w:right="0" w:left="7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demolition or refurbishment	</w:t>
      </w:r>
      <w:r>
        <w:rPr>
          <w:rFonts w:ascii="Times New Roman" w:hAnsi="Times New Roman" w:eastAsia="Times New Roman"/>
          <w:color w:val="000000"/>
          <w:spacing w:val="0"/>
          <w:w w:val="100"/>
          <w:sz w:val="20"/>
          <w:vertAlign w:val="baseline"/>
          <w:lang w:val="en-US"/>
        </w:rPr>
        <w:t xml:space="preserve">310</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450	</w:t>
      </w:r>
      <w:r>
        <w:rPr>
          <w:rFonts w:ascii="Times New Roman" w:hAnsi="Times New Roman" w:eastAsia="Times New Roman"/>
          <w:color w:val="000000"/>
          <w:spacing w:val="0"/>
          <w:w w:val="100"/>
          <w:sz w:val="20"/>
          <w:vertAlign w:val="baseline"/>
          <w:lang w:val="en-US"/>
        </w:rPr>
        <w:t xml:space="preserve">Duty to obtain asbestos register	</w:t>
      </w:r>
      <w:r>
        <w:rPr>
          <w:rFonts w:ascii="Times New Roman" w:hAnsi="Times New Roman" w:eastAsia="Times New Roman"/>
          <w:color w:val="000000"/>
          <w:spacing w:val="0"/>
          <w:w w:val="100"/>
          <w:sz w:val="20"/>
          <w:vertAlign w:val="baseline"/>
          <w:lang w:val="en-US"/>
        </w:rPr>
        <w:t xml:space="preserve">310</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451	</w:t>
      </w:r>
      <w:r>
        <w:rPr>
          <w:rFonts w:ascii="Times New Roman" w:hAnsi="Times New Roman" w:eastAsia="Times New Roman"/>
          <w:color w:val="000000"/>
          <w:spacing w:val="0"/>
          <w:w w:val="100"/>
          <w:sz w:val="20"/>
          <w:vertAlign w:val="baseline"/>
          <w:lang w:val="en-US"/>
        </w:rPr>
        <w:t xml:space="preserve">Determining presence of asbestos or ACM	</w:t>
      </w:r>
      <w:r>
        <w:rPr>
          <w:rFonts w:ascii="Times New Roman" w:hAnsi="Times New Roman" w:eastAsia="Times New Roman"/>
          <w:color w:val="000000"/>
          <w:spacing w:val="0"/>
          <w:w w:val="100"/>
          <w:sz w:val="20"/>
          <w:vertAlign w:val="baseline"/>
          <w:lang w:val="en-US"/>
        </w:rPr>
        <w:t xml:space="preserve">311</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452	</w:t>
      </w:r>
      <w:r>
        <w:rPr>
          <w:rFonts w:ascii="Times New Roman" w:hAnsi="Times New Roman" w:eastAsia="Times New Roman"/>
          <w:color w:val="000000"/>
          <w:spacing w:val="0"/>
          <w:w w:val="100"/>
          <w:sz w:val="20"/>
          <w:vertAlign w:val="baseline"/>
          <w:lang w:val="en-US"/>
        </w:rPr>
        <w:t xml:space="preserve">Identification and removal of asbestos before demolition	</w:t>
      </w:r>
      <w:r>
        <w:rPr>
          <w:rFonts w:ascii="Times New Roman" w:hAnsi="Times New Roman" w:eastAsia="Times New Roman"/>
          <w:color w:val="000000"/>
          <w:spacing w:val="0"/>
          <w:w w:val="100"/>
          <w:sz w:val="20"/>
          <w:vertAlign w:val="baseline"/>
          <w:lang w:val="en-US"/>
        </w:rPr>
        <w:t xml:space="preserve">312</w:t>
      </w:r>
    </w:p>
    <w:p>
      <w:pPr>
        <w:tabs>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453	</w:t>
      </w:r>
      <w:r>
        <w:rPr>
          <w:rFonts w:ascii="Times New Roman" w:hAnsi="Times New Roman" w:eastAsia="Times New Roman"/>
          <w:color w:val="000000"/>
          <w:spacing w:val="0"/>
          <w:w w:val="100"/>
          <w:sz w:val="20"/>
          <w:vertAlign w:val="baseline"/>
          <w:lang w:val="en-US"/>
        </w:rPr>
        <w:t xml:space="preserve">Identification and removal of asbestos before demolition of residential premises 312</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454	</w:t>
      </w:r>
      <w:r>
        <w:rPr>
          <w:rFonts w:ascii="Times New Roman" w:hAnsi="Times New Roman" w:eastAsia="Times New Roman"/>
          <w:color w:val="000000"/>
          <w:spacing w:val="0"/>
          <w:w w:val="100"/>
          <w:sz w:val="20"/>
          <w:vertAlign w:val="baseline"/>
          <w:lang w:val="en-US"/>
        </w:rPr>
        <w:t xml:space="preserve">Emergency procedure	</w:t>
      </w:r>
      <w:r>
        <w:rPr>
          <w:rFonts w:ascii="Times New Roman" w:hAnsi="Times New Roman" w:eastAsia="Times New Roman"/>
          <w:color w:val="000000"/>
          <w:spacing w:val="0"/>
          <w:w w:val="100"/>
          <w:sz w:val="20"/>
          <w:vertAlign w:val="baseline"/>
          <w:lang w:val="en-US"/>
        </w:rPr>
        <w:t xml:space="preserve">313</w:t>
      </w:r>
    </w:p>
    <w:p>
      <w:pPr>
        <w:tabs>
          <w:tab w:val="left" w:leader="none" w:pos="720"/>
          <w:tab w:val="right" w:leader="none" w:pos="7704"/>
        </w:tabs>
        <w:spacing w:before="0" w:after="0" w:line="226"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455	</w:t>
      </w:r>
      <w:r>
        <w:rPr>
          <w:rFonts w:ascii="Times New Roman" w:hAnsi="Times New Roman" w:eastAsia="Times New Roman"/>
          <w:color w:val="000000"/>
          <w:spacing w:val="0"/>
          <w:w w:val="100"/>
          <w:sz w:val="20"/>
          <w:vertAlign w:val="baseline"/>
          <w:lang w:val="en-US"/>
        </w:rPr>
        <w:t xml:space="preserve">Emergency procedure—residential premises	</w:t>
      </w:r>
      <w:r>
        <w:rPr>
          <w:rFonts w:ascii="Times New Roman" w:hAnsi="Times New Roman" w:eastAsia="Times New Roman"/>
          <w:color w:val="000000"/>
          <w:spacing w:val="0"/>
          <w:w w:val="100"/>
          <w:sz w:val="20"/>
          <w:vertAlign w:val="baseline"/>
          <w:lang w:val="en-US"/>
        </w:rPr>
        <w:t xml:space="preserve">314</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456	</w:t>
      </w:r>
      <w:r>
        <w:rPr>
          <w:rFonts w:ascii="Times New Roman" w:hAnsi="Times New Roman" w:eastAsia="Times New Roman"/>
          <w:color w:val="000000"/>
          <w:spacing w:val="0"/>
          <w:w w:val="100"/>
          <w:sz w:val="20"/>
          <w:vertAlign w:val="baseline"/>
          <w:lang w:val="en-US"/>
        </w:rPr>
        <w:t xml:space="preserve">Identification and removal of asbestos before refurbishment	</w:t>
      </w:r>
      <w:r>
        <w:rPr>
          <w:rFonts w:ascii="Times New Roman" w:hAnsi="Times New Roman" w:eastAsia="Times New Roman"/>
          <w:color w:val="000000"/>
          <w:spacing w:val="0"/>
          <w:w w:val="100"/>
          <w:sz w:val="20"/>
          <w:vertAlign w:val="baseline"/>
          <w:lang w:val="en-US"/>
        </w:rPr>
        <w:t xml:space="preserve">314</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457	</w:t>
      </w:r>
      <w:r>
        <w:rPr>
          <w:rFonts w:ascii="Times New Roman" w:hAnsi="Times New Roman" w:eastAsia="Times New Roman"/>
          <w:color w:val="000000"/>
          <w:spacing w:val="0"/>
          <w:w w:val="100"/>
          <w:sz w:val="20"/>
          <w:vertAlign w:val="baseline"/>
          <w:lang w:val="en-US"/>
        </w:rPr>
        <w:t xml:space="preserve">Refurbishment of residential premises	</w:t>
      </w:r>
      <w:r>
        <w:rPr>
          <w:rFonts w:ascii="Times New Roman" w:hAnsi="Times New Roman" w:eastAsia="Times New Roman"/>
          <w:color w:val="000000"/>
          <w:spacing w:val="0"/>
          <w:w w:val="100"/>
          <w:sz w:val="20"/>
          <w:vertAlign w:val="baseline"/>
          <w:lang w:val="en-US"/>
        </w:rPr>
        <w:t xml:space="preserve">315</w:t>
      </w:r>
    </w:p>
    <w:p>
      <w:pPr>
        <w:tabs>
          <w:tab w:val="left" w:leader="none" w:pos="1368"/>
          <w:tab w:val="right" w:leader="none" w:pos="7704"/>
        </w:tabs>
        <w:spacing w:before="242"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8.7	</w:t>
      </w:r>
      <w:r>
        <w:rPr>
          <w:rFonts w:ascii="Times New Roman" w:hAnsi="Times New Roman" w:eastAsia="Times New Roman"/>
          <w:b w:val="true"/>
          <w:color w:val="000000"/>
          <w:spacing w:val="0"/>
          <w:w w:val="100"/>
          <w:sz w:val="20"/>
          <w:vertAlign w:val="baseline"/>
          <w:lang w:val="en-US"/>
        </w:rPr>
        <w:t xml:space="preserve">ASBESTOS REMOVAL WORK	</w:t>
      </w:r>
      <w:r>
        <w:rPr>
          <w:rFonts w:ascii="Times New Roman" w:hAnsi="Times New Roman" w:eastAsia="Times New Roman"/>
          <w:b w:val="true"/>
          <w:color w:val="000000"/>
          <w:spacing w:val="0"/>
          <w:w w:val="100"/>
          <w:sz w:val="20"/>
          <w:vertAlign w:val="baseline"/>
          <w:lang w:val="en-US"/>
        </w:rPr>
        <w:t xml:space="preserve">316</w:t>
      </w:r>
    </w:p>
    <w:p>
      <w:pPr>
        <w:tabs>
          <w:tab w:val="left" w:leader="none" w:pos="720"/>
          <w:tab w:val="right" w:leader="none" w:pos="7704"/>
        </w:tabs>
        <w:spacing w:before="12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458	</w:t>
      </w:r>
      <w:r>
        <w:rPr>
          <w:rFonts w:ascii="Times New Roman" w:hAnsi="Times New Roman" w:eastAsia="Times New Roman"/>
          <w:color w:val="000000"/>
          <w:spacing w:val="0"/>
          <w:w w:val="100"/>
          <w:sz w:val="20"/>
          <w:vertAlign w:val="baseline"/>
          <w:lang w:val="en-US"/>
        </w:rPr>
        <w:t xml:space="preserve">Duty to ensure asbestos removalist is licensed	</w:t>
      </w:r>
      <w:r>
        <w:rPr>
          <w:rFonts w:ascii="Times New Roman" w:hAnsi="Times New Roman" w:eastAsia="Times New Roman"/>
          <w:color w:val="000000"/>
          <w:spacing w:val="0"/>
          <w:w w:val="100"/>
          <w:sz w:val="20"/>
          <w:vertAlign w:val="baseline"/>
          <w:lang w:val="en-US"/>
        </w:rPr>
        <w:t xml:space="preserve">316</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459	</w:t>
      </w:r>
      <w:r>
        <w:rPr>
          <w:rFonts w:ascii="Times New Roman" w:hAnsi="Times New Roman" w:eastAsia="Times New Roman"/>
          <w:color w:val="000000"/>
          <w:spacing w:val="0"/>
          <w:w w:val="100"/>
          <w:sz w:val="20"/>
          <w:vertAlign w:val="baseline"/>
          <w:lang w:val="en-US"/>
        </w:rPr>
        <w:t xml:space="preserve">Asbestos removal supervisor must be present or readily available	</w:t>
      </w:r>
      <w:r>
        <w:rPr>
          <w:rFonts w:ascii="Times New Roman" w:hAnsi="Times New Roman" w:eastAsia="Times New Roman"/>
          <w:color w:val="000000"/>
          <w:spacing w:val="0"/>
          <w:w w:val="100"/>
          <w:sz w:val="20"/>
          <w:vertAlign w:val="baseline"/>
          <w:lang w:val="en-US"/>
        </w:rPr>
        <w:t xml:space="preserve">316</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460	</w:t>
      </w:r>
      <w:r>
        <w:rPr>
          <w:rFonts w:ascii="Times New Roman" w:hAnsi="Times New Roman" w:eastAsia="Times New Roman"/>
          <w:color w:val="000000"/>
          <w:spacing w:val="0"/>
          <w:w w:val="100"/>
          <w:sz w:val="20"/>
          <w:vertAlign w:val="baseline"/>
          <w:lang w:val="en-US"/>
        </w:rPr>
        <w:t xml:space="preserve">Asbestos removal worker must be trained	</w:t>
      </w:r>
      <w:r>
        <w:rPr>
          <w:rFonts w:ascii="Times New Roman" w:hAnsi="Times New Roman" w:eastAsia="Times New Roman"/>
          <w:color w:val="000000"/>
          <w:spacing w:val="0"/>
          <w:w w:val="100"/>
          <w:sz w:val="20"/>
          <w:vertAlign w:val="baseline"/>
          <w:lang w:val="en-US"/>
        </w:rPr>
        <w:t xml:space="preserve">317</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461	</w:t>
      </w:r>
      <w:r>
        <w:rPr>
          <w:rFonts w:ascii="Times New Roman" w:hAnsi="Times New Roman" w:eastAsia="Times New Roman"/>
          <w:color w:val="000000"/>
          <w:spacing w:val="0"/>
          <w:w w:val="100"/>
          <w:sz w:val="20"/>
          <w:vertAlign w:val="baseline"/>
          <w:lang w:val="en-US"/>
        </w:rPr>
        <w:t xml:space="preserve">Licensed asbestos removalist must keep training records	</w:t>
      </w:r>
      <w:r>
        <w:rPr>
          <w:rFonts w:ascii="Times New Roman" w:hAnsi="Times New Roman" w:eastAsia="Times New Roman"/>
          <w:color w:val="000000"/>
          <w:spacing w:val="0"/>
          <w:w w:val="100"/>
          <w:sz w:val="20"/>
          <w:vertAlign w:val="baseline"/>
          <w:lang w:val="en-US"/>
        </w:rPr>
        <w:t xml:space="preserve">317</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462	</w:t>
      </w:r>
      <w:r>
        <w:rPr>
          <w:rFonts w:ascii="Times New Roman" w:hAnsi="Times New Roman" w:eastAsia="Times New Roman"/>
          <w:color w:val="000000"/>
          <w:spacing w:val="0"/>
          <w:w w:val="100"/>
          <w:sz w:val="20"/>
          <w:vertAlign w:val="baseline"/>
          <w:lang w:val="en-US"/>
        </w:rPr>
        <w:t xml:space="preserve">Duty to give information about health risks of licensed asbestos removal work	</w:t>
      </w:r>
      <w:r>
        <w:rPr>
          <w:rFonts w:ascii="Times New Roman" w:hAnsi="Times New Roman" w:eastAsia="Times New Roman"/>
          <w:color w:val="000000"/>
          <w:spacing w:val="0"/>
          <w:w w:val="100"/>
          <w:sz w:val="20"/>
          <w:vertAlign w:val="baseline"/>
          <w:lang w:val="en-US"/>
        </w:rPr>
        <w:t xml:space="preserve">318</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463	</w:t>
      </w:r>
      <w:r>
        <w:rPr>
          <w:rFonts w:ascii="Times New Roman" w:hAnsi="Times New Roman" w:eastAsia="Times New Roman"/>
          <w:color w:val="000000"/>
          <w:spacing w:val="0"/>
          <w:w w:val="100"/>
          <w:sz w:val="20"/>
          <w:vertAlign w:val="baseline"/>
          <w:lang w:val="en-US"/>
        </w:rPr>
        <w:t xml:space="preserve">Asbestos removalist must obtain register	</w:t>
      </w:r>
      <w:r>
        <w:rPr>
          <w:rFonts w:ascii="Times New Roman" w:hAnsi="Times New Roman" w:eastAsia="Times New Roman"/>
          <w:color w:val="000000"/>
          <w:spacing w:val="0"/>
          <w:w w:val="100"/>
          <w:sz w:val="20"/>
          <w:vertAlign w:val="baseline"/>
          <w:lang w:val="en-US"/>
        </w:rPr>
        <w:t xml:space="preserve">318</w:t>
      </w:r>
    </w:p>
    <w:p>
      <w:pPr>
        <w:tabs>
          <w:tab w:val="left" w:leader="none" w:pos="720"/>
          <w:tab w:val="right" w:leader="none" w:pos="7704"/>
        </w:tabs>
        <w:spacing w:before="0" w:after="714"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10.65pt" to="498.5pt,710.6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464	</w:t>
      </w:r>
      <w:r>
        <w:rPr>
          <w:rFonts w:ascii="Times New Roman" w:hAnsi="Times New Roman" w:eastAsia="Times New Roman"/>
          <w:color w:val="000000"/>
          <w:spacing w:val="0"/>
          <w:w w:val="100"/>
          <w:sz w:val="20"/>
          <w:vertAlign w:val="baseline"/>
          <w:lang w:val="en-US"/>
        </w:rPr>
        <w:t xml:space="preserve">Asbestos removal control plan	</w:t>
      </w:r>
      <w:r>
        <w:rPr>
          <w:rFonts w:ascii="Times New Roman" w:hAnsi="Times New Roman" w:eastAsia="Times New Roman"/>
          <w:color w:val="000000"/>
          <w:spacing w:val="0"/>
          <w:w w:val="100"/>
          <w:sz w:val="20"/>
          <w:vertAlign w:val="baseline"/>
          <w:lang w:val="en-US"/>
        </w:rPr>
        <w:t xml:space="preserve">318</w:t>
      </w:r>
    </w:p>
    <w:p>
      <w:pPr>
        <w:spacing w:before="0" w:after="714" w:line="230" w:lineRule="exact"/>
        <w:sectPr>
          <w:type w:val="nextPage"/>
          <w:pgSz w:w="11909" w:h="16838" w:orient="portrait"/>
          <w:pgMar w:bottom="1542" w:top="1320" w:right="1940" w:left="1949" w:header="720" w:footer="720"/>
          <w:titlePg w:val="false"/>
          <w:textDirection w:val="lrTb"/>
        </w:sectPr>
      </w:pPr>
    </w:p>
    <w:p>
      <w:pPr>
        <w:tabs>
          <w:tab w:val="right" w:leader="none" w:pos="4032"/>
        </w:tabs>
        <w:spacing w:before="12" w:after="0" w:line="179" w:lineRule="exact"/>
        <w:ind w:right="0" w:left="0" w:firstLine="0"/>
        <w:jc w:val="left"/>
        <w:textAlignment w:val="baseline"/>
        <w:rPr>
          <w:rFonts w:ascii="Times New Roman" w:hAnsi="Times New Roman" w:eastAsia="Times New Roman"/>
          <w:color w:val="000000"/>
          <w:spacing w:val="0"/>
          <w:w w:val="100"/>
          <w:sz w:val="17"/>
          <w:vertAlign w:val="baseline"/>
          <w:lang w:val="en-US"/>
        </w:rPr>
      </w:pPr>
      <w:r>
        <w:rPr>
          <w:rFonts w:ascii="Times New Roman" w:hAnsi="Times New Roman" w:eastAsia="Times New Roman"/>
          <w:color w:val="000000"/>
          <w:spacing w:val="0"/>
          <w:w w:val="100"/>
          <w:sz w:val="17"/>
          <w:vertAlign w:val="baseline"/>
          <w:lang w:val="en-US"/>
        </w:rPr>
        <w:t xml:space="preserve">PCC [359] 1.1.2021	</w:t>
      </w:r>
      <w:r>
        <w:rPr>
          <w:rFonts w:ascii="Times New Roman" w:hAnsi="Times New Roman" w:eastAsia="Times New Roman"/>
          <w:color w:val="000000"/>
          <w:spacing w:val="0"/>
          <w:w w:val="100"/>
          <w:sz w:val="17"/>
          <w:vertAlign w:val="baseline"/>
          <w:lang w:val="en-US"/>
        </w:rPr>
        <w:t xml:space="preserve">15</w:t>
      </w:r>
    </w:p>
    <w:p>
      <w:pPr>
        <w:sectPr>
          <w:type w:val="continuous"/>
          <w:pgSz w:w="11909" w:h="16838" w:orient="portrait"/>
          <w:pgMar w:bottom="1542" w:top="1320" w:right="5876" w:left="1993" w:header="720" w:footer="720"/>
          <w:titlePg w:val="false"/>
          <w:textDirection w:val="lrTb"/>
        </w:sectPr>
      </w:pPr>
    </w:p>
    <w:p>
      <w:pPr>
        <w:spacing w:before="20" w:after="23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720"/>
          <w:tab w:val="right" w:leader="none" w:pos="7704"/>
        </w:tabs>
        <w:spacing w:before="477"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90.95pt" to="498.5pt,90.9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465	</w:t>
      </w:r>
      <w:r>
        <w:rPr>
          <w:rFonts w:ascii="Times New Roman" w:hAnsi="Times New Roman" w:eastAsia="Times New Roman"/>
          <w:color w:val="000000"/>
          <w:spacing w:val="0"/>
          <w:w w:val="100"/>
          <w:sz w:val="20"/>
          <w:vertAlign w:val="baseline"/>
          <w:lang w:val="en-US"/>
        </w:rPr>
        <w:t xml:space="preserve">Asbestos removal control plan to be kept and available	</w:t>
      </w:r>
      <w:r>
        <w:rPr>
          <w:rFonts w:ascii="Times New Roman" w:hAnsi="Times New Roman" w:eastAsia="Times New Roman"/>
          <w:color w:val="000000"/>
          <w:spacing w:val="0"/>
          <w:w w:val="100"/>
          <w:sz w:val="20"/>
          <w:vertAlign w:val="baseline"/>
          <w:lang w:val="en-US"/>
        </w:rPr>
        <w:t xml:space="preserve">319</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466	</w:t>
      </w:r>
      <w:r>
        <w:rPr>
          <w:rFonts w:ascii="Times New Roman" w:hAnsi="Times New Roman" w:eastAsia="Times New Roman"/>
          <w:color w:val="000000"/>
          <w:spacing w:val="0"/>
          <w:w w:val="100"/>
          <w:sz w:val="20"/>
          <w:vertAlign w:val="baseline"/>
          <w:lang w:val="en-US"/>
        </w:rPr>
        <w:t xml:space="preserve">Regulator must be notified of asbestos removal	</w:t>
      </w:r>
      <w:r>
        <w:rPr>
          <w:rFonts w:ascii="Times New Roman" w:hAnsi="Times New Roman" w:eastAsia="Times New Roman"/>
          <w:color w:val="000000"/>
          <w:spacing w:val="0"/>
          <w:w w:val="100"/>
          <w:sz w:val="20"/>
          <w:vertAlign w:val="baseline"/>
          <w:lang w:val="en-US"/>
        </w:rPr>
        <w:t xml:space="preserve">320</w:t>
      </w:r>
    </w:p>
    <w:p>
      <w:pPr>
        <w:tabs>
          <w:tab w:val="left" w:leader="none" w:pos="720"/>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467	</w:t>
      </w:r>
      <w:r>
        <w:rPr>
          <w:rFonts w:ascii="Times New Roman" w:hAnsi="Times New Roman" w:eastAsia="Times New Roman"/>
          <w:color w:val="000000"/>
          <w:spacing w:val="0"/>
          <w:w w:val="100"/>
          <w:sz w:val="20"/>
          <w:vertAlign w:val="baseline"/>
          <w:lang w:val="en-US"/>
        </w:rPr>
        <w:t xml:space="preserve">Licensed asbestos removalist must inform certain persons about intended asbestos</w:t>
      </w:r>
    </w:p>
    <w:p>
      <w:pPr>
        <w:tabs>
          <w:tab w:val="right" w:leader="none" w:pos="7704"/>
        </w:tabs>
        <w:spacing w:before="0" w:after="0" w:line="230" w:lineRule="exact"/>
        <w:ind w:right="0" w:left="7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removal work	</w:t>
      </w:r>
      <w:r>
        <w:rPr>
          <w:rFonts w:ascii="Times New Roman" w:hAnsi="Times New Roman" w:eastAsia="Times New Roman"/>
          <w:color w:val="000000"/>
          <w:spacing w:val="0"/>
          <w:w w:val="100"/>
          <w:sz w:val="20"/>
          <w:vertAlign w:val="baseline"/>
          <w:lang w:val="en-US"/>
        </w:rPr>
        <w:t xml:space="preserve">322</w:t>
      </w:r>
    </w:p>
    <w:p>
      <w:pPr>
        <w:tabs>
          <w:tab w:val="left" w:leader="none" w:pos="720"/>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468	</w:t>
      </w:r>
      <w:r>
        <w:rPr>
          <w:rFonts w:ascii="Times New Roman" w:hAnsi="Times New Roman" w:eastAsia="Times New Roman"/>
          <w:color w:val="000000"/>
          <w:spacing w:val="0"/>
          <w:w w:val="100"/>
          <w:sz w:val="20"/>
          <w:vertAlign w:val="baseline"/>
          <w:lang w:val="en-US"/>
        </w:rPr>
        <w:t xml:space="preserve">Person with management or control of workplace must inform persons about asbestos</w:t>
      </w:r>
    </w:p>
    <w:p>
      <w:pPr>
        <w:tabs>
          <w:tab w:val="right" w:leader="none" w:pos="7704"/>
        </w:tabs>
        <w:spacing w:before="0" w:after="0" w:line="230" w:lineRule="exact"/>
        <w:ind w:right="0" w:left="7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removal work	</w:t>
      </w:r>
      <w:r>
        <w:rPr>
          <w:rFonts w:ascii="Times New Roman" w:hAnsi="Times New Roman" w:eastAsia="Times New Roman"/>
          <w:color w:val="000000"/>
          <w:spacing w:val="0"/>
          <w:w w:val="100"/>
          <w:sz w:val="20"/>
          <w:vertAlign w:val="baseline"/>
          <w:lang w:val="en-US"/>
        </w:rPr>
        <w:t xml:space="preserve">322</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469	</w:t>
      </w:r>
      <w:r>
        <w:rPr>
          <w:rFonts w:ascii="Times New Roman" w:hAnsi="Times New Roman" w:eastAsia="Times New Roman"/>
          <w:color w:val="000000"/>
          <w:spacing w:val="0"/>
          <w:w w:val="100"/>
          <w:sz w:val="20"/>
          <w:vertAlign w:val="baseline"/>
          <w:lang w:val="en-US"/>
        </w:rPr>
        <w:t xml:space="preserve">Signage and barricades for asbestos removal work	</w:t>
      </w:r>
      <w:r>
        <w:rPr>
          <w:rFonts w:ascii="Times New Roman" w:hAnsi="Times New Roman" w:eastAsia="Times New Roman"/>
          <w:color w:val="000000"/>
          <w:spacing w:val="0"/>
          <w:w w:val="100"/>
          <w:sz w:val="20"/>
          <w:vertAlign w:val="baseline"/>
          <w:lang w:val="en-US"/>
        </w:rPr>
        <w:t xml:space="preserve">323</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470	</w:t>
      </w:r>
      <w:r>
        <w:rPr>
          <w:rFonts w:ascii="Times New Roman" w:hAnsi="Times New Roman" w:eastAsia="Times New Roman"/>
          <w:color w:val="000000"/>
          <w:spacing w:val="0"/>
          <w:w w:val="100"/>
          <w:sz w:val="20"/>
          <w:vertAlign w:val="baseline"/>
          <w:lang w:val="en-US"/>
        </w:rPr>
        <w:t xml:space="preserve">Limiting access to asbestos removal area	</w:t>
      </w:r>
      <w:r>
        <w:rPr>
          <w:rFonts w:ascii="Times New Roman" w:hAnsi="Times New Roman" w:eastAsia="Times New Roman"/>
          <w:color w:val="000000"/>
          <w:spacing w:val="0"/>
          <w:w w:val="100"/>
          <w:sz w:val="20"/>
          <w:vertAlign w:val="baseline"/>
          <w:lang w:val="en-US"/>
        </w:rPr>
        <w:t xml:space="preserve">323</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471	</w:t>
      </w:r>
      <w:r>
        <w:rPr>
          <w:rFonts w:ascii="Times New Roman" w:hAnsi="Times New Roman" w:eastAsia="Times New Roman"/>
          <w:color w:val="000000"/>
          <w:spacing w:val="0"/>
          <w:w w:val="100"/>
          <w:sz w:val="20"/>
          <w:vertAlign w:val="baseline"/>
          <w:lang w:val="en-US"/>
        </w:rPr>
        <w:t xml:space="preserve">Decontamination facilities	</w:t>
      </w:r>
      <w:r>
        <w:rPr>
          <w:rFonts w:ascii="Times New Roman" w:hAnsi="Times New Roman" w:eastAsia="Times New Roman"/>
          <w:color w:val="000000"/>
          <w:spacing w:val="0"/>
          <w:w w:val="100"/>
          <w:sz w:val="20"/>
          <w:vertAlign w:val="baseline"/>
          <w:lang w:val="en-US"/>
        </w:rPr>
        <w:t xml:space="preserve">324</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472	</w:t>
      </w:r>
      <w:r>
        <w:rPr>
          <w:rFonts w:ascii="Times New Roman" w:hAnsi="Times New Roman" w:eastAsia="Times New Roman"/>
          <w:color w:val="000000"/>
          <w:spacing w:val="0"/>
          <w:w w:val="100"/>
          <w:sz w:val="20"/>
          <w:vertAlign w:val="baseline"/>
          <w:lang w:val="en-US"/>
        </w:rPr>
        <w:t xml:space="preserve">Disposing of asbestos waste and contaminated personal protective equipment	</w:t>
      </w:r>
      <w:r>
        <w:rPr>
          <w:rFonts w:ascii="Times New Roman" w:hAnsi="Times New Roman" w:eastAsia="Times New Roman"/>
          <w:color w:val="000000"/>
          <w:spacing w:val="0"/>
          <w:w w:val="100"/>
          <w:sz w:val="20"/>
          <w:vertAlign w:val="baseline"/>
          <w:lang w:val="en-US"/>
        </w:rPr>
        <w:t xml:space="preserve">325</w:t>
      </w:r>
    </w:p>
    <w:p>
      <w:pPr>
        <w:tabs>
          <w:tab w:val="left" w:leader="none" w:pos="720"/>
          <w:tab w:val="right" w:leader="none" w:pos="7704"/>
        </w:tabs>
        <w:spacing w:before="0" w:after="0" w:line="225"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473	</w:t>
      </w:r>
      <w:r>
        <w:rPr>
          <w:rFonts w:ascii="Times New Roman" w:hAnsi="Times New Roman" w:eastAsia="Times New Roman"/>
          <w:color w:val="000000"/>
          <w:spacing w:val="0"/>
          <w:w w:val="100"/>
          <w:sz w:val="20"/>
          <w:vertAlign w:val="baseline"/>
          <w:lang w:val="en-US"/>
        </w:rPr>
        <w:t xml:space="preserve">Clearance inspection	</w:t>
      </w:r>
      <w:r>
        <w:rPr>
          <w:rFonts w:ascii="Times New Roman" w:hAnsi="Times New Roman" w:eastAsia="Times New Roman"/>
          <w:color w:val="000000"/>
          <w:spacing w:val="0"/>
          <w:w w:val="100"/>
          <w:sz w:val="20"/>
          <w:vertAlign w:val="baseline"/>
          <w:lang w:val="en-US"/>
        </w:rPr>
        <w:t xml:space="preserve">326</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474	</w:t>
      </w:r>
      <w:r>
        <w:rPr>
          <w:rFonts w:ascii="Times New Roman" w:hAnsi="Times New Roman" w:eastAsia="Times New Roman"/>
          <w:color w:val="000000"/>
          <w:spacing w:val="0"/>
          <w:w w:val="100"/>
          <w:sz w:val="20"/>
          <w:vertAlign w:val="baseline"/>
          <w:lang w:val="en-US"/>
        </w:rPr>
        <w:t xml:space="preserve">Clearance certificates	</w:t>
      </w:r>
      <w:r>
        <w:rPr>
          <w:rFonts w:ascii="Times New Roman" w:hAnsi="Times New Roman" w:eastAsia="Times New Roman"/>
          <w:color w:val="000000"/>
          <w:spacing w:val="0"/>
          <w:w w:val="100"/>
          <w:sz w:val="20"/>
          <w:vertAlign w:val="baseline"/>
          <w:lang w:val="en-US"/>
        </w:rPr>
        <w:t xml:space="preserve">327</w:t>
      </w:r>
    </w:p>
    <w:p>
      <w:pPr>
        <w:tabs>
          <w:tab w:val="left" w:leader="none" w:pos="1368"/>
        </w:tabs>
        <w:spacing w:before="243" w:after="0" w:line="225"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8.8	</w:t>
      </w:r>
      <w:r>
        <w:rPr>
          <w:rFonts w:ascii="Times New Roman" w:hAnsi="Times New Roman" w:eastAsia="Times New Roman"/>
          <w:b w:val="true"/>
          <w:color w:val="000000"/>
          <w:spacing w:val="0"/>
          <w:w w:val="100"/>
          <w:sz w:val="20"/>
          <w:vertAlign w:val="baseline"/>
          <w:lang w:val="en-US"/>
        </w:rPr>
        <w:t xml:space="preserve">ASBESTOS REMOVAL REQUIRING CLASS A ASBESTOS</w:t>
      </w:r>
    </w:p>
    <w:p>
      <w:pPr>
        <w:tabs>
          <w:tab w:val="right" w:leader="none" w:pos="7704"/>
        </w:tabs>
        <w:spacing w:before="6" w:after="0" w:line="225"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REMOVAL LICENCE	</w:t>
      </w:r>
      <w:r>
        <w:rPr>
          <w:rFonts w:ascii="Times New Roman" w:hAnsi="Times New Roman" w:eastAsia="Times New Roman"/>
          <w:b w:val="true"/>
          <w:color w:val="000000"/>
          <w:spacing w:val="0"/>
          <w:w w:val="100"/>
          <w:sz w:val="20"/>
          <w:vertAlign w:val="baseline"/>
          <w:lang w:val="en-US"/>
        </w:rPr>
        <w:t xml:space="preserve">329</w:t>
      </w:r>
    </w:p>
    <w:p>
      <w:pPr>
        <w:tabs>
          <w:tab w:val="left" w:leader="none" w:pos="720"/>
          <w:tab w:val="right" w:leader="none" w:pos="7704"/>
        </w:tabs>
        <w:spacing w:before="122"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475	</w:t>
      </w:r>
      <w:r>
        <w:rPr>
          <w:rFonts w:ascii="Times New Roman" w:hAnsi="Times New Roman" w:eastAsia="Times New Roman"/>
          <w:color w:val="000000"/>
          <w:spacing w:val="0"/>
          <w:w w:val="100"/>
          <w:sz w:val="20"/>
          <w:vertAlign w:val="baseline"/>
          <w:lang w:val="en-US"/>
        </w:rPr>
        <w:t xml:space="preserve">Air monitoring—asbestos removal requiring Class A asbestos removal licence	</w:t>
      </w:r>
      <w:r>
        <w:rPr>
          <w:rFonts w:ascii="Times New Roman" w:hAnsi="Times New Roman" w:eastAsia="Times New Roman"/>
          <w:color w:val="000000"/>
          <w:spacing w:val="0"/>
          <w:w w:val="100"/>
          <w:sz w:val="20"/>
          <w:vertAlign w:val="baseline"/>
          <w:lang w:val="en-US"/>
        </w:rPr>
        <w:t xml:space="preserve">329</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476	</w:t>
      </w:r>
      <w:r>
        <w:rPr>
          <w:rFonts w:ascii="Times New Roman" w:hAnsi="Times New Roman" w:eastAsia="Times New Roman"/>
          <w:color w:val="000000"/>
          <w:spacing w:val="0"/>
          <w:w w:val="100"/>
          <w:sz w:val="20"/>
          <w:vertAlign w:val="baseline"/>
          <w:lang w:val="en-US"/>
        </w:rPr>
        <w:t xml:space="preserve">Action if respirable asbestos fibre level too high	</w:t>
      </w:r>
      <w:r>
        <w:rPr>
          <w:rFonts w:ascii="Times New Roman" w:hAnsi="Times New Roman" w:eastAsia="Times New Roman"/>
          <w:color w:val="000000"/>
          <w:spacing w:val="0"/>
          <w:w w:val="100"/>
          <w:sz w:val="20"/>
          <w:vertAlign w:val="baseline"/>
          <w:lang w:val="en-US"/>
        </w:rPr>
        <w:t xml:space="preserve">330</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477	</w:t>
      </w:r>
      <w:r>
        <w:rPr>
          <w:rFonts w:ascii="Times New Roman" w:hAnsi="Times New Roman" w:eastAsia="Times New Roman"/>
          <w:color w:val="000000"/>
          <w:spacing w:val="0"/>
          <w:w w:val="100"/>
          <w:sz w:val="20"/>
          <w:vertAlign w:val="baseline"/>
          <w:lang w:val="en-US"/>
        </w:rPr>
        <w:t xml:space="preserve">Removing friable asbestos	</w:t>
      </w:r>
      <w:r>
        <w:rPr>
          <w:rFonts w:ascii="Times New Roman" w:hAnsi="Times New Roman" w:eastAsia="Times New Roman"/>
          <w:color w:val="000000"/>
          <w:spacing w:val="0"/>
          <w:w w:val="100"/>
          <w:sz w:val="20"/>
          <w:vertAlign w:val="baseline"/>
          <w:lang w:val="en-US"/>
        </w:rPr>
        <w:t xml:space="preserve">331</w:t>
      </w:r>
    </w:p>
    <w:p>
      <w:pPr>
        <w:tabs>
          <w:tab w:val="left" w:leader="none" w:pos="1368"/>
          <w:tab w:val="right" w:leader="none" w:pos="7704"/>
        </w:tabs>
        <w:spacing w:before="243" w:after="0" w:line="225"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8.9	</w:t>
      </w:r>
      <w:r>
        <w:rPr>
          <w:rFonts w:ascii="Times New Roman" w:hAnsi="Times New Roman" w:eastAsia="Times New Roman"/>
          <w:b w:val="true"/>
          <w:color w:val="000000"/>
          <w:spacing w:val="0"/>
          <w:w w:val="100"/>
          <w:sz w:val="20"/>
          <w:vertAlign w:val="baseline"/>
          <w:lang w:val="en-US"/>
        </w:rPr>
        <w:t xml:space="preserve">ASBESTOS-RELATED WORK	</w:t>
      </w:r>
      <w:r>
        <w:rPr>
          <w:rFonts w:ascii="Times New Roman" w:hAnsi="Times New Roman" w:eastAsia="Times New Roman"/>
          <w:b w:val="true"/>
          <w:color w:val="000000"/>
          <w:spacing w:val="0"/>
          <w:w w:val="100"/>
          <w:sz w:val="20"/>
          <w:vertAlign w:val="baseline"/>
          <w:lang w:val="en-US"/>
        </w:rPr>
        <w:t xml:space="preserve">334</w:t>
      </w:r>
    </w:p>
    <w:p>
      <w:pPr>
        <w:tabs>
          <w:tab w:val="left" w:leader="none" w:pos="720"/>
          <w:tab w:val="right" w:leader="none" w:pos="7704"/>
        </w:tabs>
        <w:spacing w:before="123"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478	</w:t>
      </w:r>
      <w:r>
        <w:rPr>
          <w:rFonts w:ascii="Times New Roman" w:hAnsi="Times New Roman" w:eastAsia="Times New Roman"/>
          <w:color w:val="000000"/>
          <w:spacing w:val="0"/>
          <w:w w:val="100"/>
          <w:sz w:val="20"/>
          <w:vertAlign w:val="baseline"/>
          <w:lang w:val="en-US"/>
        </w:rPr>
        <w:t xml:space="preserve">Application of Part 8.9	</w:t>
      </w:r>
      <w:r>
        <w:rPr>
          <w:rFonts w:ascii="Times New Roman" w:hAnsi="Times New Roman" w:eastAsia="Times New Roman"/>
          <w:color w:val="000000"/>
          <w:spacing w:val="0"/>
          <w:w w:val="100"/>
          <w:sz w:val="20"/>
          <w:vertAlign w:val="baseline"/>
          <w:lang w:val="en-US"/>
        </w:rPr>
        <w:t xml:space="preserve">334</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479	</w:t>
      </w:r>
      <w:r>
        <w:rPr>
          <w:rFonts w:ascii="Times New Roman" w:hAnsi="Times New Roman" w:eastAsia="Times New Roman"/>
          <w:color w:val="000000"/>
          <w:spacing w:val="0"/>
          <w:w w:val="100"/>
          <w:sz w:val="20"/>
          <w:vertAlign w:val="baseline"/>
          <w:lang w:val="en-US"/>
        </w:rPr>
        <w:t xml:space="preserve">Uncertainty as to presence of asbestos	</w:t>
      </w:r>
      <w:r>
        <w:rPr>
          <w:rFonts w:ascii="Times New Roman" w:hAnsi="Times New Roman" w:eastAsia="Times New Roman"/>
          <w:color w:val="000000"/>
          <w:spacing w:val="0"/>
          <w:w w:val="100"/>
          <w:sz w:val="20"/>
          <w:vertAlign w:val="baseline"/>
          <w:lang w:val="en-US"/>
        </w:rPr>
        <w:t xml:space="preserve">334</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480	</w:t>
      </w:r>
      <w:r>
        <w:rPr>
          <w:rFonts w:ascii="Times New Roman" w:hAnsi="Times New Roman" w:eastAsia="Times New Roman"/>
          <w:color w:val="000000"/>
          <w:spacing w:val="0"/>
          <w:w w:val="100"/>
          <w:sz w:val="20"/>
          <w:vertAlign w:val="baseline"/>
          <w:lang w:val="en-US"/>
        </w:rPr>
        <w:t xml:space="preserve">Duty to give information about health risks of asbestos-related work	</w:t>
      </w:r>
      <w:r>
        <w:rPr>
          <w:rFonts w:ascii="Times New Roman" w:hAnsi="Times New Roman" w:eastAsia="Times New Roman"/>
          <w:color w:val="000000"/>
          <w:spacing w:val="0"/>
          <w:w w:val="100"/>
          <w:sz w:val="20"/>
          <w:vertAlign w:val="baseline"/>
          <w:lang w:val="en-US"/>
        </w:rPr>
        <w:t xml:space="preserve">334</w:t>
      </w:r>
    </w:p>
    <w:p>
      <w:pPr>
        <w:tabs>
          <w:tab w:val="left" w:leader="none" w:pos="720"/>
          <w:tab w:val="right" w:leader="none" w:pos="7704"/>
        </w:tabs>
        <w:spacing w:before="0" w:after="0" w:line="226"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481	</w:t>
      </w:r>
      <w:r>
        <w:rPr>
          <w:rFonts w:ascii="Times New Roman" w:hAnsi="Times New Roman" w:eastAsia="Times New Roman"/>
          <w:color w:val="000000"/>
          <w:spacing w:val="0"/>
          <w:w w:val="100"/>
          <w:sz w:val="20"/>
          <w:vertAlign w:val="baseline"/>
          <w:lang w:val="en-US"/>
        </w:rPr>
        <w:t xml:space="preserve">Asbestos-related work to be in separate area	</w:t>
      </w:r>
      <w:r>
        <w:rPr>
          <w:rFonts w:ascii="Times New Roman" w:hAnsi="Times New Roman" w:eastAsia="Times New Roman"/>
          <w:color w:val="000000"/>
          <w:spacing w:val="0"/>
          <w:w w:val="100"/>
          <w:sz w:val="20"/>
          <w:vertAlign w:val="baseline"/>
          <w:lang w:val="en-US"/>
        </w:rPr>
        <w:t xml:space="preserve">335</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482	</w:t>
      </w:r>
      <w:r>
        <w:rPr>
          <w:rFonts w:ascii="Times New Roman" w:hAnsi="Times New Roman" w:eastAsia="Times New Roman"/>
          <w:color w:val="000000"/>
          <w:spacing w:val="0"/>
          <w:w w:val="100"/>
          <w:sz w:val="20"/>
          <w:vertAlign w:val="baseline"/>
          <w:lang w:val="en-US"/>
        </w:rPr>
        <w:t xml:space="preserve">Air monitoring	</w:t>
      </w:r>
      <w:r>
        <w:rPr>
          <w:rFonts w:ascii="Times New Roman" w:hAnsi="Times New Roman" w:eastAsia="Times New Roman"/>
          <w:color w:val="000000"/>
          <w:spacing w:val="0"/>
          <w:w w:val="100"/>
          <w:sz w:val="20"/>
          <w:vertAlign w:val="baseline"/>
          <w:lang w:val="en-US"/>
        </w:rPr>
        <w:t xml:space="preserve">335</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483	</w:t>
      </w:r>
      <w:r>
        <w:rPr>
          <w:rFonts w:ascii="Times New Roman" w:hAnsi="Times New Roman" w:eastAsia="Times New Roman"/>
          <w:color w:val="000000"/>
          <w:spacing w:val="0"/>
          <w:w w:val="100"/>
          <w:sz w:val="20"/>
          <w:vertAlign w:val="baseline"/>
          <w:lang w:val="en-US"/>
        </w:rPr>
        <w:t xml:space="preserve">Decontamination facilities	</w:t>
      </w:r>
      <w:r>
        <w:rPr>
          <w:rFonts w:ascii="Times New Roman" w:hAnsi="Times New Roman" w:eastAsia="Times New Roman"/>
          <w:color w:val="000000"/>
          <w:spacing w:val="0"/>
          <w:w w:val="100"/>
          <w:sz w:val="20"/>
          <w:vertAlign w:val="baseline"/>
          <w:lang w:val="en-US"/>
        </w:rPr>
        <w:t xml:space="preserve">336</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484	</w:t>
      </w:r>
      <w:r>
        <w:rPr>
          <w:rFonts w:ascii="Times New Roman" w:hAnsi="Times New Roman" w:eastAsia="Times New Roman"/>
          <w:color w:val="000000"/>
          <w:spacing w:val="0"/>
          <w:w w:val="100"/>
          <w:sz w:val="20"/>
          <w:vertAlign w:val="baseline"/>
          <w:lang w:val="en-US"/>
        </w:rPr>
        <w:t xml:space="preserve">Disposing of asbestos waste and contaminated personal protective equipment	</w:t>
      </w:r>
      <w:r>
        <w:rPr>
          <w:rFonts w:ascii="Times New Roman" w:hAnsi="Times New Roman" w:eastAsia="Times New Roman"/>
          <w:color w:val="000000"/>
          <w:spacing w:val="0"/>
          <w:w w:val="100"/>
          <w:sz w:val="20"/>
          <w:vertAlign w:val="baseline"/>
          <w:lang w:val="en-US"/>
        </w:rPr>
        <w:t xml:space="preserve">337</w:t>
      </w:r>
    </w:p>
    <w:p>
      <w:pPr>
        <w:spacing w:before="239" w:after="0" w:line="230" w:lineRule="exact"/>
        <w:ind w:right="1008"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8.10 LICENSING OF ASBESTOS REMOVALISTS AND ASBESTOS ASSESSORS 339</w:t>
      </w:r>
    </w:p>
    <w:p>
      <w:pPr>
        <w:tabs>
          <w:tab w:val="left" w:leader="none" w:pos="1368"/>
          <w:tab w:val="right" w:leader="none" w:pos="7704"/>
        </w:tabs>
        <w:spacing w:before="125" w:after="0" w:line="225"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1	</w:t>
      </w:r>
      <w:r>
        <w:rPr>
          <w:rFonts w:ascii="Times New Roman" w:hAnsi="Times New Roman" w:eastAsia="Times New Roman"/>
          <w:b w:val="true"/>
          <w:color w:val="000000"/>
          <w:spacing w:val="0"/>
          <w:w w:val="100"/>
          <w:sz w:val="20"/>
          <w:vertAlign w:val="baseline"/>
          <w:lang w:val="en-US"/>
        </w:rPr>
        <w:t xml:space="preserve">Asbestos removalists—requirement to be licensed	</w:t>
      </w:r>
      <w:r>
        <w:rPr>
          <w:rFonts w:ascii="Times New Roman" w:hAnsi="Times New Roman" w:eastAsia="Times New Roman"/>
          <w:b w:val="true"/>
          <w:color w:val="000000"/>
          <w:spacing w:val="0"/>
          <w:w w:val="100"/>
          <w:sz w:val="20"/>
          <w:vertAlign w:val="baseline"/>
          <w:lang w:val="en-US"/>
        </w:rPr>
        <w:t xml:space="preserve">339</w:t>
      </w:r>
    </w:p>
    <w:p>
      <w:pPr>
        <w:tabs>
          <w:tab w:val="left" w:leader="none" w:pos="720"/>
          <w:tab w:val="right" w:leader="none" w:pos="7704"/>
        </w:tabs>
        <w:spacing w:before="123"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485	</w:t>
      </w:r>
      <w:r>
        <w:rPr>
          <w:rFonts w:ascii="Times New Roman" w:hAnsi="Times New Roman" w:eastAsia="Times New Roman"/>
          <w:color w:val="000000"/>
          <w:spacing w:val="0"/>
          <w:w w:val="100"/>
          <w:sz w:val="20"/>
          <w:vertAlign w:val="baseline"/>
          <w:lang w:val="en-US"/>
        </w:rPr>
        <w:t xml:space="preserve">Requirement to hold Class A asbestos removal licence	</w:t>
      </w:r>
      <w:r>
        <w:rPr>
          <w:rFonts w:ascii="Times New Roman" w:hAnsi="Times New Roman" w:eastAsia="Times New Roman"/>
          <w:color w:val="000000"/>
          <w:spacing w:val="0"/>
          <w:w w:val="100"/>
          <w:sz w:val="20"/>
          <w:vertAlign w:val="baseline"/>
          <w:lang w:val="en-US"/>
        </w:rPr>
        <w:t xml:space="preserve">339</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486	</w:t>
      </w:r>
      <w:r>
        <w:rPr>
          <w:rFonts w:ascii="Times New Roman" w:hAnsi="Times New Roman" w:eastAsia="Times New Roman"/>
          <w:color w:val="000000"/>
          <w:spacing w:val="0"/>
          <w:w w:val="100"/>
          <w:sz w:val="20"/>
          <w:vertAlign w:val="baseline"/>
          <w:lang w:val="en-US"/>
        </w:rPr>
        <w:t xml:space="preserve">Exception to requirement to hold Class A asbestos removal licence	</w:t>
      </w:r>
      <w:r>
        <w:rPr>
          <w:rFonts w:ascii="Times New Roman" w:hAnsi="Times New Roman" w:eastAsia="Times New Roman"/>
          <w:color w:val="000000"/>
          <w:spacing w:val="0"/>
          <w:w w:val="100"/>
          <w:sz w:val="20"/>
          <w:vertAlign w:val="baseline"/>
          <w:lang w:val="en-US"/>
        </w:rPr>
        <w:t xml:space="preserve">339</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487	</w:t>
      </w:r>
      <w:r>
        <w:rPr>
          <w:rFonts w:ascii="Times New Roman" w:hAnsi="Times New Roman" w:eastAsia="Times New Roman"/>
          <w:color w:val="000000"/>
          <w:spacing w:val="0"/>
          <w:w w:val="100"/>
          <w:sz w:val="20"/>
          <w:vertAlign w:val="baseline"/>
          <w:lang w:val="en-US"/>
        </w:rPr>
        <w:t xml:space="preserve">Requirement to hold Class B asbestos removal licence	</w:t>
      </w:r>
      <w:r>
        <w:rPr>
          <w:rFonts w:ascii="Times New Roman" w:hAnsi="Times New Roman" w:eastAsia="Times New Roman"/>
          <w:color w:val="000000"/>
          <w:spacing w:val="0"/>
          <w:w w:val="100"/>
          <w:sz w:val="20"/>
          <w:vertAlign w:val="baseline"/>
          <w:lang w:val="en-US"/>
        </w:rPr>
        <w:t xml:space="preserve">339</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488	</w:t>
      </w:r>
      <w:r>
        <w:rPr>
          <w:rFonts w:ascii="Times New Roman" w:hAnsi="Times New Roman" w:eastAsia="Times New Roman"/>
          <w:color w:val="000000"/>
          <w:spacing w:val="0"/>
          <w:w w:val="100"/>
          <w:sz w:val="20"/>
          <w:vertAlign w:val="baseline"/>
          <w:lang w:val="en-US"/>
        </w:rPr>
        <w:t xml:space="preserve">Recognition of asbestos removal licences in other jurisdictions	</w:t>
      </w:r>
      <w:r>
        <w:rPr>
          <w:rFonts w:ascii="Times New Roman" w:hAnsi="Times New Roman" w:eastAsia="Times New Roman"/>
          <w:color w:val="000000"/>
          <w:spacing w:val="0"/>
          <w:w w:val="100"/>
          <w:sz w:val="20"/>
          <w:vertAlign w:val="baseline"/>
          <w:lang w:val="en-US"/>
        </w:rPr>
        <w:t xml:space="preserve">340</w:t>
      </w:r>
    </w:p>
    <w:p>
      <w:pPr>
        <w:tabs>
          <w:tab w:val="left" w:leader="none" w:pos="1368"/>
          <w:tab w:val="right" w:leader="none" w:pos="7704"/>
        </w:tabs>
        <w:spacing w:before="3" w:after="0" w:line="225"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2	</w:t>
      </w:r>
      <w:r>
        <w:rPr>
          <w:rFonts w:ascii="Times New Roman" w:hAnsi="Times New Roman" w:eastAsia="Times New Roman"/>
          <w:b w:val="true"/>
          <w:color w:val="000000"/>
          <w:spacing w:val="0"/>
          <w:w w:val="100"/>
          <w:sz w:val="20"/>
          <w:vertAlign w:val="baseline"/>
          <w:lang w:val="en-US"/>
        </w:rPr>
        <w:t xml:space="preserve">Asbestos assessors—requirement to be licensed	</w:t>
      </w:r>
      <w:r>
        <w:rPr>
          <w:rFonts w:ascii="Times New Roman" w:hAnsi="Times New Roman" w:eastAsia="Times New Roman"/>
          <w:b w:val="true"/>
          <w:color w:val="000000"/>
          <w:spacing w:val="0"/>
          <w:w w:val="100"/>
          <w:sz w:val="20"/>
          <w:vertAlign w:val="baseline"/>
          <w:lang w:val="en-US"/>
        </w:rPr>
        <w:t xml:space="preserve">340</w:t>
      </w:r>
    </w:p>
    <w:p>
      <w:pPr>
        <w:tabs>
          <w:tab w:val="left" w:leader="none" w:pos="720"/>
          <w:tab w:val="right" w:leader="none" w:pos="7704"/>
        </w:tabs>
        <w:spacing w:before="118"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489	</w:t>
      </w:r>
      <w:r>
        <w:rPr>
          <w:rFonts w:ascii="Times New Roman" w:hAnsi="Times New Roman" w:eastAsia="Times New Roman"/>
          <w:color w:val="000000"/>
          <w:spacing w:val="0"/>
          <w:w w:val="100"/>
          <w:sz w:val="20"/>
          <w:vertAlign w:val="baseline"/>
          <w:lang w:val="en-US"/>
        </w:rPr>
        <w:t xml:space="preserve">Requirement to hold asbestos assessor licence	</w:t>
      </w:r>
      <w:r>
        <w:rPr>
          <w:rFonts w:ascii="Times New Roman" w:hAnsi="Times New Roman" w:eastAsia="Times New Roman"/>
          <w:color w:val="000000"/>
          <w:spacing w:val="0"/>
          <w:w w:val="100"/>
          <w:sz w:val="20"/>
          <w:vertAlign w:val="baseline"/>
          <w:lang w:val="en-US"/>
        </w:rPr>
        <w:t xml:space="preserve">340</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490	</w:t>
      </w:r>
      <w:r>
        <w:rPr>
          <w:rFonts w:ascii="Times New Roman" w:hAnsi="Times New Roman" w:eastAsia="Times New Roman"/>
          <w:color w:val="000000"/>
          <w:spacing w:val="0"/>
          <w:w w:val="100"/>
          <w:sz w:val="20"/>
          <w:vertAlign w:val="baseline"/>
          <w:lang w:val="en-US"/>
        </w:rPr>
        <w:t xml:space="preserve">Recognition of asbestos assessor licences in other jurisdictions	</w:t>
      </w:r>
      <w:r>
        <w:rPr>
          <w:rFonts w:ascii="Times New Roman" w:hAnsi="Times New Roman" w:eastAsia="Times New Roman"/>
          <w:color w:val="000000"/>
          <w:spacing w:val="0"/>
          <w:w w:val="100"/>
          <w:sz w:val="20"/>
          <w:vertAlign w:val="baseline"/>
          <w:lang w:val="en-US"/>
        </w:rPr>
        <w:t xml:space="preserve">340</w:t>
      </w:r>
    </w:p>
    <w:p>
      <w:pPr>
        <w:tabs>
          <w:tab w:val="left" w:leader="none" w:pos="1368"/>
          <w:tab w:val="right" w:leader="none" w:pos="7704"/>
        </w:tabs>
        <w:spacing w:before="4" w:after="0" w:line="225"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3	</w:t>
      </w:r>
      <w:r>
        <w:rPr>
          <w:rFonts w:ascii="Times New Roman" w:hAnsi="Times New Roman" w:eastAsia="Times New Roman"/>
          <w:b w:val="true"/>
          <w:color w:val="000000"/>
          <w:spacing w:val="0"/>
          <w:w w:val="100"/>
          <w:sz w:val="20"/>
          <w:vertAlign w:val="baseline"/>
          <w:lang w:val="en-US"/>
        </w:rPr>
        <w:t xml:space="preserve">Licensing process	</w:t>
      </w:r>
      <w:r>
        <w:rPr>
          <w:rFonts w:ascii="Times New Roman" w:hAnsi="Times New Roman" w:eastAsia="Times New Roman"/>
          <w:b w:val="true"/>
          <w:color w:val="000000"/>
          <w:spacing w:val="0"/>
          <w:w w:val="100"/>
          <w:sz w:val="20"/>
          <w:vertAlign w:val="baseline"/>
          <w:lang w:val="en-US"/>
        </w:rPr>
        <w:t xml:space="preserve">341</w:t>
      </w:r>
    </w:p>
    <w:p>
      <w:pPr>
        <w:tabs>
          <w:tab w:val="left" w:leader="none" w:pos="720"/>
          <w:tab w:val="right" w:leader="none" w:pos="7704"/>
        </w:tabs>
        <w:spacing w:before="122"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491	</w:t>
      </w:r>
      <w:r>
        <w:rPr>
          <w:rFonts w:ascii="Times New Roman" w:hAnsi="Times New Roman" w:eastAsia="Times New Roman"/>
          <w:color w:val="000000"/>
          <w:spacing w:val="0"/>
          <w:w w:val="100"/>
          <w:sz w:val="20"/>
          <w:vertAlign w:val="baseline"/>
          <w:lang w:val="en-US"/>
        </w:rPr>
        <w:t xml:space="preserve">Who may apply for a licence	</w:t>
      </w:r>
      <w:r>
        <w:rPr>
          <w:rFonts w:ascii="Times New Roman" w:hAnsi="Times New Roman" w:eastAsia="Times New Roman"/>
          <w:color w:val="000000"/>
          <w:spacing w:val="0"/>
          <w:w w:val="100"/>
          <w:sz w:val="20"/>
          <w:vertAlign w:val="baseline"/>
          <w:lang w:val="en-US"/>
        </w:rPr>
        <w:t xml:space="preserve">341</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492	</w:t>
      </w:r>
      <w:r>
        <w:rPr>
          <w:rFonts w:ascii="Times New Roman" w:hAnsi="Times New Roman" w:eastAsia="Times New Roman"/>
          <w:color w:val="000000"/>
          <w:spacing w:val="0"/>
          <w:w w:val="100"/>
          <w:sz w:val="20"/>
          <w:vertAlign w:val="baseline"/>
          <w:lang w:val="en-US"/>
        </w:rPr>
        <w:t xml:space="preserve">Application for asbestos removal licence or asbestos assessor licence	</w:t>
      </w:r>
      <w:r>
        <w:rPr>
          <w:rFonts w:ascii="Times New Roman" w:hAnsi="Times New Roman" w:eastAsia="Times New Roman"/>
          <w:color w:val="000000"/>
          <w:spacing w:val="0"/>
          <w:w w:val="100"/>
          <w:sz w:val="20"/>
          <w:vertAlign w:val="baseline"/>
          <w:lang w:val="en-US"/>
        </w:rPr>
        <w:t xml:space="preserve">341</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493	</w:t>
      </w:r>
      <w:r>
        <w:rPr>
          <w:rFonts w:ascii="Times New Roman" w:hAnsi="Times New Roman" w:eastAsia="Times New Roman"/>
          <w:color w:val="000000"/>
          <w:spacing w:val="0"/>
          <w:w w:val="100"/>
          <w:sz w:val="20"/>
          <w:vertAlign w:val="baseline"/>
          <w:lang w:val="en-US"/>
        </w:rPr>
        <w:t xml:space="preserve">Content of application—Class A asbestos removal licence	</w:t>
      </w:r>
      <w:r>
        <w:rPr>
          <w:rFonts w:ascii="Times New Roman" w:hAnsi="Times New Roman" w:eastAsia="Times New Roman"/>
          <w:color w:val="000000"/>
          <w:spacing w:val="0"/>
          <w:w w:val="100"/>
          <w:sz w:val="20"/>
          <w:vertAlign w:val="baseline"/>
          <w:lang w:val="en-US"/>
        </w:rPr>
        <w:t xml:space="preserve">343</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494	</w:t>
      </w:r>
      <w:r>
        <w:rPr>
          <w:rFonts w:ascii="Times New Roman" w:hAnsi="Times New Roman" w:eastAsia="Times New Roman"/>
          <w:color w:val="000000"/>
          <w:spacing w:val="0"/>
          <w:w w:val="100"/>
          <w:sz w:val="20"/>
          <w:vertAlign w:val="baseline"/>
          <w:lang w:val="en-US"/>
        </w:rPr>
        <w:t xml:space="preserve">Content of application—Class B asbestos removal licence	</w:t>
      </w:r>
      <w:r>
        <w:rPr>
          <w:rFonts w:ascii="Times New Roman" w:hAnsi="Times New Roman" w:eastAsia="Times New Roman"/>
          <w:color w:val="000000"/>
          <w:spacing w:val="0"/>
          <w:w w:val="100"/>
          <w:sz w:val="20"/>
          <w:vertAlign w:val="baseline"/>
          <w:lang w:val="en-US"/>
        </w:rPr>
        <w:t xml:space="preserve">343</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495	</w:t>
      </w:r>
      <w:r>
        <w:rPr>
          <w:rFonts w:ascii="Times New Roman" w:hAnsi="Times New Roman" w:eastAsia="Times New Roman"/>
          <w:color w:val="000000"/>
          <w:spacing w:val="0"/>
          <w:w w:val="100"/>
          <w:sz w:val="20"/>
          <w:vertAlign w:val="baseline"/>
          <w:lang w:val="en-US"/>
        </w:rPr>
        <w:t xml:space="preserve">Content of application—asbestos assessor licence	</w:t>
      </w:r>
      <w:r>
        <w:rPr>
          <w:rFonts w:ascii="Times New Roman" w:hAnsi="Times New Roman" w:eastAsia="Times New Roman"/>
          <w:color w:val="000000"/>
          <w:spacing w:val="0"/>
          <w:w w:val="100"/>
          <w:sz w:val="20"/>
          <w:vertAlign w:val="baseline"/>
          <w:lang w:val="en-US"/>
        </w:rPr>
        <w:t xml:space="preserve">344</w:t>
      </w:r>
    </w:p>
    <w:p>
      <w:pPr>
        <w:tabs>
          <w:tab w:val="left" w:leader="none" w:pos="720"/>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496	</w:t>
      </w:r>
      <w:r>
        <w:rPr>
          <w:rFonts w:ascii="Times New Roman" w:hAnsi="Times New Roman" w:eastAsia="Times New Roman"/>
          <w:color w:val="000000"/>
          <w:spacing w:val="0"/>
          <w:w w:val="100"/>
          <w:sz w:val="20"/>
          <w:vertAlign w:val="baseline"/>
          <w:lang w:val="en-US"/>
        </w:rPr>
        <w:t xml:space="preserve">Additional information	</w:t>
      </w:r>
      <w:r>
        <w:rPr>
          <w:rFonts w:ascii="Times New Roman" w:hAnsi="Times New Roman" w:eastAsia="Times New Roman"/>
          <w:color w:val="000000"/>
          <w:spacing w:val="0"/>
          <w:w w:val="100"/>
          <w:sz w:val="20"/>
          <w:vertAlign w:val="baseline"/>
          <w:lang w:val="en-US"/>
        </w:rPr>
        <w:t xml:space="preserve">344</w:t>
      </w:r>
    </w:p>
    <w:p>
      <w:pPr>
        <w:tabs>
          <w:tab w:val="left" w:leader="none" w:pos="720"/>
          <w:tab w:val="right" w:leader="none" w:pos="7704"/>
        </w:tabs>
        <w:spacing w:before="1"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497	</w:t>
      </w:r>
      <w:r>
        <w:rPr>
          <w:rFonts w:ascii="Times New Roman" w:hAnsi="Times New Roman" w:eastAsia="Times New Roman"/>
          <w:color w:val="000000"/>
          <w:spacing w:val="0"/>
          <w:w w:val="100"/>
          <w:sz w:val="20"/>
          <w:vertAlign w:val="baseline"/>
          <w:lang w:val="en-US"/>
        </w:rPr>
        <w:t xml:space="preserve">Decision on application	</w:t>
      </w:r>
      <w:r>
        <w:rPr>
          <w:rFonts w:ascii="Times New Roman" w:hAnsi="Times New Roman" w:eastAsia="Times New Roman"/>
          <w:color w:val="000000"/>
          <w:spacing w:val="0"/>
          <w:w w:val="100"/>
          <w:sz w:val="20"/>
          <w:vertAlign w:val="baseline"/>
          <w:lang w:val="en-US"/>
        </w:rPr>
        <w:t xml:space="preserve">344</w:t>
      </w:r>
    </w:p>
    <w:p>
      <w:pPr>
        <w:tabs>
          <w:tab w:val="right" w:leader="none" w:pos="7704"/>
        </w:tabs>
        <w:spacing w:before="0" w:after="0"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498	</w:t>
      </w:r>
      <w:r>
        <w:rPr>
          <w:rFonts w:ascii="Times New Roman" w:hAnsi="Times New Roman" w:eastAsia="Times New Roman"/>
          <w:color w:val="000000"/>
          <w:spacing w:val="0"/>
          <w:w w:val="100"/>
          <w:sz w:val="20"/>
          <w:vertAlign w:val="baseline"/>
          <w:lang w:val="en-US"/>
        </w:rPr>
        <w:t xml:space="preserve">Class A asbestos removal licence—regulator to be satisfied about additional matters346</w:t>
      </w:r>
    </w:p>
    <w:p>
      <w:pPr>
        <w:tabs>
          <w:tab w:val="right" w:leader="none" w:pos="7704"/>
        </w:tabs>
        <w:spacing w:before="0" w:after="609" w:line="226"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10.65pt" to="498.5pt,710.6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499	</w:t>
      </w:r>
      <w:r>
        <w:rPr>
          <w:rFonts w:ascii="Times New Roman" w:hAnsi="Times New Roman" w:eastAsia="Times New Roman"/>
          <w:color w:val="000000"/>
          <w:spacing w:val="0"/>
          <w:w w:val="100"/>
          <w:sz w:val="20"/>
          <w:vertAlign w:val="baseline"/>
          <w:lang w:val="en-US"/>
        </w:rPr>
        <w:t xml:space="preserve">Class B asbestos removal licence—regulator to be satisfied about additional matters346</w:t>
      </w:r>
    </w:p>
    <w:p>
      <w:pPr>
        <w:spacing w:before="0" w:after="609" w:line="226" w:lineRule="exact"/>
        <w:sectPr>
          <w:type w:val="nextPage"/>
          <w:pgSz w:w="11909" w:h="16838" w:orient="portrait"/>
          <w:pgMar w:bottom="1542" w:top="1320" w:right="1940" w:left="1949" w:header="720" w:footer="720"/>
          <w:titlePg w:val="false"/>
          <w:textDirection w:val="lrTb"/>
        </w:sectPr>
      </w:pPr>
    </w:p>
    <w:p>
      <w:pPr>
        <w:tabs>
          <w:tab w:val="right" w:leader="none" w:pos="4104"/>
        </w:tabs>
        <w:spacing w:before="12" w:after="0" w:line="179" w:lineRule="exact"/>
        <w:ind w:right="0" w:left="0" w:firstLine="0"/>
        <w:jc w:val="left"/>
        <w:textAlignment w:val="baseline"/>
        <w:rPr>
          <w:rFonts w:ascii="Times New Roman" w:hAnsi="Times New Roman" w:eastAsia="Times New Roman"/>
          <w:color w:val="000000"/>
          <w:spacing w:val="0"/>
          <w:w w:val="100"/>
          <w:sz w:val="17"/>
          <w:vertAlign w:val="baseline"/>
          <w:lang w:val="en-US"/>
        </w:rPr>
      </w:pPr>
      <w:r>
        <w:rPr>
          <w:rFonts w:ascii="Times New Roman" w:hAnsi="Times New Roman" w:eastAsia="Times New Roman"/>
          <w:color w:val="000000"/>
          <w:spacing w:val="0"/>
          <w:w w:val="100"/>
          <w:sz w:val="17"/>
          <w:vertAlign w:val="baseline"/>
          <w:lang w:val="en-US"/>
        </w:rPr>
        <w:t xml:space="preserve">PCC [359] 1.1.2021	</w:t>
      </w:r>
      <w:r>
        <w:rPr>
          <w:rFonts w:ascii="Times New Roman" w:hAnsi="Times New Roman" w:eastAsia="Times New Roman"/>
          <w:color w:val="000000"/>
          <w:spacing w:val="0"/>
          <w:w w:val="100"/>
          <w:sz w:val="17"/>
          <w:vertAlign w:val="baseline"/>
          <w:lang w:val="en-US"/>
        </w:rPr>
        <w:t xml:space="preserve">16</w:t>
      </w:r>
    </w:p>
    <w:p>
      <w:pPr>
        <w:sectPr>
          <w:type w:val="continuous"/>
          <w:pgSz w:w="11909" w:h="16838" w:orient="portrait"/>
          <w:pgMar w:bottom="1542" w:top="1320" w:right="5873" w:left="1996" w:header="720" w:footer="720"/>
          <w:titlePg w:val="false"/>
          <w:textDirection w:val="lrTb"/>
        </w:sectPr>
      </w:pPr>
    </w:p>
    <w:p>
      <w:pPr>
        <w:spacing w:before="22" w:after="228"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720"/>
          <w:tab w:val="left" w:leader="none" w:pos="7272"/>
        </w:tabs>
        <w:spacing w:before="479"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pict>
          <v:line strokeweight="0.5pt" strokecolor="#000000" from="97.45pt,90.95pt" to="498.5pt,90.9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500	</w:t>
      </w:r>
      <w:r>
        <w:rPr>
          <w:rFonts w:ascii="Times New Roman" w:hAnsi="Times New Roman" w:eastAsia="Times New Roman"/>
          <w:color w:val="000000"/>
          <w:spacing w:val="0"/>
          <w:w w:val="100"/>
          <w:sz w:val="20"/>
          <w:vertAlign w:val="baseline"/>
          <w:lang w:val="en-US"/>
        </w:rPr>
        <w:t xml:space="preserve">Matters to be taken into account	</w:t>
      </w:r>
      <w:r>
        <w:rPr>
          <w:rFonts w:ascii="Times New Roman" w:hAnsi="Times New Roman" w:eastAsia="Times New Roman"/>
          <w:color w:val="000000"/>
          <w:spacing w:val="0"/>
          <w:w w:val="100"/>
          <w:sz w:val="20"/>
          <w:vertAlign w:val="baseline"/>
          <w:lang w:val="en-US"/>
        </w:rPr>
        <w:t xml:space="preserve">346</w:t>
      </w:r>
    </w:p>
    <w:p>
      <w:pPr>
        <w:tabs>
          <w:tab w:val="left" w:leader="none" w:pos="720"/>
          <w:tab w:val="left" w:leader="none" w:pos="7272"/>
        </w:tabs>
        <w:spacing w:before="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501	</w:t>
      </w:r>
      <w:r>
        <w:rPr>
          <w:rFonts w:ascii="Times New Roman" w:hAnsi="Times New Roman" w:eastAsia="Times New Roman"/>
          <w:color w:val="000000"/>
          <w:spacing w:val="0"/>
          <w:w w:val="100"/>
          <w:sz w:val="20"/>
          <w:vertAlign w:val="baseline"/>
          <w:lang w:val="en-US"/>
        </w:rPr>
        <w:t xml:space="preserve">Refusal to grant licence—process	</w:t>
      </w:r>
      <w:r>
        <w:rPr>
          <w:rFonts w:ascii="Times New Roman" w:hAnsi="Times New Roman" w:eastAsia="Times New Roman"/>
          <w:color w:val="000000"/>
          <w:spacing w:val="0"/>
          <w:w w:val="100"/>
          <w:sz w:val="20"/>
          <w:vertAlign w:val="baseline"/>
          <w:lang w:val="en-US"/>
        </w:rPr>
        <w:t xml:space="preserve">347</w:t>
      </w:r>
    </w:p>
    <w:p>
      <w:pPr>
        <w:tabs>
          <w:tab w:val="left" w:leader="none" w:pos="720"/>
          <w:tab w:val="left" w:leader="none" w:pos="7272"/>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502	</w:t>
      </w:r>
      <w:r>
        <w:rPr>
          <w:rFonts w:ascii="Times New Roman" w:hAnsi="Times New Roman" w:eastAsia="Times New Roman"/>
          <w:color w:val="000000"/>
          <w:spacing w:val="0"/>
          <w:w w:val="100"/>
          <w:sz w:val="20"/>
          <w:vertAlign w:val="baseline"/>
          <w:lang w:val="en-US"/>
        </w:rPr>
        <w:t xml:space="preserve">Conditions of licence	</w:t>
      </w:r>
      <w:r>
        <w:rPr>
          <w:rFonts w:ascii="Times New Roman" w:hAnsi="Times New Roman" w:eastAsia="Times New Roman"/>
          <w:color w:val="000000"/>
          <w:spacing w:val="0"/>
          <w:w w:val="100"/>
          <w:sz w:val="20"/>
          <w:vertAlign w:val="baseline"/>
          <w:lang w:val="en-US"/>
        </w:rPr>
        <w:t xml:space="preserve">348</w:t>
      </w:r>
    </w:p>
    <w:p>
      <w:pPr>
        <w:tabs>
          <w:tab w:val="left" w:leader="none" w:pos="720"/>
          <w:tab w:val="left" w:leader="none" w:pos="7272"/>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503	</w:t>
      </w:r>
      <w:r>
        <w:rPr>
          <w:rFonts w:ascii="Times New Roman" w:hAnsi="Times New Roman" w:eastAsia="Times New Roman"/>
          <w:color w:val="000000"/>
          <w:spacing w:val="0"/>
          <w:w w:val="100"/>
          <w:sz w:val="20"/>
          <w:vertAlign w:val="baseline"/>
          <w:lang w:val="en-US"/>
        </w:rPr>
        <w:t xml:space="preserve">Duration of licence	</w:t>
      </w:r>
      <w:r>
        <w:rPr>
          <w:rFonts w:ascii="Times New Roman" w:hAnsi="Times New Roman" w:eastAsia="Times New Roman"/>
          <w:color w:val="000000"/>
          <w:spacing w:val="0"/>
          <w:w w:val="100"/>
          <w:sz w:val="20"/>
          <w:vertAlign w:val="baseline"/>
          <w:lang w:val="en-US"/>
        </w:rPr>
        <w:t xml:space="preserve">349</w:t>
      </w:r>
    </w:p>
    <w:p>
      <w:pPr>
        <w:tabs>
          <w:tab w:val="left" w:leader="none" w:pos="7272"/>
        </w:tabs>
        <w:spacing w:before="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504 Licence document	</w:t>
      </w:r>
      <w:r>
        <w:rPr>
          <w:rFonts w:ascii="Times New Roman" w:hAnsi="Times New Roman" w:eastAsia="Times New Roman"/>
          <w:color w:val="000000"/>
          <w:spacing w:val="0"/>
          <w:w w:val="100"/>
          <w:sz w:val="20"/>
          <w:vertAlign w:val="baseline"/>
          <w:lang w:val="en-US"/>
        </w:rPr>
        <w:t xml:space="preserve">349</w:t>
      </w:r>
    </w:p>
    <w:p>
      <w:pPr>
        <w:tabs>
          <w:tab w:val="left" w:leader="none" w:pos="720"/>
          <w:tab w:val="left" w:leader="none" w:pos="7272"/>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505	</w:t>
      </w:r>
      <w:r>
        <w:rPr>
          <w:rFonts w:ascii="Times New Roman" w:hAnsi="Times New Roman" w:eastAsia="Times New Roman"/>
          <w:color w:val="000000"/>
          <w:spacing w:val="0"/>
          <w:w w:val="100"/>
          <w:sz w:val="20"/>
          <w:vertAlign w:val="baseline"/>
          <w:lang w:val="en-US"/>
        </w:rPr>
        <w:t xml:space="preserve">Licence document to be available	</w:t>
      </w:r>
      <w:r>
        <w:rPr>
          <w:rFonts w:ascii="Times New Roman" w:hAnsi="Times New Roman" w:eastAsia="Times New Roman"/>
          <w:color w:val="000000"/>
          <w:spacing w:val="0"/>
          <w:w w:val="100"/>
          <w:sz w:val="20"/>
          <w:vertAlign w:val="baseline"/>
          <w:lang w:val="en-US"/>
        </w:rPr>
        <w:t xml:space="preserve">349</w:t>
      </w:r>
    </w:p>
    <w:p>
      <w:pPr>
        <w:tabs>
          <w:tab w:val="left" w:leader="none" w:pos="1368"/>
          <w:tab w:val="left" w:leader="none" w:pos="7272"/>
        </w:tabs>
        <w:spacing w:before="2" w:after="0" w:line="225"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4	</w:t>
      </w:r>
      <w:r>
        <w:rPr>
          <w:rFonts w:ascii="Times New Roman" w:hAnsi="Times New Roman" w:eastAsia="Times New Roman"/>
          <w:b w:val="true"/>
          <w:color w:val="000000"/>
          <w:spacing w:val="0"/>
          <w:w w:val="100"/>
          <w:sz w:val="20"/>
          <w:vertAlign w:val="baseline"/>
          <w:lang w:val="en-US"/>
        </w:rPr>
        <w:t xml:space="preserve">Amendment of licence and licence document	</w:t>
      </w:r>
      <w:r>
        <w:rPr>
          <w:rFonts w:ascii="Times New Roman" w:hAnsi="Times New Roman" w:eastAsia="Times New Roman"/>
          <w:b w:val="true"/>
          <w:color w:val="000000"/>
          <w:spacing w:val="0"/>
          <w:w w:val="100"/>
          <w:sz w:val="20"/>
          <w:vertAlign w:val="baseline"/>
          <w:lang w:val="en-US"/>
        </w:rPr>
        <w:t xml:space="preserve">349</w:t>
      </w:r>
    </w:p>
    <w:p>
      <w:pPr>
        <w:tabs>
          <w:tab w:val="left" w:leader="none" w:pos="720"/>
          <w:tab w:val="left" w:leader="none" w:pos="7272"/>
        </w:tabs>
        <w:spacing w:before="124"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506	</w:t>
      </w:r>
      <w:r>
        <w:rPr>
          <w:rFonts w:ascii="Times New Roman" w:hAnsi="Times New Roman" w:eastAsia="Times New Roman"/>
          <w:color w:val="000000"/>
          <w:spacing w:val="0"/>
          <w:w w:val="100"/>
          <w:sz w:val="20"/>
          <w:vertAlign w:val="baseline"/>
          <w:lang w:val="en-US"/>
        </w:rPr>
        <w:t xml:space="preserve">Changes to information	</w:t>
      </w:r>
      <w:r>
        <w:rPr>
          <w:rFonts w:ascii="Times New Roman" w:hAnsi="Times New Roman" w:eastAsia="Times New Roman"/>
          <w:color w:val="000000"/>
          <w:spacing w:val="0"/>
          <w:w w:val="100"/>
          <w:sz w:val="20"/>
          <w:vertAlign w:val="baseline"/>
          <w:lang w:val="en-US"/>
        </w:rPr>
        <w:t xml:space="preserve">349</w:t>
      </w:r>
    </w:p>
    <w:p>
      <w:pPr>
        <w:tabs>
          <w:tab w:val="left" w:leader="none" w:pos="720"/>
          <w:tab w:val="left" w:leader="none" w:pos="7272"/>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507	</w:t>
      </w:r>
      <w:r>
        <w:rPr>
          <w:rFonts w:ascii="Times New Roman" w:hAnsi="Times New Roman" w:eastAsia="Times New Roman"/>
          <w:color w:val="000000"/>
          <w:spacing w:val="0"/>
          <w:w w:val="100"/>
          <w:sz w:val="20"/>
          <w:vertAlign w:val="baseline"/>
          <w:lang w:val="en-US"/>
        </w:rPr>
        <w:t xml:space="preserve">Change to nominated supervisor	</w:t>
      </w:r>
      <w:r>
        <w:rPr>
          <w:rFonts w:ascii="Times New Roman" w:hAnsi="Times New Roman" w:eastAsia="Times New Roman"/>
          <w:color w:val="000000"/>
          <w:spacing w:val="0"/>
          <w:w w:val="100"/>
          <w:sz w:val="20"/>
          <w:vertAlign w:val="baseline"/>
          <w:lang w:val="en-US"/>
        </w:rPr>
        <w:t xml:space="preserve">350</w:t>
      </w:r>
    </w:p>
    <w:p>
      <w:pPr>
        <w:tabs>
          <w:tab w:val="left" w:leader="none" w:pos="720"/>
          <w:tab w:val="left" w:leader="none" w:pos="7272"/>
        </w:tabs>
        <w:spacing w:before="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508	</w:t>
      </w:r>
      <w:r>
        <w:rPr>
          <w:rFonts w:ascii="Times New Roman" w:hAnsi="Times New Roman" w:eastAsia="Times New Roman"/>
          <w:color w:val="000000"/>
          <w:spacing w:val="0"/>
          <w:w w:val="100"/>
          <w:sz w:val="20"/>
          <w:vertAlign w:val="baseline"/>
          <w:lang w:val="en-US"/>
        </w:rPr>
        <w:t xml:space="preserve">Amendment imposed by regulator	</w:t>
      </w:r>
      <w:r>
        <w:rPr>
          <w:rFonts w:ascii="Times New Roman" w:hAnsi="Times New Roman" w:eastAsia="Times New Roman"/>
          <w:color w:val="000000"/>
          <w:spacing w:val="0"/>
          <w:w w:val="100"/>
          <w:sz w:val="20"/>
          <w:vertAlign w:val="baseline"/>
          <w:lang w:val="en-US"/>
        </w:rPr>
        <w:t xml:space="preserve">350</w:t>
      </w:r>
    </w:p>
    <w:p>
      <w:pPr>
        <w:tabs>
          <w:tab w:val="left" w:leader="none" w:pos="720"/>
          <w:tab w:val="left" w:leader="none" w:pos="7272"/>
        </w:tabs>
        <w:spacing w:before="0" w:after="0" w:line="225"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509	</w:t>
      </w:r>
      <w:r>
        <w:rPr>
          <w:rFonts w:ascii="Times New Roman" w:hAnsi="Times New Roman" w:eastAsia="Times New Roman"/>
          <w:color w:val="000000"/>
          <w:spacing w:val="0"/>
          <w:w w:val="100"/>
          <w:sz w:val="20"/>
          <w:vertAlign w:val="baseline"/>
          <w:lang w:val="en-US"/>
        </w:rPr>
        <w:t xml:space="preserve">Amendment on application by licence holder	</w:t>
      </w:r>
      <w:r>
        <w:rPr>
          <w:rFonts w:ascii="Times New Roman" w:hAnsi="Times New Roman" w:eastAsia="Times New Roman"/>
          <w:color w:val="000000"/>
          <w:spacing w:val="0"/>
          <w:w w:val="100"/>
          <w:sz w:val="20"/>
          <w:vertAlign w:val="baseline"/>
          <w:lang w:val="en-US"/>
        </w:rPr>
        <w:t xml:space="preserve">351</w:t>
      </w:r>
    </w:p>
    <w:p>
      <w:pPr>
        <w:tabs>
          <w:tab w:val="left" w:leader="none" w:pos="720"/>
          <w:tab w:val="left" w:leader="none" w:pos="7272"/>
        </w:tabs>
        <w:spacing w:before="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510	</w:t>
      </w:r>
      <w:r>
        <w:rPr>
          <w:rFonts w:ascii="Times New Roman" w:hAnsi="Times New Roman" w:eastAsia="Times New Roman"/>
          <w:color w:val="000000"/>
          <w:spacing w:val="0"/>
          <w:w w:val="100"/>
          <w:sz w:val="20"/>
          <w:vertAlign w:val="baseline"/>
          <w:lang w:val="en-US"/>
        </w:rPr>
        <w:t xml:space="preserve">Minor corrections to licence	</w:t>
      </w:r>
      <w:r>
        <w:rPr>
          <w:rFonts w:ascii="Times New Roman" w:hAnsi="Times New Roman" w:eastAsia="Times New Roman"/>
          <w:color w:val="000000"/>
          <w:spacing w:val="0"/>
          <w:w w:val="100"/>
          <w:sz w:val="20"/>
          <w:vertAlign w:val="baseline"/>
          <w:lang w:val="en-US"/>
        </w:rPr>
        <w:t xml:space="preserve">353</w:t>
      </w:r>
    </w:p>
    <w:p>
      <w:pPr>
        <w:tabs>
          <w:tab w:val="left" w:leader="none" w:pos="720"/>
          <w:tab w:val="left" w:leader="none" w:pos="7272"/>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511	</w:t>
      </w:r>
      <w:r>
        <w:rPr>
          <w:rFonts w:ascii="Times New Roman" w:hAnsi="Times New Roman" w:eastAsia="Times New Roman"/>
          <w:color w:val="000000"/>
          <w:spacing w:val="0"/>
          <w:w w:val="100"/>
          <w:sz w:val="20"/>
          <w:vertAlign w:val="baseline"/>
          <w:lang w:val="en-US"/>
        </w:rPr>
        <w:t xml:space="preserve">Regulator to give amended licence to the holder	</w:t>
      </w:r>
      <w:r>
        <w:rPr>
          <w:rFonts w:ascii="Times New Roman" w:hAnsi="Times New Roman" w:eastAsia="Times New Roman"/>
          <w:color w:val="000000"/>
          <w:spacing w:val="0"/>
          <w:w w:val="100"/>
          <w:sz w:val="20"/>
          <w:vertAlign w:val="baseline"/>
          <w:lang w:val="en-US"/>
        </w:rPr>
        <w:t xml:space="preserve">353</w:t>
      </w:r>
    </w:p>
    <w:p>
      <w:pPr>
        <w:tabs>
          <w:tab w:val="left" w:leader="none" w:pos="720"/>
          <w:tab w:val="left" w:leader="none" w:pos="7272"/>
        </w:tabs>
        <w:spacing w:before="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512	</w:t>
      </w:r>
      <w:r>
        <w:rPr>
          <w:rFonts w:ascii="Times New Roman" w:hAnsi="Times New Roman" w:eastAsia="Times New Roman"/>
          <w:color w:val="000000"/>
          <w:spacing w:val="0"/>
          <w:w w:val="100"/>
          <w:sz w:val="20"/>
          <w:vertAlign w:val="baseline"/>
          <w:lang w:val="en-US"/>
        </w:rPr>
        <w:t xml:space="preserve">Licence holder to return licence	</w:t>
      </w:r>
      <w:r>
        <w:rPr>
          <w:rFonts w:ascii="Times New Roman" w:hAnsi="Times New Roman" w:eastAsia="Times New Roman"/>
          <w:color w:val="000000"/>
          <w:spacing w:val="0"/>
          <w:w w:val="100"/>
          <w:sz w:val="20"/>
          <w:vertAlign w:val="baseline"/>
          <w:lang w:val="en-US"/>
        </w:rPr>
        <w:t xml:space="preserve">353</w:t>
      </w:r>
    </w:p>
    <w:p>
      <w:pPr>
        <w:tabs>
          <w:tab w:val="left" w:leader="none" w:pos="720"/>
          <w:tab w:val="left" w:leader="none" w:pos="7272"/>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513	</w:t>
      </w:r>
      <w:r>
        <w:rPr>
          <w:rFonts w:ascii="Times New Roman" w:hAnsi="Times New Roman" w:eastAsia="Times New Roman"/>
          <w:color w:val="000000"/>
          <w:spacing w:val="0"/>
          <w:w w:val="100"/>
          <w:sz w:val="20"/>
          <w:vertAlign w:val="baseline"/>
          <w:lang w:val="en-US"/>
        </w:rPr>
        <w:t xml:space="preserve">Replacement licence document	</w:t>
      </w:r>
      <w:r>
        <w:rPr>
          <w:rFonts w:ascii="Times New Roman" w:hAnsi="Times New Roman" w:eastAsia="Times New Roman"/>
          <w:color w:val="000000"/>
          <w:spacing w:val="0"/>
          <w:w w:val="100"/>
          <w:sz w:val="20"/>
          <w:vertAlign w:val="baseline"/>
          <w:lang w:val="en-US"/>
        </w:rPr>
        <w:t xml:space="preserve">353</w:t>
      </w:r>
    </w:p>
    <w:p>
      <w:pPr>
        <w:tabs>
          <w:tab w:val="left" w:leader="none" w:pos="720"/>
          <w:tab w:val="left" w:leader="none" w:pos="7272"/>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514	</w:t>
      </w:r>
      <w:r>
        <w:rPr>
          <w:rFonts w:ascii="Times New Roman" w:hAnsi="Times New Roman" w:eastAsia="Times New Roman"/>
          <w:color w:val="000000"/>
          <w:spacing w:val="0"/>
          <w:w w:val="100"/>
          <w:sz w:val="20"/>
          <w:vertAlign w:val="baseline"/>
          <w:lang w:val="en-US"/>
        </w:rPr>
        <w:t xml:space="preserve">Voluntary surrender of licence	</w:t>
      </w:r>
      <w:r>
        <w:rPr>
          <w:rFonts w:ascii="Times New Roman" w:hAnsi="Times New Roman" w:eastAsia="Times New Roman"/>
          <w:color w:val="000000"/>
          <w:spacing w:val="0"/>
          <w:w w:val="100"/>
          <w:sz w:val="20"/>
          <w:vertAlign w:val="baseline"/>
          <w:lang w:val="en-US"/>
        </w:rPr>
        <w:t xml:space="preserve">354</w:t>
      </w:r>
    </w:p>
    <w:p>
      <w:pPr>
        <w:tabs>
          <w:tab w:val="left" w:leader="none" w:pos="1368"/>
          <w:tab w:val="left" w:leader="none" w:pos="7272"/>
        </w:tabs>
        <w:spacing w:before="2" w:after="0" w:line="225"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5	</w:t>
      </w:r>
      <w:r>
        <w:rPr>
          <w:rFonts w:ascii="Times New Roman" w:hAnsi="Times New Roman" w:eastAsia="Times New Roman"/>
          <w:b w:val="true"/>
          <w:color w:val="000000"/>
          <w:spacing w:val="0"/>
          <w:w w:val="100"/>
          <w:sz w:val="20"/>
          <w:vertAlign w:val="baseline"/>
          <w:lang w:val="en-US"/>
        </w:rPr>
        <w:t xml:space="preserve">Renewal of licence	</w:t>
      </w:r>
      <w:r>
        <w:rPr>
          <w:rFonts w:ascii="Times New Roman" w:hAnsi="Times New Roman" w:eastAsia="Times New Roman"/>
          <w:b w:val="true"/>
          <w:color w:val="000000"/>
          <w:spacing w:val="0"/>
          <w:w w:val="100"/>
          <w:sz w:val="20"/>
          <w:vertAlign w:val="baseline"/>
          <w:lang w:val="en-US"/>
        </w:rPr>
        <w:t xml:space="preserve">354</w:t>
      </w:r>
    </w:p>
    <w:p>
      <w:pPr>
        <w:tabs>
          <w:tab w:val="left" w:leader="none" w:pos="720"/>
          <w:tab w:val="left" w:leader="none" w:pos="7272"/>
        </w:tabs>
        <w:spacing w:before="124"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515	</w:t>
      </w:r>
      <w:r>
        <w:rPr>
          <w:rFonts w:ascii="Times New Roman" w:hAnsi="Times New Roman" w:eastAsia="Times New Roman"/>
          <w:color w:val="000000"/>
          <w:spacing w:val="0"/>
          <w:w w:val="100"/>
          <w:sz w:val="20"/>
          <w:vertAlign w:val="baseline"/>
          <w:lang w:val="en-US"/>
        </w:rPr>
        <w:t xml:space="preserve">Regulator may renew licence	</w:t>
      </w:r>
      <w:r>
        <w:rPr>
          <w:rFonts w:ascii="Times New Roman" w:hAnsi="Times New Roman" w:eastAsia="Times New Roman"/>
          <w:color w:val="000000"/>
          <w:spacing w:val="0"/>
          <w:w w:val="100"/>
          <w:sz w:val="20"/>
          <w:vertAlign w:val="baseline"/>
          <w:lang w:val="en-US"/>
        </w:rPr>
        <w:t xml:space="preserve">354</w:t>
      </w:r>
    </w:p>
    <w:p>
      <w:pPr>
        <w:tabs>
          <w:tab w:val="left" w:leader="none" w:pos="720"/>
          <w:tab w:val="left" w:leader="none" w:pos="7272"/>
        </w:tabs>
        <w:spacing w:before="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516	</w:t>
      </w:r>
      <w:r>
        <w:rPr>
          <w:rFonts w:ascii="Times New Roman" w:hAnsi="Times New Roman" w:eastAsia="Times New Roman"/>
          <w:color w:val="000000"/>
          <w:spacing w:val="0"/>
          <w:w w:val="100"/>
          <w:sz w:val="20"/>
          <w:vertAlign w:val="baseline"/>
          <w:lang w:val="en-US"/>
        </w:rPr>
        <w:t xml:space="preserve">Application for renewal	</w:t>
      </w:r>
      <w:r>
        <w:rPr>
          <w:rFonts w:ascii="Times New Roman" w:hAnsi="Times New Roman" w:eastAsia="Times New Roman"/>
          <w:color w:val="000000"/>
          <w:spacing w:val="0"/>
          <w:w w:val="100"/>
          <w:sz w:val="20"/>
          <w:vertAlign w:val="baseline"/>
          <w:lang w:val="en-US"/>
        </w:rPr>
        <w:t xml:space="preserve">354</w:t>
      </w:r>
    </w:p>
    <w:p>
      <w:pPr>
        <w:tabs>
          <w:tab w:val="left" w:leader="none" w:pos="720"/>
          <w:tab w:val="left" w:leader="none" w:pos="7272"/>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517	</w:t>
      </w:r>
      <w:r>
        <w:rPr>
          <w:rFonts w:ascii="Times New Roman" w:hAnsi="Times New Roman" w:eastAsia="Times New Roman"/>
          <w:color w:val="000000"/>
          <w:spacing w:val="0"/>
          <w:w w:val="100"/>
          <w:sz w:val="20"/>
          <w:vertAlign w:val="baseline"/>
          <w:lang w:val="en-US"/>
        </w:rPr>
        <w:t xml:space="preserve">Provisions relating to renewal of licence	</w:t>
      </w:r>
      <w:r>
        <w:rPr>
          <w:rFonts w:ascii="Times New Roman" w:hAnsi="Times New Roman" w:eastAsia="Times New Roman"/>
          <w:color w:val="000000"/>
          <w:spacing w:val="0"/>
          <w:w w:val="100"/>
          <w:sz w:val="20"/>
          <w:vertAlign w:val="baseline"/>
          <w:lang w:val="en-US"/>
        </w:rPr>
        <w:t xml:space="preserve">355</w:t>
      </w:r>
    </w:p>
    <w:p>
      <w:pPr>
        <w:tabs>
          <w:tab w:val="left" w:leader="none" w:pos="720"/>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518	</w:t>
      </w:r>
      <w:r>
        <w:rPr>
          <w:rFonts w:ascii="Times New Roman" w:hAnsi="Times New Roman" w:eastAsia="Times New Roman"/>
          <w:color w:val="000000"/>
          <w:spacing w:val="0"/>
          <w:w w:val="100"/>
          <w:sz w:val="20"/>
          <w:vertAlign w:val="baseline"/>
          <w:lang w:val="en-US"/>
        </w:rPr>
        <w:t xml:space="preserve">Renewal of asbestos removal licence—regulator to be satisfied about certain matters356</w:t>
      </w:r>
    </w:p>
    <w:p>
      <w:pPr>
        <w:tabs>
          <w:tab w:val="left" w:leader="none" w:pos="720"/>
          <w:tab w:val="left" w:leader="none" w:pos="7272"/>
        </w:tabs>
        <w:spacing w:before="0" w:after="0" w:line="226"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519	</w:t>
      </w:r>
      <w:r>
        <w:rPr>
          <w:rFonts w:ascii="Times New Roman" w:hAnsi="Times New Roman" w:eastAsia="Times New Roman"/>
          <w:color w:val="000000"/>
          <w:spacing w:val="0"/>
          <w:w w:val="100"/>
          <w:sz w:val="20"/>
          <w:vertAlign w:val="baseline"/>
          <w:lang w:val="en-US"/>
        </w:rPr>
        <w:t xml:space="preserve">Status of licence during review	</w:t>
      </w:r>
      <w:r>
        <w:rPr>
          <w:rFonts w:ascii="Times New Roman" w:hAnsi="Times New Roman" w:eastAsia="Times New Roman"/>
          <w:color w:val="000000"/>
          <w:spacing w:val="0"/>
          <w:w w:val="100"/>
          <w:sz w:val="20"/>
          <w:vertAlign w:val="baseline"/>
          <w:lang w:val="en-US"/>
        </w:rPr>
        <w:t xml:space="preserve">356</w:t>
      </w:r>
    </w:p>
    <w:p>
      <w:pPr>
        <w:tabs>
          <w:tab w:val="left" w:leader="none" w:pos="1368"/>
          <w:tab w:val="left" w:leader="none" w:pos="7272"/>
        </w:tabs>
        <w:spacing w:before="1" w:after="0" w:line="225"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6	</w:t>
      </w:r>
      <w:r>
        <w:rPr>
          <w:rFonts w:ascii="Times New Roman" w:hAnsi="Times New Roman" w:eastAsia="Times New Roman"/>
          <w:b w:val="true"/>
          <w:color w:val="000000"/>
          <w:spacing w:val="0"/>
          <w:w w:val="100"/>
          <w:sz w:val="20"/>
          <w:vertAlign w:val="baseline"/>
          <w:lang w:val="en-US"/>
        </w:rPr>
        <w:t xml:space="preserve">Suspension and cancellation of licence	</w:t>
      </w:r>
      <w:r>
        <w:rPr>
          <w:rFonts w:ascii="Times New Roman" w:hAnsi="Times New Roman" w:eastAsia="Times New Roman"/>
          <w:b w:val="true"/>
          <w:color w:val="000000"/>
          <w:spacing w:val="0"/>
          <w:w w:val="100"/>
          <w:sz w:val="20"/>
          <w:vertAlign w:val="baseline"/>
          <w:lang w:val="en-US"/>
        </w:rPr>
        <w:t xml:space="preserve">357</w:t>
      </w:r>
    </w:p>
    <w:p>
      <w:pPr>
        <w:tabs>
          <w:tab w:val="left" w:leader="none" w:pos="720"/>
          <w:tab w:val="left" w:leader="none" w:pos="7272"/>
        </w:tabs>
        <w:spacing w:before="125"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520	</w:t>
      </w:r>
      <w:r>
        <w:rPr>
          <w:rFonts w:ascii="Times New Roman" w:hAnsi="Times New Roman" w:eastAsia="Times New Roman"/>
          <w:color w:val="000000"/>
          <w:spacing w:val="0"/>
          <w:w w:val="100"/>
          <w:sz w:val="20"/>
          <w:vertAlign w:val="baseline"/>
          <w:lang w:val="en-US"/>
        </w:rPr>
        <w:t xml:space="preserve">Suspension or cancellation of licence	</w:t>
      </w:r>
      <w:r>
        <w:rPr>
          <w:rFonts w:ascii="Times New Roman" w:hAnsi="Times New Roman" w:eastAsia="Times New Roman"/>
          <w:color w:val="000000"/>
          <w:spacing w:val="0"/>
          <w:w w:val="100"/>
          <w:sz w:val="20"/>
          <w:vertAlign w:val="baseline"/>
          <w:lang w:val="en-US"/>
        </w:rPr>
        <w:t xml:space="preserve">357</w:t>
      </w:r>
    </w:p>
    <w:p>
      <w:pPr>
        <w:tabs>
          <w:tab w:val="left" w:leader="none" w:pos="720"/>
          <w:tab w:val="left" w:leader="none" w:pos="7272"/>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521	</w:t>
      </w:r>
      <w:r>
        <w:rPr>
          <w:rFonts w:ascii="Times New Roman" w:hAnsi="Times New Roman" w:eastAsia="Times New Roman"/>
          <w:color w:val="000000"/>
          <w:spacing w:val="0"/>
          <w:w w:val="100"/>
          <w:sz w:val="20"/>
          <w:vertAlign w:val="baseline"/>
          <w:lang w:val="en-US"/>
        </w:rPr>
        <w:t xml:space="preserve">Matters taken into account	</w:t>
      </w:r>
      <w:r>
        <w:rPr>
          <w:rFonts w:ascii="Times New Roman" w:hAnsi="Times New Roman" w:eastAsia="Times New Roman"/>
          <w:color w:val="000000"/>
          <w:spacing w:val="0"/>
          <w:w w:val="100"/>
          <w:sz w:val="20"/>
          <w:vertAlign w:val="baseline"/>
          <w:lang w:val="en-US"/>
        </w:rPr>
        <w:t xml:space="preserve">358</w:t>
      </w:r>
    </w:p>
    <w:p>
      <w:pPr>
        <w:tabs>
          <w:tab w:val="left" w:leader="none" w:pos="720"/>
          <w:tab w:val="left" w:leader="none" w:pos="7272"/>
        </w:tabs>
        <w:spacing w:before="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522	</w:t>
      </w:r>
      <w:r>
        <w:rPr>
          <w:rFonts w:ascii="Times New Roman" w:hAnsi="Times New Roman" w:eastAsia="Times New Roman"/>
          <w:color w:val="000000"/>
          <w:spacing w:val="0"/>
          <w:w w:val="100"/>
          <w:sz w:val="20"/>
          <w:vertAlign w:val="baseline"/>
          <w:lang w:val="en-US"/>
        </w:rPr>
        <w:t xml:space="preserve">Notice to and submissions by licence holder	</w:t>
      </w:r>
      <w:r>
        <w:rPr>
          <w:rFonts w:ascii="Times New Roman" w:hAnsi="Times New Roman" w:eastAsia="Times New Roman"/>
          <w:color w:val="000000"/>
          <w:spacing w:val="0"/>
          <w:w w:val="100"/>
          <w:sz w:val="20"/>
          <w:vertAlign w:val="baseline"/>
          <w:lang w:val="en-US"/>
        </w:rPr>
        <w:t xml:space="preserve">359</w:t>
      </w:r>
    </w:p>
    <w:p>
      <w:pPr>
        <w:tabs>
          <w:tab w:val="left" w:leader="none" w:pos="720"/>
          <w:tab w:val="left" w:leader="none" w:pos="7272"/>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523	</w:t>
      </w:r>
      <w:r>
        <w:rPr>
          <w:rFonts w:ascii="Times New Roman" w:hAnsi="Times New Roman" w:eastAsia="Times New Roman"/>
          <w:color w:val="000000"/>
          <w:spacing w:val="0"/>
          <w:w w:val="100"/>
          <w:sz w:val="20"/>
          <w:vertAlign w:val="baseline"/>
          <w:lang w:val="en-US"/>
        </w:rPr>
        <w:t xml:space="preserve">Notice of decision	</w:t>
      </w:r>
      <w:r>
        <w:rPr>
          <w:rFonts w:ascii="Times New Roman" w:hAnsi="Times New Roman" w:eastAsia="Times New Roman"/>
          <w:color w:val="000000"/>
          <w:spacing w:val="0"/>
          <w:w w:val="100"/>
          <w:sz w:val="20"/>
          <w:vertAlign w:val="baseline"/>
          <w:lang w:val="en-US"/>
        </w:rPr>
        <w:t xml:space="preserve">359</w:t>
      </w:r>
    </w:p>
    <w:p>
      <w:pPr>
        <w:tabs>
          <w:tab w:val="left" w:leader="none" w:pos="7272"/>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524 Immediate suspension	</w:t>
      </w:r>
      <w:r>
        <w:rPr>
          <w:rFonts w:ascii="Times New Roman" w:hAnsi="Times New Roman" w:eastAsia="Times New Roman"/>
          <w:color w:val="000000"/>
          <w:spacing w:val="0"/>
          <w:w w:val="100"/>
          <w:sz w:val="20"/>
          <w:vertAlign w:val="baseline"/>
          <w:lang w:val="en-US"/>
        </w:rPr>
        <w:t xml:space="preserve">360</w:t>
      </w:r>
    </w:p>
    <w:p>
      <w:pPr>
        <w:tabs>
          <w:tab w:val="left" w:leader="none" w:pos="720"/>
          <w:tab w:val="left" w:leader="none" w:pos="7272"/>
        </w:tabs>
        <w:spacing w:before="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525	</w:t>
      </w:r>
      <w:r>
        <w:rPr>
          <w:rFonts w:ascii="Times New Roman" w:hAnsi="Times New Roman" w:eastAsia="Times New Roman"/>
          <w:color w:val="000000"/>
          <w:spacing w:val="0"/>
          <w:w w:val="100"/>
          <w:sz w:val="20"/>
          <w:vertAlign w:val="baseline"/>
          <w:lang w:val="en-US"/>
        </w:rPr>
        <w:t xml:space="preserve">Licence holder to return licence document	</w:t>
      </w:r>
      <w:r>
        <w:rPr>
          <w:rFonts w:ascii="Times New Roman" w:hAnsi="Times New Roman" w:eastAsia="Times New Roman"/>
          <w:color w:val="000000"/>
          <w:spacing w:val="0"/>
          <w:w w:val="100"/>
          <w:sz w:val="20"/>
          <w:vertAlign w:val="baseline"/>
          <w:lang w:val="en-US"/>
        </w:rPr>
        <w:t xml:space="preserve">361</w:t>
      </w:r>
    </w:p>
    <w:p>
      <w:pPr>
        <w:tabs>
          <w:tab w:val="left" w:leader="none" w:pos="720"/>
          <w:tab w:val="left" w:leader="none" w:pos="7272"/>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526	</w:t>
      </w:r>
      <w:r>
        <w:rPr>
          <w:rFonts w:ascii="Times New Roman" w:hAnsi="Times New Roman" w:eastAsia="Times New Roman"/>
          <w:color w:val="000000"/>
          <w:spacing w:val="0"/>
          <w:w w:val="100"/>
          <w:sz w:val="20"/>
          <w:vertAlign w:val="baseline"/>
          <w:lang w:val="en-US"/>
        </w:rPr>
        <w:t xml:space="preserve">Regulator to return licence document after suspension	</w:t>
      </w:r>
      <w:r>
        <w:rPr>
          <w:rFonts w:ascii="Times New Roman" w:hAnsi="Times New Roman" w:eastAsia="Times New Roman"/>
          <w:color w:val="000000"/>
          <w:spacing w:val="0"/>
          <w:w w:val="100"/>
          <w:sz w:val="20"/>
          <w:vertAlign w:val="baseline"/>
          <w:lang w:val="en-US"/>
        </w:rPr>
        <w:t xml:space="preserve">361</w:t>
      </w:r>
    </w:p>
    <w:p>
      <w:pPr>
        <w:tabs>
          <w:tab w:val="left" w:leader="none" w:pos="1368"/>
          <w:tab w:val="left" w:leader="none" w:pos="7272"/>
        </w:tabs>
        <w:spacing w:before="2" w:after="0" w:line="225"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7	</w:t>
      </w:r>
      <w:r>
        <w:rPr>
          <w:rFonts w:ascii="Times New Roman" w:hAnsi="Times New Roman" w:eastAsia="Times New Roman"/>
          <w:b w:val="true"/>
          <w:color w:val="000000"/>
          <w:spacing w:val="0"/>
          <w:w w:val="100"/>
          <w:sz w:val="20"/>
          <w:vertAlign w:val="baseline"/>
          <w:lang w:val="en-US"/>
        </w:rPr>
        <w:t xml:space="preserve">General	</w:t>
      </w:r>
      <w:r>
        <w:rPr>
          <w:rFonts w:ascii="Times New Roman" w:hAnsi="Times New Roman" w:eastAsia="Times New Roman"/>
          <w:b w:val="true"/>
          <w:color w:val="000000"/>
          <w:spacing w:val="0"/>
          <w:w w:val="100"/>
          <w:sz w:val="20"/>
          <w:vertAlign w:val="baseline"/>
          <w:lang w:val="en-US"/>
        </w:rPr>
        <w:t xml:space="preserve">361</w:t>
      </w:r>
    </w:p>
    <w:p>
      <w:pPr>
        <w:tabs>
          <w:tab w:val="left" w:leader="none" w:pos="720"/>
          <w:tab w:val="left" w:leader="none" w:pos="7272"/>
        </w:tabs>
        <w:spacing w:before="124"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527	</w:t>
      </w:r>
      <w:r>
        <w:rPr>
          <w:rFonts w:ascii="Times New Roman" w:hAnsi="Times New Roman" w:eastAsia="Times New Roman"/>
          <w:color w:val="000000"/>
          <w:spacing w:val="0"/>
          <w:w w:val="100"/>
          <w:sz w:val="20"/>
          <w:vertAlign w:val="baseline"/>
          <w:lang w:val="en-US"/>
        </w:rPr>
        <w:t xml:space="preserve">Asbestos removal licence register	</w:t>
      </w:r>
      <w:r>
        <w:rPr>
          <w:rFonts w:ascii="Times New Roman" w:hAnsi="Times New Roman" w:eastAsia="Times New Roman"/>
          <w:color w:val="000000"/>
          <w:spacing w:val="0"/>
          <w:w w:val="100"/>
          <w:sz w:val="20"/>
          <w:vertAlign w:val="baseline"/>
          <w:lang w:val="en-US"/>
        </w:rPr>
        <w:t xml:space="preserve">361</w:t>
      </w:r>
    </w:p>
    <w:p>
      <w:pPr>
        <w:tabs>
          <w:tab w:val="left" w:leader="none" w:pos="720"/>
          <w:tab w:val="left" w:leader="none" w:pos="7272"/>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528	</w:t>
      </w:r>
      <w:r>
        <w:rPr>
          <w:rFonts w:ascii="Times New Roman" w:hAnsi="Times New Roman" w:eastAsia="Times New Roman"/>
          <w:color w:val="000000"/>
          <w:spacing w:val="0"/>
          <w:w w:val="100"/>
          <w:sz w:val="20"/>
          <w:vertAlign w:val="baseline"/>
          <w:lang w:val="en-US"/>
        </w:rPr>
        <w:t xml:space="preserve">Asbestos assessors register	</w:t>
      </w:r>
      <w:r>
        <w:rPr>
          <w:rFonts w:ascii="Times New Roman" w:hAnsi="Times New Roman" w:eastAsia="Times New Roman"/>
          <w:color w:val="000000"/>
          <w:spacing w:val="0"/>
          <w:w w:val="100"/>
          <w:sz w:val="20"/>
          <w:vertAlign w:val="baseline"/>
          <w:lang w:val="en-US"/>
        </w:rPr>
        <w:t xml:space="preserve">361</w:t>
      </w:r>
    </w:p>
    <w:p>
      <w:pPr>
        <w:tabs>
          <w:tab w:val="left" w:leader="none" w:pos="720"/>
          <w:tab w:val="left" w:leader="none" w:pos="7272"/>
        </w:tabs>
        <w:spacing w:before="0" w:after="0" w:line="226"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529	</w:t>
      </w:r>
      <w:r>
        <w:rPr>
          <w:rFonts w:ascii="Times New Roman" w:hAnsi="Times New Roman" w:eastAsia="Times New Roman"/>
          <w:color w:val="000000"/>
          <w:spacing w:val="0"/>
          <w:w w:val="100"/>
          <w:sz w:val="20"/>
          <w:vertAlign w:val="baseline"/>
          <w:lang w:val="en-US"/>
        </w:rPr>
        <w:t xml:space="preserve">Work must be supervised by named supervisor	</w:t>
      </w:r>
      <w:r>
        <w:rPr>
          <w:rFonts w:ascii="Times New Roman" w:hAnsi="Times New Roman" w:eastAsia="Times New Roman"/>
          <w:color w:val="000000"/>
          <w:spacing w:val="0"/>
          <w:w w:val="100"/>
          <w:sz w:val="20"/>
          <w:vertAlign w:val="baseline"/>
          <w:lang w:val="en-US"/>
        </w:rPr>
        <w:t xml:space="preserve">361</w:t>
      </w:r>
    </w:p>
    <w:p>
      <w:pPr>
        <w:tabs>
          <w:tab w:val="left" w:leader="none" w:pos="1944"/>
          <w:tab w:val="left" w:leader="none" w:pos="7272"/>
        </w:tabs>
        <w:spacing w:before="241" w:after="0" w:line="225"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CHAPTER 9	</w:t>
      </w:r>
      <w:r>
        <w:rPr>
          <w:rFonts w:ascii="Times New Roman" w:hAnsi="Times New Roman" w:eastAsia="Times New Roman"/>
          <w:b w:val="true"/>
          <w:color w:val="000000"/>
          <w:spacing w:val="0"/>
          <w:w w:val="100"/>
          <w:sz w:val="20"/>
          <w:vertAlign w:val="baseline"/>
          <w:lang w:val="en-US"/>
        </w:rPr>
        <w:t xml:space="preserve">MAJOR HAZARD FACILITIES	</w:t>
      </w:r>
      <w:r>
        <w:rPr>
          <w:rFonts w:ascii="Times New Roman" w:hAnsi="Times New Roman" w:eastAsia="Times New Roman"/>
          <w:b w:val="true"/>
          <w:color w:val="000000"/>
          <w:spacing w:val="0"/>
          <w:w w:val="100"/>
          <w:sz w:val="20"/>
          <w:vertAlign w:val="baseline"/>
          <w:lang w:val="en-US"/>
        </w:rPr>
        <w:t xml:space="preserve">363</w:t>
      </w:r>
    </w:p>
    <w:p>
      <w:pPr>
        <w:tabs>
          <w:tab w:val="left" w:leader="none" w:pos="1368"/>
          <w:tab w:val="left" w:leader="none" w:pos="7272"/>
        </w:tabs>
        <w:spacing w:before="246" w:after="0" w:line="225"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9.1	</w:t>
      </w:r>
      <w:r>
        <w:rPr>
          <w:rFonts w:ascii="Times New Roman" w:hAnsi="Times New Roman" w:eastAsia="Times New Roman"/>
          <w:b w:val="true"/>
          <w:color w:val="000000"/>
          <w:spacing w:val="0"/>
          <w:w w:val="100"/>
          <w:sz w:val="20"/>
          <w:vertAlign w:val="baseline"/>
          <w:lang w:val="en-US"/>
        </w:rPr>
        <w:t xml:space="preserve">PRELIMINARY	</w:t>
      </w:r>
      <w:r>
        <w:rPr>
          <w:rFonts w:ascii="Times New Roman" w:hAnsi="Times New Roman" w:eastAsia="Times New Roman"/>
          <w:b w:val="true"/>
          <w:color w:val="000000"/>
          <w:spacing w:val="0"/>
          <w:w w:val="100"/>
          <w:sz w:val="20"/>
          <w:vertAlign w:val="baseline"/>
          <w:lang w:val="en-US"/>
        </w:rPr>
        <w:t xml:space="preserve">363</w:t>
      </w:r>
    </w:p>
    <w:p>
      <w:pPr>
        <w:tabs>
          <w:tab w:val="left" w:leader="none" w:pos="1368"/>
          <w:tab w:val="left" w:leader="none" w:pos="7272"/>
        </w:tabs>
        <w:spacing w:before="125" w:after="0" w:line="225"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1	</w:t>
      </w:r>
      <w:r>
        <w:rPr>
          <w:rFonts w:ascii="Times New Roman" w:hAnsi="Times New Roman" w:eastAsia="Times New Roman"/>
          <w:b w:val="true"/>
          <w:color w:val="000000"/>
          <w:spacing w:val="0"/>
          <w:w w:val="100"/>
          <w:sz w:val="20"/>
          <w:vertAlign w:val="baseline"/>
          <w:lang w:val="en-US"/>
        </w:rPr>
        <w:t xml:space="preserve">Application and interpretation	</w:t>
      </w:r>
      <w:r>
        <w:rPr>
          <w:rFonts w:ascii="Times New Roman" w:hAnsi="Times New Roman" w:eastAsia="Times New Roman"/>
          <w:b w:val="true"/>
          <w:color w:val="000000"/>
          <w:spacing w:val="0"/>
          <w:w w:val="100"/>
          <w:sz w:val="20"/>
          <w:vertAlign w:val="baseline"/>
          <w:lang w:val="en-US"/>
        </w:rPr>
        <w:t xml:space="preserve">363</w:t>
      </w:r>
    </w:p>
    <w:p>
      <w:pPr>
        <w:tabs>
          <w:tab w:val="left" w:leader="none" w:pos="720"/>
          <w:tab w:val="left" w:leader="none" w:pos="7272"/>
        </w:tabs>
        <w:spacing w:before="125"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530	</w:t>
      </w:r>
      <w:r>
        <w:rPr>
          <w:rFonts w:ascii="Times New Roman" w:hAnsi="Times New Roman" w:eastAsia="Times New Roman"/>
          <w:color w:val="000000"/>
          <w:spacing w:val="0"/>
          <w:w w:val="100"/>
          <w:sz w:val="20"/>
          <w:vertAlign w:val="baseline"/>
          <w:lang w:val="en-US"/>
        </w:rPr>
        <w:t xml:space="preserve">This Chapter does not apply to certain facilities	</w:t>
      </w:r>
      <w:r>
        <w:rPr>
          <w:rFonts w:ascii="Times New Roman" w:hAnsi="Times New Roman" w:eastAsia="Times New Roman"/>
          <w:color w:val="000000"/>
          <w:spacing w:val="0"/>
          <w:w w:val="100"/>
          <w:sz w:val="20"/>
          <w:vertAlign w:val="baseline"/>
          <w:lang w:val="en-US"/>
        </w:rPr>
        <w:t xml:space="preserve">363</w:t>
      </w:r>
    </w:p>
    <w:p>
      <w:pPr>
        <w:tabs>
          <w:tab w:val="left" w:leader="none" w:pos="720"/>
          <w:tab w:val="left" w:leader="none" w:pos="7272"/>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531	</w:t>
      </w:r>
      <w:r>
        <w:rPr>
          <w:rFonts w:ascii="Times New Roman" w:hAnsi="Times New Roman" w:eastAsia="Times New Roman"/>
          <w:color w:val="000000"/>
          <w:spacing w:val="0"/>
          <w:w w:val="100"/>
          <w:sz w:val="20"/>
          <w:vertAlign w:val="baseline"/>
          <w:lang w:val="en-US"/>
        </w:rPr>
        <w:t xml:space="preserve">Meaning of </w:t>
      </w:r>
      <w:r>
        <w:rPr>
          <w:rFonts w:ascii="Times New Roman" w:hAnsi="Times New Roman" w:eastAsia="Times New Roman"/>
          <w:i w:val="true"/>
          <w:color w:val="000000"/>
          <w:spacing w:val="0"/>
          <w:w w:val="100"/>
          <w:sz w:val="20"/>
          <w:vertAlign w:val="baseline"/>
          <w:lang w:val="en-US"/>
        </w:rPr>
        <w:t xml:space="preserve">major incident	</w:t>
      </w:r>
      <w:r>
        <w:rPr>
          <w:rFonts w:ascii="Times New Roman" w:hAnsi="Times New Roman" w:eastAsia="Times New Roman"/>
          <w:color w:val="000000"/>
          <w:spacing w:val="0"/>
          <w:w w:val="100"/>
          <w:sz w:val="20"/>
          <w:vertAlign w:val="baseline"/>
          <w:lang w:val="en-US"/>
        </w:rPr>
        <w:t xml:space="preserve">363</w:t>
      </w:r>
    </w:p>
    <w:p>
      <w:pPr>
        <w:tabs>
          <w:tab w:val="left" w:leader="none" w:pos="720"/>
          <w:tab w:val="left" w:leader="none" w:pos="7272"/>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532	</w:t>
      </w:r>
      <w:r>
        <w:rPr>
          <w:rFonts w:ascii="Times New Roman" w:hAnsi="Times New Roman" w:eastAsia="Times New Roman"/>
          <w:color w:val="000000"/>
          <w:spacing w:val="0"/>
          <w:w w:val="100"/>
          <w:sz w:val="20"/>
          <w:vertAlign w:val="baseline"/>
          <w:lang w:val="en-US"/>
        </w:rPr>
        <w:t xml:space="preserve">Meaning of hazardous chemicals that are </w:t>
      </w:r>
      <w:r>
        <w:rPr>
          <w:rFonts w:ascii="Times New Roman" w:hAnsi="Times New Roman" w:eastAsia="Times New Roman"/>
          <w:i w:val="true"/>
          <w:color w:val="000000"/>
          <w:spacing w:val="0"/>
          <w:w w:val="100"/>
          <w:sz w:val="20"/>
          <w:vertAlign w:val="baseline"/>
          <w:lang w:val="en-US"/>
        </w:rPr>
        <w:t xml:space="preserve">present or likely to be present	</w:t>
      </w:r>
      <w:r>
        <w:rPr>
          <w:rFonts w:ascii="Times New Roman" w:hAnsi="Times New Roman" w:eastAsia="Times New Roman"/>
          <w:color w:val="000000"/>
          <w:spacing w:val="0"/>
          <w:w w:val="100"/>
          <w:sz w:val="20"/>
          <w:vertAlign w:val="baseline"/>
          <w:lang w:val="en-US"/>
        </w:rPr>
        <w:t xml:space="preserve">363</w:t>
      </w:r>
    </w:p>
    <w:p>
      <w:pPr>
        <w:tabs>
          <w:tab w:val="left" w:leader="none" w:pos="720"/>
          <w:tab w:val="left" w:leader="none" w:pos="7272"/>
        </w:tabs>
        <w:spacing w:before="1"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533	</w:t>
      </w:r>
      <w:r>
        <w:rPr>
          <w:rFonts w:ascii="Times New Roman" w:hAnsi="Times New Roman" w:eastAsia="Times New Roman"/>
          <w:color w:val="000000"/>
          <w:spacing w:val="0"/>
          <w:w w:val="100"/>
          <w:sz w:val="20"/>
          <w:vertAlign w:val="baseline"/>
          <w:lang w:val="en-US"/>
        </w:rPr>
        <w:t xml:space="preserve">Meaning of </w:t>
      </w:r>
      <w:r>
        <w:rPr>
          <w:rFonts w:ascii="Times New Roman" w:hAnsi="Times New Roman" w:eastAsia="Times New Roman"/>
          <w:i w:val="true"/>
          <w:color w:val="000000"/>
          <w:spacing w:val="0"/>
          <w:w w:val="100"/>
          <w:sz w:val="20"/>
          <w:vertAlign w:val="baseline"/>
          <w:lang w:val="en-US"/>
        </w:rPr>
        <w:t xml:space="preserve">operator </w:t>
      </w:r>
      <w:r>
        <w:rPr>
          <w:rFonts w:ascii="Times New Roman" w:hAnsi="Times New Roman" w:eastAsia="Times New Roman"/>
          <w:color w:val="000000"/>
          <w:spacing w:val="0"/>
          <w:w w:val="100"/>
          <w:sz w:val="20"/>
          <w:vertAlign w:val="baseline"/>
          <w:lang w:val="en-US"/>
        </w:rPr>
        <w:t xml:space="preserve">of a facility or proposed facility	</w:t>
      </w:r>
      <w:r>
        <w:rPr>
          <w:rFonts w:ascii="Times New Roman" w:hAnsi="Times New Roman" w:eastAsia="Times New Roman"/>
          <w:color w:val="000000"/>
          <w:spacing w:val="0"/>
          <w:w w:val="100"/>
          <w:sz w:val="20"/>
          <w:vertAlign w:val="baseline"/>
          <w:lang w:val="en-US"/>
        </w:rPr>
        <w:t xml:space="preserve">364</w:t>
      </w:r>
    </w:p>
    <w:p>
      <w:pPr>
        <w:tabs>
          <w:tab w:val="left" w:leader="none" w:pos="720"/>
          <w:tab w:val="left" w:leader="none" w:pos="7272"/>
        </w:tabs>
        <w:spacing w:before="0" w:after="0"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534	</w:t>
      </w:r>
      <w:r>
        <w:rPr>
          <w:rFonts w:ascii="Times New Roman" w:hAnsi="Times New Roman" w:eastAsia="Times New Roman"/>
          <w:color w:val="000000"/>
          <w:spacing w:val="0"/>
          <w:w w:val="100"/>
          <w:sz w:val="20"/>
          <w:vertAlign w:val="baseline"/>
          <w:lang w:val="en-US"/>
        </w:rPr>
        <w:t xml:space="preserve">Meaning of </w:t>
      </w:r>
      <w:r>
        <w:rPr>
          <w:rFonts w:ascii="Times New Roman" w:hAnsi="Times New Roman" w:eastAsia="Times New Roman"/>
          <w:i w:val="true"/>
          <w:color w:val="000000"/>
          <w:spacing w:val="0"/>
          <w:w w:val="100"/>
          <w:sz w:val="20"/>
          <w:vertAlign w:val="baseline"/>
          <w:lang w:val="en-US"/>
        </w:rPr>
        <w:t xml:space="preserve">modification </w:t>
      </w:r>
      <w:r>
        <w:rPr>
          <w:rFonts w:ascii="Times New Roman" w:hAnsi="Times New Roman" w:eastAsia="Times New Roman"/>
          <w:color w:val="000000"/>
          <w:spacing w:val="0"/>
          <w:w w:val="100"/>
          <w:sz w:val="20"/>
          <w:vertAlign w:val="baseline"/>
          <w:lang w:val="en-US"/>
        </w:rPr>
        <w:t xml:space="preserve">of a facility	</w:t>
      </w:r>
      <w:r>
        <w:rPr>
          <w:rFonts w:ascii="Times New Roman" w:hAnsi="Times New Roman" w:eastAsia="Times New Roman"/>
          <w:color w:val="000000"/>
          <w:spacing w:val="0"/>
          <w:w w:val="100"/>
          <w:sz w:val="20"/>
          <w:vertAlign w:val="baseline"/>
          <w:lang w:val="en-US"/>
        </w:rPr>
        <w:t xml:space="preserve">365</w:t>
      </w:r>
    </w:p>
    <w:p>
      <w:pPr>
        <w:tabs>
          <w:tab w:val="left" w:leader="none" w:pos="1368"/>
          <w:tab w:val="left" w:leader="none" w:pos="7272"/>
        </w:tabs>
        <w:spacing w:before="2" w:after="0" w:line="225"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2	</w:t>
      </w:r>
      <w:r>
        <w:rPr>
          <w:rFonts w:ascii="Times New Roman" w:hAnsi="Times New Roman" w:eastAsia="Times New Roman"/>
          <w:b w:val="true"/>
          <w:color w:val="000000"/>
          <w:spacing w:val="0"/>
          <w:w w:val="100"/>
          <w:sz w:val="20"/>
          <w:vertAlign w:val="baseline"/>
          <w:lang w:val="en-US"/>
        </w:rPr>
        <w:t xml:space="preserve">Requirement to be licensed	</w:t>
      </w:r>
      <w:r>
        <w:rPr>
          <w:rFonts w:ascii="Times New Roman" w:hAnsi="Times New Roman" w:eastAsia="Times New Roman"/>
          <w:b w:val="true"/>
          <w:color w:val="000000"/>
          <w:spacing w:val="0"/>
          <w:w w:val="100"/>
          <w:sz w:val="20"/>
          <w:vertAlign w:val="baseline"/>
          <w:lang w:val="en-US"/>
        </w:rPr>
        <w:t xml:space="preserve">366</w:t>
      </w:r>
    </w:p>
    <w:p>
      <w:pPr>
        <w:tabs>
          <w:tab w:val="left" w:leader="none" w:pos="720"/>
          <w:tab w:val="left" w:leader="none" w:pos="7272"/>
        </w:tabs>
        <w:spacing w:before="124" w:after="967" w:line="230" w:lineRule="exact"/>
        <w:ind w:right="0" w:left="216" w:firstLine="0"/>
        <w:jc w:val="both"/>
        <w:textAlignment w:val="baseline"/>
        <w:rPr>
          <w:rFonts w:ascii="Times New Roman" w:hAnsi="Times New Roman" w:eastAsia="Times New Roman"/>
          <w:color w:val="000000"/>
          <w:spacing w:val="0"/>
          <w:w w:val="100"/>
          <w:sz w:val="20"/>
          <w:vertAlign w:val="baseline"/>
          <w:lang w:val="en-US"/>
        </w:rPr>
      </w:pPr>
      <w:r>
        <w:pict>
          <v:line strokeweight="0.5pt" strokecolor="#000000" from="97.45pt,710.65pt" to="498.5pt,710.6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535	</w:t>
      </w:r>
      <w:r>
        <w:rPr>
          <w:rFonts w:ascii="Times New Roman" w:hAnsi="Times New Roman" w:eastAsia="Times New Roman"/>
          <w:color w:val="000000"/>
          <w:spacing w:val="0"/>
          <w:w w:val="100"/>
          <w:sz w:val="20"/>
          <w:vertAlign w:val="baseline"/>
          <w:lang w:val="en-US"/>
        </w:rPr>
        <w:t xml:space="preserve">A major hazard facility must be licensed	</w:t>
      </w:r>
      <w:r>
        <w:rPr>
          <w:rFonts w:ascii="Times New Roman" w:hAnsi="Times New Roman" w:eastAsia="Times New Roman"/>
          <w:color w:val="000000"/>
          <w:spacing w:val="0"/>
          <w:w w:val="100"/>
          <w:sz w:val="20"/>
          <w:vertAlign w:val="baseline"/>
          <w:lang w:val="en-US"/>
        </w:rPr>
        <w:t xml:space="preserve">366</w:t>
      </w:r>
    </w:p>
    <w:p>
      <w:pPr>
        <w:spacing w:before="124" w:after="967" w:line="230" w:lineRule="exact"/>
        <w:sectPr>
          <w:type w:val="nextPage"/>
          <w:pgSz w:w="11909" w:h="16838" w:orient="portrait"/>
          <w:pgMar w:bottom="1542" w:top="1320" w:right="1940" w:left="1949" w:header="720" w:footer="720"/>
          <w:titlePg w:val="false"/>
          <w:textDirection w:val="lrTb"/>
        </w:sectPr>
      </w:pPr>
    </w:p>
    <w:p>
      <w:pPr>
        <w:tabs>
          <w:tab w:val="right" w:leader="none" w:pos="4104"/>
        </w:tabs>
        <w:spacing w:before="5" w:after="0" w:line="178"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1.1.2021	</w:t>
      </w:r>
      <w:r>
        <w:rPr>
          <w:rFonts w:ascii="Times New Roman" w:hAnsi="Times New Roman" w:eastAsia="Times New Roman"/>
          <w:color w:val="000000"/>
          <w:spacing w:val="0"/>
          <w:w w:val="100"/>
          <w:sz w:val="16"/>
          <w:vertAlign w:val="baseline"/>
          <w:lang w:val="en-US"/>
        </w:rPr>
        <w:t xml:space="preserve">17</w:t>
      </w:r>
    </w:p>
    <w:p>
      <w:pPr>
        <w:sectPr>
          <w:type w:val="continuous"/>
          <w:pgSz w:w="11909" w:h="16838" w:orient="portrait"/>
          <w:pgMar w:bottom="1542" w:top="1320" w:right="5873" w:left="1996" w:header="720" w:footer="720"/>
          <w:titlePg w:val="false"/>
          <w:textDirection w:val="lrTb"/>
        </w:sectPr>
      </w:pPr>
    </w:p>
    <w:p>
      <w:pPr>
        <w:spacing w:before="22" w:after="228"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right" w:leader="none" w:pos="7704"/>
        </w:tabs>
        <w:spacing w:before="480"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7.45pt,90.95pt" to="498.5pt,90.95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PART 9.2	</w:t>
      </w:r>
      <w:r>
        <w:rPr>
          <w:rFonts w:ascii="Times New Roman" w:hAnsi="Times New Roman" w:eastAsia="Times New Roman"/>
          <w:b w:val="true"/>
          <w:color w:val="000000"/>
          <w:spacing w:val="0"/>
          <w:w w:val="100"/>
          <w:sz w:val="20"/>
          <w:vertAlign w:val="baseline"/>
          <w:lang w:val="en-US"/>
        </w:rPr>
        <w:t xml:space="preserve">DETERMINATIONS ABOUT MAJOR HAZARD FACILITIES 368</w:t>
      </w:r>
    </w:p>
    <w:p>
      <w:pPr>
        <w:tabs>
          <w:tab w:val="left" w:leader="none" w:pos="720"/>
          <w:tab w:val="right" w:leader="none" w:pos="7704"/>
        </w:tabs>
        <w:spacing w:before="122"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536	</w:t>
      </w:r>
      <w:r>
        <w:rPr>
          <w:rFonts w:ascii="Times New Roman" w:hAnsi="Times New Roman" w:eastAsia="Times New Roman"/>
          <w:color w:val="000000"/>
          <w:spacing w:val="0"/>
          <w:w w:val="100"/>
          <w:sz w:val="20"/>
          <w:vertAlign w:val="baseline"/>
          <w:lang w:val="en-US"/>
        </w:rPr>
        <w:t xml:space="preserve">Operators of certain facilities must notify regulator	</w:t>
      </w:r>
      <w:r>
        <w:rPr>
          <w:rFonts w:ascii="Times New Roman" w:hAnsi="Times New Roman" w:eastAsia="Times New Roman"/>
          <w:color w:val="000000"/>
          <w:spacing w:val="0"/>
          <w:w w:val="100"/>
          <w:sz w:val="20"/>
          <w:vertAlign w:val="baseline"/>
          <w:lang w:val="en-US"/>
        </w:rPr>
        <w:t xml:space="preserve">368</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537	</w:t>
      </w:r>
      <w:r>
        <w:rPr>
          <w:rFonts w:ascii="Times New Roman" w:hAnsi="Times New Roman" w:eastAsia="Times New Roman"/>
          <w:color w:val="000000"/>
          <w:spacing w:val="0"/>
          <w:w w:val="100"/>
          <w:sz w:val="20"/>
          <w:vertAlign w:val="baseline"/>
          <w:lang w:val="en-US"/>
        </w:rPr>
        <w:t xml:space="preserve">Notification—proposed facilities	</w:t>
      </w:r>
      <w:r>
        <w:rPr>
          <w:rFonts w:ascii="Times New Roman" w:hAnsi="Times New Roman" w:eastAsia="Times New Roman"/>
          <w:color w:val="000000"/>
          <w:spacing w:val="0"/>
          <w:w w:val="100"/>
          <w:sz w:val="20"/>
          <w:vertAlign w:val="baseline"/>
          <w:lang w:val="en-US"/>
        </w:rPr>
        <w:t xml:space="preserve">368</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538	</w:t>
      </w:r>
      <w:r>
        <w:rPr>
          <w:rFonts w:ascii="Times New Roman" w:hAnsi="Times New Roman" w:eastAsia="Times New Roman"/>
          <w:color w:val="000000"/>
          <w:spacing w:val="0"/>
          <w:w w:val="100"/>
          <w:sz w:val="20"/>
          <w:vertAlign w:val="baseline"/>
          <w:lang w:val="en-US"/>
        </w:rPr>
        <w:t xml:space="preserve">Content of notification	</w:t>
      </w:r>
      <w:r>
        <w:rPr>
          <w:rFonts w:ascii="Times New Roman" w:hAnsi="Times New Roman" w:eastAsia="Times New Roman"/>
          <w:color w:val="000000"/>
          <w:spacing w:val="0"/>
          <w:w w:val="100"/>
          <w:sz w:val="20"/>
          <w:vertAlign w:val="baseline"/>
          <w:lang w:val="en-US"/>
        </w:rPr>
        <w:t xml:space="preserve">368</w:t>
      </w:r>
    </w:p>
    <w:p>
      <w:pPr>
        <w:tabs>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539	</w:t>
      </w:r>
      <w:r>
        <w:rPr>
          <w:rFonts w:ascii="Times New Roman" w:hAnsi="Times New Roman" w:eastAsia="Times New Roman"/>
          <w:color w:val="000000"/>
          <w:spacing w:val="0"/>
          <w:w w:val="100"/>
          <w:sz w:val="20"/>
          <w:vertAlign w:val="baseline"/>
          <w:lang w:val="en-US"/>
        </w:rPr>
        <w:t xml:space="preserve">When regulator may conduct inquiry	</w:t>
      </w:r>
      <w:r>
        <w:rPr>
          <w:rFonts w:ascii="Times New Roman" w:hAnsi="Times New Roman" w:eastAsia="Times New Roman"/>
          <w:color w:val="000000"/>
          <w:spacing w:val="0"/>
          <w:w w:val="100"/>
          <w:sz w:val="20"/>
          <w:vertAlign w:val="baseline"/>
          <w:lang w:val="en-US"/>
        </w:rPr>
        <w:t xml:space="preserve">370</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540	</w:t>
      </w:r>
      <w:r>
        <w:rPr>
          <w:rFonts w:ascii="Times New Roman" w:hAnsi="Times New Roman" w:eastAsia="Times New Roman"/>
          <w:color w:val="000000"/>
          <w:spacing w:val="0"/>
          <w:w w:val="100"/>
          <w:sz w:val="20"/>
          <w:vertAlign w:val="baseline"/>
          <w:lang w:val="en-US"/>
        </w:rPr>
        <w:t xml:space="preserve">Inquiry procedure	</w:t>
      </w:r>
      <w:r>
        <w:rPr>
          <w:rFonts w:ascii="Times New Roman" w:hAnsi="Times New Roman" w:eastAsia="Times New Roman"/>
          <w:color w:val="000000"/>
          <w:spacing w:val="0"/>
          <w:w w:val="100"/>
          <w:sz w:val="20"/>
          <w:vertAlign w:val="baseline"/>
          <w:lang w:val="en-US"/>
        </w:rPr>
        <w:t xml:space="preserve">370</w:t>
      </w:r>
    </w:p>
    <w:p>
      <w:pPr>
        <w:tabs>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541	</w:t>
      </w:r>
      <w:r>
        <w:rPr>
          <w:rFonts w:ascii="Times New Roman" w:hAnsi="Times New Roman" w:eastAsia="Times New Roman"/>
          <w:color w:val="000000"/>
          <w:spacing w:val="0"/>
          <w:w w:val="100"/>
          <w:sz w:val="20"/>
          <w:vertAlign w:val="baseline"/>
          <w:lang w:val="en-US"/>
        </w:rPr>
        <w:t xml:space="preserve">Determination in relation to facility, on inquiry	</w:t>
      </w:r>
      <w:r>
        <w:rPr>
          <w:rFonts w:ascii="Times New Roman" w:hAnsi="Times New Roman" w:eastAsia="Times New Roman"/>
          <w:color w:val="000000"/>
          <w:spacing w:val="0"/>
          <w:w w:val="100"/>
          <w:sz w:val="20"/>
          <w:vertAlign w:val="baseline"/>
          <w:lang w:val="en-US"/>
        </w:rPr>
        <w:t xml:space="preserve">371</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542	</w:t>
      </w:r>
      <w:r>
        <w:rPr>
          <w:rFonts w:ascii="Times New Roman" w:hAnsi="Times New Roman" w:eastAsia="Times New Roman"/>
          <w:color w:val="000000"/>
          <w:spacing w:val="0"/>
          <w:w w:val="100"/>
          <w:sz w:val="20"/>
          <w:vertAlign w:val="baseline"/>
          <w:lang w:val="en-US"/>
        </w:rPr>
        <w:t xml:space="preserve">Determination in relation to over-threshold facility	</w:t>
      </w:r>
      <w:r>
        <w:rPr>
          <w:rFonts w:ascii="Times New Roman" w:hAnsi="Times New Roman" w:eastAsia="Times New Roman"/>
          <w:color w:val="000000"/>
          <w:spacing w:val="0"/>
          <w:w w:val="100"/>
          <w:sz w:val="20"/>
          <w:vertAlign w:val="baseline"/>
          <w:lang w:val="en-US"/>
        </w:rPr>
        <w:t xml:space="preserve">372</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543	</w:t>
      </w:r>
      <w:r>
        <w:rPr>
          <w:rFonts w:ascii="Times New Roman" w:hAnsi="Times New Roman" w:eastAsia="Times New Roman"/>
          <w:color w:val="000000"/>
          <w:spacing w:val="0"/>
          <w:w w:val="100"/>
          <w:sz w:val="20"/>
          <w:vertAlign w:val="baseline"/>
          <w:lang w:val="en-US"/>
        </w:rPr>
        <w:t xml:space="preserve">Suitability of facility operator	</w:t>
      </w:r>
      <w:r>
        <w:rPr>
          <w:rFonts w:ascii="Times New Roman" w:hAnsi="Times New Roman" w:eastAsia="Times New Roman"/>
          <w:color w:val="000000"/>
          <w:spacing w:val="0"/>
          <w:w w:val="100"/>
          <w:sz w:val="20"/>
          <w:vertAlign w:val="baseline"/>
          <w:lang w:val="en-US"/>
        </w:rPr>
        <w:t xml:space="preserve">372</w:t>
      </w:r>
    </w:p>
    <w:p>
      <w:pPr>
        <w:tabs>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544	</w:t>
      </w:r>
      <w:r>
        <w:rPr>
          <w:rFonts w:ascii="Times New Roman" w:hAnsi="Times New Roman" w:eastAsia="Times New Roman"/>
          <w:color w:val="000000"/>
          <w:spacing w:val="0"/>
          <w:w w:val="100"/>
          <w:sz w:val="20"/>
          <w:vertAlign w:val="baseline"/>
          <w:lang w:val="en-US"/>
        </w:rPr>
        <w:t xml:space="preserve">Conditions on determination of major hazard facility	</w:t>
      </w:r>
      <w:r>
        <w:rPr>
          <w:rFonts w:ascii="Times New Roman" w:hAnsi="Times New Roman" w:eastAsia="Times New Roman"/>
          <w:color w:val="000000"/>
          <w:spacing w:val="0"/>
          <w:w w:val="100"/>
          <w:sz w:val="20"/>
          <w:vertAlign w:val="baseline"/>
          <w:lang w:val="en-US"/>
        </w:rPr>
        <w:t xml:space="preserve">372</w:t>
      </w:r>
    </w:p>
    <w:p>
      <w:pPr>
        <w:tabs>
          <w:tab w:val="left" w:leader="none" w:pos="720"/>
          <w:tab w:val="right" w:leader="none" w:pos="7704"/>
        </w:tabs>
        <w:spacing w:before="0" w:after="0" w:line="225"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545	</w:t>
      </w:r>
      <w:r>
        <w:rPr>
          <w:rFonts w:ascii="Times New Roman" w:hAnsi="Times New Roman" w:eastAsia="Times New Roman"/>
          <w:color w:val="000000"/>
          <w:spacing w:val="0"/>
          <w:w w:val="100"/>
          <w:sz w:val="20"/>
          <w:vertAlign w:val="baseline"/>
          <w:lang w:val="en-US"/>
        </w:rPr>
        <w:t xml:space="preserve">Notice and effect of determinations	</w:t>
      </w:r>
      <w:r>
        <w:rPr>
          <w:rFonts w:ascii="Times New Roman" w:hAnsi="Times New Roman" w:eastAsia="Times New Roman"/>
          <w:color w:val="000000"/>
          <w:spacing w:val="0"/>
          <w:w w:val="100"/>
          <w:sz w:val="20"/>
          <w:vertAlign w:val="baseline"/>
          <w:lang w:val="en-US"/>
        </w:rPr>
        <w:t xml:space="preserve">373</w:t>
      </w:r>
    </w:p>
    <w:p>
      <w:pPr>
        <w:tabs>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546	</w:t>
      </w:r>
      <w:r>
        <w:rPr>
          <w:rFonts w:ascii="Times New Roman" w:hAnsi="Times New Roman" w:eastAsia="Times New Roman"/>
          <w:color w:val="000000"/>
          <w:spacing w:val="0"/>
          <w:w w:val="100"/>
          <w:sz w:val="20"/>
          <w:vertAlign w:val="baseline"/>
          <w:lang w:val="en-US"/>
        </w:rPr>
        <w:t xml:space="preserve">When regulator may revoke a determination	</w:t>
      </w:r>
      <w:r>
        <w:rPr>
          <w:rFonts w:ascii="Times New Roman" w:hAnsi="Times New Roman" w:eastAsia="Times New Roman"/>
          <w:color w:val="000000"/>
          <w:spacing w:val="0"/>
          <w:w w:val="100"/>
          <w:sz w:val="20"/>
          <w:vertAlign w:val="baseline"/>
          <w:lang w:val="en-US"/>
        </w:rPr>
        <w:t xml:space="preserve">374</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547	</w:t>
      </w:r>
      <w:r>
        <w:rPr>
          <w:rFonts w:ascii="Times New Roman" w:hAnsi="Times New Roman" w:eastAsia="Times New Roman"/>
          <w:color w:val="000000"/>
          <w:spacing w:val="0"/>
          <w:w w:val="100"/>
          <w:sz w:val="20"/>
          <w:vertAlign w:val="baseline"/>
          <w:lang w:val="en-US"/>
        </w:rPr>
        <w:t xml:space="preserve">Re-notification if quantity of Schedule 15 chemicals increases	</w:t>
      </w:r>
      <w:r>
        <w:rPr>
          <w:rFonts w:ascii="Times New Roman" w:hAnsi="Times New Roman" w:eastAsia="Times New Roman"/>
          <w:color w:val="000000"/>
          <w:spacing w:val="0"/>
          <w:w w:val="100"/>
          <w:sz w:val="20"/>
          <w:vertAlign w:val="baseline"/>
          <w:lang w:val="en-US"/>
        </w:rPr>
        <w:t xml:space="preserve">374</w:t>
      </w:r>
    </w:p>
    <w:p>
      <w:pPr>
        <w:tabs>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548	</w:t>
      </w:r>
      <w:r>
        <w:rPr>
          <w:rFonts w:ascii="Times New Roman" w:hAnsi="Times New Roman" w:eastAsia="Times New Roman"/>
          <w:color w:val="000000"/>
          <w:spacing w:val="0"/>
          <w:w w:val="100"/>
          <w:sz w:val="20"/>
          <w:vertAlign w:val="baseline"/>
          <w:lang w:val="en-US"/>
        </w:rPr>
        <w:t xml:space="preserve">Notification by new operator	</w:t>
      </w:r>
      <w:r>
        <w:rPr>
          <w:rFonts w:ascii="Times New Roman" w:hAnsi="Times New Roman" w:eastAsia="Times New Roman"/>
          <w:color w:val="000000"/>
          <w:spacing w:val="0"/>
          <w:w w:val="100"/>
          <w:sz w:val="20"/>
          <w:vertAlign w:val="baseline"/>
          <w:lang w:val="en-US"/>
        </w:rPr>
        <w:t xml:space="preserve">375</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549	</w:t>
      </w:r>
      <w:r>
        <w:rPr>
          <w:rFonts w:ascii="Times New Roman" w:hAnsi="Times New Roman" w:eastAsia="Times New Roman"/>
          <w:color w:val="000000"/>
          <w:spacing w:val="0"/>
          <w:w w:val="100"/>
          <w:sz w:val="20"/>
          <w:vertAlign w:val="baseline"/>
          <w:lang w:val="en-US"/>
        </w:rPr>
        <w:t xml:space="preserve">Time in which major hazard facility licence must be applied for	</w:t>
      </w:r>
      <w:r>
        <w:rPr>
          <w:rFonts w:ascii="Times New Roman" w:hAnsi="Times New Roman" w:eastAsia="Times New Roman"/>
          <w:color w:val="000000"/>
          <w:spacing w:val="0"/>
          <w:w w:val="100"/>
          <w:sz w:val="20"/>
          <w:vertAlign w:val="baseline"/>
          <w:lang w:val="en-US"/>
        </w:rPr>
        <w:t xml:space="preserve">375</w:t>
      </w:r>
    </w:p>
    <w:p>
      <w:pPr>
        <w:spacing w:before="238" w:after="0" w:line="231" w:lineRule="exact"/>
        <w:ind w:right="792"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9.3 DUTIES OF OPERATORS OF DETERMINED MAJOR HAZARD FACILITIES 376</w:t>
      </w:r>
    </w:p>
    <w:p>
      <w:pPr>
        <w:tabs>
          <w:tab w:val="left" w:leader="none" w:pos="1368"/>
          <w:tab w:val="right" w:leader="none" w:pos="7704"/>
        </w:tabs>
        <w:spacing w:before="122"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1	</w:t>
      </w:r>
      <w:r>
        <w:rPr>
          <w:rFonts w:ascii="Times New Roman" w:hAnsi="Times New Roman" w:eastAsia="Times New Roman"/>
          <w:b w:val="true"/>
          <w:color w:val="000000"/>
          <w:spacing w:val="0"/>
          <w:w w:val="100"/>
          <w:sz w:val="20"/>
          <w:vertAlign w:val="baseline"/>
          <w:lang w:val="en-US"/>
        </w:rPr>
        <w:t xml:space="preserve">Application of Part 9.3	</w:t>
      </w:r>
      <w:r>
        <w:rPr>
          <w:rFonts w:ascii="Times New Roman" w:hAnsi="Times New Roman" w:eastAsia="Times New Roman"/>
          <w:b w:val="true"/>
          <w:color w:val="000000"/>
          <w:spacing w:val="0"/>
          <w:w w:val="100"/>
          <w:sz w:val="20"/>
          <w:vertAlign w:val="baseline"/>
          <w:lang w:val="en-US"/>
        </w:rPr>
        <w:t xml:space="preserve">376</w:t>
      </w:r>
    </w:p>
    <w:p>
      <w:pPr>
        <w:tabs>
          <w:tab w:val="left" w:leader="none" w:pos="720"/>
          <w:tab w:val="right" w:leader="none" w:pos="7704"/>
        </w:tabs>
        <w:spacing w:before="122"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550	</w:t>
      </w:r>
      <w:r>
        <w:rPr>
          <w:rFonts w:ascii="Times New Roman" w:hAnsi="Times New Roman" w:eastAsia="Times New Roman"/>
          <w:color w:val="000000"/>
          <w:spacing w:val="0"/>
          <w:w w:val="100"/>
          <w:sz w:val="20"/>
          <w:vertAlign w:val="baseline"/>
          <w:lang w:val="en-US"/>
        </w:rPr>
        <w:t xml:space="preserve">Application of Part 9.3	</w:t>
      </w:r>
      <w:r>
        <w:rPr>
          <w:rFonts w:ascii="Times New Roman" w:hAnsi="Times New Roman" w:eastAsia="Times New Roman"/>
          <w:color w:val="000000"/>
          <w:spacing w:val="0"/>
          <w:w w:val="100"/>
          <w:sz w:val="20"/>
          <w:vertAlign w:val="baseline"/>
          <w:lang w:val="en-US"/>
        </w:rPr>
        <w:t xml:space="preserve">376</w:t>
      </w:r>
    </w:p>
    <w:p>
      <w:pPr>
        <w:tabs>
          <w:tab w:val="left" w:leader="none" w:pos="1368"/>
          <w:tab w:val="right" w:leader="none" w:pos="7704"/>
        </w:tabs>
        <w:spacing w:before="1"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2	</w:t>
      </w:r>
      <w:r>
        <w:rPr>
          <w:rFonts w:ascii="Times New Roman" w:hAnsi="Times New Roman" w:eastAsia="Times New Roman"/>
          <w:b w:val="true"/>
          <w:color w:val="000000"/>
          <w:spacing w:val="0"/>
          <w:w w:val="100"/>
          <w:sz w:val="20"/>
          <w:vertAlign w:val="baseline"/>
          <w:lang w:val="en-US"/>
        </w:rPr>
        <w:t xml:space="preserve">Safety case outline	</w:t>
      </w:r>
      <w:r>
        <w:rPr>
          <w:rFonts w:ascii="Times New Roman" w:hAnsi="Times New Roman" w:eastAsia="Times New Roman"/>
          <w:b w:val="true"/>
          <w:color w:val="000000"/>
          <w:spacing w:val="0"/>
          <w:w w:val="100"/>
          <w:sz w:val="20"/>
          <w:vertAlign w:val="baseline"/>
          <w:lang w:val="en-US"/>
        </w:rPr>
        <w:t xml:space="preserve">376</w:t>
      </w:r>
    </w:p>
    <w:p>
      <w:pPr>
        <w:tabs>
          <w:tab w:val="left" w:leader="none" w:pos="720"/>
          <w:tab w:val="right" w:leader="none" w:pos="7704"/>
        </w:tabs>
        <w:spacing w:before="12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551	</w:t>
      </w:r>
      <w:r>
        <w:rPr>
          <w:rFonts w:ascii="Times New Roman" w:hAnsi="Times New Roman" w:eastAsia="Times New Roman"/>
          <w:color w:val="000000"/>
          <w:spacing w:val="0"/>
          <w:w w:val="100"/>
          <w:sz w:val="20"/>
          <w:vertAlign w:val="baseline"/>
          <w:lang w:val="en-US"/>
        </w:rPr>
        <w:t xml:space="preserve">Safety case outline must be provided	</w:t>
      </w:r>
      <w:r>
        <w:rPr>
          <w:rFonts w:ascii="Times New Roman" w:hAnsi="Times New Roman" w:eastAsia="Times New Roman"/>
          <w:color w:val="000000"/>
          <w:spacing w:val="0"/>
          <w:w w:val="100"/>
          <w:sz w:val="20"/>
          <w:vertAlign w:val="baseline"/>
          <w:lang w:val="en-US"/>
        </w:rPr>
        <w:t xml:space="preserve">376</w:t>
      </w:r>
    </w:p>
    <w:p>
      <w:pPr>
        <w:tabs>
          <w:tab w:val="right" w:leader="none" w:pos="7704"/>
        </w:tabs>
        <w:spacing w:before="0" w:after="0" w:line="226"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552 Content	</w:t>
      </w:r>
      <w:r>
        <w:rPr>
          <w:rFonts w:ascii="Times New Roman" w:hAnsi="Times New Roman" w:eastAsia="Times New Roman"/>
          <w:color w:val="000000"/>
          <w:spacing w:val="0"/>
          <w:w w:val="100"/>
          <w:sz w:val="20"/>
          <w:vertAlign w:val="baseline"/>
          <w:lang w:val="en-US"/>
        </w:rPr>
        <w:t xml:space="preserve">376</w:t>
      </w:r>
    </w:p>
    <w:p>
      <w:pPr>
        <w:tabs>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553 Alteration	</w:t>
      </w:r>
      <w:r>
        <w:rPr>
          <w:rFonts w:ascii="Times New Roman" w:hAnsi="Times New Roman" w:eastAsia="Times New Roman"/>
          <w:color w:val="000000"/>
          <w:spacing w:val="0"/>
          <w:w w:val="100"/>
          <w:sz w:val="20"/>
          <w:vertAlign w:val="baseline"/>
          <w:lang w:val="en-US"/>
        </w:rPr>
        <w:t xml:space="preserve">377</w:t>
      </w:r>
    </w:p>
    <w:p>
      <w:pPr>
        <w:tabs>
          <w:tab w:val="left" w:leader="none" w:pos="1368"/>
          <w:tab w:val="right" w:leader="none" w:pos="7704"/>
        </w:tabs>
        <w:spacing w:before="2"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3	</w:t>
      </w:r>
      <w:r>
        <w:rPr>
          <w:rFonts w:ascii="Times New Roman" w:hAnsi="Times New Roman" w:eastAsia="Times New Roman"/>
          <w:b w:val="true"/>
          <w:color w:val="000000"/>
          <w:spacing w:val="0"/>
          <w:w w:val="100"/>
          <w:sz w:val="20"/>
          <w:vertAlign w:val="baseline"/>
          <w:lang w:val="en-US"/>
        </w:rPr>
        <w:t xml:space="preserve">Management of risk	</w:t>
      </w:r>
      <w:r>
        <w:rPr>
          <w:rFonts w:ascii="Times New Roman" w:hAnsi="Times New Roman" w:eastAsia="Times New Roman"/>
          <w:b w:val="true"/>
          <w:color w:val="000000"/>
          <w:spacing w:val="0"/>
          <w:w w:val="100"/>
          <w:sz w:val="20"/>
          <w:vertAlign w:val="baseline"/>
          <w:lang w:val="en-US"/>
        </w:rPr>
        <w:t xml:space="preserve">378</w:t>
      </w:r>
    </w:p>
    <w:p>
      <w:pPr>
        <w:tabs>
          <w:tab w:val="left" w:leader="none" w:pos="720"/>
          <w:tab w:val="right" w:leader="none" w:pos="7704"/>
        </w:tabs>
        <w:spacing w:before="12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554	</w:t>
      </w:r>
      <w:r>
        <w:rPr>
          <w:rFonts w:ascii="Times New Roman" w:hAnsi="Times New Roman" w:eastAsia="Times New Roman"/>
          <w:color w:val="000000"/>
          <w:spacing w:val="0"/>
          <w:w w:val="100"/>
          <w:sz w:val="20"/>
          <w:vertAlign w:val="baseline"/>
          <w:lang w:val="en-US"/>
        </w:rPr>
        <w:t xml:space="preserve">Identification of major incidents and major incident hazards	</w:t>
      </w:r>
      <w:r>
        <w:rPr>
          <w:rFonts w:ascii="Times New Roman" w:hAnsi="Times New Roman" w:eastAsia="Times New Roman"/>
          <w:color w:val="000000"/>
          <w:spacing w:val="0"/>
          <w:w w:val="100"/>
          <w:sz w:val="20"/>
          <w:vertAlign w:val="baseline"/>
          <w:lang w:val="en-US"/>
        </w:rPr>
        <w:t xml:space="preserve">378</w:t>
      </w:r>
    </w:p>
    <w:p>
      <w:pPr>
        <w:tabs>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555	</w:t>
      </w:r>
      <w:r>
        <w:rPr>
          <w:rFonts w:ascii="Times New Roman" w:hAnsi="Times New Roman" w:eastAsia="Times New Roman"/>
          <w:color w:val="000000"/>
          <w:spacing w:val="0"/>
          <w:w w:val="100"/>
          <w:sz w:val="20"/>
          <w:vertAlign w:val="baseline"/>
          <w:lang w:val="en-US"/>
        </w:rPr>
        <w:t xml:space="preserve">Safety assessment	</w:t>
      </w:r>
      <w:r>
        <w:rPr>
          <w:rFonts w:ascii="Times New Roman" w:hAnsi="Times New Roman" w:eastAsia="Times New Roman"/>
          <w:color w:val="000000"/>
          <w:spacing w:val="0"/>
          <w:w w:val="100"/>
          <w:sz w:val="20"/>
          <w:vertAlign w:val="baseline"/>
          <w:lang w:val="en-US"/>
        </w:rPr>
        <w:t xml:space="preserve">379</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556	</w:t>
      </w:r>
      <w:r>
        <w:rPr>
          <w:rFonts w:ascii="Times New Roman" w:hAnsi="Times New Roman" w:eastAsia="Times New Roman"/>
          <w:color w:val="000000"/>
          <w:spacing w:val="0"/>
          <w:w w:val="100"/>
          <w:sz w:val="20"/>
          <w:vertAlign w:val="baseline"/>
          <w:lang w:val="en-US"/>
        </w:rPr>
        <w:t xml:space="preserve">Control of risk	</w:t>
      </w:r>
      <w:r>
        <w:rPr>
          <w:rFonts w:ascii="Times New Roman" w:hAnsi="Times New Roman" w:eastAsia="Times New Roman"/>
          <w:color w:val="000000"/>
          <w:spacing w:val="0"/>
          <w:w w:val="100"/>
          <w:sz w:val="20"/>
          <w:vertAlign w:val="baseline"/>
          <w:lang w:val="en-US"/>
        </w:rPr>
        <w:t xml:space="preserve">380</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557	</w:t>
      </w:r>
      <w:r>
        <w:rPr>
          <w:rFonts w:ascii="Times New Roman" w:hAnsi="Times New Roman" w:eastAsia="Times New Roman"/>
          <w:color w:val="000000"/>
          <w:spacing w:val="0"/>
          <w:w w:val="100"/>
          <w:sz w:val="20"/>
          <w:vertAlign w:val="baseline"/>
          <w:lang w:val="en-US"/>
        </w:rPr>
        <w:t xml:space="preserve">Emergency plan	</w:t>
      </w:r>
      <w:r>
        <w:rPr>
          <w:rFonts w:ascii="Times New Roman" w:hAnsi="Times New Roman" w:eastAsia="Times New Roman"/>
          <w:color w:val="000000"/>
          <w:spacing w:val="0"/>
          <w:w w:val="100"/>
          <w:sz w:val="20"/>
          <w:vertAlign w:val="baseline"/>
          <w:lang w:val="en-US"/>
        </w:rPr>
        <w:t xml:space="preserve">380</w:t>
      </w:r>
    </w:p>
    <w:p>
      <w:pPr>
        <w:tabs>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558	</w:t>
      </w:r>
      <w:r>
        <w:rPr>
          <w:rFonts w:ascii="Times New Roman" w:hAnsi="Times New Roman" w:eastAsia="Times New Roman"/>
          <w:color w:val="000000"/>
          <w:spacing w:val="0"/>
          <w:w w:val="100"/>
          <w:sz w:val="20"/>
          <w:vertAlign w:val="baseline"/>
          <w:lang w:val="en-US"/>
        </w:rPr>
        <w:t xml:space="preserve">Safety management system	</w:t>
      </w:r>
      <w:r>
        <w:rPr>
          <w:rFonts w:ascii="Times New Roman" w:hAnsi="Times New Roman" w:eastAsia="Times New Roman"/>
          <w:color w:val="000000"/>
          <w:spacing w:val="0"/>
          <w:w w:val="100"/>
          <w:sz w:val="20"/>
          <w:vertAlign w:val="baseline"/>
          <w:lang w:val="en-US"/>
        </w:rPr>
        <w:t xml:space="preserve">382</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559	</w:t>
      </w:r>
      <w:r>
        <w:rPr>
          <w:rFonts w:ascii="Times New Roman" w:hAnsi="Times New Roman" w:eastAsia="Times New Roman"/>
          <w:color w:val="000000"/>
          <w:spacing w:val="0"/>
          <w:w w:val="100"/>
          <w:sz w:val="20"/>
          <w:vertAlign w:val="baseline"/>
          <w:lang w:val="en-US"/>
        </w:rPr>
        <w:t xml:space="preserve">Review of risk management	</w:t>
      </w:r>
      <w:r>
        <w:rPr>
          <w:rFonts w:ascii="Times New Roman" w:hAnsi="Times New Roman" w:eastAsia="Times New Roman"/>
          <w:color w:val="000000"/>
          <w:spacing w:val="0"/>
          <w:w w:val="100"/>
          <w:sz w:val="20"/>
          <w:vertAlign w:val="baseline"/>
          <w:lang w:val="en-US"/>
        </w:rPr>
        <w:t xml:space="preserve">383</w:t>
      </w:r>
    </w:p>
    <w:p>
      <w:pPr>
        <w:tabs>
          <w:tab w:val="left" w:leader="none" w:pos="1368"/>
          <w:tab w:val="right" w:leader="none" w:pos="7704"/>
        </w:tabs>
        <w:spacing w:before="2"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4	</w:t>
      </w:r>
      <w:r>
        <w:rPr>
          <w:rFonts w:ascii="Times New Roman" w:hAnsi="Times New Roman" w:eastAsia="Times New Roman"/>
          <w:b w:val="true"/>
          <w:color w:val="000000"/>
          <w:spacing w:val="0"/>
          <w:w w:val="100"/>
          <w:sz w:val="20"/>
          <w:vertAlign w:val="baseline"/>
          <w:lang w:val="en-US"/>
        </w:rPr>
        <w:t xml:space="preserve">Safety case	</w:t>
      </w:r>
      <w:r>
        <w:rPr>
          <w:rFonts w:ascii="Times New Roman" w:hAnsi="Times New Roman" w:eastAsia="Times New Roman"/>
          <w:b w:val="true"/>
          <w:color w:val="000000"/>
          <w:spacing w:val="0"/>
          <w:w w:val="100"/>
          <w:sz w:val="20"/>
          <w:vertAlign w:val="baseline"/>
          <w:lang w:val="en-US"/>
        </w:rPr>
        <w:t xml:space="preserve">384</w:t>
      </w:r>
    </w:p>
    <w:p>
      <w:pPr>
        <w:tabs>
          <w:tab w:val="left" w:leader="none" w:pos="720"/>
          <w:tab w:val="right" w:leader="none" w:pos="7704"/>
        </w:tabs>
        <w:spacing w:before="12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560	</w:t>
      </w:r>
      <w:r>
        <w:rPr>
          <w:rFonts w:ascii="Times New Roman" w:hAnsi="Times New Roman" w:eastAsia="Times New Roman"/>
          <w:color w:val="000000"/>
          <w:spacing w:val="0"/>
          <w:w w:val="100"/>
          <w:sz w:val="20"/>
          <w:vertAlign w:val="baseline"/>
          <w:lang w:val="en-US"/>
        </w:rPr>
        <w:t xml:space="preserve">Safety case must be provided	</w:t>
      </w:r>
      <w:r>
        <w:rPr>
          <w:rFonts w:ascii="Times New Roman" w:hAnsi="Times New Roman" w:eastAsia="Times New Roman"/>
          <w:color w:val="000000"/>
          <w:spacing w:val="0"/>
          <w:w w:val="100"/>
          <w:sz w:val="20"/>
          <w:vertAlign w:val="baseline"/>
          <w:lang w:val="en-US"/>
        </w:rPr>
        <w:t xml:space="preserve">384</w:t>
      </w:r>
    </w:p>
    <w:p>
      <w:pPr>
        <w:tabs>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561 Content	</w:t>
      </w:r>
      <w:r>
        <w:rPr>
          <w:rFonts w:ascii="Times New Roman" w:hAnsi="Times New Roman" w:eastAsia="Times New Roman"/>
          <w:color w:val="000000"/>
          <w:spacing w:val="0"/>
          <w:w w:val="100"/>
          <w:sz w:val="20"/>
          <w:vertAlign w:val="baseline"/>
          <w:lang w:val="en-US"/>
        </w:rPr>
        <w:t xml:space="preserve">384</w:t>
      </w:r>
    </w:p>
    <w:p>
      <w:pPr>
        <w:tabs>
          <w:tab w:val="left" w:leader="none" w:pos="720"/>
          <w:tab w:val="right" w:leader="none" w:pos="7704"/>
        </w:tabs>
        <w:spacing w:before="0" w:after="0" w:line="226"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562	</w:t>
      </w:r>
      <w:r>
        <w:rPr>
          <w:rFonts w:ascii="Times New Roman" w:hAnsi="Times New Roman" w:eastAsia="Times New Roman"/>
          <w:color w:val="000000"/>
          <w:spacing w:val="0"/>
          <w:w w:val="100"/>
          <w:sz w:val="20"/>
          <w:vertAlign w:val="baseline"/>
          <w:lang w:val="en-US"/>
        </w:rPr>
        <w:t xml:space="preserve">Co-ordination for multiple facilities	</w:t>
      </w:r>
      <w:r>
        <w:rPr>
          <w:rFonts w:ascii="Times New Roman" w:hAnsi="Times New Roman" w:eastAsia="Times New Roman"/>
          <w:color w:val="000000"/>
          <w:spacing w:val="0"/>
          <w:w w:val="100"/>
          <w:sz w:val="20"/>
          <w:vertAlign w:val="baseline"/>
          <w:lang w:val="en-US"/>
        </w:rPr>
        <w:t xml:space="preserve">386</w:t>
      </w:r>
    </w:p>
    <w:p>
      <w:pPr>
        <w:tabs>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563 Review	</w:t>
      </w:r>
      <w:r>
        <w:rPr>
          <w:rFonts w:ascii="Times New Roman" w:hAnsi="Times New Roman" w:eastAsia="Times New Roman"/>
          <w:color w:val="000000"/>
          <w:spacing w:val="0"/>
          <w:w w:val="100"/>
          <w:sz w:val="20"/>
          <w:vertAlign w:val="baseline"/>
          <w:lang w:val="en-US"/>
        </w:rPr>
        <w:t xml:space="preserve">386</w:t>
      </w:r>
    </w:p>
    <w:p>
      <w:pPr>
        <w:tabs>
          <w:tab w:val="left" w:leader="none" w:pos="1368"/>
        </w:tabs>
        <w:spacing w:before="242"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9.4	</w:t>
      </w:r>
      <w:r>
        <w:rPr>
          <w:rFonts w:ascii="Times New Roman" w:hAnsi="Times New Roman" w:eastAsia="Times New Roman"/>
          <w:b w:val="true"/>
          <w:color w:val="000000"/>
          <w:spacing w:val="0"/>
          <w:w w:val="100"/>
          <w:sz w:val="20"/>
          <w:vertAlign w:val="baseline"/>
          <w:lang w:val="en-US"/>
        </w:rPr>
        <w:t xml:space="preserve">LICENSED MAJOR HAZARD FACILITIES—RISK MANAGEMENT388</w:t>
      </w:r>
    </w:p>
    <w:p>
      <w:pPr>
        <w:tabs>
          <w:tab w:val="left" w:leader="none" w:pos="720"/>
          <w:tab w:val="right" w:leader="none" w:pos="7704"/>
        </w:tabs>
        <w:spacing w:before="12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564	</w:t>
      </w:r>
      <w:r>
        <w:rPr>
          <w:rFonts w:ascii="Times New Roman" w:hAnsi="Times New Roman" w:eastAsia="Times New Roman"/>
          <w:color w:val="000000"/>
          <w:spacing w:val="0"/>
          <w:w w:val="100"/>
          <w:sz w:val="20"/>
          <w:vertAlign w:val="baseline"/>
          <w:lang w:val="en-US"/>
        </w:rPr>
        <w:t xml:space="preserve">Identification of major incidents and major incident hazards	</w:t>
      </w:r>
      <w:r>
        <w:rPr>
          <w:rFonts w:ascii="Times New Roman" w:hAnsi="Times New Roman" w:eastAsia="Times New Roman"/>
          <w:color w:val="000000"/>
          <w:spacing w:val="0"/>
          <w:w w:val="100"/>
          <w:sz w:val="20"/>
          <w:vertAlign w:val="baseline"/>
          <w:lang w:val="en-US"/>
        </w:rPr>
        <w:t xml:space="preserve">388</w:t>
      </w:r>
    </w:p>
    <w:p>
      <w:pPr>
        <w:tabs>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565	</w:t>
      </w:r>
      <w:r>
        <w:rPr>
          <w:rFonts w:ascii="Times New Roman" w:hAnsi="Times New Roman" w:eastAsia="Times New Roman"/>
          <w:color w:val="000000"/>
          <w:spacing w:val="0"/>
          <w:w w:val="100"/>
          <w:sz w:val="20"/>
          <w:vertAlign w:val="baseline"/>
          <w:lang w:val="en-US"/>
        </w:rPr>
        <w:t xml:space="preserve">Safety assessment	</w:t>
      </w:r>
      <w:r>
        <w:rPr>
          <w:rFonts w:ascii="Times New Roman" w:hAnsi="Times New Roman" w:eastAsia="Times New Roman"/>
          <w:color w:val="000000"/>
          <w:spacing w:val="0"/>
          <w:w w:val="100"/>
          <w:sz w:val="20"/>
          <w:vertAlign w:val="baseline"/>
          <w:lang w:val="en-US"/>
        </w:rPr>
        <w:t xml:space="preserve">389</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566	</w:t>
      </w:r>
      <w:r>
        <w:rPr>
          <w:rFonts w:ascii="Times New Roman" w:hAnsi="Times New Roman" w:eastAsia="Times New Roman"/>
          <w:color w:val="000000"/>
          <w:spacing w:val="0"/>
          <w:w w:val="100"/>
          <w:sz w:val="20"/>
          <w:vertAlign w:val="baseline"/>
          <w:lang w:val="en-US"/>
        </w:rPr>
        <w:t xml:space="preserve">Control of risk	</w:t>
      </w:r>
      <w:r>
        <w:rPr>
          <w:rFonts w:ascii="Times New Roman" w:hAnsi="Times New Roman" w:eastAsia="Times New Roman"/>
          <w:color w:val="000000"/>
          <w:spacing w:val="0"/>
          <w:w w:val="100"/>
          <w:sz w:val="20"/>
          <w:vertAlign w:val="baseline"/>
          <w:lang w:val="en-US"/>
        </w:rPr>
        <w:t xml:space="preserve">389</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567	</w:t>
      </w:r>
      <w:r>
        <w:rPr>
          <w:rFonts w:ascii="Times New Roman" w:hAnsi="Times New Roman" w:eastAsia="Times New Roman"/>
          <w:color w:val="000000"/>
          <w:spacing w:val="0"/>
          <w:w w:val="100"/>
          <w:sz w:val="20"/>
          <w:vertAlign w:val="baseline"/>
          <w:lang w:val="en-US"/>
        </w:rPr>
        <w:t xml:space="preserve">Emergency plan	</w:t>
      </w:r>
      <w:r>
        <w:rPr>
          <w:rFonts w:ascii="Times New Roman" w:hAnsi="Times New Roman" w:eastAsia="Times New Roman"/>
          <w:color w:val="000000"/>
          <w:spacing w:val="0"/>
          <w:w w:val="100"/>
          <w:sz w:val="20"/>
          <w:vertAlign w:val="baseline"/>
          <w:lang w:val="en-US"/>
        </w:rPr>
        <w:t xml:space="preserve">389</w:t>
      </w:r>
    </w:p>
    <w:p>
      <w:pPr>
        <w:tabs>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568	</w:t>
      </w:r>
      <w:r>
        <w:rPr>
          <w:rFonts w:ascii="Times New Roman" w:hAnsi="Times New Roman" w:eastAsia="Times New Roman"/>
          <w:color w:val="000000"/>
          <w:spacing w:val="0"/>
          <w:w w:val="100"/>
          <w:sz w:val="20"/>
          <w:vertAlign w:val="baseline"/>
          <w:lang w:val="en-US"/>
        </w:rPr>
        <w:t xml:space="preserve">Safety management system	</w:t>
      </w:r>
      <w:r>
        <w:rPr>
          <w:rFonts w:ascii="Times New Roman" w:hAnsi="Times New Roman" w:eastAsia="Times New Roman"/>
          <w:color w:val="000000"/>
          <w:spacing w:val="0"/>
          <w:w w:val="100"/>
          <w:sz w:val="20"/>
          <w:vertAlign w:val="baseline"/>
          <w:lang w:val="en-US"/>
        </w:rPr>
        <w:t xml:space="preserve">390</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569	</w:t>
      </w:r>
      <w:r>
        <w:rPr>
          <w:rFonts w:ascii="Times New Roman" w:hAnsi="Times New Roman" w:eastAsia="Times New Roman"/>
          <w:color w:val="000000"/>
          <w:spacing w:val="0"/>
          <w:w w:val="100"/>
          <w:sz w:val="20"/>
          <w:vertAlign w:val="baseline"/>
          <w:lang w:val="en-US"/>
        </w:rPr>
        <w:t xml:space="preserve">Review of risk management	</w:t>
      </w:r>
      <w:r>
        <w:rPr>
          <w:rFonts w:ascii="Times New Roman" w:hAnsi="Times New Roman" w:eastAsia="Times New Roman"/>
          <w:color w:val="000000"/>
          <w:spacing w:val="0"/>
          <w:w w:val="100"/>
          <w:sz w:val="20"/>
          <w:vertAlign w:val="baseline"/>
          <w:lang w:val="en-US"/>
        </w:rPr>
        <w:t xml:space="preserve">391</w:t>
      </w:r>
    </w:p>
    <w:p>
      <w:pPr>
        <w:tabs>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570	</w:t>
      </w:r>
      <w:r>
        <w:rPr>
          <w:rFonts w:ascii="Times New Roman" w:hAnsi="Times New Roman" w:eastAsia="Times New Roman"/>
          <w:color w:val="000000"/>
          <w:spacing w:val="0"/>
          <w:w w:val="100"/>
          <w:sz w:val="20"/>
          <w:vertAlign w:val="baseline"/>
          <w:lang w:val="en-US"/>
        </w:rPr>
        <w:t xml:space="preserve">Safety case—review	</w:t>
      </w:r>
      <w:r>
        <w:rPr>
          <w:rFonts w:ascii="Times New Roman" w:hAnsi="Times New Roman" w:eastAsia="Times New Roman"/>
          <w:color w:val="000000"/>
          <w:spacing w:val="0"/>
          <w:w w:val="100"/>
          <w:sz w:val="20"/>
          <w:vertAlign w:val="baseline"/>
          <w:lang w:val="en-US"/>
        </w:rPr>
        <w:t xml:space="preserve">392</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571	</w:t>
      </w:r>
      <w:r>
        <w:rPr>
          <w:rFonts w:ascii="Times New Roman" w:hAnsi="Times New Roman" w:eastAsia="Times New Roman"/>
          <w:color w:val="000000"/>
          <w:spacing w:val="0"/>
          <w:w w:val="100"/>
          <w:sz w:val="20"/>
          <w:vertAlign w:val="baseline"/>
          <w:lang w:val="en-US"/>
        </w:rPr>
        <w:t xml:space="preserve">Information for visitors	</w:t>
      </w:r>
      <w:r>
        <w:rPr>
          <w:rFonts w:ascii="Times New Roman" w:hAnsi="Times New Roman" w:eastAsia="Times New Roman"/>
          <w:color w:val="000000"/>
          <w:spacing w:val="0"/>
          <w:w w:val="100"/>
          <w:sz w:val="20"/>
          <w:vertAlign w:val="baseline"/>
          <w:lang w:val="en-US"/>
        </w:rPr>
        <w:t xml:space="preserve">392</w:t>
      </w:r>
    </w:p>
    <w:p>
      <w:pPr>
        <w:tabs>
          <w:tab w:val="left" w:leader="none" w:pos="720"/>
          <w:tab w:val="right" w:leader="none" w:pos="7704"/>
        </w:tabs>
        <w:spacing w:before="0" w:after="727" w:line="226"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10.65pt" to="498.5pt,710.6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572	</w:t>
      </w:r>
      <w:r>
        <w:rPr>
          <w:rFonts w:ascii="Times New Roman" w:hAnsi="Times New Roman" w:eastAsia="Times New Roman"/>
          <w:color w:val="000000"/>
          <w:spacing w:val="0"/>
          <w:w w:val="100"/>
          <w:sz w:val="20"/>
          <w:vertAlign w:val="baseline"/>
          <w:lang w:val="en-US"/>
        </w:rPr>
        <w:t xml:space="preserve">Information for local community—general	</w:t>
      </w:r>
      <w:r>
        <w:rPr>
          <w:rFonts w:ascii="Times New Roman" w:hAnsi="Times New Roman" w:eastAsia="Times New Roman"/>
          <w:color w:val="000000"/>
          <w:spacing w:val="0"/>
          <w:w w:val="100"/>
          <w:sz w:val="20"/>
          <w:vertAlign w:val="baseline"/>
          <w:lang w:val="en-US"/>
        </w:rPr>
        <w:t xml:space="preserve">392</w:t>
      </w:r>
    </w:p>
    <w:p>
      <w:pPr>
        <w:spacing w:before="0" w:after="727" w:line="226" w:lineRule="exact"/>
        <w:sectPr>
          <w:type w:val="nextPage"/>
          <w:pgSz w:w="11909" w:h="16838" w:orient="portrait"/>
          <w:pgMar w:bottom="1542" w:top="1320" w:right="1940" w:left="1949" w:header="720" w:footer="720"/>
          <w:titlePg w:val="false"/>
          <w:textDirection w:val="lrTb"/>
        </w:sectPr>
      </w:pPr>
    </w:p>
    <w:p>
      <w:pPr>
        <w:tabs>
          <w:tab w:val="right" w:leader="none" w:pos="4032"/>
        </w:tabs>
        <w:spacing w:before="0" w:after="0" w:line="179" w:lineRule="exact"/>
        <w:ind w:right="0" w:left="0" w:firstLine="0"/>
        <w:jc w:val="left"/>
        <w:textAlignment w:val="baseline"/>
        <w:rPr>
          <w:rFonts w:ascii="Times New Roman" w:hAnsi="Times New Roman" w:eastAsia="Times New Roman"/>
          <w:color w:val="000000"/>
          <w:spacing w:val="0"/>
          <w:w w:val="100"/>
          <w:sz w:val="17"/>
          <w:vertAlign w:val="baseline"/>
          <w:lang w:val="en-US"/>
        </w:rPr>
      </w:pPr>
      <w:r>
        <w:rPr>
          <w:rFonts w:ascii="Times New Roman" w:hAnsi="Times New Roman" w:eastAsia="Times New Roman"/>
          <w:color w:val="000000"/>
          <w:spacing w:val="0"/>
          <w:w w:val="100"/>
          <w:sz w:val="17"/>
          <w:vertAlign w:val="baseline"/>
          <w:lang w:val="en-US"/>
        </w:rPr>
        <w:t xml:space="preserve">PCC [359] 1.1.2021	</w:t>
      </w:r>
      <w:r>
        <w:rPr>
          <w:rFonts w:ascii="Times New Roman" w:hAnsi="Times New Roman" w:eastAsia="Times New Roman"/>
          <w:color w:val="000000"/>
          <w:spacing w:val="0"/>
          <w:w w:val="100"/>
          <w:sz w:val="17"/>
          <w:vertAlign w:val="baseline"/>
          <w:lang w:val="en-US"/>
        </w:rPr>
        <w:t xml:space="preserve">18</w:t>
      </w:r>
    </w:p>
    <w:p>
      <w:pPr>
        <w:sectPr>
          <w:type w:val="continuous"/>
          <w:pgSz w:w="11909" w:h="16838" w:orient="portrait"/>
          <w:pgMar w:bottom="1542" w:top="1320" w:right="5876" w:left="1993" w:header="720" w:footer="720"/>
          <w:titlePg w:val="false"/>
          <w:textDirection w:val="lrTb"/>
        </w:sectPr>
      </w:pPr>
    </w:p>
    <w:p>
      <w:pPr>
        <w:spacing w:before="21" w:after="229"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720"/>
          <w:tab w:val="left" w:leader="none" w:pos="7272"/>
        </w:tabs>
        <w:spacing w:before="478"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90.95pt" to="498.5pt,90.9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573	</w:t>
      </w:r>
      <w:r>
        <w:rPr>
          <w:rFonts w:ascii="Times New Roman" w:hAnsi="Times New Roman" w:eastAsia="Times New Roman"/>
          <w:color w:val="000000"/>
          <w:spacing w:val="0"/>
          <w:w w:val="100"/>
          <w:sz w:val="20"/>
          <w:vertAlign w:val="baseline"/>
          <w:lang w:val="en-US"/>
        </w:rPr>
        <w:t xml:space="preserve">Information for local community—major incident	</w:t>
      </w:r>
      <w:r>
        <w:rPr>
          <w:rFonts w:ascii="Times New Roman" w:hAnsi="Times New Roman" w:eastAsia="Times New Roman"/>
          <w:color w:val="000000"/>
          <w:spacing w:val="0"/>
          <w:w w:val="100"/>
          <w:sz w:val="20"/>
          <w:vertAlign w:val="baseline"/>
          <w:lang w:val="en-US"/>
        </w:rPr>
        <w:t xml:space="preserve">394</w:t>
      </w:r>
    </w:p>
    <w:p>
      <w:pPr>
        <w:tabs>
          <w:tab w:val="left" w:leader="none" w:pos="1368"/>
          <w:tab w:val="left" w:leader="none" w:pos="7272"/>
        </w:tabs>
        <w:spacing w:before="243" w:after="0" w:line="229"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9.5	</w:t>
      </w:r>
      <w:r>
        <w:rPr>
          <w:rFonts w:ascii="Times New Roman" w:hAnsi="Times New Roman" w:eastAsia="Times New Roman"/>
          <w:b w:val="true"/>
          <w:color w:val="000000"/>
          <w:spacing w:val="0"/>
          <w:w w:val="100"/>
          <w:sz w:val="20"/>
          <w:vertAlign w:val="baseline"/>
          <w:lang w:val="en-US"/>
        </w:rPr>
        <w:t xml:space="preserve">CONSULTATION AND WORKERS' SAFETY ROLE	</w:t>
      </w:r>
      <w:r>
        <w:rPr>
          <w:rFonts w:ascii="Times New Roman" w:hAnsi="Times New Roman" w:eastAsia="Times New Roman"/>
          <w:b w:val="true"/>
          <w:color w:val="000000"/>
          <w:spacing w:val="0"/>
          <w:w w:val="100"/>
          <w:sz w:val="20"/>
          <w:vertAlign w:val="baseline"/>
          <w:lang w:val="en-US"/>
        </w:rPr>
        <w:t xml:space="preserve">395</w:t>
      </w:r>
    </w:p>
    <w:p>
      <w:pPr>
        <w:tabs>
          <w:tab w:val="left" w:leader="none" w:pos="720"/>
          <w:tab w:val="left" w:leader="none" w:pos="7272"/>
        </w:tabs>
        <w:spacing w:before="119"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574	</w:t>
      </w:r>
      <w:r>
        <w:rPr>
          <w:rFonts w:ascii="Times New Roman" w:hAnsi="Times New Roman" w:eastAsia="Times New Roman"/>
          <w:color w:val="000000"/>
          <w:spacing w:val="0"/>
          <w:w w:val="100"/>
          <w:sz w:val="20"/>
          <w:vertAlign w:val="baseline"/>
          <w:lang w:val="en-US"/>
        </w:rPr>
        <w:t xml:space="preserve">Safety role for workers	</w:t>
      </w:r>
      <w:r>
        <w:rPr>
          <w:rFonts w:ascii="Times New Roman" w:hAnsi="Times New Roman" w:eastAsia="Times New Roman"/>
          <w:color w:val="000000"/>
          <w:spacing w:val="0"/>
          <w:w w:val="100"/>
          <w:sz w:val="20"/>
          <w:vertAlign w:val="baseline"/>
          <w:lang w:val="en-US"/>
        </w:rPr>
        <w:t xml:space="preserve">395</w:t>
      </w:r>
    </w:p>
    <w:p>
      <w:pPr>
        <w:tabs>
          <w:tab w:val="left" w:leader="none" w:pos="720"/>
          <w:tab w:val="left" w:leader="none" w:pos="7272"/>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575	</w:t>
      </w:r>
      <w:r>
        <w:rPr>
          <w:rFonts w:ascii="Times New Roman" w:hAnsi="Times New Roman" w:eastAsia="Times New Roman"/>
          <w:color w:val="000000"/>
          <w:spacing w:val="0"/>
          <w:w w:val="100"/>
          <w:sz w:val="20"/>
          <w:vertAlign w:val="baseline"/>
          <w:lang w:val="en-US"/>
        </w:rPr>
        <w:t xml:space="preserve">Operator of major hazard facility must consult with workers	</w:t>
      </w:r>
      <w:r>
        <w:rPr>
          <w:rFonts w:ascii="Times New Roman" w:hAnsi="Times New Roman" w:eastAsia="Times New Roman"/>
          <w:color w:val="000000"/>
          <w:spacing w:val="0"/>
          <w:w w:val="100"/>
          <w:sz w:val="20"/>
          <w:vertAlign w:val="baseline"/>
          <w:lang w:val="en-US"/>
        </w:rPr>
        <w:t xml:space="preserve">395</w:t>
      </w:r>
    </w:p>
    <w:p>
      <w:pPr>
        <w:spacing w:before="242" w:after="0" w:line="230" w:lineRule="exact"/>
        <w:ind w:right="1368"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9.6 DUTIES OF WORKERS AT LICENSED MAJOR HAZARD FACILITIES 397</w:t>
      </w:r>
    </w:p>
    <w:p>
      <w:pPr>
        <w:tabs>
          <w:tab w:val="left" w:leader="none" w:pos="7272"/>
        </w:tabs>
        <w:spacing w:before="12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576 Duties	</w:t>
      </w:r>
      <w:r>
        <w:rPr>
          <w:rFonts w:ascii="Times New Roman" w:hAnsi="Times New Roman" w:eastAsia="Times New Roman"/>
          <w:color w:val="000000"/>
          <w:spacing w:val="0"/>
          <w:w w:val="100"/>
          <w:sz w:val="20"/>
          <w:vertAlign w:val="baseline"/>
          <w:lang w:val="en-US"/>
        </w:rPr>
        <w:t xml:space="preserve">397</w:t>
      </w:r>
    </w:p>
    <w:p>
      <w:pPr>
        <w:tabs>
          <w:tab w:val="left" w:leader="none" w:pos="1368"/>
          <w:tab w:val="left" w:leader="none" w:pos="7272"/>
        </w:tabs>
        <w:spacing w:before="242" w:after="0" w:line="229"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9.7	</w:t>
      </w:r>
      <w:r>
        <w:rPr>
          <w:rFonts w:ascii="Times New Roman" w:hAnsi="Times New Roman" w:eastAsia="Times New Roman"/>
          <w:b w:val="true"/>
          <w:color w:val="000000"/>
          <w:spacing w:val="0"/>
          <w:w w:val="100"/>
          <w:sz w:val="20"/>
          <w:vertAlign w:val="baseline"/>
          <w:lang w:val="en-US"/>
        </w:rPr>
        <w:t xml:space="preserve">LICENSING OF MAJOR HAZARD FACILITIES	</w:t>
      </w:r>
      <w:r>
        <w:rPr>
          <w:rFonts w:ascii="Times New Roman" w:hAnsi="Times New Roman" w:eastAsia="Times New Roman"/>
          <w:b w:val="true"/>
          <w:color w:val="000000"/>
          <w:spacing w:val="0"/>
          <w:w w:val="100"/>
          <w:sz w:val="20"/>
          <w:vertAlign w:val="baseline"/>
          <w:lang w:val="en-US"/>
        </w:rPr>
        <w:t xml:space="preserve">398</w:t>
      </w:r>
    </w:p>
    <w:p>
      <w:pPr>
        <w:tabs>
          <w:tab w:val="left" w:leader="none" w:pos="1368"/>
          <w:tab w:val="left" w:leader="none" w:pos="7272"/>
        </w:tabs>
        <w:spacing w:before="121" w:after="0" w:line="229"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1	</w:t>
      </w:r>
      <w:r>
        <w:rPr>
          <w:rFonts w:ascii="Times New Roman" w:hAnsi="Times New Roman" w:eastAsia="Times New Roman"/>
          <w:b w:val="true"/>
          <w:color w:val="000000"/>
          <w:spacing w:val="0"/>
          <w:w w:val="100"/>
          <w:sz w:val="20"/>
          <w:vertAlign w:val="baseline"/>
          <w:lang w:val="en-US"/>
        </w:rPr>
        <w:t xml:space="preserve">Licensing process	</w:t>
      </w:r>
      <w:r>
        <w:rPr>
          <w:rFonts w:ascii="Times New Roman" w:hAnsi="Times New Roman" w:eastAsia="Times New Roman"/>
          <w:b w:val="true"/>
          <w:color w:val="000000"/>
          <w:spacing w:val="0"/>
          <w:w w:val="100"/>
          <w:sz w:val="20"/>
          <w:vertAlign w:val="baseline"/>
          <w:lang w:val="en-US"/>
        </w:rPr>
        <w:t xml:space="preserve">398</w:t>
      </w:r>
    </w:p>
    <w:p>
      <w:pPr>
        <w:tabs>
          <w:tab w:val="left" w:leader="none" w:pos="720"/>
          <w:tab w:val="left" w:leader="none" w:pos="7272"/>
        </w:tabs>
        <w:spacing w:before="12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577	</w:t>
      </w:r>
      <w:r>
        <w:rPr>
          <w:rFonts w:ascii="Times New Roman" w:hAnsi="Times New Roman" w:eastAsia="Times New Roman"/>
          <w:color w:val="000000"/>
          <w:spacing w:val="0"/>
          <w:w w:val="100"/>
          <w:sz w:val="20"/>
          <w:vertAlign w:val="baseline"/>
          <w:lang w:val="en-US"/>
        </w:rPr>
        <w:t xml:space="preserve">Who may apply for a licence	</w:t>
      </w:r>
      <w:r>
        <w:rPr>
          <w:rFonts w:ascii="Times New Roman" w:hAnsi="Times New Roman" w:eastAsia="Times New Roman"/>
          <w:color w:val="000000"/>
          <w:spacing w:val="0"/>
          <w:w w:val="100"/>
          <w:sz w:val="20"/>
          <w:vertAlign w:val="baseline"/>
          <w:lang w:val="en-US"/>
        </w:rPr>
        <w:t xml:space="preserve">398</w:t>
      </w:r>
    </w:p>
    <w:p>
      <w:pPr>
        <w:tabs>
          <w:tab w:val="left" w:leader="none" w:pos="720"/>
          <w:tab w:val="left" w:leader="none" w:pos="7272"/>
        </w:tabs>
        <w:spacing w:before="0" w:after="0" w:line="225"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578	</w:t>
      </w:r>
      <w:r>
        <w:rPr>
          <w:rFonts w:ascii="Times New Roman" w:hAnsi="Times New Roman" w:eastAsia="Times New Roman"/>
          <w:color w:val="000000"/>
          <w:spacing w:val="0"/>
          <w:w w:val="100"/>
          <w:sz w:val="20"/>
          <w:vertAlign w:val="baseline"/>
          <w:lang w:val="en-US"/>
        </w:rPr>
        <w:t xml:space="preserve">Application for major hazard facility licence	</w:t>
      </w:r>
      <w:r>
        <w:rPr>
          <w:rFonts w:ascii="Times New Roman" w:hAnsi="Times New Roman" w:eastAsia="Times New Roman"/>
          <w:color w:val="000000"/>
          <w:spacing w:val="0"/>
          <w:w w:val="100"/>
          <w:sz w:val="20"/>
          <w:vertAlign w:val="baseline"/>
          <w:lang w:val="en-US"/>
        </w:rPr>
        <w:t xml:space="preserve">398</w:t>
      </w:r>
    </w:p>
    <w:p>
      <w:pPr>
        <w:tabs>
          <w:tab w:val="left" w:leader="none" w:pos="720"/>
          <w:tab w:val="left" w:leader="none" w:pos="7272"/>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579	</w:t>
      </w:r>
      <w:r>
        <w:rPr>
          <w:rFonts w:ascii="Times New Roman" w:hAnsi="Times New Roman" w:eastAsia="Times New Roman"/>
          <w:color w:val="000000"/>
          <w:spacing w:val="0"/>
          <w:w w:val="100"/>
          <w:sz w:val="20"/>
          <w:vertAlign w:val="baseline"/>
          <w:lang w:val="en-US"/>
        </w:rPr>
        <w:t xml:space="preserve">Additional information	</w:t>
      </w:r>
      <w:r>
        <w:rPr>
          <w:rFonts w:ascii="Times New Roman" w:hAnsi="Times New Roman" w:eastAsia="Times New Roman"/>
          <w:color w:val="000000"/>
          <w:spacing w:val="0"/>
          <w:w w:val="100"/>
          <w:sz w:val="20"/>
          <w:vertAlign w:val="baseline"/>
          <w:lang w:val="en-US"/>
        </w:rPr>
        <w:t xml:space="preserve">399</w:t>
      </w:r>
    </w:p>
    <w:p>
      <w:pPr>
        <w:tabs>
          <w:tab w:val="left" w:leader="none" w:pos="720"/>
          <w:tab w:val="left" w:leader="none" w:pos="7272"/>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580	</w:t>
      </w:r>
      <w:r>
        <w:rPr>
          <w:rFonts w:ascii="Times New Roman" w:hAnsi="Times New Roman" w:eastAsia="Times New Roman"/>
          <w:color w:val="000000"/>
          <w:spacing w:val="0"/>
          <w:w w:val="100"/>
          <w:sz w:val="20"/>
          <w:vertAlign w:val="baseline"/>
          <w:lang w:val="en-US"/>
        </w:rPr>
        <w:t xml:space="preserve">Decision on application	</w:t>
      </w:r>
      <w:r>
        <w:rPr>
          <w:rFonts w:ascii="Times New Roman" w:hAnsi="Times New Roman" w:eastAsia="Times New Roman"/>
          <w:color w:val="000000"/>
          <w:spacing w:val="0"/>
          <w:w w:val="100"/>
          <w:sz w:val="20"/>
          <w:vertAlign w:val="baseline"/>
          <w:lang w:val="en-US"/>
        </w:rPr>
        <w:t xml:space="preserve">400</w:t>
      </w:r>
    </w:p>
    <w:p>
      <w:pPr>
        <w:tabs>
          <w:tab w:val="left" w:leader="none" w:pos="720"/>
          <w:tab w:val="left" w:leader="none" w:pos="7272"/>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581	</w:t>
      </w:r>
      <w:r>
        <w:rPr>
          <w:rFonts w:ascii="Times New Roman" w:hAnsi="Times New Roman" w:eastAsia="Times New Roman"/>
          <w:color w:val="000000"/>
          <w:spacing w:val="0"/>
          <w:w w:val="100"/>
          <w:sz w:val="20"/>
          <w:vertAlign w:val="baseline"/>
          <w:lang w:val="en-US"/>
        </w:rPr>
        <w:t xml:space="preserve">Matters to be taken into account	</w:t>
      </w:r>
      <w:r>
        <w:rPr>
          <w:rFonts w:ascii="Times New Roman" w:hAnsi="Times New Roman" w:eastAsia="Times New Roman"/>
          <w:color w:val="000000"/>
          <w:spacing w:val="0"/>
          <w:w w:val="100"/>
          <w:sz w:val="20"/>
          <w:vertAlign w:val="baseline"/>
          <w:lang w:val="en-US"/>
        </w:rPr>
        <w:t xml:space="preserve">401</w:t>
      </w:r>
    </w:p>
    <w:p>
      <w:pPr>
        <w:tabs>
          <w:tab w:val="left" w:leader="none" w:pos="720"/>
          <w:tab w:val="left" w:leader="none" w:pos="7272"/>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582	</w:t>
      </w:r>
      <w:r>
        <w:rPr>
          <w:rFonts w:ascii="Times New Roman" w:hAnsi="Times New Roman" w:eastAsia="Times New Roman"/>
          <w:color w:val="000000"/>
          <w:spacing w:val="0"/>
          <w:w w:val="100"/>
          <w:sz w:val="20"/>
          <w:vertAlign w:val="baseline"/>
          <w:lang w:val="en-US"/>
        </w:rPr>
        <w:t xml:space="preserve">When decision is to be made	</w:t>
      </w:r>
      <w:r>
        <w:rPr>
          <w:rFonts w:ascii="Times New Roman" w:hAnsi="Times New Roman" w:eastAsia="Times New Roman"/>
          <w:color w:val="000000"/>
          <w:spacing w:val="0"/>
          <w:w w:val="100"/>
          <w:sz w:val="20"/>
          <w:vertAlign w:val="baseline"/>
          <w:lang w:val="en-US"/>
        </w:rPr>
        <w:t xml:space="preserve">402</w:t>
      </w:r>
    </w:p>
    <w:p>
      <w:pPr>
        <w:tabs>
          <w:tab w:val="left" w:leader="none" w:pos="720"/>
          <w:tab w:val="left" w:leader="none" w:pos="7272"/>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583	</w:t>
      </w:r>
      <w:r>
        <w:rPr>
          <w:rFonts w:ascii="Times New Roman" w:hAnsi="Times New Roman" w:eastAsia="Times New Roman"/>
          <w:color w:val="000000"/>
          <w:spacing w:val="0"/>
          <w:w w:val="100"/>
          <w:sz w:val="20"/>
          <w:vertAlign w:val="baseline"/>
          <w:lang w:val="en-US"/>
        </w:rPr>
        <w:t xml:space="preserve">Refusal to grant major hazard facility licence—process	</w:t>
      </w:r>
      <w:r>
        <w:rPr>
          <w:rFonts w:ascii="Times New Roman" w:hAnsi="Times New Roman" w:eastAsia="Times New Roman"/>
          <w:color w:val="000000"/>
          <w:spacing w:val="0"/>
          <w:w w:val="100"/>
          <w:sz w:val="20"/>
          <w:vertAlign w:val="baseline"/>
          <w:lang w:val="en-US"/>
        </w:rPr>
        <w:t xml:space="preserve">402</w:t>
      </w:r>
    </w:p>
    <w:p>
      <w:pPr>
        <w:tabs>
          <w:tab w:val="left" w:leader="none" w:pos="720"/>
          <w:tab w:val="left" w:leader="none" w:pos="7272"/>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584	</w:t>
      </w:r>
      <w:r>
        <w:rPr>
          <w:rFonts w:ascii="Times New Roman" w:hAnsi="Times New Roman" w:eastAsia="Times New Roman"/>
          <w:color w:val="000000"/>
          <w:spacing w:val="0"/>
          <w:w w:val="100"/>
          <w:sz w:val="20"/>
          <w:vertAlign w:val="baseline"/>
          <w:lang w:val="en-US"/>
        </w:rPr>
        <w:t xml:space="preserve">Conditions of licence	</w:t>
      </w:r>
      <w:r>
        <w:rPr>
          <w:rFonts w:ascii="Times New Roman" w:hAnsi="Times New Roman" w:eastAsia="Times New Roman"/>
          <w:color w:val="000000"/>
          <w:spacing w:val="0"/>
          <w:w w:val="100"/>
          <w:sz w:val="20"/>
          <w:vertAlign w:val="baseline"/>
          <w:lang w:val="en-US"/>
        </w:rPr>
        <w:t xml:space="preserve">402</w:t>
      </w:r>
    </w:p>
    <w:p>
      <w:pPr>
        <w:tabs>
          <w:tab w:val="left" w:leader="none" w:pos="720"/>
          <w:tab w:val="left" w:leader="none" w:pos="7272"/>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585	</w:t>
      </w:r>
      <w:r>
        <w:rPr>
          <w:rFonts w:ascii="Times New Roman" w:hAnsi="Times New Roman" w:eastAsia="Times New Roman"/>
          <w:color w:val="000000"/>
          <w:spacing w:val="0"/>
          <w:w w:val="100"/>
          <w:sz w:val="20"/>
          <w:vertAlign w:val="baseline"/>
          <w:lang w:val="en-US"/>
        </w:rPr>
        <w:t xml:space="preserve">Duration of licence	</w:t>
      </w:r>
      <w:r>
        <w:rPr>
          <w:rFonts w:ascii="Times New Roman" w:hAnsi="Times New Roman" w:eastAsia="Times New Roman"/>
          <w:color w:val="000000"/>
          <w:spacing w:val="0"/>
          <w:w w:val="100"/>
          <w:sz w:val="20"/>
          <w:vertAlign w:val="baseline"/>
          <w:lang w:val="en-US"/>
        </w:rPr>
        <w:t xml:space="preserve">403</w:t>
      </w:r>
    </w:p>
    <w:p>
      <w:pPr>
        <w:tabs>
          <w:tab w:val="left" w:leader="none" w:pos="7272"/>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586 Licence document	</w:t>
      </w:r>
      <w:r>
        <w:rPr>
          <w:rFonts w:ascii="Times New Roman" w:hAnsi="Times New Roman" w:eastAsia="Times New Roman"/>
          <w:color w:val="000000"/>
          <w:spacing w:val="0"/>
          <w:w w:val="100"/>
          <w:sz w:val="20"/>
          <w:vertAlign w:val="baseline"/>
          <w:lang w:val="en-US"/>
        </w:rPr>
        <w:t xml:space="preserve">403</w:t>
      </w:r>
    </w:p>
    <w:p>
      <w:pPr>
        <w:tabs>
          <w:tab w:val="left" w:leader="none" w:pos="720"/>
          <w:tab w:val="left" w:leader="none" w:pos="7272"/>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587	</w:t>
      </w:r>
      <w:r>
        <w:rPr>
          <w:rFonts w:ascii="Times New Roman" w:hAnsi="Times New Roman" w:eastAsia="Times New Roman"/>
          <w:color w:val="000000"/>
          <w:spacing w:val="0"/>
          <w:w w:val="100"/>
          <w:sz w:val="20"/>
          <w:vertAlign w:val="baseline"/>
          <w:lang w:val="en-US"/>
        </w:rPr>
        <w:t xml:space="preserve">Licence document to be available	</w:t>
      </w:r>
      <w:r>
        <w:rPr>
          <w:rFonts w:ascii="Times New Roman" w:hAnsi="Times New Roman" w:eastAsia="Times New Roman"/>
          <w:color w:val="000000"/>
          <w:spacing w:val="0"/>
          <w:w w:val="100"/>
          <w:sz w:val="20"/>
          <w:vertAlign w:val="baseline"/>
          <w:lang w:val="en-US"/>
        </w:rPr>
        <w:t xml:space="preserve">403</w:t>
      </w:r>
    </w:p>
    <w:p>
      <w:pPr>
        <w:tabs>
          <w:tab w:val="left" w:leader="none" w:pos="1368"/>
          <w:tab w:val="left" w:leader="none" w:pos="7272"/>
        </w:tabs>
        <w:spacing w:before="2" w:after="0" w:line="229"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2	</w:t>
      </w:r>
      <w:r>
        <w:rPr>
          <w:rFonts w:ascii="Times New Roman" w:hAnsi="Times New Roman" w:eastAsia="Times New Roman"/>
          <w:b w:val="true"/>
          <w:color w:val="000000"/>
          <w:spacing w:val="0"/>
          <w:w w:val="100"/>
          <w:sz w:val="20"/>
          <w:vertAlign w:val="baseline"/>
          <w:lang w:val="en-US"/>
        </w:rPr>
        <w:t xml:space="preserve">Amendment of licence and licence document	</w:t>
      </w:r>
      <w:r>
        <w:rPr>
          <w:rFonts w:ascii="Times New Roman" w:hAnsi="Times New Roman" w:eastAsia="Times New Roman"/>
          <w:b w:val="true"/>
          <w:color w:val="000000"/>
          <w:spacing w:val="0"/>
          <w:w w:val="100"/>
          <w:sz w:val="20"/>
          <w:vertAlign w:val="baseline"/>
          <w:lang w:val="en-US"/>
        </w:rPr>
        <w:t xml:space="preserve">404</w:t>
      </w:r>
    </w:p>
    <w:p>
      <w:pPr>
        <w:tabs>
          <w:tab w:val="left" w:leader="none" w:pos="720"/>
          <w:tab w:val="left" w:leader="none" w:pos="7272"/>
        </w:tabs>
        <w:spacing w:before="115"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588	</w:t>
      </w:r>
      <w:r>
        <w:rPr>
          <w:rFonts w:ascii="Times New Roman" w:hAnsi="Times New Roman" w:eastAsia="Times New Roman"/>
          <w:color w:val="000000"/>
          <w:spacing w:val="0"/>
          <w:w w:val="100"/>
          <w:sz w:val="20"/>
          <w:vertAlign w:val="baseline"/>
          <w:lang w:val="en-US"/>
        </w:rPr>
        <w:t xml:space="preserve">Changes to information	</w:t>
      </w:r>
      <w:r>
        <w:rPr>
          <w:rFonts w:ascii="Times New Roman" w:hAnsi="Times New Roman" w:eastAsia="Times New Roman"/>
          <w:color w:val="000000"/>
          <w:spacing w:val="0"/>
          <w:w w:val="100"/>
          <w:sz w:val="20"/>
          <w:vertAlign w:val="baseline"/>
          <w:lang w:val="en-US"/>
        </w:rPr>
        <w:t xml:space="preserve">404</w:t>
      </w:r>
    </w:p>
    <w:p>
      <w:pPr>
        <w:tabs>
          <w:tab w:val="left" w:leader="none" w:pos="720"/>
          <w:tab w:val="left" w:leader="none" w:pos="7272"/>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589	</w:t>
      </w:r>
      <w:r>
        <w:rPr>
          <w:rFonts w:ascii="Times New Roman" w:hAnsi="Times New Roman" w:eastAsia="Times New Roman"/>
          <w:color w:val="000000"/>
          <w:spacing w:val="0"/>
          <w:w w:val="100"/>
          <w:sz w:val="20"/>
          <w:vertAlign w:val="baseline"/>
          <w:lang w:val="en-US"/>
        </w:rPr>
        <w:t xml:space="preserve">Amendment imposed by regulator	</w:t>
      </w:r>
      <w:r>
        <w:rPr>
          <w:rFonts w:ascii="Times New Roman" w:hAnsi="Times New Roman" w:eastAsia="Times New Roman"/>
          <w:color w:val="000000"/>
          <w:spacing w:val="0"/>
          <w:w w:val="100"/>
          <w:sz w:val="20"/>
          <w:vertAlign w:val="baseline"/>
          <w:lang w:val="en-US"/>
        </w:rPr>
        <w:t xml:space="preserve">404</w:t>
      </w:r>
    </w:p>
    <w:p>
      <w:pPr>
        <w:tabs>
          <w:tab w:val="left" w:leader="none" w:pos="720"/>
          <w:tab w:val="left" w:leader="none" w:pos="7272"/>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590	</w:t>
      </w:r>
      <w:r>
        <w:rPr>
          <w:rFonts w:ascii="Times New Roman" w:hAnsi="Times New Roman" w:eastAsia="Times New Roman"/>
          <w:color w:val="000000"/>
          <w:spacing w:val="0"/>
          <w:w w:val="100"/>
          <w:sz w:val="20"/>
          <w:vertAlign w:val="baseline"/>
          <w:lang w:val="en-US"/>
        </w:rPr>
        <w:t xml:space="preserve">Amendment on application by operator	</w:t>
      </w:r>
      <w:r>
        <w:rPr>
          <w:rFonts w:ascii="Times New Roman" w:hAnsi="Times New Roman" w:eastAsia="Times New Roman"/>
          <w:color w:val="000000"/>
          <w:spacing w:val="0"/>
          <w:w w:val="100"/>
          <w:sz w:val="20"/>
          <w:vertAlign w:val="baseline"/>
          <w:lang w:val="en-US"/>
        </w:rPr>
        <w:t xml:space="preserve">405</w:t>
      </w:r>
    </w:p>
    <w:p>
      <w:pPr>
        <w:tabs>
          <w:tab w:val="left" w:leader="none" w:pos="720"/>
          <w:tab w:val="left" w:leader="none" w:pos="7272"/>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591	</w:t>
      </w:r>
      <w:r>
        <w:rPr>
          <w:rFonts w:ascii="Times New Roman" w:hAnsi="Times New Roman" w:eastAsia="Times New Roman"/>
          <w:color w:val="000000"/>
          <w:spacing w:val="0"/>
          <w:w w:val="100"/>
          <w:sz w:val="20"/>
          <w:vertAlign w:val="baseline"/>
          <w:lang w:val="en-US"/>
        </w:rPr>
        <w:t xml:space="preserve">Minor corrections to major hazard facility licence	</w:t>
      </w:r>
      <w:r>
        <w:rPr>
          <w:rFonts w:ascii="Times New Roman" w:hAnsi="Times New Roman" w:eastAsia="Times New Roman"/>
          <w:color w:val="000000"/>
          <w:spacing w:val="0"/>
          <w:w w:val="100"/>
          <w:sz w:val="20"/>
          <w:vertAlign w:val="baseline"/>
          <w:lang w:val="en-US"/>
        </w:rPr>
        <w:t xml:space="preserve">406</w:t>
      </w:r>
    </w:p>
    <w:p>
      <w:pPr>
        <w:tabs>
          <w:tab w:val="left" w:leader="none" w:pos="720"/>
          <w:tab w:val="left" w:leader="none" w:pos="7272"/>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592	</w:t>
      </w:r>
      <w:r>
        <w:rPr>
          <w:rFonts w:ascii="Times New Roman" w:hAnsi="Times New Roman" w:eastAsia="Times New Roman"/>
          <w:color w:val="000000"/>
          <w:spacing w:val="0"/>
          <w:w w:val="100"/>
          <w:sz w:val="20"/>
          <w:vertAlign w:val="baseline"/>
          <w:lang w:val="en-US"/>
        </w:rPr>
        <w:t xml:space="preserve">Regulator to give amended licence document to operator	</w:t>
      </w:r>
      <w:r>
        <w:rPr>
          <w:rFonts w:ascii="Times New Roman" w:hAnsi="Times New Roman" w:eastAsia="Times New Roman"/>
          <w:color w:val="000000"/>
          <w:spacing w:val="0"/>
          <w:w w:val="100"/>
          <w:sz w:val="20"/>
          <w:vertAlign w:val="baseline"/>
          <w:lang w:val="en-US"/>
        </w:rPr>
        <w:t xml:space="preserve">406</w:t>
      </w:r>
    </w:p>
    <w:p>
      <w:pPr>
        <w:tabs>
          <w:tab w:val="left" w:leader="none" w:pos="720"/>
          <w:tab w:val="left" w:leader="none" w:pos="7272"/>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593	</w:t>
      </w:r>
      <w:r>
        <w:rPr>
          <w:rFonts w:ascii="Times New Roman" w:hAnsi="Times New Roman" w:eastAsia="Times New Roman"/>
          <w:color w:val="000000"/>
          <w:spacing w:val="0"/>
          <w:w w:val="100"/>
          <w:sz w:val="20"/>
          <w:vertAlign w:val="baseline"/>
          <w:lang w:val="en-US"/>
        </w:rPr>
        <w:t xml:space="preserve">Operator to return licence	</w:t>
      </w:r>
      <w:r>
        <w:rPr>
          <w:rFonts w:ascii="Times New Roman" w:hAnsi="Times New Roman" w:eastAsia="Times New Roman"/>
          <w:color w:val="000000"/>
          <w:spacing w:val="0"/>
          <w:w w:val="100"/>
          <w:sz w:val="20"/>
          <w:vertAlign w:val="baseline"/>
          <w:lang w:val="en-US"/>
        </w:rPr>
        <w:t xml:space="preserve">406</w:t>
      </w:r>
    </w:p>
    <w:p>
      <w:pPr>
        <w:tabs>
          <w:tab w:val="left" w:leader="none" w:pos="720"/>
          <w:tab w:val="left" w:leader="none" w:pos="7272"/>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594	</w:t>
      </w:r>
      <w:r>
        <w:rPr>
          <w:rFonts w:ascii="Times New Roman" w:hAnsi="Times New Roman" w:eastAsia="Times New Roman"/>
          <w:color w:val="000000"/>
          <w:spacing w:val="0"/>
          <w:w w:val="100"/>
          <w:sz w:val="20"/>
          <w:vertAlign w:val="baseline"/>
          <w:lang w:val="en-US"/>
        </w:rPr>
        <w:t xml:space="preserve">Replacement licence document	</w:t>
      </w:r>
      <w:r>
        <w:rPr>
          <w:rFonts w:ascii="Times New Roman" w:hAnsi="Times New Roman" w:eastAsia="Times New Roman"/>
          <w:color w:val="000000"/>
          <w:spacing w:val="0"/>
          <w:w w:val="100"/>
          <w:sz w:val="20"/>
          <w:vertAlign w:val="baseline"/>
          <w:lang w:val="en-US"/>
        </w:rPr>
        <w:t xml:space="preserve">407</w:t>
      </w:r>
    </w:p>
    <w:p>
      <w:pPr>
        <w:tabs>
          <w:tab w:val="left" w:leader="none" w:pos="1368"/>
          <w:tab w:val="left" w:leader="none" w:pos="7272"/>
        </w:tabs>
        <w:spacing w:before="3" w:after="0" w:line="229"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3	</w:t>
      </w:r>
      <w:r>
        <w:rPr>
          <w:rFonts w:ascii="Times New Roman" w:hAnsi="Times New Roman" w:eastAsia="Times New Roman"/>
          <w:b w:val="true"/>
          <w:color w:val="000000"/>
          <w:spacing w:val="0"/>
          <w:w w:val="100"/>
          <w:sz w:val="20"/>
          <w:vertAlign w:val="baseline"/>
          <w:lang w:val="en-US"/>
        </w:rPr>
        <w:t xml:space="preserve">Renewal of major hazard facility licence	</w:t>
      </w:r>
      <w:r>
        <w:rPr>
          <w:rFonts w:ascii="Times New Roman" w:hAnsi="Times New Roman" w:eastAsia="Times New Roman"/>
          <w:b w:val="true"/>
          <w:color w:val="000000"/>
          <w:spacing w:val="0"/>
          <w:w w:val="100"/>
          <w:sz w:val="20"/>
          <w:vertAlign w:val="baseline"/>
          <w:lang w:val="en-US"/>
        </w:rPr>
        <w:t xml:space="preserve">408</w:t>
      </w:r>
    </w:p>
    <w:p>
      <w:pPr>
        <w:tabs>
          <w:tab w:val="left" w:leader="none" w:pos="720"/>
          <w:tab w:val="left" w:leader="none" w:pos="7272"/>
        </w:tabs>
        <w:spacing w:before="119"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595	</w:t>
      </w:r>
      <w:r>
        <w:rPr>
          <w:rFonts w:ascii="Times New Roman" w:hAnsi="Times New Roman" w:eastAsia="Times New Roman"/>
          <w:color w:val="000000"/>
          <w:spacing w:val="0"/>
          <w:w w:val="100"/>
          <w:sz w:val="20"/>
          <w:vertAlign w:val="baseline"/>
          <w:lang w:val="en-US"/>
        </w:rPr>
        <w:t xml:space="preserve">Regulator may renew licence	</w:t>
      </w:r>
      <w:r>
        <w:rPr>
          <w:rFonts w:ascii="Times New Roman" w:hAnsi="Times New Roman" w:eastAsia="Times New Roman"/>
          <w:color w:val="000000"/>
          <w:spacing w:val="0"/>
          <w:w w:val="100"/>
          <w:sz w:val="20"/>
          <w:vertAlign w:val="baseline"/>
          <w:lang w:val="en-US"/>
        </w:rPr>
        <w:t xml:space="preserve">408</w:t>
      </w:r>
    </w:p>
    <w:p>
      <w:pPr>
        <w:tabs>
          <w:tab w:val="left" w:leader="none" w:pos="720"/>
          <w:tab w:val="left" w:leader="none" w:pos="7272"/>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596	</w:t>
      </w:r>
      <w:r>
        <w:rPr>
          <w:rFonts w:ascii="Times New Roman" w:hAnsi="Times New Roman" w:eastAsia="Times New Roman"/>
          <w:color w:val="000000"/>
          <w:spacing w:val="0"/>
          <w:w w:val="100"/>
          <w:sz w:val="20"/>
          <w:vertAlign w:val="baseline"/>
          <w:lang w:val="en-US"/>
        </w:rPr>
        <w:t xml:space="preserve">Application for renewal	</w:t>
      </w:r>
      <w:r>
        <w:rPr>
          <w:rFonts w:ascii="Times New Roman" w:hAnsi="Times New Roman" w:eastAsia="Times New Roman"/>
          <w:color w:val="000000"/>
          <w:spacing w:val="0"/>
          <w:w w:val="100"/>
          <w:sz w:val="20"/>
          <w:vertAlign w:val="baseline"/>
          <w:lang w:val="en-US"/>
        </w:rPr>
        <w:t xml:space="preserve">408</w:t>
      </w:r>
    </w:p>
    <w:p>
      <w:pPr>
        <w:tabs>
          <w:tab w:val="left" w:leader="none" w:pos="720"/>
          <w:tab w:val="left" w:leader="none" w:pos="7272"/>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597	</w:t>
      </w:r>
      <w:r>
        <w:rPr>
          <w:rFonts w:ascii="Times New Roman" w:hAnsi="Times New Roman" w:eastAsia="Times New Roman"/>
          <w:color w:val="000000"/>
          <w:spacing w:val="0"/>
          <w:w w:val="100"/>
          <w:sz w:val="20"/>
          <w:vertAlign w:val="baseline"/>
          <w:lang w:val="en-US"/>
        </w:rPr>
        <w:t xml:space="preserve">Licence continues in force until application is decided	</w:t>
      </w:r>
      <w:r>
        <w:rPr>
          <w:rFonts w:ascii="Times New Roman" w:hAnsi="Times New Roman" w:eastAsia="Times New Roman"/>
          <w:color w:val="000000"/>
          <w:spacing w:val="0"/>
          <w:w w:val="100"/>
          <w:sz w:val="20"/>
          <w:vertAlign w:val="baseline"/>
          <w:lang w:val="en-US"/>
        </w:rPr>
        <w:t xml:space="preserve">408</w:t>
      </w:r>
    </w:p>
    <w:p>
      <w:pPr>
        <w:tabs>
          <w:tab w:val="left" w:leader="none" w:pos="720"/>
          <w:tab w:val="left" w:leader="none" w:pos="7272"/>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598	</w:t>
      </w:r>
      <w:r>
        <w:rPr>
          <w:rFonts w:ascii="Times New Roman" w:hAnsi="Times New Roman" w:eastAsia="Times New Roman"/>
          <w:color w:val="000000"/>
          <w:spacing w:val="0"/>
          <w:w w:val="100"/>
          <w:sz w:val="20"/>
          <w:vertAlign w:val="baseline"/>
          <w:lang w:val="en-US"/>
        </w:rPr>
        <w:t xml:space="preserve">Provisions relating to renewal of licence	</w:t>
      </w:r>
      <w:r>
        <w:rPr>
          <w:rFonts w:ascii="Times New Roman" w:hAnsi="Times New Roman" w:eastAsia="Times New Roman"/>
          <w:color w:val="000000"/>
          <w:spacing w:val="0"/>
          <w:w w:val="100"/>
          <w:sz w:val="20"/>
          <w:vertAlign w:val="baseline"/>
          <w:lang w:val="en-US"/>
        </w:rPr>
        <w:t xml:space="preserve">408</w:t>
      </w:r>
    </w:p>
    <w:p>
      <w:pPr>
        <w:tabs>
          <w:tab w:val="left" w:leader="none" w:pos="720"/>
          <w:tab w:val="left" w:leader="none" w:pos="7272"/>
        </w:tabs>
        <w:spacing w:before="0" w:after="0" w:line="226"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599	</w:t>
      </w:r>
      <w:r>
        <w:rPr>
          <w:rFonts w:ascii="Times New Roman" w:hAnsi="Times New Roman" w:eastAsia="Times New Roman"/>
          <w:color w:val="000000"/>
          <w:spacing w:val="0"/>
          <w:w w:val="100"/>
          <w:sz w:val="20"/>
          <w:vertAlign w:val="baseline"/>
          <w:lang w:val="en-US"/>
        </w:rPr>
        <w:t xml:space="preserve">Status of major hazard facility licence during review	</w:t>
      </w:r>
      <w:r>
        <w:rPr>
          <w:rFonts w:ascii="Times New Roman" w:hAnsi="Times New Roman" w:eastAsia="Times New Roman"/>
          <w:color w:val="000000"/>
          <w:spacing w:val="0"/>
          <w:w w:val="100"/>
          <w:sz w:val="20"/>
          <w:vertAlign w:val="baseline"/>
          <w:lang w:val="en-US"/>
        </w:rPr>
        <w:t xml:space="preserve">409</w:t>
      </w:r>
    </w:p>
    <w:p>
      <w:pPr>
        <w:tabs>
          <w:tab w:val="left" w:leader="none" w:pos="1368"/>
          <w:tab w:val="left" w:leader="none" w:pos="7272"/>
        </w:tabs>
        <w:spacing w:before="2" w:after="0" w:line="229"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4	</w:t>
      </w:r>
      <w:r>
        <w:rPr>
          <w:rFonts w:ascii="Times New Roman" w:hAnsi="Times New Roman" w:eastAsia="Times New Roman"/>
          <w:b w:val="true"/>
          <w:color w:val="000000"/>
          <w:spacing w:val="0"/>
          <w:w w:val="100"/>
          <w:sz w:val="20"/>
          <w:vertAlign w:val="baseline"/>
          <w:lang w:val="en-US"/>
        </w:rPr>
        <w:t xml:space="preserve">Transfer of major hazard facility licence	</w:t>
      </w:r>
      <w:r>
        <w:rPr>
          <w:rFonts w:ascii="Times New Roman" w:hAnsi="Times New Roman" w:eastAsia="Times New Roman"/>
          <w:b w:val="true"/>
          <w:color w:val="000000"/>
          <w:spacing w:val="0"/>
          <w:w w:val="100"/>
          <w:sz w:val="20"/>
          <w:vertAlign w:val="baseline"/>
          <w:lang w:val="en-US"/>
        </w:rPr>
        <w:t xml:space="preserve">409</w:t>
      </w:r>
    </w:p>
    <w:p>
      <w:pPr>
        <w:tabs>
          <w:tab w:val="left" w:leader="none" w:pos="720"/>
          <w:tab w:val="left" w:leader="none" w:pos="7272"/>
        </w:tabs>
        <w:spacing w:before="12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600	</w:t>
      </w:r>
      <w:r>
        <w:rPr>
          <w:rFonts w:ascii="Times New Roman" w:hAnsi="Times New Roman" w:eastAsia="Times New Roman"/>
          <w:color w:val="000000"/>
          <w:spacing w:val="0"/>
          <w:w w:val="100"/>
          <w:sz w:val="20"/>
          <w:vertAlign w:val="baseline"/>
          <w:lang w:val="en-US"/>
        </w:rPr>
        <w:t xml:space="preserve">Transfer of major hazard facility licence	</w:t>
      </w:r>
      <w:r>
        <w:rPr>
          <w:rFonts w:ascii="Times New Roman" w:hAnsi="Times New Roman" w:eastAsia="Times New Roman"/>
          <w:color w:val="000000"/>
          <w:spacing w:val="0"/>
          <w:w w:val="100"/>
          <w:sz w:val="20"/>
          <w:vertAlign w:val="baseline"/>
          <w:lang w:val="en-US"/>
        </w:rPr>
        <w:t xml:space="preserve">409</w:t>
      </w:r>
    </w:p>
    <w:p>
      <w:pPr>
        <w:tabs>
          <w:tab w:val="left" w:leader="none" w:pos="1368"/>
          <w:tab w:val="left" w:leader="none" w:pos="7272"/>
        </w:tabs>
        <w:spacing w:before="2" w:after="0" w:line="229"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5	</w:t>
      </w:r>
      <w:r>
        <w:rPr>
          <w:rFonts w:ascii="Times New Roman" w:hAnsi="Times New Roman" w:eastAsia="Times New Roman"/>
          <w:b w:val="true"/>
          <w:color w:val="000000"/>
          <w:spacing w:val="0"/>
          <w:w w:val="100"/>
          <w:sz w:val="20"/>
          <w:vertAlign w:val="baseline"/>
          <w:lang w:val="en-US"/>
        </w:rPr>
        <w:t xml:space="preserve">Suspension and cancellation of major hazard facility licence	</w:t>
      </w:r>
      <w:r>
        <w:rPr>
          <w:rFonts w:ascii="Times New Roman" w:hAnsi="Times New Roman" w:eastAsia="Times New Roman"/>
          <w:b w:val="true"/>
          <w:color w:val="000000"/>
          <w:spacing w:val="0"/>
          <w:w w:val="100"/>
          <w:sz w:val="20"/>
          <w:vertAlign w:val="baseline"/>
          <w:lang w:val="en-US"/>
        </w:rPr>
        <w:t xml:space="preserve">410</w:t>
      </w:r>
    </w:p>
    <w:p>
      <w:pPr>
        <w:tabs>
          <w:tab w:val="left" w:leader="none" w:pos="720"/>
          <w:tab w:val="left" w:leader="none" w:pos="7272"/>
        </w:tabs>
        <w:spacing w:before="12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601	</w:t>
      </w:r>
      <w:r>
        <w:rPr>
          <w:rFonts w:ascii="Times New Roman" w:hAnsi="Times New Roman" w:eastAsia="Times New Roman"/>
          <w:color w:val="000000"/>
          <w:spacing w:val="0"/>
          <w:w w:val="100"/>
          <w:sz w:val="20"/>
          <w:vertAlign w:val="baseline"/>
          <w:lang w:val="en-US"/>
        </w:rPr>
        <w:t xml:space="preserve">Cancellation of major hazard facility licence—on operator's application	</w:t>
      </w:r>
      <w:r>
        <w:rPr>
          <w:rFonts w:ascii="Times New Roman" w:hAnsi="Times New Roman" w:eastAsia="Times New Roman"/>
          <w:color w:val="000000"/>
          <w:spacing w:val="0"/>
          <w:w w:val="100"/>
          <w:sz w:val="20"/>
          <w:vertAlign w:val="baseline"/>
          <w:lang w:val="en-US"/>
        </w:rPr>
        <w:t xml:space="preserve">410</w:t>
      </w:r>
    </w:p>
    <w:p>
      <w:pPr>
        <w:tabs>
          <w:tab w:val="left" w:leader="none" w:pos="720"/>
          <w:tab w:val="left" w:leader="none" w:pos="7272"/>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602	</w:t>
      </w:r>
      <w:r>
        <w:rPr>
          <w:rFonts w:ascii="Times New Roman" w:hAnsi="Times New Roman" w:eastAsia="Times New Roman"/>
          <w:color w:val="000000"/>
          <w:spacing w:val="0"/>
          <w:w w:val="100"/>
          <w:sz w:val="20"/>
          <w:vertAlign w:val="baseline"/>
          <w:lang w:val="en-US"/>
        </w:rPr>
        <w:t xml:space="preserve">Suspension or cancellation of licence—on regulator's initiative	</w:t>
      </w:r>
      <w:r>
        <w:rPr>
          <w:rFonts w:ascii="Times New Roman" w:hAnsi="Times New Roman" w:eastAsia="Times New Roman"/>
          <w:color w:val="000000"/>
          <w:spacing w:val="0"/>
          <w:w w:val="100"/>
          <w:sz w:val="20"/>
          <w:vertAlign w:val="baseline"/>
          <w:lang w:val="en-US"/>
        </w:rPr>
        <w:t xml:space="preserve">410</w:t>
      </w:r>
    </w:p>
    <w:p>
      <w:pPr>
        <w:tabs>
          <w:tab w:val="left" w:leader="none" w:pos="720"/>
          <w:tab w:val="left" w:leader="none" w:pos="7272"/>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603	</w:t>
      </w:r>
      <w:r>
        <w:rPr>
          <w:rFonts w:ascii="Times New Roman" w:hAnsi="Times New Roman" w:eastAsia="Times New Roman"/>
          <w:color w:val="000000"/>
          <w:spacing w:val="0"/>
          <w:w w:val="100"/>
          <w:sz w:val="20"/>
          <w:vertAlign w:val="baseline"/>
          <w:lang w:val="en-US"/>
        </w:rPr>
        <w:t xml:space="preserve">Matters to be taken into account	</w:t>
      </w:r>
      <w:r>
        <w:rPr>
          <w:rFonts w:ascii="Times New Roman" w:hAnsi="Times New Roman" w:eastAsia="Times New Roman"/>
          <w:color w:val="000000"/>
          <w:spacing w:val="0"/>
          <w:w w:val="100"/>
          <w:sz w:val="20"/>
          <w:vertAlign w:val="baseline"/>
          <w:lang w:val="en-US"/>
        </w:rPr>
        <w:t xml:space="preserve">411</w:t>
      </w:r>
    </w:p>
    <w:p>
      <w:pPr>
        <w:tabs>
          <w:tab w:val="left" w:leader="none" w:pos="720"/>
          <w:tab w:val="left" w:leader="none" w:pos="7272"/>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604	</w:t>
      </w:r>
      <w:r>
        <w:rPr>
          <w:rFonts w:ascii="Times New Roman" w:hAnsi="Times New Roman" w:eastAsia="Times New Roman"/>
          <w:color w:val="000000"/>
          <w:spacing w:val="0"/>
          <w:w w:val="100"/>
          <w:sz w:val="20"/>
          <w:vertAlign w:val="baseline"/>
          <w:lang w:val="en-US"/>
        </w:rPr>
        <w:t xml:space="preserve">Notice to and submissions by operator	</w:t>
      </w:r>
      <w:r>
        <w:rPr>
          <w:rFonts w:ascii="Times New Roman" w:hAnsi="Times New Roman" w:eastAsia="Times New Roman"/>
          <w:color w:val="000000"/>
          <w:spacing w:val="0"/>
          <w:w w:val="100"/>
          <w:sz w:val="20"/>
          <w:vertAlign w:val="baseline"/>
          <w:lang w:val="en-US"/>
        </w:rPr>
        <w:t xml:space="preserve">412</w:t>
      </w:r>
    </w:p>
    <w:p>
      <w:pPr>
        <w:tabs>
          <w:tab w:val="left" w:leader="none" w:pos="720"/>
          <w:tab w:val="left" w:leader="none" w:pos="7272"/>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605	</w:t>
      </w:r>
      <w:r>
        <w:rPr>
          <w:rFonts w:ascii="Times New Roman" w:hAnsi="Times New Roman" w:eastAsia="Times New Roman"/>
          <w:color w:val="000000"/>
          <w:spacing w:val="0"/>
          <w:w w:val="100"/>
          <w:sz w:val="20"/>
          <w:vertAlign w:val="baseline"/>
          <w:lang w:val="en-US"/>
        </w:rPr>
        <w:t xml:space="preserve">Notice of decision	</w:t>
      </w:r>
      <w:r>
        <w:rPr>
          <w:rFonts w:ascii="Times New Roman" w:hAnsi="Times New Roman" w:eastAsia="Times New Roman"/>
          <w:color w:val="000000"/>
          <w:spacing w:val="0"/>
          <w:w w:val="100"/>
          <w:sz w:val="20"/>
          <w:vertAlign w:val="baseline"/>
          <w:lang w:val="en-US"/>
        </w:rPr>
        <w:t xml:space="preserve">412</w:t>
      </w:r>
    </w:p>
    <w:p>
      <w:pPr>
        <w:tabs>
          <w:tab w:val="left" w:leader="none" w:pos="7272"/>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606 Immediate suspension	</w:t>
      </w:r>
      <w:r>
        <w:rPr>
          <w:rFonts w:ascii="Times New Roman" w:hAnsi="Times New Roman" w:eastAsia="Times New Roman"/>
          <w:color w:val="000000"/>
          <w:spacing w:val="0"/>
          <w:w w:val="100"/>
          <w:sz w:val="20"/>
          <w:vertAlign w:val="baseline"/>
          <w:lang w:val="en-US"/>
        </w:rPr>
        <w:t xml:space="preserve">413</w:t>
      </w:r>
    </w:p>
    <w:p>
      <w:pPr>
        <w:tabs>
          <w:tab w:val="left" w:leader="none" w:pos="720"/>
          <w:tab w:val="left" w:leader="none" w:pos="7272"/>
        </w:tabs>
        <w:spacing w:before="0" w:after="594"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10.65pt" to="498.5pt,710.6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607	</w:t>
      </w:r>
      <w:r>
        <w:rPr>
          <w:rFonts w:ascii="Times New Roman" w:hAnsi="Times New Roman" w:eastAsia="Times New Roman"/>
          <w:color w:val="000000"/>
          <w:spacing w:val="0"/>
          <w:w w:val="100"/>
          <w:sz w:val="20"/>
          <w:vertAlign w:val="baseline"/>
          <w:lang w:val="en-US"/>
        </w:rPr>
        <w:t xml:space="preserve">Operator to return licence document	</w:t>
      </w:r>
      <w:r>
        <w:rPr>
          <w:rFonts w:ascii="Times New Roman" w:hAnsi="Times New Roman" w:eastAsia="Times New Roman"/>
          <w:color w:val="000000"/>
          <w:spacing w:val="0"/>
          <w:w w:val="100"/>
          <w:sz w:val="20"/>
          <w:vertAlign w:val="baseline"/>
          <w:lang w:val="en-US"/>
        </w:rPr>
        <w:t xml:space="preserve">414</w:t>
      </w:r>
    </w:p>
    <w:p>
      <w:pPr>
        <w:spacing w:before="0" w:after="594" w:line="230" w:lineRule="exact"/>
        <w:sectPr>
          <w:type w:val="nextPage"/>
          <w:pgSz w:w="11909" w:h="16838" w:orient="portrait"/>
          <w:pgMar w:bottom="1542" w:top="1320" w:right="1940" w:left="1949" w:header="720" w:footer="720"/>
          <w:titlePg w:val="false"/>
          <w:textDirection w:val="lrTb"/>
        </w:sectPr>
      </w:pPr>
    </w:p>
    <w:p>
      <w:pPr>
        <w:tabs>
          <w:tab w:val="right" w:leader="none" w:pos="4104"/>
        </w:tabs>
        <w:spacing w:before="12" w:after="0" w:line="179" w:lineRule="exact"/>
        <w:ind w:right="0" w:left="0" w:firstLine="0"/>
        <w:jc w:val="left"/>
        <w:textAlignment w:val="baseline"/>
        <w:rPr>
          <w:rFonts w:ascii="Times New Roman" w:hAnsi="Times New Roman" w:eastAsia="Times New Roman"/>
          <w:color w:val="000000"/>
          <w:spacing w:val="0"/>
          <w:w w:val="100"/>
          <w:sz w:val="17"/>
          <w:vertAlign w:val="baseline"/>
          <w:lang w:val="en-US"/>
        </w:rPr>
      </w:pPr>
      <w:r>
        <w:rPr>
          <w:rFonts w:ascii="Times New Roman" w:hAnsi="Times New Roman" w:eastAsia="Times New Roman"/>
          <w:color w:val="000000"/>
          <w:spacing w:val="0"/>
          <w:w w:val="100"/>
          <w:sz w:val="17"/>
          <w:vertAlign w:val="baseline"/>
          <w:lang w:val="en-US"/>
        </w:rPr>
        <w:t xml:space="preserve">PCC [359] 1.1.2021	</w:t>
      </w:r>
      <w:r>
        <w:rPr>
          <w:rFonts w:ascii="Times New Roman" w:hAnsi="Times New Roman" w:eastAsia="Times New Roman"/>
          <w:color w:val="000000"/>
          <w:spacing w:val="0"/>
          <w:w w:val="100"/>
          <w:sz w:val="17"/>
          <w:vertAlign w:val="baseline"/>
          <w:lang w:val="en-US"/>
        </w:rPr>
        <w:t xml:space="preserve">19</w:t>
      </w:r>
    </w:p>
    <w:p>
      <w:pPr>
        <w:sectPr>
          <w:type w:val="continuous"/>
          <w:pgSz w:w="11909" w:h="16838" w:orient="portrait"/>
          <w:pgMar w:bottom="1542" w:top="1320" w:right="5873" w:left="1996" w:header="720" w:footer="720"/>
          <w:titlePg w:val="false"/>
          <w:textDirection w:val="lrTb"/>
        </w:sectPr>
      </w:pPr>
    </w:p>
    <w:p>
      <w:pPr>
        <w:spacing w:before="19" w:after="231"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720"/>
          <w:tab w:val="left" w:leader="none" w:pos="7272"/>
        </w:tabs>
        <w:spacing w:before="476" w:after="0" w:line="230" w:lineRule="exact"/>
        <w:ind w:right="0" w:left="144" w:firstLine="0"/>
        <w:jc w:val="both"/>
        <w:textAlignment w:val="baseline"/>
        <w:rPr>
          <w:rFonts w:ascii="Times New Roman" w:hAnsi="Times New Roman" w:eastAsia="Times New Roman"/>
          <w:color w:val="000000"/>
          <w:spacing w:val="0"/>
          <w:w w:val="100"/>
          <w:sz w:val="20"/>
          <w:vertAlign w:val="baseline"/>
          <w:lang w:val="en-US"/>
        </w:rPr>
      </w:pPr>
      <w:r>
        <w:pict>
          <v:line strokeweight="0.5pt" strokecolor="#000000" from="97.45pt,90.95pt" to="498.5pt,90.9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608	</w:t>
      </w:r>
      <w:r>
        <w:rPr>
          <w:rFonts w:ascii="Times New Roman" w:hAnsi="Times New Roman" w:eastAsia="Times New Roman"/>
          <w:color w:val="000000"/>
          <w:spacing w:val="0"/>
          <w:w w:val="100"/>
          <w:sz w:val="20"/>
          <w:vertAlign w:val="baseline"/>
          <w:lang w:val="en-US"/>
        </w:rPr>
        <w:t xml:space="preserve">Regulator to return licence document after suspension	</w:t>
      </w:r>
      <w:r>
        <w:rPr>
          <w:rFonts w:ascii="Times New Roman" w:hAnsi="Times New Roman" w:eastAsia="Times New Roman"/>
          <w:color w:val="000000"/>
          <w:spacing w:val="0"/>
          <w:w w:val="100"/>
          <w:sz w:val="20"/>
          <w:vertAlign w:val="baseline"/>
          <w:lang w:val="en-US"/>
        </w:rPr>
        <w:t xml:space="preserve">414</w:t>
      </w:r>
    </w:p>
    <w:p>
      <w:pPr>
        <w:tabs>
          <w:tab w:val="left" w:leader="none" w:pos="1944"/>
          <w:tab w:val="left" w:leader="none" w:pos="7272"/>
        </w:tabs>
        <w:spacing w:before="245" w:after="0" w:line="228"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CHAPTER 10	</w:t>
      </w:r>
      <w:r>
        <w:rPr>
          <w:rFonts w:ascii="Times New Roman" w:hAnsi="Times New Roman" w:eastAsia="Times New Roman"/>
          <w:b w:val="true"/>
          <w:color w:val="000000"/>
          <w:spacing w:val="0"/>
          <w:w w:val="100"/>
          <w:sz w:val="20"/>
          <w:vertAlign w:val="baseline"/>
          <w:lang w:val="en-US"/>
        </w:rPr>
        <w:t xml:space="preserve">MINES	</w:t>
      </w:r>
      <w:r>
        <w:rPr>
          <w:rFonts w:ascii="Times New Roman" w:hAnsi="Times New Roman" w:eastAsia="Times New Roman"/>
          <w:b w:val="true"/>
          <w:color w:val="000000"/>
          <w:spacing w:val="0"/>
          <w:w w:val="100"/>
          <w:sz w:val="20"/>
          <w:vertAlign w:val="baseline"/>
          <w:lang w:val="en-US"/>
        </w:rPr>
        <w:t xml:space="preserve">415</w:t>
      </w:r>
    </w:p>
    <w:p>
      <w:pPr>
        <w:tabs>
          <w:tab w:val="left" w:leader="none" w:pos="1944"/>
          <w:tab w:val="left" w:leader="none" w:pos="7272"/>
        </w:tabs>
        <w:spacing w:before="242" w:after="0" w:line="228"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CHAPTER 11	</w:t>
      </w:r>
      <w:r>
        <w:rPr>
          <w:rFonts w:ascii="Times New Roman" w:hAnsi="Times New Roman" w:eastAsia="Times New Roman"/>
          <w:b w:val="true"/>
          <w:color w:val="000000"/>
          <w:spacing w:val="0"/>
          <w:w w:val="100"/>
          <w:sz w:val="20"/>
          <w:vertAlign w:val="baseline"/>
          <w:lang w:val="en-US"/>
        </w:rPr>
        <w:t xml:space="preserve">GENERAL	</w:t>
      </w:r>
      <w:r>
        <w:rPr>
          <w:rFonts w:ascii="Times New Roman" w:hAnsi="Times New Roman" w:eastAsia="Times New Roman"/>
          <w:b w:val="true"/>
          <w:color w:val="000000"/>
          <w:spacing w:val="0"/>
          <w:w w:val="100"/>
          <w:sz w:val="20"/>
          <w:vertAlign w:val="baseline"/>
          <w:lang w:val="en-US"/>
        </w:rPr>
        <w:t xml:space="preserve">416</w:t>
      </w:r>
    </w:p>
    <w:p>
      <w:pPr>
        <w:tabs>
          <w:tab w:val="left" w:leader="none" w:pos="7272"/>
        </w:tabs>
        <w:spacing w:before="242" w:after="0" w:line="228"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11.1 REVIEW OF DECISIONS UNDER THESE REGULATIONS	</w:t>
      </w:r>
      <w:r>
        <w:rPr>
          <w:rFonts w:ascii="Times New Roman" w:hAnsi="Times New Roman" w:eastAsia="Times New Roman"/>
          <w:b w:val="true"/>
          <w:color w:val="000000"/>
          <w:spacing w:val="0"/>
          <w:w w:val="100"/>
          <w:sz w:val="20"/>
          <w:vertAlign w:val="baseline"/>
          <w:lang w:val="en-US"/>
        </w:rPr>
        <w:t xml:space="preserve">416</w:t>
      </w:r>
    </w:p>
    <w:p>
      <w:pPr>
        <w:tabs>
          <w:tab w:val="left" w:leader="none" w:pos="1368"/>
          <w:tab w:val="left" w:leader="none" w:pos="7272"/>
        </w:tabs>
        <w:spacing w:before="123" w:after="0" w:line="228"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1	</w:t>
      </w:r>
      <w:r>
        <w:rPr>
          <w:rFonts w:ascii="Times New Roman" w:hAnsi="Times New Roman" w:eastAsia="Times New Roman"/>
          <w:b w:val="true"/>
          <w:color w:val="000000"/>
          <w:spacing w:val="0"/>
          <w:w w:val="100"/>
          <w:sz w:val="20"/>
          <w:vertAlign w:val="baseline"/>
          <w:lang w:val="en-US"/>
        </w:rPr>
        <w:t xml:space="preserve">Reviewable decisions	</w:t>
      </w:r>
      <w:r>
        <w:rPr>
          <w:rFonts w:ascii="Times New Roman" w:hAnsi="Times New Roman" w:eastAsia="Times New Roman"/>
          <w:b w:val="true"/>
          <w:color w:val="000000"/>
          <w:spacing w:val="0"/>
          <w:w w:val="100"/>
          <w:sz w:val="20"/>
          <w:vertAlign w:val="baseline"/>
          <w:lang w:val="en-US"/>
        </w:rPr>
        <w:t xml:space="preserve">416</w:t>
      </w:r>
    </w:p>
    <w:p>
      <w:pPr>
        <w:tabs>
          <w:tab w:val="left" w:leader="none" w:pos="720"/>
          <w:tab w:val="left" w:leader="none" w:pos="7272"/>
        </w:tabs>
        <w:spacing w:before="118" w:after="0" w:line="230" w:lineRule="exact"/>
        <w:ind w:right="0" w:left="144"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676	</w:t>
      </w:r>
      <w:r>
        <w:rPr>
          <w:rFonts w:ascii="Times New Roman" w:hAnsi="Times New Roman" w:eastAsia="Times New Roman"/>
          <w:color w:val="000000"/>
          <w:spacing w:val="0"/>
          <w:w w:val="100"/>
          <w:sz w:val="20"/>
          <w:vertAlign w:val="baseline"/>
          <w:lang w:val="en-US"/>
        </w:rPr>
        <w:t xml:space="preserve">Which decisions under these Regulations are reviewable	</w:t>
      </w:r>
      <w:r>
        <w:rPr>
          <w:rFonts w:ascii="Times New Roman" w:hAnsi="Times New Roman" w:eastAsia="Times New Roman"/>
          <w:color w:val="000000"/>
          <w:spacing w:val="0"/>
          <w:w w:val="100"/>
          <w:sz w:val="20"/>
          <w:vertAlign w:val="baseline"/>
          <w:lang w:val="en-US"/>
        </w:rPr>
        <w:t xml:space="preserve">416</w:t>
      </w:r>
    </w:p>
    <w:p>
      <w:pPr>
        <w:tabs>
          <w:tab w:val="left" w:leader="none" w:pos="1368"/>
          <w:tab w:val="left" w:leader="none" w:pos="7272"/>
        </w:tabs>
        <w:spacing w:before="5" w:after="0" w:line="228"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2	</w:t>
      </w:r>
      <w:r>
        <w:rPr>
          <w:rFonts w:ascii="Times New Roman" w:hAnsi="Times New Roman" w:eastAsia="Times New Roman"/>
          <w:b w:val="true"/>
          <w:color w:val="000000"/>
          <w:spacing w:val="0"/>
          <w:w w:val="100"/>
          <w:sz w:val="20"/>
          <w:vertAlign w:val="baseline"/>
          <w:lang w:val="en-US"/>
        </w:rPr>
        <w:t xml:space="preserve">Internal review	</w:t>
      </w:r>
      <w:r>
        <w:rPr>
          <w:rFonts w:ascii="Times New Roman" w:hAnsi="Times New Roman" w:eastAsia="Times New Roman"/>
          <w:b w:val="true"/>
          <w:color w:val="000000"/>
          <w:spacing w:val="0"/>
          <w:w w:val="100"/>
          <w:sz w:val="20"/>
          <w:vertAlign w:val="baseline"/>
          <w:lang w:val="en-US"/>
        </w:rPr>
        <w:t xml:space="preserve">421</w:t>
      </w:r>
    </w:p>
    <w:p>
      <w:pPr>
        <w:tabs>
          <w:tab w:val="left" w:leader="none" w:pos="7272"/>
        </w:tabs>
        <w:spacing w:before="118" w:after="0" w:line="230" w:lineRule="exact"/>
        <w:ind w:right="0" w:left="144"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677 Application	</w:t>
      </w:r>
      <w:r>
        <w:rPr>
          <w:rFonts w:ascii="Times New Roman" w:hAnsi="Times New Roman" w:eastAsia="Times New Roman"/>
          <w:color w:val="000000"/>
          <w:spacing w:val="0"/>
          <w:w w:val="100"/>
          <w:sz w:val="20"/>
          <w:vertAlign w:val="baseline"/>
          <w:lang w:val="en-US"/>
        </w:rPr>
        <w:t xml:space="preserve">421</w:t>
      </w:r>
    </w:p>
    <w:p>
      <w:pPr>
        <w:tabs>
          <w:tab w:val="left" w:leader="none" w:pos="720"/>
          <w:tab w:val="left" w:leader="none" w:pos="7272"/>
        </w:tabs>
        <w:spacing w:before="0" w:after="0" w:line="230" w:lineRule="exact"/>
        <w:ind w:right="0" w:left="144"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678	</w:t>
      </w:r>
      <w:r>
        <w:rPr>
          <w:rFonts w:ascii="Times New Roman" w:hAnsi="Times New Roman" w:eastAsia="Times New Roman"/>
          <w:color w:val="000000"/>
          <w:spacing w:val="0"/>
          <w:w w:val="100"/>
          <w:sz w:val="20"/>
          <w:vertAlign w:val="baseline"/>
          <w:lang w:val="en-US"/>
        </w:rPr>
        <w:t xml:space="preserve">Application for internal review	</w:t>
      </w:r>
      <w:r>
        <w:rPr>
          <w:rFonts w:ascii="Times New Roman" w:hAnsi="Times New Roman" w:eastAsia="Times New Roman"/>
          <w:color w:val="000000"/>
          <w:spacing w:val="0"/>
          <w:w w:val="100"/>
          <w:sz w:val="20"/>
          <w:vertAlign w:val="baseline"/>
          <w:lang w:val="en-US"/>
        </w:rPr>
        <w:t xml:space="preserve">421</w:t>
      </w:r>
    </w:p>
    <w:p>
      <w:pPr>
        <w:tabs>
          <w:tab w:val="left" w:leader="none" w:pos="720"/>
          <w:tab w:val="left" w:leader="none" w:pos="7272"/>
        </w:tabs>
        <w:spacing w:before="1" w:after="0" w:line="230" w:lineRule="exact"/>
        <w:ind w:right="0" w:left="144"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679	</w:t>
      </w:r>
      <w:r>
        <w:rPr>
          <w:rFonts w:ascii="Times New Roman" w:hAnsi="Times New Roman" w:eastAsia="Times New Roman"/>
          <w:color w:val="000000"/>
          <w:spacing w:val="0"/>
          <w:w w:val="100"/>
          <w:sz w:val="20"/>
          <w:vertAlign w:val="baseline"/>
          <w:lang w:val="en-US"/>
        </w:rPr>
        <w:t xml:space="preserve">Internal reviewer	</w:t>
      </w:r>
      <w:r>
        <w:rPr>
          <w:rFonts w:ascii="Times New Roman" w:hAnsi="Times New Roman" w:eastAsia="Times New Roman"/>
          <w:color w:val="000000"/>
          <w:spacing w:val="0"/>
          <w:w w:val="100"/>
          <w:sz w:val="20"/>
          <w:vertAlign w:val="baseline"/>
          <w:lang w:val="en-US"/>
        </w:rPr>
        <w:t xml:space="preserve">421</w:t>
      </w:r>
    </w:p>
    <w:p>
      <w:pPr>
        <w:tabs>
          <w:tab w:val="left" w:leader="none" w:pos="720"/>
          <w:tab w:val="left" w:leader="none" w:pos="7272"/>
        </w:tabs>
        <w:spacing w:before="0" w:after="0" w:line="225" w:lineRule="exact"/>
        <w:ind w:right="0" w:left="144"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680	</w:t>
      </w:r>
      <w:r>
        <w:rPr>
          <w:rFonts w:ascii="Times New Roman" w:hAnsi="Times New Roman" w:eastAsia="Times New Roman"/>
          <w:color w:val="000000"/>
          <w:spacing w:val="0"/>
          <w:w w:val="100"/>
          <w:sz w:val="20"/>
          <w:vertAlign w:val="baseline"/>
          <w:lang w:val="en-US"/>
        </w:rPr>
        <w:t xml:space="preserve">Decision of internal reviewer	</w:t>
      </w:r>
      <w:r>
        <w:rPr>
          <w:rFonts w:ascii="Times New Roman" w:hAnsi="Times New Roman" w:eastAsia="Times New Roman"/>
          <w:color w:val="000000"/>
          <w:spacing w:val="0"/>
          <w:w w:val="100"/>
          <w:sz w:val="20"/>
          <w:vertAlign w:val="baseline"/>
          <w:lang w:val="en-US"/>
        </w:rPr>
        <w:t xml:space="preserve">421</w:t>
      </w:r>
    </w:p>
    <w:p>
      <w:pPr>
        <w:tabs>
          <w:tab w:val="left" w:leader="none" w:pos="720"/>
          <w:tab w:val="left" w:leader="none" w:pos="7272"/>
        </w:tabs>
        <w:spacing w:before="1" w:after="0" w:line="230" w:lineRule="exact"/>
        <w:ind w:right="0" w:left="144"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681	</w:t>
      </w:r>
      <w:r>
        <w:rPr>
          <w:rFonts w:ascii="Times New Roman" w:hAnsi="Times New Roman" w:eastAsia="Times New Roman"/>
          <w:color w:val="000000"/>
          <w:spacing w:val="0"/>
          <w:w w:val="100"/>
          <w:sz w:val="20"/>
          <w:vertAlign w:val="baseline"/>
          <w:lang w:val="en-US"/>
        </w:rPr>
        <w:t xml:space="preserve">Decision on internal review	</w:t>
      </w:r>
      <w:r>
        <w:rPr>
          <w:rFonts w:ascii="Times New Roman" w:hAnsi="Times New Roman" w:eastAsia="Times New Roman"/>
          <w:color w:val="000000"/>
          <w:spacing w:val="0"/>
          <w:w w:val="100"/>
          <w:sz w:val="20"/>
          <w:vertAlign w:val="baseline"/>
          <w:lang w:val="en-US"/>
        </w:rPr>
        <w:t xml:space="preserve">422</w:t>
      </w:r>
    </w:p>
    <w:p>
      <w:pPr>
        <w:tabs>
          <w:tab w:val="left" w:leader="none" w:pos="720"/>
          <w:tab w:val="left" w:leader="none" w:pos="7272"/>
        </w:tabs>
        <w:spacing w:before="0" w:after="0" w:line="230" w:lineRule="exact"/>
        <w:ind w:right="0" w:left="144"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682	</w:t>
      </w:r>
      <w:r>
        <w:rPr>
          <w:rFonts w:ascii="Times New Roman" w:hAnsi="Times New Roman" w:eastAsia="Times New Roman"/>
          <w:color w:val="000000"/>
          <w:spacing w:val="0"/>
          <w:w w:val="100"/>
          <w:sz w:val="20"/>
          <w:vertAlign w:val="baseline"/>
          <w:lang w:val="en-US"/>
        </w:rPr>
        <w:t xml:space="preserve">Internal review—reviewable decision continues	</w:t>
      </w:r>
      <w:r>
        <w:rPr>
          <w:rFonts w:ascii="Times New Roman" w:hAnsi="Times New Roman" w:eastAsia="Times New Roman"/>
          <w:color w:val="000000"/>
          <w:spacing w:val="0"/>
          <w:w w:val="100"/>
          <w:sz w:val="20"/>
          <w:vertAlign w:val="baseline"/>
          <w:lang w:val="en-US"/>
        </w:rPr>
        <w:t xml:space="preserve">422</w:t>
      </w:r>
    </w:p>
    <w:p>
      <w:pPr>
        <w:tabs>
          <w:tab w:val="left" w:leader="none" w:pos="1368"/>
          <w:tab w:val="left" w:leader="none" w:pos="7272"/>
        </w:tabs>
        <w:spacing w:before="5" w:after="0" w:line="228"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3	</w:t>
      </w:r>
      <w:r>
        <w:rPr>
          <w:rFonts w:ascii="Times New Roman" w:hAnsi="Times New Roman" w:eastAsia="Times New Roman"/>
          <w:b w:val="true"/>
          <w:color w:val="000000"/>
          <w:spacing w:val="0"/>
          <w:w w:val="100"/>
          <w:sz w:val="20"/>
          <w:vertAlign w:val="baseline"/>
          <w:lang w:val="en-US"/>
        </w:rPr>
        <w:t xml:space="preserve">External review	</w:t>
      </w:r>
      <w:r>
        <w:rPr>
          <w:rFonts w:ascii="Times New Roman" w:hAnsi="Times New Roman" w:eastAsia="Times New Roman"/>
          <w:b w:val="true"/>
          <w:color w:val="000000"/>
          <w:spacing w:val="0"/>
          <w:w w:val="100"/>
          <w:sz w:val="20"/>
          <w:vertAlign w:val="baseline"/>
          <w:lang w:val="en-US"/>
        </w:rPr>
        <w:t xml:space="preserve">422</w:t>
      </w:r>
    </w:p>
    <w:p>
      <w:pPr>
        <w:tabs>
          <w:tab w:val="left" w:leader="none" w:pos="720"/>
          <w:tab w:val="left" w:leader="none" w:pos="7272"/>
        </w:tabs>
        <w:spacing w:before="118" w:after="0" w:line="230" w:lineRule="exact"/>
        <w:ind w:right="0" w:left="144"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683	</w:t>
      </w:r>
      <w:r>
        <w:rPr>
          <w:rFonts w:ascii="Times New Roman" w:hAnsi="Times New Roman" w:eastAsia="Times New Roman"/>
          <w:color w:val="000000"/>
          <w:spacing w:val="0"/>
          <w:w w:val="100"/>
          <w:sz w:val="20"/>
          <w:vertAlign w:val="baseline"/>
          <w:lang w:val="en-US"/>
        </w:rPr>
        <w:t xml:space="preserve">Application for external review	</w:t>
      </w:r>
      <w:r>
        <w:rPr>
          <w:rFonts w:ascii="Times New Roman" w:hAnsi="Times New Roman" w:eastAsia="Times New Roman"/>
          <w:color w:val="000000"/>
          <w:spacing w:val="0"/>
          <w:w w:val="100"/>
          <w:sz w:val="20"/>
          <w:vertAlign w:val="baseline"/>
          <w:lang w:val="en-US"/>
        </w:rPr>
        <w:t xml:space="preserve">422</w:t>
      </w:r>
    </w:p>
    <w:p>
      <w:pPr>
        <w:tabs>
          <w:tab w:val="left" w:leader="none" w:pos="7272"/>
        </w:tabs>
        <w:spacing w:before="244" w:after="0" w:line="228"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11.2 EXEMPTIONS	</w:t>
      </w:r>
      <w:r>
        <w:rPr>
          <w:rFonts w:ascii="Times New Roman" w:hAnsi="Times New Roman" w:eastAsia="Times New Roman"/>
          <w:b w:val="true"/>
          <w:color w:val="000000"/>
          <w:spacing w:val="0"/>
          <w:w w:val="100"/>
          <w:sz w:val="20"/>
          <w:vertAlign w:val="baseline"/>
          <w:lang w:val="en-US"/>
        </w:rPr>
        <w:t xml:space="preserve">424</w:t>
      </w:r>
    </w:p>
    <w:p>
      <w:pPr>
        <w:tabs>
          <w:tab w:val="left" w:leader="none" w:pos="1368"/>
          <w:tab w:val="left" w:leader="none" w:pos="7272"/>
        </w:tabs>
        <w:spacing w:before="123" w:after="0" w:line="228"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1	</w:t>
      </w:r>
      <w:r>
        <w:rPr>
          <w:rFonts w:ascii="Times New Roman" w:hAnsi="Times New Roman" w:eastAsia="Times New Roman"/>
          <w:b w:val="true"/>
          <w:color w:val="000000"/>
          <w:spacing w:val="0"/>
          <w:w w:val="100"/>
          <w:sz w:val="20"/>
          <w:vertAlign w:val="baseline"/>
          <w:lang w:val="en-US"/>
        </w:rPr>
        <w:t xml:space="preserve">General	</w:t>
      </w:r>
      <w:r>
        <w:rPr>
          <w:rFonts w:ascii="Times New Roman" w:hAnsi="Times New Roman" w:eastAsia="Times New Roman"/>
          <w:b w:val="true"/>
          <w:color w:val="000000"/>
          <w:spacing w:val="0"/>
          <w:w w:val="100"/>
          <w:sz w:val="20"/>
          <w:vertAlign w:val="baseline"/>
          <w:lang w:val="en-US"/>
        </w:rPr>
        <w:t xml:space="preserve">424</w:t>
      </w:r>
    </w:p>
    <w:p>
      <w:pPr>
        <w:tabs>
          <w:tab w:val="left" w:leader="none" w:pos="720"/>
          <w:tab w:val="left" w:leader="none" w:pos="7272"/>
        </w:tabs>
        <w:spacing w:before="118" w:after="0" w:line="230" w:lineRule="exact"/>
        <w:ind w:right="0" w:left="144"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684	</w:t>
      </w:r>
      <w:r>
        <w:rPr>
          <w:rFonts w:ascii="Times New Roman" w:hAnsi="Times New Roman" w:eastAsia="Times New Roman"/>
          <w:color w:val="000000"/>
          <w:spacing w:val="0"/>
          <w:w w:val="100"/>
          <w:sz w:val="20"/>
          <w:vertAlign w:val="baseline"/>
          <w:lang w:val="en-US"/>
        </w:rPr>
        <w:t xml:space="preserve">General power to grant exemptions	</w:t>
      </w:r>
      <w:r>
        <w:rPr>
          <w:rFonts w:ascii="Times New Roman" w:hAnsi="Times New Roman" w:eastAsia="Times New Roman"/>
          <w:color w:val="000000"/>
          <w:spacing w:val="0"/>
          <w:w w:val="100"/>
          <w:sz w:val="20"/>
          <w:vertAlign w:val="baseline"/>
          <w:lang w:val="en-US"/>
        </w:rPr>
        <w:t xml:space="preserve">424</w:t>
      </w:r>
    </w:p>
    <w:p>
      <w:pPr>
        <w:tabs>
          <w:tab w:val="left" w:leader="none" w:pos="720"/>
          <w:tab w:val="left" w:leader="none" w:pos="7272"/>
        </w:tabs>
        <w:spacing w:before="1" w:after="0" w:line="230" w:lineRule="exact"/>
        <w:ind w:right="0" w:left="144"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685	</w:t>
      </w:r>
      <w:r>
        <w:rPr>
          <w:rFonts w:ascii="Times New Roman" w:hAnsi="Times New Roman" w:eastAsia="Times New Roman"/>
          <w:color w:val="000000"/>
          <w:spacing w:val="0"/>
          <w:w w:val="100"/>
          <w:sz w:val="20"/>
          <w:vertAlign w:val="baseline"/>
          <w:lang w:val="en-US"/>
        </w:rPr>
        <w:t xml:space="preserve">Matters to be considered in granting exemptions	</w:t>
      </w:r>
      <w:r>
        <w:rPr>
          <w:rFonts w:ascii="Times New Roman" w:hAnsi="Times New Roman" w:eastAsia="Times New Roman"/>
          <w:color w:val="000000"/>
          <w:spacing w:val="0"/>
          <w:w w:val="100"/>
          <w:sz w:val="20"/>
          <w:vertAlign w:val="baseline"/>
          <w:lang w:val="en-US"/>
        </w:rPr>
        <w:t xml:space="preserve">424</w:t>
      </w:r>
    </w:p>
    <w:p>
      <w:pPr>
        <w:tabs>
          <w:tab w:val="left" w:leader="none" w:pos="1368"/>
          <w:tab w:val="left" w:leader="none" w:pos="7272"/>
        </w:tabs>
        <w:spacing w:before="4" w:after="0" w:line="228"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2	</w:t>
      </w:r>
      <w:r>
        <w:rPr>
          <w:rFonts w:ascii="Times New Roman" w:hAnsi="Times New Roman" w:eastAsia="Times New Roman"/>
          <w:b w:val="true"/>
          <w:color w:val="000000"/>
          <w:spacing w:val="0"/>
          <w:w w:val="100"/>
          <w:sz w:val="20"/>
          <w:vertAlign w:val="baseline"/>
          <w:lang w:val="en-US"/>
        </w:rPr>
        <w:t xml:space="preserve">High risk work licences	</w:t>
      </w:r>
      <w:r>
        <w:rPr>
          <w:rFonts w:ascii="Times New Roman" w:hAnsi="Times New Roman" w:eastAsia="Times New Roman"/>
          <w:b w:val="true"/>
          <w:color w:val="000000"/>
          <w:spacing w:val="0"/>
          <w:w w:val="100"/>
          <w:sz w:val="20"/>
          <w:vertAlign w:val="baseline"/>
          <w:lang w:val="en-US"/>
        </w:rPr>
        <w:t xml:space="preserve">425</w:t>
      </w:r>
    </w:p>
    <w:p>
      <w:pPr>
        <w:tabs>
          <w:tab w:val="left" w:leader="none" w:pos="720"/>
          <w:tab w:val="left" w:leader="none" w:pos="7272"/>
        </w:tabs>
        <w:spacing w:before="118" w:after="0" w:line="230" w:lineRule="exact"/>
        <w:ind w:right="0" w:left="144"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686	</w:t>
      </w:r>
      <w:r>
        <w:rPr>
          <w:rFonts w:ascii="Times New Roman" w:hAnsi="Times New Roman" w:eastAsia="Times New Roman"/>
          <w:color w:val="000000"/>
          <w:spacing w:val="0"/>
          <w:w w:val="100"/>
          <w:sz w:val="20"/>
          <w:vertAlign w:val="baseline"/>
          <w:lang w:val="en-US"/>
        </w:rPr>
        <w:t xml:space="preserve">High risk work licence—exemption	</w:t>
      </w:r>
      <w:r>
        <w:rPr>
          <w:rFonts w:ascii="Times New Roman" w:hAnsi="Times New Roman" w:eastAsia="Times New Roman"/>
          <w:color w:val="000000"/>
          <w:spacing w:val="0"/>
          <w:w w:val="100"/>
          <w:sz w:val="20"/>
          <w:vertAlign w:val="baseline"/>
          <w:lang w:val="en-US"/>
        </w:rPr>
        <w:t xml:space="preserve">425</w:t>
      </w:r>
    </w:p>
    <w:p>
      <w:pPr>
        <w:tabs>
          <w:tab w:val="left" w:leader="none" w:pos="720"/>
          <w:tab w:val="left" w:leader="none" w:pos="7272"/>
        </w:tabs>
        <w:spacing w:before="0" w:after="0" w:line="226" w:lineRule="exact"/>
        <w:ind w:right="0" w:left="144"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687	</w:t>
      </w:r>
      <w:r>
        <w:rPr>
          <w:rFonts w:ascii="Times New Roman" w:hAnsi="Times New Roman" w:eastAsia="Times New Roman"/>
          <w:color w:val="000000"/>
          <w:spacing w:val="0"/>
          <w:w w:val="100"/>
          <w:sz w:val="20"/>
          <w:vertAlign w:val="baseline"/>
          <w:lang w:val="en-US"/>
        </w:rPr>
        <w:t xml:space="preserve">High risk work licence—regulator to be satisfied about certain matters	</w:t>
      </w:r>
      <w:r>
        <w:rPr>
          <w:rFonts w:ascii="Times New Roman" w:hAnsi="Times New Roman" w:eastAsia="Times New Roman"/>
          <w:color w:val="000000"/>
          <w:spacing w:val="0"/>
          <w:w w:val="100"/>
          <w:sz w:val="20"/>
          <w:vertAlign w:val="baseline"/>
          <w:lang w:val="en-US"/>
        </w:rPr>
        <w:t xml:space="preserve">425</w:t>
      </w:r>
    </w:p>
    <w:p>
      <w:pPr>
        <w:tabs>
          <w:tab w:val="left" w:leader="none" w:pos="1368"/>
          <w:tab w:val="left" w:leader="none" w:pos="7272"/>
        </w:tabs>
        <w:spacing w:before="4" w:after="0" w:line="228"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3	</w:t>
      </w:r>
      <w:r>
        <w:rPr>
          <w:rFonts w:ascii="Times New Roman" w:hAnsi="Times New Roman" w:eastAsia="Times New Roman"/>
          <w:b w:val="true"/>
          <w:color w:val="000000"/>
          <w:spacing w:val="0"/>
          <w:w w:val="100"/>
          <w:sz w:val="20"/>
          <w:vertAlign w:val="baseline"/>
          <w:lang w:val="en-US"/>
        </w:rPr>
        <w:t xml:space="preserve">Major hazard facilities	</w:t>
      </w:r>
      <w:r>
        <w:rPr>
          <w:rFonts w:ascii="Times New Roman" w:hAnsi="Times New Roman" w:eastAsia="Times New Roman"/>
          <w:b w:val="true"/>
          <w:color w:val="000000"/>
          <w:spacing w:val="0"/>
          <w:w w:val="100"/>
          <w:sz w:val="20"/>
          <w:vertAlign w:val="baseline"/>
          <w:lang w:val="en-US"/>
        </w:rPr>
        <w:t xml:space="preserve">425</w:t>
      </w:r>
    </w:p>
    <w:p>
      <w:pPr>
        <w:tabs>
          <w:tab w:val="left" w:leader="none" w:pos="720"/>
          <w:tab w:val="left" w:leader="none" w:pos="7272"/>
        </w:tabs>
        <w:spacing w:before="119" w:after="0" w:line="230" w:lineRule="exact"/>
        <w:ind w:right="0" w:left="144"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688	</w:t>
      </w:r>
      <w:r>
        <w:rPr>
          <w:rFonts w:ascii="Times New Roman" w:hAnsi="Times New Roman" w:eastAsia="Times New Roman"/>
          <w:color w:val="000000"/>
          <w:spacing w:val="0"/>
          <w:w w:val="100"/>
          <w:sz w:val="20"/>
          <w:vertAlign w:val="baseline"/>
          <w:lang w:val="en-US"/>
        </w:rPr>
        <w:t xml:space="preserve">Major hazard facility—exemption	</w:t>
      </w:r>
      <w:r>
        <w:rPr>
          <w:rFonts w:ascii="Times New Roman" w:hAnsi="Times New Roman" w:eastAsia="Times New Roman"/>
          <w:color w:val="000000"/>
          <w:spacing w:val="0"/>
          <w:w w:val="100"/>
          <w:sz w:val="20"/>
          <w:vertAlign w:val="baseline"/>
          <w:lang w:val="en-US"/>
        </w:rPr>
        <w:t xml:space="preserve">425</w:t>
      </w:r>
    </w:p>
    <w:p>
      <w:pPr>
        <w:tabs>
          <w:tab w:val="left" w:leader="none" w:pos="720"/>
          <w:tab w:val="left" w:leader="none" w:pos="7272"/>
        </w:tabs>
        <w:spacing w:before="0" w:after="0" w:line="230" w:lineRule="exact"/>
        <w:ind w:right="0" w:left="144"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689	</w:t>
      </w:r>
      <w:r>
        <w:rPr>
          <w:rFonts w:ascii="Times New Roman" w:hAnsi="Times New Roman" w:eastAsia="Times New Roman"/>
          <w:color w:val="000000"/>
          <w:spacing w:val="0"/>
          <w:w w:val="100"/>
          <w:sz w:val="20"/>
          <w:vertAlign w:val="baseline"/>
          <w:lang w:val="en-US"/>
        </w:rPr>
        <w:t xml:space="preserve">Major hazard facility—regulator to be satisfied about certain matters	</w:t>
      </w:r>
      <w:r>
        <w:rPr>
          <w:rFonts w:ascii="Times New Roman" w:hAnsi="Times New Roman" w:eastAsia="Times New Roman"/>
          <w:color w:val="000000"/>
          <w:spacing w:val="0"/>
          <w:w w:val="100"/>
          <w:sz w:val="20"/>
          <w:vertAlign w:val="baseline"/>
          <w:lang w:val="en-US"/>
        </w:rPr>
        <w:t xml:space="preserve">426</w:t>
      </w:r>
    </w:p>
    <w:p>
      <w:pPr>
        <w:tabs>
          <w:tab w:val="left" w:leader="none" w:pos="1368"/>
          <w:tab w:val="left" w:leader="none" w:pos="7272"/>
        </w:tabs>
        <w:spacing w:before="5" w:after="0" w:line="228"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Division 4	</w:t>
      </w:r>
      <w:r>
        <w:rPr>
          <w:rFonts w:ascii="Times New Roman" w:hAnsi="Times New Roman" w:eastAsia="Times New Roman"/>
          <w:b w:val="true"/>
          <w:color w:val="000000"/>
          <w:spacing w:val="0"/>
          <w:w w:val="100"/>
          <w:sz w:val="20"/>
          <w:vertAlign w:val="baseline"/>
          <w:lang w:val="en-US"/>
        </w:rPr>
        <w:t xml:space="preserve">Exemption process	</w:t>
      </w:r>
      <w:r>
        <w:rPr>
          <w:rFonts w:ascii="Times New Roman" w:hAnsi="Times New Roman" w:eastAsia="Times New Roman"/>
          <w:b w:val="true"/>
          <w:color w:val="000000"/>
          <w:spacing w:val="0"/>
          <w:w w:val="100"/>
          <w:sz w:val="20"/>
          <w:vertAlign w:val="baseline"/>
          <w:lang w:val="en-US"/>
        </w:rPr>
        <w:t xml:space="preserve">426</w:t>
      </w:r>
    </w:p>
    <w:p>
      <w:pPr>
        <w:tabs>
          <w:tab w:val="left" w:leader="none" w:pos="720"/>
          <w:tab w:val="left" w:leader="none" w:pos="7272"/>
        </w:tabs>
        <w:spacing w:before="118" w:after="0" w:line="230" w:lineRule="exact"/>
        <w:ind w:right="0" w:left="144"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690	</w:t>
      </w:r>
      <w:r>
        <w:rPr>
          <w:rFonts w:ascii="Times New Roman" w:hAnsi="Times New Roman" w:eastAsia="Times New Roman"/>
          <w:color w:val="000000"/>
          <w:spacing w:val="0"/>
          <w:w w:val="100"/>
          <w:sz w:val="20"/>
          <w:vertAlign w:val="baseline"/>
          <w:lang w:val="en-US"/>
        </w:rPr>
        <w:t xml:space="preserve">Application for exemption	</w:t>
      </w:r>
      <w:r>
        <w:rPr>
          <w:rFonts w:ascii="Times New Roman" w:hAnsi="Times New Roman" w:eastAsia="Times New Roman"/>
          <w:color w:val="000000"/>
          <w:spacing w:val="0"/>
          <w:w w:val="100"/>
          <w:sz w:val="20"/>
          <w:vertAlign w:val="baseline"/>
          <w:lang w:val="en-US"/>
        </w:rPr>
        <w:t xml:space="preserve">426</w:t>
      </w:r>
    </w:p>
    <w:p>
      <w:pPr>
        <w:tabs>
          <w:tab w:val="left" w:leader="none" w:pos="720"/>
          <w:tab w:val="left" w:leader="none" w:pos="7272"/>
        </w:tabs>
        <w:spacing w:before="0" w:after="0" w:line="230" w:lineRule="exact"/>
        <w:ind w:right="0" w:left="144"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691	</w:t>
      </w:r>
      <w:r>
        <w:rPr>
          <w:rFonts w:ascii="Times New Roman" w:hAnsi="Times New Roman" w:eastAsia="Times New Roman"/>
          <w:color w:val="000000"/>
          <w:spacing w:val="0"/>
          <w:w w:val="100"/>
          <w:sz w:val="20"/>
          <w:vertAlign w:val="baseline"/>
          <w:lang w:val="en-US"/>
        </w:rPr>
        <w:t xml:space="preserve">Conditions of exemption	</w:t>
      </w:r>
      <w:r>
        <w:rPr>
          <w:rFonts w:ascii="Times New Roman" w:hAnsi="Times New Roman" w:eastAsia="Times New Roman"/>
          <w:color w:val="000000"/>
          <w:spacing w:val="0"/>
          <w:w w:val="100"/>
          <w:sz w:val="20"/>
          <w:vertAlign w:val="baseline"/>
          <w:lang w:val="en-US"/>
        </w:rPr>
        <w:t xml:space="preserve">427</w:t>
      </w:r>
    </w:p>
    <w:p>
      <w:pPr>
        <w:tabs>
          <w:tab w:val="left" w:leader="none" w:pos="720"/>
          <w:tab w:val="left" w:leader="none" w:pos="7272"/>
        </w:tabs>
        <w:spacing w:before="1" w:after="0" w:line="230" w:lineRule="exact"/>
        <w:ind w:right="0" w:left="144"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692	</w:t>
      </w:r>
      <w:r>
        <w:rPr>
          <w:rFonts w:ascii="Times New Roman" w:hAnsi="Times New Roman" w:eastAsia="Times New Roman"/>
          <w:color w:val="000000"/>
          <w:spacing w:val="0"/>
          <w:w w:val="100"/>
          <w:sz w:val="20"/>
          <w:vertAlign w:val="baseline"/>
          <w:lang w:val="en-US"/>
        </w:rPr>
        <w:t xml:space="preserve">Form of exemption document	</w:t>
      </w:r>
      <w:r>
        <w:rPr>
          <w:rFonts w:ascii="Times New Roman" w:hAnsi="Times New Roman" w:eastAsia="Times New Roman"/>
          <w:color w:val="000000"/>
          <w:spacing w:val="0"/>
          <w:w w:val="100"/>
          <w:sz w:val="20"/>
          <w:vertAlign w:val="baseline"/>
          <w:lang w:val="en-US"/>
        </w:rPr>
        <w:t xml:space="preserve">427</w:t>
      </w:r>
    </w:p>
    <w:p>
      <w:pPr>
        <w:tabs>
          <w:tab w:val="left" w:leader="none" w:pos="720"/>
          <w:tab w:val="left" w:leader="none" w:pos="7272"/>
        </w:tabs>
        <w:spacing w:before="0" w:after="0" w:line="230" w:lineRule="exact"/>
        <w:ind w:right="0" w:left="144"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693	</w:t>
      </w:r>
      <w:r>
        <w:rPr>
          <w:rFonts w:ascii="Times New Roman" w:hAnsi="Times New Roman" w:eastAsia="Times New Roman"/>
          <w:color w:val="000000"/>
          <w:spacing w:val="0"/>
          <w:w w:val="100"/>
          <w:sz w:val="20"/>
          <w:vertAlign w:val="baseline"/>
          <w:lang w:val="en-US"/>
        </w:rPr>
        <w:t xml:space="preserve">Compliance with conditions of exemption	</w:t>
      </w:r>
      <w:r>
        <w:rPr>
          <w:rFonts w:ascii="Times New Roman" w:hAnsi="Times New Roman" w:eastAsia="Times New Roman"/>
          <w:color w:val="000000"/>
          <w:spacing w:val="0"/>
          <w:w w:val="100"/>
          <w:sz w:val="20"/>
          <w:vertAlign w:val="baseline"/>
          <w:lang w:val="en-US"/>
        </w:rPr>
        <w:t xml:space="preserve">427</w:t>
      </w:r>
    </w:p>
    <w:p>
      <w:pPr>
        <w:tabs>
          <w:tab w:val="left" w:leader="none" w:pos="720"/>
          <w:tab w:val="left" w:leader="none" w:pos="7272"/>
        </w:tabs>
        <w:spacing w:before="1" w:after="0" w:line="230" w:lineRule="exact"/>
        <w:ind w:right="0" w:left="144"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694	</w:t>
      </w:r>
      <w:r>
        <w:rPr>
          <w:rFonts w:ascii="Times New Roman" w:hAnsi="Times New Roman" w:eastAsia="Times New Roman"/>
          <w:color w:val="000000"/>
          <w:spacing w:val="0"/>
          <w:w w:val="100"/>
          <w:sz w:val="20"/>
          <w:vertAlign w:val="baseline"/>
          <w:lang w:val="en-US"/>
        </w:rPr>
        <w:t xml:space="preserve">Notice of decision in relation to exemption	</w:t>
      </w:r>
      <w:r>
        <w:rPr>
          <w:rFonts w:ascii="Times New Roman" w:hAnsi="Times New Roman" w:eastAsia="Times New Roman"/>
          <w:color w:val="000000"/>
          <w:spacing w:val="0"/>
          <w:w w:val="100"/>
          <w:sz w:val="20"/>
          <w:vertAlign w:val="baseline"/>
          <w:lang w:val="en-US"/>
        </w:rPr>
        <w:t xml:space="preserve">428</w:t>
      </w:r>
    </w:p>
    <w:p>
      <w:pPr>
        <w:tabs>
          <w:tab w:val="left" w:leader="none" w:pos="720"/>
          <w:tab w:val="left" w:leader="none" w:pos="7272"/>
        </w:tabs>
        <w:spacing w:before="0" w:after="0" w:line="230" w:lineRule="exact"/>
        <w:ind w:right="0" w:left="144"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695	</w:t>
      </w:r>
      <w:r>
        <w:rPr>
          <w:rFonts w:ascii="Times New Roman" w:hAnsi="Times New Roman" w:eastAsia="Times New Roman"/>
          <w:color w:val="000000"/>
          <w:spacing w:val="0"/>
          <w:w w:val="100"/>
          <w:sz w:val="20"/>
          <w:vertAlign w:val="baseline"/>
          <w:lang w:val="en-US"/>
        </w:rPr>
        <w:t xml:space="preserve">Publication of notice of exemption	</w:t>
      </w:r>
      <w:r>
        <w:rPr>
          <w:rFonts w:ascii="Times New Roman" w:hAnsi="Times New Roman" w:eastAsia="Times New Roman"/>
          <w:color w:val="000000"/>
          <w:spacing w:val="0"/>
          <w:w w:val="100"/>
          <w:sz w:val="20"/>
          <w:vertAlign w:val="baseline"/>
          <w:lang w:val="en-US"/>
        </w:rPr>
        <w:t xml:space="preserve">428</w:t>
      </w:r>
    </w:p>
    <w:p>
      <w:pPr>
        <w:tabs>
          <w:tab w:val="left" w:leader="none" w:pos="720"/>
          <w:tab w:val="left" w:leader="none" w:pos="7272"/>
        </w:tabs>
        <w:spacing w:before="0" w:after="0" w:line="230" w:lineRule="exact"/>
        <w:ind w:right="0" w:left="144"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696	</w:t>
      </w:r>
      <w:r>
        <w:rPr>
          <w:rFonts w:ascii="Times New Roman" w:hAnsi="Times New Roman" w:eastAsia="Times New Roman"/>
          <w:color w:val="000000"/>
          <w:spacing w:val="0"/>
          <w:w w:val="100"/>
          <w:sz w:val="20"/>
          <w:vertAlign w:val="baseline"/>
          <w:lang w:val="en-US"/>
        </w:rPr>
        <w:t xml:space="preserve">Notice of refusal of exemption	</w:t>
      </w:r>
      <w:r>
        <w:rPr>
          <w:rFonts w:ascii="Times New Roman" w:hAnsi="Times New Roman" w:eastAsia="Times New Roman"/>
          <w:color w:val="000000"/>
          <w:spacing w:val="0"/>
          <w:w w:val="100"/>
          <w:sz w:val="20"/>
          <w:vertAlign w:val="baseline"/>
          <w:lang w:val="en-US"/>
        </w:rPr>
        <w:t xml:space="preserve">428</w:t>
      </w:r>
    </w:p>
    <w:p>
      <w:pPr>
        <w:tabs>
          <w:tab w:val="left" w:leader="none" w:pos="720"/>
          <w:tab w:val="left" w:leader="none" w:pos="7272"/>
        </w:tabs>
        <w:spacing w:before="0" w:after="0" w:line="226" w:lineRule="exact"/>
        <w:ind w:right="0" w:left="144"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697	</w:t>
      </w:r>
      <w:r>
        <w:rPr>
          <w:rFonts w:ascii="Times New Roman" w:hAnsi="Times New Roman" w:eastAsia="Times New Roman"/>
          <w:color w:val="000000"/>
          <w:spacing w:val="0"/>
          <w:w w:val="100"/>
          <w:sz w:val="20"/>
          <w:vertAlign w:val="baseline"/>
          <w:lang w:val="en-US"/>
        </w:rPr>
        <w:t xml:space="preserve">Amendment or cancellation of exemption	</w:t>
      </w:r>
      <w:r>
        <w:rPr>
          <w:rFonts w:ascii="Times New Roman" w:hAnsi="Times New Roman" w:eastAsia="Times New Roman"/>
          <w:color w:val="000000"/>
          <w:spacing w:val="0"/>
          <w:w w:val="100"/>
          <w:sz w:val="20"/>
          <w:vertAlign w:val="baseline"/>
          <w:lang w:val="en-US"/>
        </w:rPr>
        <w:t xml:space="preserve">428</w:t>
      </w:r>
    </w:p>
    <w:p>
      <w:pPr>
        <w:tabs>
          <w:tab w:val="left" w:leader="none" w:pos="720"/>
          <w:tab w:val="left" w:leader="none" w:pos="7272"/>
        </w:tabs>
        <w:spacing w:before="0" w:after="0" w:line="230" w:lineRule="exact"/>
        <w:ind w:right="0" w:left="144"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698	</w:t>
      </w:r>
      <w:r>
        <w:rPr>
          <w:rFonts w:ascii="Times New Roman" w:hAnsi="Times New Roman" w:eastAsia="Times New Roman"/>
          <w:color w:val="000000"/>
          <w:spacing w:val="0"/>
          <w:w w:val="100"/>
          <w:sz w:val="20"/>
          <w:vertAlign w:val="baseline"/>
          <w:lang w:val="en-US"/>
        </w:rPr>
        <w:t xml:space="preserve">Notice of amendment or cancellation	</w:t>
      </w:r>
      <w:r>
        <w:rPr>
          <w:rFonts w:ascii="Times New Roman" w:hAnsi="Times New Roman" w:eastAsia="Times New Roman"/>
          <w:color w:val="000000"/>
          <w:spacing w:val="0"/>
          <w:w w:val="100"/>
          <w:sz w:val="20"/>
          <w:vertAlign w:val="baseline"/>
          <w:lang w:val="en-US"/>
        </w:rPr>
        <w:t xml:space="preserve">428</w:t>
      </w:r>
    </w:p>
    <w:p>
      <w:pPr>
        <w:tabs>
          <w:tab w:val="left" w:leader="none" w:pos="7272"/>
        </w:tabs>
        <w:spacing w:before="245" w:after="0" w:line="228" w:lineRule="exact"/>
        <w:ind w:right="0" w:left="0" w:firstLine="0"/>
        <w:jc w:val="both"/>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11.3 MISCELLANEOUS	</w:t>
      </w:r>
      <w:r>
        <w:rPr>
          <w:rFonts w:ascii="Times New Roman" w:hAnsi="Times New Roman" w:eastAsia="Times New Roman"/>
          <w:b w:val="true"/>
          <w:color w:val="000000"/>
          <w:spacing w:val="0"/>
          <w:w w:val="100"/>
          <w:sz w:val="20"/>
          <w:vertAlign w:val="baseline"/>
          <w:lang w:val="en-US"/>
        </w:rPr>
        <w:t xml:space="preserve">430</w:t>
      </w:r>
    </w:p>
    <w:p>
      <w:pPr>
        <w:tabs>
          <w:tab w:val="left" w:leader="none" w:pos="720"/>
          <w:tab w:val="left" w:leader="none" w:pos="7272"/>
        </w:tabs>
        <w:spacing w:before="118" w:after="0" w:line="230" w:lineRule="exact"/>
        <w:ind w:right="0" w:left="144"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699	</w:t>
      </w:r>
      <w:r>
        <w:rPr>
          <w:rFonts w:ascii="Times New Roman" w:hAnsi="Times New Roman" w:eastAsia="Times New Roman"/>
          <w:color w:val="000000"/>
          <w:spacing w:val="0"/>
          <w:w w:val="100"/>
          <w:sz w:val="20"/>
          <w:vertAlign w:val="baseline"/>
          <w:lang w:val="en-US"/>
        </w:rPr>
        <w:t xml:space="preserve">Incident notification—prescribed serious illnesses	</w:t>
      </w:r>
      <w:r>
        <w:rPr>
          <w:rFonts w:ascii="Times New Roman" w:hAnsi="Times New Roman" w:eastAsia="Times New Roman"/>
          <w:color w:val="000000"/>
          <w:spacing w:val="0"/>
          <w:w w:val="100"/>
          <w:sz w:val="20"/>
          <w:vertAlign w:val="baseline"/>
          <w:lang w:val="en-US"/>
        </w:rPr>
        <w:t xml:space="preserve">430</w:t>
      </w:r>
    </w:p>
    <w:p>
      <w:pPr>
        <w:tabs>
          <w:tab w:val="left" w:leader="none" w:pos="720"/>
          <w:tab w:val="left" w:leader="none" w:pos="7272"/>
        </w:tabs>
        <w:spacing w:before="1" w:after="0" w:line="230" w:lineRule="exact"/>
        <w:ind w:right="0" w:left="144"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700	</w:t>
      </w:r>
      <w:r>
        <w:rPr>
          <w:rFonts w:ascii="Times New Roman" w:hAnsi="Times New Roman" w:eastAsia="Times New Roman"/>
          <w:color w:val="000000"/>
          <w:spacing w:val="0"/>
          <w:w w:val="100"/>
          <w:sz w:val="20"/>
          <w:vertAlign w:val="baseline"/>
          <w:lang w:val="en-US"/>
        </w:rPr>
        <w:t xml:space="preserve">Inspectors' identity cards	</w:t>
      </w:r>
      <w:r>
        <w:rPr>
          <w:rFonts w:ascii="Times New Roman" w:hAnsi="Times New Roman" w:eastAsia="Times New Roman"/>
          <w:color w:val="000000"/>
          <w:spacing w:val="0"/>
          <w:w w:val="100"/>
          <w:sz w:val="20"/>
          <w:vertAlign w:val="baseline"/>
          <w:lang w:val="en-US"/>
        </w:rPr>
        <w:t xml:space="preserve">430</w:t>
      </w:r>
    </w:p>
    <w:p>
      <w:pPr>
        <w:tabs>
          <w:tab w:val="left" w:leader="none" w:pos="720"/>
          <w:tab w:val="left" w:leader="none" w:pos="7272"/>
        </w:tabs>
        <w:spacing w:before="0" w:after="1042" w:line="230" w:lineRule="exact"/>
        <w:ind w:right="0" w:left="144" w:firstLine="0"/>
        <w:jc w:val="both"/>
        <w:textAlignment w:val="baseline"/>
        <w:rPr>
          <w:rFonts w:ascii="Times New Roman" w:hAnsi="Times New Roman" w:eastAsia="Times New Roman"/>
          <w:color w:val="000000"/>
          <w:spacing w:val="0"/>
          <w:w w:val="100"/>
          <w:sz w:val="20"/>
          <w:vertAlign w:val="baseline"/>
          <w:lang w:val="en-US"/>
        </w:rPr>
      </w:pPr>
      <w:r>
        <w:pict>
          <v:line strokeweight="0.5pt" strokecolor="#000000" from="97.45pt,710.65pt" to="498.5pt,710.6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701	</w:t>
      </w:r>
      <w:r>
        <w:rPr>
          <w:rFonts w:ascii="Times New Roman" w:hAnsi="Times New Roman" w:eastAsia="Times New Roman"/>
          <w:color w:val="000000"/>
          <w:spacing w:val="0"/>
          <w:w w:val="100"/>
          <w:sz w:val="20"/>
          <w:vertAlign w:val="baseline"/>
          <w:lang w:val="en-US"/>
        </w:rPr>
        <w:t xml:space="preserve">Review of decisions under the Act—stay of decision	</w:t>
      </w:r>
      <w:r>
        <w:rPr>
          <w:rFonts w:ascii="Times New Roman" w:hAnsi="Times New Roman" w:eastAsia="Times New Roman"/>
          <w:color w:val="000000"/>
          <w:spacing w:val="0"/>
          <w:w w:val="100"/>
          <w:sz w:val="20"/>
          <w:vertAlign w:val="baseline"/>
          <w:lang w:val="en-US"/>
        </w:rPr>
        <w:t xml:space="preserve">431</w:t>
      </w:r>
    </w:p>
    <w:p>
      <w:pPr>
        <w:spacing w:before="0" w:after="1042" w:line="230" w:lineRule="exact"/>
        <w:sectPr>
          <w:type w:val="nextPage"/>
          <w:pgSz w:w="11909" w:h="16838" w:orient="portrait"/>
          <w:pgMar w:bottom="1542" w:top="1320" w:right="1940" w:left="1949" w:header="720" w:footer="720"/>
          <w:titlePg w:val="false"/>
          <w:textDirection w:val="lrTb"/>
        </w:sectPr>
      </w:pPr>
    </w:p>
    <w:p>
      <w:pPr>
        <w:tabs>
          <w:tab w:val="right" w:leader="none" w:pos="4104"/>
        </w:tabs>
        <w:spacing w:before="0" w:after="0" w:line="178"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1.1.2021	</w:t>
      </w:r>
      <w:r>
        <w:rPr>
          <w:rFonts w:ascii="Times New Roman" w:hAnsi="Times New Roman" w:eastAsia="Times New Roman"/>
          <w:color w:val="000000"/>
          <w:spacing w:val="0"/>
          <w:w w:val="100"/>
          <w:sz w:val="16"/>
          <w:vertAlign w:val="baseline"/>
          <w:lang w:val="en-US"/>
        </w:rPr>
        <w:t xml:space="preserve">20</w:t>
      </w:r>
    </w:p>
    <w:p>
      <w:pPr>
        <w:sectPr>
          <w:type w:val="continuous"/>
          <w:pgSz w:w="11909" w:h="16838" w:orient="portrait"/>
          <w:pgMar w:bottom="1542" w:top="1320" w:right="5873" w:left="1996" w:header="720" w:footer="720"/>
          <w:titlePg w:val="false"/>
          <w:textDirection w:val="lrTb"/>
        </w:sectPr>
      </w:pPr>
    </w:p>
    <w:p>
      <w:pPr>
        <w:spacing w:before="21" w:after="229"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right" w:leader="none" w:pos="7704"/>
        </w:tabs>
        <w:spacing w:before="478"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90.95pt" to="498.5pt,90.9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702	</w:t>
      </w:r>
      <w:r>
        <w:rPr>
          <w:rFonts w:ascii="Times New Roman" w:hAnsi="Times New Roman" w:eastAsia="Times New Roman"/>
          <w:color w:val="000000"/>
          <w:spacing w:val="0"/>
          <w:w w:val="100"/>
          <w:sz w:val="20"/>
          <w:vertAlign w:val="baseline"/>
          <w:lang w:val="en-US"/>
        </w:rPr>
        <w:t xml:space="preserve">Confidentiality of information—exception relating to administration or enforcement of</w:t>
      </w:r>
    </w:p>
    <w:p>
      <w:pPr>
        <w:tabs>
          <w:tab w:val="right" w:leader="none" w:pos="7704"/>
        </w:tabs>
        <w:spacing w:before="1" w:after="0" w:line="230" w:lineRule="exact"/>
        <w:ind w:right="0" w:left="7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other laws	</w:t>
      </w:r>
      <w:r>
        <w:rPr>
          <w:rFonts w:ascii="Times New Roman" w:hAnsi="Times New Roman" w:eastAsia="Times New Roman"/>
          <w:color w:val="000000"/>
          <w:spacing w:val="0"/>
          <w:w w:val="100"/>
          <w:sz w:val="20"/>
          <w:vertAlign w:val="baseline"/>
          <w:lang w:val="en-US"/>
        </w:rPr>
        <w:t xml:space="preserve">431</w:t>
      </w:r>
    </w:p>
    <w:p>
      <w:pPr>
        <w:tabs>
          <w:tab w:val="right" w:leader="none" w:pos="7704"/>
        </w:tabs>
        <w:spacing w:before="242"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11.4 TRANSITIONAL AND SAVING PROVISIONS	</w:t>
      </w:r>
      <w:r>
        <w:rPr>
          <w:rFonts w:ascii="Times New Roman" w:hAnsi="Times New Roman" w:eastAsia="Times New Roman"/>
          <w:b w:val="true"/>
          <w:color w:val="000000"/>
          <w:spacing w:val="0"/>
          <w:w w:val="100"/>
          <w:sz w:val="20"/>
          <w:vertAlign w:val="baseline"/>
          <w:lang w:val="en-US"/>
        </w:rPr>
        <w:t xml:space="preserve">432</w:t>
      </w:r>
    </w:p>
    <w:p>
      <w:pPr>
        <w:tabs>
          <w:tab w:val="right" w:leader="none" w:pos="7704"/>
        </w:tabs>
        <w:spacing w:before="242"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SCHEDULES	</w:t>
      </w:r>
      <w:r>
        <w:rPr>
          <w:rFonts w:ascii="Times New Roman" w:hAnsi="Times New Roman" w:eastAsia="Times New Roman"/>
          <w:b w:val="true"/>
          <w:color w:val="000000"/>
          <w:spacing w:val="0"/>
          <w:w w:val="100"/>
          <w:sz w:val="20"/>
          <w:vertAlign w:val="baseline"/>
          <w:lang w:val="en-US"/>
        </w:rPr>
        <w:t xml:space="preserve">433</w:t>
      </w:r>
    </w:p>
    <w:p>
      <w:pPr>
        <w:tabs>
          <w:tab w:val="left" w:leader="none" w:pos="1368"/>
          <w:tab w:val="right" w:leader="none" w:pos="7704"/>
        </w:tabs>
        <w:spacing w:before="123"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Schedule 1	</w:t>
      </w:r>
      <w:r>
        <w:rPr>
          <w:rFonts w:ascii="Times New Roman" w:hAnsi="Times New Roman" w:eastAsia="Times New Roman"/>
          <w:b w:val="true"/>
          <w:color w:val="000000"/>
          <w:spacing w:val="0"/>
          <w:w w:val="100"/>
          <w:sz w:val="20"/>
          <w:vertAlign w:val="baseline"/>
          <w:lang w:val="en-US"/>
        </w:rPr>
        <w:t xml:space="preserve">Revocation of regulations	</w:t>
      </w:r>
      <w:r>
        <w:rPr>
          <w:rFonts w:ascii="Times New Roman" w:hAnsi="Times New Roman" w:eastAsia="Times New Roman"/>
          <w:b w:val="true"/>
          <w:color w:val="000000"/>
          <w:spacing w:val="0"/>
          <w:w w:val="100"/>
          <w:sz w:val="20"/>
          <w:vertAlign w:val="baseline"/>
          <w:lang w:val="en-US"/>
        </w:rPr>
        <w:t xml:space="preserve">433</w:t>
      </w:r>
    </w:p>
    <w:p>
      <w:pPr>
        <w:tabs>
          <w:tab w:val="left" w:leader="none" w:pos="1368"/>
          <w:tab w:val="right" w:leader="none" w:pos="7704"/>
        </w:tabs>
        <w:spacing w:before="122"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Schedule 2	</w:t>
      </w:r>
      <w:r>
        <w:rPr>
          <w:rFonts w:ascii="Times New Roman" w:hAnsi="Times New Roman" w:eastAsia="Times New Roman"/>
          <w:b w:val="true"/>
          <w:color w:val="000000"/>
          <w:spacing w:val="0"/>
          <w:w w:val="100"/>
          <w:sz w:val="20"/>
          <w:vertAlign w:val="baseline"/>
          <w:lang w:val="en-US"/>
        </w:rPr>
        <w:t xml:space="preserve">Fees	</w:t>
      </w:r>
      <w:r>
        <w:rPr>
          <w:rFonts w:ascii="Times New Roman" w:hAnsi="Times New Roman" w:eastAsia="Times New Roman"/>
          <w:b w:val="true"/>
          <w:color w:val="000000"/>
          <w:spacing w:val="0"/>
          <w:w w:val="100"/>
          <w:sz w:val="20"/>
          <w:vertAlign w:val="baseline"/>
          <w:lang w:val="en-US"/>
        </w:rPr>
        <w:t xml:space="preserve">434</w:t>
      </w:r>
    </w:p>
    <w:p>
      <w:pPr>
        <w:tabs>
          <w:tab w:val="left" w:leader="none" w:pos="720"/>
          <w:tab w:val="right" w:leader="none" w:pos="7704"/>
        </w:tabs>
        <w:spacing w:before="12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Purpose of this Schedule	</w:t>
      </w:r>
      <w:r>
        <w:rPr>
          <w:rFonts w:ascii="Times New Roman" w:hAnsi="Times New Roman" w:eastAsia="Times New Roman"/>
          <w:color w:val="000000"/>
          <w:spacing w:val="0"/>
          <w:w w:val="100"/>
          <w:sz w:val="20"/>
          <w:vertAlign w:val="baseline"/>
          <w:lang w:val="en-US"/>
        </w:rPr>
        <w:t xml:space="preserve">434</w:t>
      </w:r>
    </w:p>
    <w:p>
      <w:pPr>
        <w:tabs>
          <w:tab w:val="left" w:leader="none" w:pos="1368"/>
          <w:tab w:val="right" w:leader="none" w:pos="7704"/>
        </w:tabs>
        <w:spacing w:before="2"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Schedule 3	</w:t>
      </w:r>
      <w:r>
        <w:rPr>
          <w:rFonts w:ascii="Times New Roman" w:hAnsi="Times New Roman" w:eastAsia="Times New Roman"/>
          <w:b w:val="true"/>
          <w:color w:val="000000"/>
          <w:spacing w:val="0"/>
          <w:w w:val="100"/>
          <w:sz w:val="20"/>
          <w:vertAlign w:val="baseline"/>
          <w:lang w:val="en-US"/>
        </w:rPr>
        <w:t xml:space="preserve">High risk work licences and classes of high risk work	</w:t>
      </w:r>
      <w:r>
        <w:rPr>
          <w:rFonts w:ascii="Times New Roman" w:hAnsi="Times New Roman" w:eastAsia="Times New Roman"/>
          <w:b w:val="true"/>
          <w:color w:val="000000"/>
          <w:spacing w:val="0"/>
          <w:w w:val="100"/>
          <w:sz w:val="20"/>
          <w:vertAlign w:val="baseline"/>
          <w:lang w:val="en-US"/>
        </w:rPr>
        <w:t xml:space="preserve">435</w:t>
      </w:r>
    </w:p>
    <w:p>
      <w:pPr>
        <w:tabs>
          <w:tab w:val="left" w:leader="none" w:pos="720"/>
          <w:tab w:val="right" w:leader="none" w:pos="7704"/>
        </w:tabs>
        <w:spacing w:before="12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Boom-type elevating work platform	</w:t>
      </w:r>
      <w:r>
        <w:rPr>
          <w:rFonts w:ascii="Times New Roman" w:hAnsi="Times New Roman" w:eastAsia="Times New Roman"/>
          <w:color w:val="000000"/>
          <w:spacing w:val="0"/>
          <w:w w:val="100"/>
          <w:sz w:val="20"/>
          <w:vertAlign w:val="baseline"/>
          <w:lang w:val="en-US"/>
        </w:rPr>
        <w:t xml:space="preserve">439</w:t>
      </w:r>
    </w:p>
    <w:p>
      <w:pPr>
        <w:tabs>
          <w:tab w:val="left" w:leader="none" w:pos="1368"/>
          <w:tab w:val="right" w:leader="none" w:pos="7704"/>
        </w:tabs>
        <w:spacing w:before="3"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Schedule 4	</w:t>
      </w:r>
      <w:r>
        <w:rPr>
          <w:rFonts w:ascii="Times New Roman" w:hAnsi="Times New Roman" w:eastAsia="Times New Roman"/>
          <w:b w:val="true"/>
          <w:color w:val="000000"/>
          <w:spacing w:val="0"/>
          <w:w w:val="100"/>
          <w:sz w:val="20"/>
          <w:vertAlign w:val="baseline"/>
          <w:lang w:val="en-US"/>
        </w:rPr>
        <w:t xml:space="preserve">High risk work licences—competency requirements	</w:t>
      </w:r>
      <w:r>
        <w:rPr>
          <w:rFonts w:ascii="Times New Roman" w:hAnsi="Times New Roman" w:eastAsia="Times New Roman"/>
          <w:b w:val="true"/>
          <w:color w:val="000000"/>
          <w:spacing w:val="0"/>
          <w:w w:val="100"/>
          <w:sz w:val="20"/>
          <w:vertAlign w:val="baseline"/>
          <w:lang w:val="en-US"/>
        </w:rPr>
        <w:t xml:space="preserve">440</w:t>
      </w:r>
    </w:p>
    <w:p>
      <w:pPr>
        <w:tabs>
          <w:tab w:val="left" w:leader="none" w:pos="720"/>
          <w:tab w:val="right" w:leader="none" w:pos="7704"/>
        </w:tabs>
        <w:spacing w:before="115"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Purpose of this Schedule	</w:t>
      </w:r>
      <w:r>
        <w:rPr>
          <w:rFonts w:ascii="Times New Roman" w:hAnsi="Times New Roman" w:eastAsia="Times New Roman"/>
          <w:color w:val="000000"/>
          <w:spacing w:val="0"/>
          <w:w w:val="100"/>
          <w:sz w:val="20"/>
          <w:vertAlign w:val="baseline"/>
          <w:lang w:val="en-US"/>
        </w:rPr>
        <w:t xml:space="preserve">440</w:t>
      </w:r>
    </w:p>
    <w:p>
      <w:pPr>
        <w:tabs>
          <w:tab w:val="left" w:leader="none" w:pos="1368"/>
          <w:tab w:val="right" w:leader="none" w:pos="7704"/>
        </w:tabs>
        <w:spacing w:before="3"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Schedule 5	</w:t>
      </w:r>
      <w:r>
        <w:rPr>
          <w:rFonts w:ascii="Times New Roman" w:hAnsi="Times New Roman" w:eastAsia="Times New Roman"/>
          <w:b w:val="true"/>
          <w:color w:val="000000"/>
          <w:spacing w:val="0"/>
          <w:w w:val="100"/>
          <w:sz w:val="20"/>
          <w:vertAlign w:val="baseline"/>
          <w:lang w:val="en-US"/>
        </w:rPr>
        <w:t xml:space="preserve">Registration of plant and plant designs	</w:t>
      </w:r>
      <w:r>
        <w:rPr>
          <w:rFonts w:ascii="Times New Roman" w:hAnsi="Times New Roman" w:eastAsia="Times New Roman"/>
          <w:b w:val="true"/>
          <w:color w:val="000000"/>
          <w:spacing w:val="0"/>
          <w:w w:val="100"/>
          <w:sz w:val="20"/>
          <w:vertAlign w:val="baseline"/>
          <w:lang w:val="en-US"/>
        </w:rPr>
        <w:t xml:space="preserve">442</w:t>
      </w:r>
    </w:p>
    <w:p>
      <w:pPr>
        <w:tabs>
          <w:tab w:val="left" w:leader="none" w:pos="1368"/>
          <w:tab w:val="right" w:leader="none" w:pos="7704"/>
        </w:tabs>
        <w:spacing w:before="122"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1	</w:t>
      </w:r>
      <w:r>
        <w:rPr>
          <w:rFonts w:ascii="Times New Roman" w:hAnsi="Times New Roman" w:eastAsia="Times New Roman"/>
          <w:b w:val="true"/>
          <w:color w:val="000000"/>
          <w:spacing w:val="0"/>
          <w:w w:val="100"/>
          <w:sz w:val="20"/>
          <w:vertAlign w:val="baseline"/>
          <w:lang w:val="en-US"/>
        </w:rPr>
        <w:t xml:space="preserve">Plant requiring registration of design	</w:t>
      </w:r>
      <w:r>
        <w:rPr>
          <w:rFonts w:ascii="Times New Roman" w:hAnsi="Times New Roman" w:eastAsia="Times New Roman"/>
          <w:b w:val="true"/>
          <w:color w:val="000000"/>
          <w:spacing w:val="0"/>
          <w:w w:val="100"/>
          <w:sz w:val="20"/>
          <w:vertAlign w:val="baseline"/>
          <w:lang w:val="en-US"/>
        </w:rPr>
        <w:t xml:space="preserve">442</w:t>
      </w:r>
    </w:p>
    <w:p>
      <w:pPr>
        <w:tabs>
          <w:tab w:val="left" w:leader="none" w:pos="720"/>
          <w:tab w:val="right" w:leader="none" w:pos="7704"/>
        </w:tabs>
        <w:spacing w:before="12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Items of plant requiring registration of design	</w:t>
      </w:r>
      <w:r>
        <w:rPr>
          <w:rFonts w:ascii="Times New Roman" w:hAnsi="Times New Roman" w:eastAsia="Times New Roman"/>
          <w:color w:val="000000"/>
          <w:spacing w:val="0"/>
          <w:w w:val="100"/>
          <w:sz w:val="20"/>
          <w:vertAlign w:val="baseline"/>
          <w:lang w:val="en-US"/>
        </w:rPr>
        <w:t xml:space="preserve">442</w:t>
      </w:r>
    </w:p>
    <w:p>
      <w:pPr>
        <w:tabs>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Exceptions	</w:t>
      </w:r>
      <w:r>
        <w:rPr>
          <w:rFonts w:ascii="Times New Roman" w:hAnsi="Times New Roman" w:eastAsia="Times New Roman"/>
          <w:color w:val="000000"/>
          <w:spacing w:val="0"/>
          <w:w w:val="100"/>
          <w:sz w:val="20"/>
          <w:vertAlign w:val="baseline"/>
          <w:lang w:val="en-US"/>
        </w:rPr>
        <w:t xml:space="preserve">442</w:t>
      </w:r>
    </w:p>
    <w:p>
      <w:pPr>
        <w:tabs>
          <w:tab w:val="left" w:leader="none" w:pos="1368"/>
          <w:tab w:val="right" w:leader="none" w:pos="7704"/>
        </w:tabs>
        <w:spacing w:before="2"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2	</w:t>
      </w:r>
      <w:r>
        <w:rPr>
          <w:rFonts w:ascii="Times New Roman" w:hAnsi="Times New Roman" w:eastAsia="Times New Roman"/>
          <w:b w:val="true"/>
          <w:color w:val="000000"/>
          <w:spacing w:val="0"/>
          <w:w w:val="100"/>
          <w:sz w:val="20"/>
          <w:vertAlign w:val="baseline"/>
          <w:lang w:val="en-US"/>
        </w:rPr>
        <w:t xml:space="preserve">Items of plant requiring registration	</w:t>
      </w:r>
      <w:r>
        <w:rPr>
          <w:rFonts w:ascii="Times New Roman" w:hAnsi="Times New Roman" w:eastAsia="Times New Roman"/>
          <w:b w:val="true"/>
          <w:color w:val="000000"/>
          <w:spacing w:val="0"/>
          <w:w w:val="100"/>
          <w:sz w:val="20"/>
          <w:vertAlign w:val="baseline"/>
          <w:lang w:val="en-US"/>
        </w:rPr>
        <w:t xml:space="preserve">444</w:t>
      </w:r>
    </w:p>
    <w:p>
      <w:pPr>
        <w:tabs>
          <w:tab w:val="left" w:leader="none" w:pos="720"/>
          <w:tab w:val="right" w:leader="none" w:pos="7704"/>
        </w:tabs>
        <w:spacing w:before="12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	</w:t>
      </w:r>
      <w:r>
        <w:rPr>
          <w:rFonts w:ascii="Times New Roman" w:hAnsi="Times New Roman" w:eastAsia="Times New Roman"/>
          <w:color w:val="000000"/>
          <w:spacing w:val="0"/>
          <w:w w:val="100"/>
          <w:sz w:val="20"/>
          <w:vertAlign w:val="baseline"/>
          <w:lang w:val="en-US"/>
        </w:rPr>
        <w:t xml:space="preserve">Items of plant requiring registration	</w:t>
      </w:r>
      <w:r>
        <w:rPr>
          <w:rFonts w:ascii="Times New Roman" w:hAnsi="Times New Roman" w:eastAsia="Times New Roman"/>
          <w:color w:val="000000"/>
          <w:spacing w:val="0"/>
          <w:w w:val="100"/>
          <w:sz w:val="20"/>
          <w:vertAlign w:val="baseline"/>
          <w:lang w:val="en-US"/>
        </w:rPr>
        <w:t xml:space="preserve">444</w:t>
      </w:r>
    </w:p>
    <w:p>
      <w:pPr>
        <w:tabs>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 Exceptions	</w:t>
      </w:r>
      <w:r>
        <w:rPr>
          <w:rFonts w:ascii="Times New Roman" w:hAnsi="Times New Roman" w:eastAsia="Times New Roman"/>
          <w:color w:val="000000"/>
          <w:spacing w:val="0"/>
          <w:w w:val="100"/>
          <w:sz w:val="20"/>
          <w:vertAlign w:val="baseline"/>
          <w:lang w:val="en-US"/>
        </w:rPr>
        <w:t xml:space="preserve">444</w:t>
      </w:r>
    </w:p>
    <w:p>
      <w:pPr>
        <w:tabs>
          <w:tab w:val="left" w:leader="none" w:pos="1368"/>
          <w:tab w:val="right" w:leader="none" w:pos="7704"/>
        </w:tabs>
        <w:spacing w:before="3"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Schedule 6	</w:t>
      </w:r>
      <w:r>
        <w:rPr>
          <w:rFonts w:ascii="Times New Roman" w:hAnsi="Times New Roman" w:eastAsia="Times New Roman"/>
          <w:b w:val="true"/>
          <w:color w:val="000000"/>
          <w:spacing w:val="0"/>
          <w:w w:val="100"/>
          <w:sz w:val="20"/>
          <w:vertAlign w:val="baseline"/>
          <w:lang w:val="en-US"/>
        </w:rPr>
        <w:t xml:space="preserve">Classification of mixtures	</w:t>
      </w:r>
      <w:r>
        <w:rPr>
          <w:rFonts w:ascii="Times New Roman" w:hAnsi="Times New Roman" w:eastAsia="Times New Roman"/>
          <w:b w:val="true"/>
          <w:color w:val="000000"/>
          <w:spacing w:val="0"/>
          <w:w w:val="100"/>
          <w:sz w:val="20"/>
          <w:vertAlign w:val="baseline"/>
          <w:lang w:val="en-US"/>
        </w:rPr>
        <w:t xml:space="preserve">446</w:t>
      </w:r>
    </w:p>
    <w:p>
      <w:pPr>
        <w:tabs>
          <w:tab w:val="left" w:leader="none" w:pos="720"/>
          <w:tab w:val="right" w:leader="none" w:pos="7704"/>
        </w:tabs>
        <w:spacing w:before="12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Purpose of this Schedule	</w:t>
      </w:r>
      <w:r>
        <w:rPr>
          <w:rFonts w:ascii="Times New Roman" w:hAnsi="Times New Roman" w:eastAsia="Times New Roman"/>
          <w:color w:val="000000"/>
          <w:spacing w:val="0"/>
          <w:w w:val="100"/>
          <w:sz w:val="20"/>
          <w:vertAlign w:val="baseline"/>
          <w:lang w:val="en-US"/>
        </w:rPr>
        <w:t xml:space="preserve">446</w:t>
      </w:r>
    </w:p>
    <w:p>
      <w:pPr>
        <w:tabs>
          <w:tab w:val="left" w:leader="none" w:pos="1368"/>
          <w:tab w:val="right" w:leader="none" w:pos="7704"/>
        </w:tabs>
        <w:spacing w:before="2"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Schedule 7	</w:t>
      </w:r>
      <w:r>
        <w:rPr>
          <w:rFonts w:ascii="Times New Roman" w:hAnsi="Times New Roman" w:eastAsia="Times New Roman"/>
          <w:b w:val="true"/>
          <w:color w:val="000000"/>
          <w:spacing w:val="0"/>
          <w:w w:val="100"/>
          <w:sz w:val="20"/>
          <w:vertAlign w:val="baseline"/>
          <w:lang w:val="en-US"/>
        </w:rPr>
        <w:t xml:space="preserve">Safety data sheets	</w:t>
      </w:r>
      <w:r>
        <w:rPr>
          <w:rFonts w:ascii="Times New Roman" w:hAnsi="Times New Roman" w:eastAsia="Times New Roman"/>
          <w:b w:val="true"/>
          <w:color w:val="000000"/>
          <w:spacing w:val="0"/>
          <w:w w:val="100"/>
          <w:sz w:val="20"/>
          <w:vertAlign w:val="baseline"/>
          <w:lang w:val="en-US"/>
        </w:rPr>
        <w:t xml:space="preserve">449</w:t>
      </w:r>
    </w:p>
    <w:p>
      <w:pPr>
        <w:tabs>
          <w:tab w:val="left" w:leader="none" w:pos="720"/>
          <w:tab w:val="right" w:leader="none" w:pos="7704"/>
        </w:tabs>
        <w:spacing w:before="116"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Safety data sheets—content	</w:t>
      </w:r>
      <w:r>
        <w:rPr>
          <w:rFonts w:ascii="Times New Roman" w:hAnsi="Times New Roman" w:eastAsia="Times New Roman"/>
          <w:color w:val="000000"/>
          <w:spacing w:val="0"/>
          <w:w w:val="100"/>
          <w:sz w:val="20"/>
          <w:vertAlign w:val="baseline"/>
          <w:lang w:val="en-US"/>
        </w:rPr>
        <w:t xml:space="preserve">449</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Safety data sheets—research chemical, waste product or sample for analysis	</w:t>
      </w:r>
      <w:r>
        <w:rPr>
          <w:rFonts w:ascii="Times New Roman" w:hAnsi="Times New Roman" w:eastAsia="Times New Roman"/>
          <w:color w:val="000000"/>
          <w:spacing w:val="0"/>
          <w:w w:val="100"/>
          <w:sz w:val="20"/>
          <w:vertAlign w:val="baseline"/>
          <w:lang w:val="en-US"/>
        </w:rPr>
        <w:t xml:space="preserve">450</w:t>
      </w:r>
    </w:p>
    <w:p>
      <w:pPr>
        <w:tabs>
          <w:tab w:val="left" w:leader="none" w:pos="1368"/>
          <w:tab w:val="right" w:leader="none" w:pos="7704"/>
        </w:tabs>
        <w:spacing w:before="3"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Schedule 8	</w:t>
      </w:r>
      <w:r>
        <w:rPr>
          <w:rFonts w:ascii="Times New Roman" w:hAnsi="Times New Roman" w:eastAsia="Times New Roman"/>
          <w:b w:val="true"/>
          <w:color w:val="000000"/>
          <w:spacing w:val="0"/>
          <w:w w:val="100"/>
          <w:sz w:val="20"/>
          <w:vertAlign w:val="baseline"/>
          <w:lang w:val="en-US"/>
        </w:rPr>
        <w:t xml:space="preserve">Disclosure of ingredients in safety data sheet	</w:t>
      </w:r>
      <w:r>
        <w:rPr>
          <w:rFonts w:ascii="Times New Roman" w:hAnsi="Times New Roman" w:eastAsia="Times New Roman"/>
          <w:b w:val="true"/>
          <w:color w:val="000000"/>
          <w:spacing w:val="0"/>
          <w:w w:val="100"/>
          <w:sz w:val="20"/>
          <w:vertAlign w:val="baseline"/>
          <w:lang w:val="en-US"/>
        </w:rPr>
        <w:t xml:space="preserve">451</w:t>
      </w:r>
    </w:p>
    <w:p>
      <w:pPr>
        <w:tabs>
          <w:tab w:val="left" w:leader="none" w:pos="720"/>
          <w:tab w:val="right" w:leader="none" w:pos="7704"/>
        </w:tabs>
        <w:spacing w:before="12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Purpose of this Schedule	</w:t>
      </w:r>
      <w:r>
        <w:rPr>
          <w:rFonts w:ascii="Times New Roman" w:hAnsi="Times New Roman" w:eastAsia="Times New Roman"/>
          <w:color w:val="000000"/>
          <w:spacing w:val="0"/>
          <w:w w:val="100"/>
          <w:sz w:val="20"/>
          <w:vertAlign w:val="baseline"/>
          <w:lang w:val="en-US"/>
        </w:rPr>
        <w:t xml:space="preserve">451</w:t>
      </w:r>
    </w:p>
    <w:p>
      <w:pPr>
        <w:tabs>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Identity of ingredients to be disclosed	</w:t>
      </w:r>
      <w:r>
        <w:rPr>
          <w:rFonts w:ascii="Times New Roman" w:hAnsi="Times New Roman" w:eastAsia="Times New Roman"/>
          <w:color w:val="000000"/>
          <w:spacing w:val="0"/>
          <w:w w:val="100"/>
          <w:sz w:val="20"/>
          <w:vertAlign w:val="baseline"/>
          <w:lang w:val="en-US"/>
        </w:rPr>
        <w:t xml:space="preserve">451</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	</w:t>
      </w:r>
      <w:r>
        <w:rPr>
          <w:rFonts w:ascii="Times New Roman" w:hAnsi="Times New Roman" w:eastAsia="Times New Roman"/>
          <w:color w:val="000000"/>
          <w:spacing w:val="0"/>
          <w:w w:val="100"/>
          <w:sz w:val="20"/>
          <w:vertAlign w:val="baseline"/>
          <w:lang w:val="en-US"/>
        </w:rPr>
        <w:t xml:space="preserve">Generic names used to disclose identity of ingredients	</w:t>
      </w:r>
      <w:r>
        <w:rPr>
          <w:rFonts w:ascii="Times New Roman" w:hAnsi="Times New Roman" w:eastAsia="Times New Roman"/>
          <w:color w:val="000000"/>
          <w:spacing w:val="0"/>
          <w:w w:val="100"/>
          <w:sz w:val="20"/>
          <w:vertAlign w:val="baseline"/>
          <w:lang w:val="en-US"/>
        </w:rPr>
        <w:t xml:space="preserve">452</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	</w:t>
      </w:r>
      <w:r>
        <w:rPr>
          <w:rFonts w:ascii="Times New Roman" w:hAnsi="Times New Roman" w:eastAsia="Times New Roman"/>
          <w:color w:val="000000"/>
          <w:spacing w:val="0"/>
          <w:w w:val="100"/>
          <w:sz w:val="20"/>
          <w:vertAlign w:val="baseline"/>
          <w:lang w:val="en-US"/>
        </w:rPr>
        <w:t xml:space="preserve">Disclosing proportions of ingredients	</w:t>
      </w:r>
      <w:r>
        <w:rPr>
          <w:rFonts w:ascii="Times New Roman" w:hAnsi="Times New Roman" w:eastAsia="Times New Roman"/>
          <w:color w:val="000000"/>
          <w:spacing w:val="0"/>
          <w:w w:val="100"/>
          <w:sz w:val="20"/>
          <w:vertAlign w:val="baseline"/>
          <w:lang w:val="en-US"/>
        </w:rPr>
        <w:t xml:space="preserve">453</w:t>
      </w:r>
    </w:p>
    <w:p>
      <w:pPr>
        <w:tabs>
          <w:tab w:val="left" w:leader="none" w:pos="1368"/>
          <w:tab w:val="right" w:leader="none" w:pos="7704"/>
        </w:tabs>
        <w:spacing w:before="3"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Schedule 9	</w:t>
      </w:r>
      <w:r>
        <w:rPr>
          <w:rFonts w:ascii="Times New Roman" w:hAnsi="Times New Roman" w:eastAsia="Times New Roman"/>
          <w:b w:val="true"/>
          <w:color w:val="000000"/>
          <w:spacing w:val="0"/>
          <w:w w:val="100"/>
          <w:sz w:val="20"/>
          <w:vertAlign w:val="baseline"/>
          <w:lang w:val="en-US"/>
        </w:rPr>
        <w:t xml:space="preserve">Classification, packaging and labelling requirements	</w:t>
      </w:r>
      <w:r>
        <w:rPr>
          <w:rFonts w:ascii="Times New Roman" w:hAnsi="Times New Roman" w:eastAsia="Times New Roman"/>
          <w:b w:val="true"/>
          <w:color w:val="000000"/>
          <w:spacing w:val="0"/>
          <w:w w:val="100"/>
          <w:sz w:val="20"/>
          <w:vertAlign w:val="baseline"/>
          <w:lang w:val="en-US"/>
        </w:rPr>
        <w:t xml:space="preserve">454</w:t>
      </w:r>
    </w:p>
    <w:p>
      <w:pPr>
        <w:tabs>
          <w:tab w:val="left" w:leader="none" w:pos="1368"/>
          <w:tab w:val="right" w:leader="none" w:pos="7704"/>
        </w:tabs>
        <w:spacing w:before="122"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1	</w:t>
      </w:r>
      <w:r>
        <w:rPr>
          <w:rFonts w:ascii="Times New Roman" w:hAnsi="Times New Roman" w:eastAsia="Times New Roman"/>
          <w:b w:val="true"/>
          <w:color w:val="000000"/>
          <w:spacing w:val="0"/>
          <w:w w:val="100"/>
          <w:sz w:val="20"/>
          <w:vertAlign w:val="baseline"/>
          <w:lang w:val="en-US"/>
        </w:rPr>
        <w:t xml:space="preserve">Correct classification	</w:t>
      </w:r>
      <w:r>
        <w:rPr>
          <w:rFonts w:ascii="Times New Roman" w:hAnsi="Times New Roman" w:eastAsia="Times New Roman"/>
          <w:b w:val="true"/>
          <w:color w:val="000000"/>
          <w:spacing w:val="0"/>
          <w:w w:val="100"/>
          <w:sz w:val="20"/>
          <w:vertAlign w:val="baseline"/>
          <w:lang w:val="en-US"/>
        </w:rPr>
        <w:t xml:space="preserve">454</w:t>
      </w:r>
    </w:p>
    <w:p>
      <w:pPr>
        <w:tabs>
          <w:tab w:val="left" w:leader="none" w:pos="720"/>
          <w:tab w:val="right" w:leader="none" w:pos="7704"/>
        </w:tabs>
        <w:spacing w:before="12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Correct classification of a substance, mixture or article	</w:t>
      </w:r>
      <w:r>
        <w:rPr>
          <w:rFonts w:ascii="Times New Roman" w:hAnsi="Times New Roman" w:eastAsia="Times New Roman"/>
          <w:color w:val="000000"/>
          <w:spacing w:val="0"/>
          <w:w w:val="100"/>
          <w:sz w:val="20"/>
          <w:vertAlign w:val="baseline"/>
          <w:lang w:val="en-US"/>
        </w:rPr>
        <w:t xml:space="preserve">454</w:t>
      </w:r>
    </w:p>
    <w:p>
      <w:pPr>
        <w:tabs>
          <w:tab w:val="left" w:leader="none" w:pos="1368"/>
          <w:tab w:val="right" w:leader="none" w:pos="7704"/>
        </w:tabs>
        <w:spacing w:before="2"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2	</w:t>
      </w:r>
      <w:r>
        <w:rPr>
          <w:rFonts w:ascii="Times New Roman" w:hAnsi="Times New Roman" w:eastAsia="Times New Roman"/>
          <w:b w:val="true"/>
          <w:color w:val="000000"/>
          <w:spacing w:val="0"/>
          <w:w w:val="100"/>
          <w:sz w:val="20"/>
          <w:vertAlign w:val="baseline"/>
          <w:lang w:val="en-US"/>
        </w:rPr>
        <w:t xml:space="preserve">Correct packing	</w:t>
      </w:r>
      <w:r>
        <w:rPr>
          <w:rFonts w:ascii="Times New Roman" w:hAnsi="Times New Roman" w:eastAsia="Times New Roman"/>
          <w:b w:val="true"/>
          <w:color w:val="000000"/>
          <w:spacing w:val="0"/>
          <w:w w:val="100"/>
          <w:sz w:val="20"/>
          <w:vertAlign w:val="baseline"/>
          <w:lang w:val="en-US"/>
        </w:rPr>
        <w:t xml:space="preserve">455</w:t>
      </w:r>
    </w:p>
    <w:p>
      <w:pPr>
        <w:tabs>
          <w:tab w:val="left" w:leader="none" w:pos="720"/>
          <w:tab w:val="right" w:leader="none" w:pos="7704"/>
        </w:tabs>
        <w:spacing w:before="12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Correctly packing hazardous chemicals	</w:t>
      </w:r>
      <w:r>
        <w:rPr>
          <w:rFonts w:ascii="Times New Roman" w:hAnsi="Times New Roman" w:eastAsia="Times New Roman"/>
          <w:color w:val="000000"/>
          <w:spacing w:val="0"/>
          <w:w w:val="100"/>
          <w:sz w:val="20"/>
          <w:vertAlign w:val="baseline"/>
          <w:lang w:val="en-US"/>
        </w:rPr>
        <w:t xml:space="preserve">455</w:t>
      </w:r>
    </w:p>
    <w:p>
      <w:pPr>
        <w:tabs>
          <w:tab w:val="left" w:leader="none" w:pos="1368"/>
          <w:tab w:val="right" w:leader="none" w:pos="7704"/>
        </w:tabs>
        <w:spacing w:before="3" w:after="0"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3	</w:t>
      </w:r>
      <w:r>
        <w:rPr>
          <w:rFonts w:ascii="Times New Roman" w:hAnsi="Times New Roman" w:eastAsia="Times New Roman"/>
          <w:b w:val="true"/>
          <w:color w:val="000000"/>
          <w:spacing w:val="0"/>
          <w:w w:val="100"/>
          <w:sz w:val="20"/>
          <w:vertAlign w:val="baseline"/>
          <w:lang w:val="en-US"/>
        </w:rPr>
        <w:t xml:space="preserve">Correct labelling	</w:t>
      </w:r>
      <w:r>
        <w:rPr>
          <w:rFonts w:ascii="Times New Roman" w:hAnsi="Times New Roman" w:eastAsia="Times New Roman"/>
          <w:b w:val="true"/>
          <w:color w:val="000000"/>
          <w:spacing w:val="0"/>
          <w:w w:val="100"/>
          <w:sz w:val="20"/>
          <w:vertAlign w:val="baseline"/>
          <w:lang w:val="en-US"/>
        </w:rPr>
        <w:t xml:space="preserve">456</w:t>
      </w:r>
    </w:p>
    <w:p>
      <w:pPr>
        <w:tabs>
          <w:tab w:val="left" w:leader="none" w:pos="720"/>
          <w:tab w:val="right" w:leader="none" w:pos="7704"/>
        </w:tabs>
        <w:spacing w:before="115"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	</w:t>
      </w:r>
      <w:r>
        <w:rPr>
          <w:rFonts w:ascii="Times New Roman" w:hAnsi="Times New Roman" w:eastAsia="Times New Roman"/>
          <w:color w:val="000000"/>
          <w:spacing w:val="0"/>
          <w:w w:val="100"/>
          <w:sz w:val="20"/>
          <w:vertAlign w:val="baseline"/>
          <w:lang w:val="en-US"/>
        </w:rPr>
        <w:t xml:space="preserve">Labelling hazardous chemicals—general	</w:t>
      </w:r>
      <w:r>
        <w:rPr>
          <w:rFonts w:ascii="Times New Roman" w:hAnsi="Times New Roman" w:eastAsia="Times New Roman"/>
          <w:color w:val="000000"/>
          <w:spacing w:val="0"/>
          <w:w w:val="100"/>
          <w:sz w:val="20"/>
          <w:vertAlign w:val="baseline"/>
          <w:lang w:val="en-US"/>
        </w:rPr>
        <w:t xml:space="preserve">456</w:t>
      </w:r>
    </w:p>
    <w:p>
      <w:pPr>
        <w:tabs>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	</w:t>
      </w:r>
      <w:r>
        <w:rPr>
          <w:rFonts w:ascii="Times New Roman" w:hAnsi="Times New Roman" w:eastAsia="Times New Roman"/>
          <w:color w:val="000000"/>
          <w:spacing w:val="0"/>
          <w:w w:val="100"/>
          <w:sz w:val="20"/>
          <w:vertAlign w:val="baseline"/>
          <w:lang w:val="en-US"/>
        </w:rPr>
        <w:t xml:space="preserve">Labelling hazardous chemicals—small container	</w:t>
      </w:r>
      <w:r>
        <w:rPr>
          <w:rFonts w:ascii="Times New Roman" w:hAnsi="Times New Roman" w:eastAsia="Times New Roman"/>
          <w:color w:val="000000"/>
          <w:spacing w:val="0"/>
          <w:w w:val="100"/>
          <w:sz w:val="20"/>
          <w:vertAlign w:val="baseline"/>
          <w:lang w:val="en-US"/>
        </w:rPr>
        <w:t xml:space="preserve">456</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	</w:t>
      </w:r>
      <w:r>
        <w:rPr>
          <w:rFonts w:ascii="Times New Roman" w:hAnsi="Times New Roman" w:eastAsia="Times New Roman"/>
          <w:color w:val="000000"/>
          <w:spacing w:val="0"/>
          <w:w w:val="100"/>
          <w:sz w:val="20"/>
          <w:vertAlign w:val="baseline"/>
          <w:lang w:val="en-US"/>
        </w:rPr>
        <w:t xml:space="preserve">Labelling hazardous chemicals—research chemicals or samples for analysis	</w:t>
      </w:r>
      <w:r>
        <w:rPr>
          <w:rFonts w:ascii="Times New Roman" w:hAnsi="Times New Roman" w:eastAsia="Times New Roman"/>
          <w:color w:val="000000"/>
          <w:spacing w:val="0"/>
          <w:w w:val="100"/>
          <w:sz w:val="20"/>
          <w:vertAlign w:val="baseline"/>
          <w:lang w:val="en-US"/>
        </w:rPr>
        <w:t xml:space="preserve">457</w:t>
      </w:r>
    </w:p>
    <w:p>
      <w:pPr>
        <w:tabs>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	</w:t>
      </w:r>
      <w:r>
        <w:rPr>
          <w:rFonts w:ascii="Times New Roman" w:hAnsi="Times New Roman" w:eastAsia="Times New Roman"/>
          <w:color w:val="000000"/>
          <w:spacing w:val="0"/>
          <w:w w:val="100"/>
          <w:sz w:val="20"/>
          <w:vertAlign w:val="baseline"/>
          <w:lang w:val="en-US"/>
        </w:rPr>
        <w:t xml:space="preserve">Labelling hazardous chemicals—decanted or transferred chemicals	</w:t>
      </w:r>
      <w:r>
        <w:rPr>
          <w:rFonts w:ascii="Times New Roman" w:hAnsi="Times New Roman" w:eastAsia="Times New Roman"/>
          <w:color w:val="000000"/>
          <w:spacing w:val="0"/>
          <w:w w:val="100"/>
          <w:sz w:val="20"/>
          <w:vertAlign w:val="baseline"/>
          <w:lang w:val="en-US"/>
        </w:rPr>
        <w:t xml:space="preserve">457</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7	</w:t>
      </w:r>
      <w:r>
        <w:rPr>
          <w:rFonts w:ascii="Times New Roman" w:hAnsi="Times New Roman" w:eastAsia="Times New Roman"/>
          <w:color w:val="000000"/>
          <w:spacing w:val="0"/>
          <w:w w:val="100"/>
          <w:sz w:val="20"/>
          <w:vertAlign w:val="baseline"/>
          <w:lang w:val="en-US"/>
        </w:rPr>
        <w:t xml:space="preserve">Labelling hazardous chemicals—known hazards	</w:t>
      </w:r>
      <w:r>
        <w:rPr>
          <w:rFonts w:ascii="Times New Roman" w:hAnsi="Times New Roman" w:eastAsia="Times New Roman"/>
          <w:color w:val="000000"/>
          <w:spacing w:val="0"/>
          <w:w w:val="100"/>
          <w:sz w:val="20"/>
          <w:vertAlign w:val="baseline"/>
          <w:lang w:val="en-US"/>
        </w:rPr>
        <w:t xml:space="preserve">457</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8	</w:t>
      </w:r>
      <w:r>
        <w:rPr>
          <w:rFonts w:ascii="Times New Roman" w:hAnsi="Times New Roman" w:eastAsia="Times New Roman"/>
          <w:color w:val="000000"/>
          <w:spacing w:val="0"/>
          <w:w w:val="100"/>
          <w:sz w:val="20"/>
          <w:vertAlign w:val="baseline"/>
          <w:lang w:val="en-US"/>
        </w:rPr>
        <w:t xml:space="preserve">Labelling hazardous chemicals—waste products	</w:t>
      </w:r>
      <w:r>
        <w:rPr>
          <w:rFonts w:ascii="Times New Roman" w:hAnsi="Times New Roman" w:eastAsia="Times New Roman"/>
          <w:color w:val="000000"/>
          <w:spacing w:val="0"/>
          <w:w w:val="100"/>
          <w:sz w:val="20"/>
          <w:vertAlign w:val="baseline"/>
          <w:lang w:val="en-US"/>
        </w:rPr>
        <w:t xml:space="preserve">458</w:t>
      </w:r>
    </w:p>
    <w:p>
      <w:pPr>
        <w:tabs>
          <w:tab w:val="left" w:leader="none" w:pos="720"/>
          <w:tab w:val="right" w:leader="none" w:pos="7704"/>
        </w:tabs>
        <w:spacing w:before="1" w:after="685"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10.65pt" to="498.5pt,710.6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9	</w:t>
      </w:r>
      <w:r>
        <w:rPr>
          <w:rFonts w:ascii="Times New Roman" w:hAnsi="Times New Roman" w:eastAsia="Times New Roman"/>
          <w:color w:val="000000"/>
          <w:spacing w:val="0"/>
          <w:w w:val="100"/>
          <w:sz w:val="20"/>
          <w:vertAlign w:val="baseline"/>
          <w:lang w:val="en-US"/>
        </w:rPr>
        <w:t xml:space="preserve">Labelling hazardous chemicals—explosives	</w:t>
      </w:r>
      <w:r>
        <w:rPr>
          <w:rFonts w:ascii="Times New Roman" w:hAnsi="Times New Roman" w:eastAsia="Times New Roman"/>
          <w:color w:val="000000"/>
          <w:spacing w:val="0"/>
          <w:w w:val="100"/>
          <w:sz w:val="20"/>
          <w:vertAlign w:val="baseline"/>
          <w:lang w:val="en-US"/>
        </w:rPr>
        <w:t xml:space="preserve">458</w:t>
      </w:r>
    </w:p>
    <w:p>
      <w:pPr>
        <w:spacing w:before="1" w:after="685" w:line="230" w:lineRule="exact"/>
        <w:sectPr>
          <w:type w:val="nextPage"/>
          <w:pgSz w:w="11909" w:h="16838" w:orient="portrait"/>
          <w:pgMar w:bottom="1542" w:top="1320" w:right="1940" w:left="1949" w:header="720" w:footer="720"/>
          <w:titlePg w:val="false"/>
          <w:textDirection w:val="lrTb"/>
        </w:sectPr>
      </w:pPr>
    </w:p>
    <w:p>
      <w:pPr>
        <w:tabs>
          <w:tab w:val="right" w:leader="none" w:pos="4032"/>
        </w:tabs>
        <w:spacing w:before="12" w:after="0" w:line="179" w:lineRule="exact"/>
        <w:ind w:right="0" w:left="0" w:firstLine="0"/>
        <w:jc w:val="left"/>
        <w:textAlignment w:val="baseline"/>
        <w:rPr>
          <w:rFonts w:ascii="Times New Roman" w:hAnsi="Times New Roman" w:eastAsia="Times New Roman"/>
          <w:color w:val="000000"/>
          <w:spacing w:val="0"/>
          <w:w w:val="100"/>
          <w:sz w:val="17"/>
          <w:vertAlign w:val="baseline"/>
          <w:lang w:val="en-US"/>
        </w:rPr>
      </w:pPr>
      <w:r>
        <w:rPr>
          <w:rFonts w:ascii="Times New Roman" w:hAnsi="Times New Roman" w:eastAsia="Times New Roman"/>
          <w:color w:val="000000"/>
          <w:spacing w:val="0"/>
          <w:w w:val="100"/>
          <w:sz w:val="17"/>
          <w:vertAlign w:val="baseline"/>
          <w:lang w:val="en-US"/>
        </w:rPr>
        <w:t xml:space="preserve">PCC [359] 1.1.2021	</w:t>
      </w:r>
      <w:r>
        <w:rPr>
          <w:rFonts w:ascii="Times New Roman" w:hAnsi="Times New Roman" w:eastAsia="Times New Roman"/>
          <w:color w:val="000000"/>
          <w:spacing w:val="0"/>
          <w:w w:val="100"/>
          <w:sz w:val="17"/>
          <w:vertAlign w:val="baseline"/>
          <w:lang w:val="en-US"/>
        </w:rPr>
        <w:t xml:space="preserve">21</w:t>
      </w:r>
    </w:p>
    <w:p>
      <w:pPr>
        <w:sectPr>
          <w:type w:val="continuous"/>
          <w:pgSz w:w="11909" w:h="16838" w:orient="portrait"/>
          <w:pgMar w:bottom="1542" w:top="1320" w:right="5881" w:left="1988" w:header="720" w:footer="720"/>
          <w:titlePg w:val="false"/>
          <w:textDirection w:val="lrTb"/>
        </w:sectPr>
      </w:pPr>
    </w:p>
    <w:p>
      <w:pPr>
        <w:spacing w:before="20" w:after="23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720"/>
          <w:tab w:val="right" w:leader="none" w:pos="7704"/>
        </w:tabs>
        <w:spacing w:before="477"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90.95pt" to="498.5pt,90.9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10	</w:t>
      </w:r>
      <w:r>
        <w:rPr>
          <w:rFonts w:ascii="Times New Roman" w:hAnsi="Times New Roman" w:eastAsia="Times New Roman"/>
          <w:color w:val="000000"/>
          <w:spacing w:val="0"/>
          <w:w w:val="100"/>
          <w:sz w:val="20"/>
          <w:vertAlign w:val="baseline"/>
          <w:lang w:val="en-US"/>
        </w:rPr>
        <w:t xml:space="preserve">Labelling hazardous chemicals—agricultural and veterinary chemicals	</w:t>
      </w:r>
      <w:r>
        <w:rPr>
          <w:rFonts w:ascii="Times New Roman" w:hAnsi="Times New Roman" w:eastAsia="Times New Roman"/>
          <w:color w:val="000000"/>
          <w:spacing w:val="0"/>
          <w:w w:val="100"/>
          <w:sz w:val="20"/>
          <w:vertAlign w:val="baseline"/>
          <w:lang w:val="en-US"/>
        </w:rPr>
        <w:t xml:space="preserve">459</w:t>
      </w:r>
    </w:p>
    <w:p>
      <w:pPr>
        <w:tabs>
          <w:tab w:val="left" w:leader="none" w:pos="1368"/>
        </w:tabs>
        <w:spacing w:before="4" w:after="0" w:line="226"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Schedule 10	</w:t>
      </w:r>
      <w:r>
        <w:rPr>
          <w:rFonts w:ascii="Times New Roman" w:hAnsi="Times New Roman" w:eastAsia="Times New Roman"/>
          <w:b w:val="true"/>
          <w:color w:val="000000"/>
          <w:spacing w:val="0"/>
          <w:w w:val="100"/>
          <w:sz w:val="20"/>
          <w:vertAlign w:val="baseline"/>
          <w:lang w:val="en-US"/>
        </w:rPr>
        <w:t xml:space="preserve">Prohibited carcinogens, restricted carcinogens and restricted hazardous</w:t>
      </w:r>
    </w:p>
    <w:p>
      <w:pPr>
        <w:tabs>
          <w:tab w:val="left" w:leader="none" w:pos="1368"/>
        </w:tabs>
        <w:spacing w:before="4" w:after="0" w:line="226" w:lineRule="exact"/>
        <w:ind w:right="0" w:left="0" w:firstLine="0"/>
        <w:jc w:val="left"/>
        <w:textAlignment w:val="baseline"/>
        <w:rPr>
          <w:rFonts w:ascii="Times New Roman" w:hAnsi="Times New Roman" w:eastAsia="Times New Roman"/>
          <w:b w:val="true"/>
          <w:color w:val="000000"/>
          <w:spacing w:val="-1"/>
          <w:w w:val="100"/>
          <w:sz w:val="20"/>
          <w:vertAlign w:val="baseline"/>
          <w:lang w:val="en-US"/>
        </w:rPr>
      </w:pPr>
      <w:r>
        <w:rPr>
          <w:rFonts w:ascii="Times New Roman" w:hAnsi="Times New Roman" w:eastAsia="Times New Roman"/>
          <w:b w:val="true"/>
          <w:color w:val="000000"/>
          <w:spacing w:val="-1"/>
          <w:w w:val="100"/>
          <w:sz w:val="20"/>
          <w:vertAlign w:val="baseline"/>
          <w:lang w:val="en-US"/>
        </w:rPr>
        <w:t xml:space="preserve">chemicals	</w:t>
      </w:r>
      <w:r>
        <w:rPr>
          <w:rFonts w:ascii="Times New Roman" w:hAnsi="Times New Roman" w:eastAsia="Times New Roman"/>
          <w:b w:val="true"/>
          <w:color w:val="000000"/>
          <w:spacing w:val="-1"/>
          <w:w w:val="100"/>
          <w:sz w:val="20"/>
          <w:vertAlign w:val="baseline"/>
          <w:lang w:val="en-US"/>
        </w:rPr>
        <w:t xml:space="preserve">460</w:t>
      </w:r>
    </w:p>
    <w:p>
      <w:pPr>
        <w:tabs>
          <w:tab w:val="left" w:leader="none" w:pos="1368"/>
          <w:tab w:val="right" w:leader="none" w:pos="7704"/>
        </w:tabs>
        <w:spacing w:before="124" w:after="0" w:line="226"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Schedule 11	</w:t>
      </w:r>
      <w:r>
        <w:rPr>
          <w:rFonts w:ascii="Times New Roman" w:hAnsi="Times New Roman" w:eastAsia="Times New Roman"/>
          <w:b w:val="true"/>
          <w:color w:val="000000"/>
          <w:spacing w:val="0"/>
          <w:w w:val="100"/>
          <w:sz w:val="20"/>
          <w:vertAlign w:val="baseline"/>
          <w:lang w:val="en-US"/>
        </w:rPr>
        <w:t xml:space="preserve">Placard and manifest quantities	</w:t>
      </w:r>
      <w:r>
        <w:rPr>
          <w:rFonts w:ascii="Times New Roman" w:hAnsi="Times New Roman" w:eastAsia="Times New Roman"/>
          <w:b w:val="true"/>
          <w:color w:val="000000"/>
          <w:spacing w:val="0"/>
          <w:w w:val="100"/>
          <w:sz w:val="20"/>
          <w:vertAlign w:val="baseline"/>
          <w:lang w:val="en-US"/>
        </w:rPr>
        <w:t xml:space="preserve">463</w:t>
      </w:r>
    </w:p>
    <w:p>
      <w:pPr>
        <w:tabs>
          <w:tab w:val="left" w:leader="none" w:pos="720"/>
          <w:tab w:val="right" w:leader="none" w:pos="7704"/>
        </w:tabs>
        <w:spacing w:before="122"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Determination of classification of flammable liquids	</w:t>
      </w:r>
      <w:r>
        <w:rPr>
          <w:rFonts w:ascii="Times New Roman" w:hAnsi="Times New Roman" w:eastAsia="Times New Roman"/>
          <w:color w:val="000000"/>
          <w:spacing w:val="0"/>
          <w:w w:val="100"/>
          <w:sz w:val="20"/>
          <w:vertAlign w:val="baseline"/>
          <w:lang w:val="en-US"/>
        </w:rPr>
        <w:t xml:space="preserve">466</w:t>
      </w:r>
    </w:p>
    <w:p>
      <w:pPr>
        <w:tabs>
          <w:tab w:val="right" w:leader="none" w:pos="7704"/>
        </w:tabs>
        <w:spacing w:before="3" w:after="0" w:line="226"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Schedule 12 Manifest requirements	</w:t>
      </w:r>
      <w:r>
        <w:rPr>
          <w:rFonts w:ascii="Times New Roman" w:hAnsi="Times New Roman" w:eastAsia="Times New Roman"/>
          <w:b w:val="true"/>
          <w:color w:val="000000"/>
          <w:spacing w:val="0"/>
          <w:w w:val="100"/>
          <w:sz w:val="20"/>
          <w:vertAlign w:val="baseline"/>
          <w:lang w:val="en-US"/>
        </w:rPr>
        <w:t xml:space="preserve">467</w:t>
      </w:r>
    </w:p>
    <w:p>
      <w:pPr>
        <w:tabs>
          <w:tab w:val="left" w:leader="none" w:pos="720"/>
          <w:tab w:val="right" w:leader="none" w:pos="7704"/>
        </w:tabs>
        <w:spacing w:before="122"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Manifest—general information	</w:t>
      </w:r>
      <w:r>
        <w:rPr>
          <w:rFonts w:ascii="Times New Roman" w:hAnsi="Times New Roman" w:eastAsia="Times New Roman"/>
          <w:color w:val="000000"/>
          <w:spacing w:val="0"/>
          <w:w w:val="100"/>
          <w:sz w:val="20"/>
          <w:vertAlign w:val="baseline"/>
          <w:lang w:val="en-US"/>
        </w:rPr>
        <w:t xml:space="preserve">467</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Manifest—bulk storage and containers	</w:t>
      </w:r>
      <w:r>
        <w:rPr>
          <w:rFonts w:ascii="Times New Roman" w:hAnsi="Times New Roman" w:eastAsia="Times New Roman"/>
          <w:color w:val="000000"/>
          <w:spacing w:val="0"/>
          <w:w w:val="100"/>
          <w:sz w:val="20"/>
          <w:vertAlign w:val="baseline"/>
          <w:lang w:val="en-US"/>
        </w:rPr>
        <w:t xml:space="preserve">467</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	</w:t>
      </w:r>
      <w:r>
        <w:rPr>
          <w:rFonts w:ascii="Times New Roman" w:hAnsi="Times New Roman" w:eastAsia="Times New Roman"/>
          <w:color w:val="000000"/>
          <w:spacing w:val="0"/>
          <w:w w:val="100"/>
          <w:sz w:val="20"/>
          <w:vertAlign w:val="baseline"/>
          <w:lang w:val="en-US"/>
        </w:rPr>
        <w:t xml:space="preserve">Manifest—identification of hazardous chemical	</w:t>
      </w:r>
      <w:r>
        <w:rPr>
          <w:rFonts w:ascii="Times New Roman" w:hAnsi="Times New Roman" w:eastAsia="Times New Roman"/>
          <w:color w:val="000000"/>
          <w:spacing w:val="0"/>
          <w:w w:val="100"/>
          <w:sz w:val="20"/>
          <w:vertAlign w:val="baseline"/>
          <w:lang w:val="en-US"/>
        </w:rPr>
        <w:t xml:space="preserve">467</w:t>
      </w:r>
    </w:p>
    <w:p>
      <w:pPr>
        <w:tabs>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	</w:t>
      </w:r>
      <w:r>
        <w:rPr>
          <w:rFonts w:ascii="Times New Roman" w:hAnsi="Times New Roman" w:eastAsia="Times New Roman"/>
          <w:color w:val="000000"/>
          <w:spacing w:val="0"/>
          <w:w w:val="100"/>
          <w:sz w:val="20"/>
          <w:vertAlign w:val="baseline"/>
          <w:lang w:val="en-US"/>
        </w:rPr>
        <w:t xml:space="preserve">Manifest—storage area for packaged hazardous chemicals	</w:t>
      </w:r>
      <w:r>
        <w:rPr>
          <w:rFonts w:ascii="Times New Roman" w:hAnsi="Times New Roman" w:eastAsia="Times New Roman"/>
          <w:color w:val="000000"/>
          <w:spacing w:val="0"/>
          <w:w w:val="100"/>
          <w:sz w:val="20"/>
          <w:vertAlign w:val="baseline"/>
          <w:lang w:val="en-US"/>
        </w:rPr>
        <w:t xml:space="preserve">468</w:t>
      </w:r>
    </w:p>
    <w:p>
      <w:pPr>
        <w:tabs>
          <w:tab w:val="left" w:leader="none" w:pos="720"/>
          <w:tab w:val="right" w:leader="none" w:pos="7704"/>
        </w:tabs>
        <w:spacing w:before="0" w:after="0" w:line="225"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	</w:t>
      </w:r>
      <w:r>
        <w:rPr>
          <w:rFonts w:ascii="Times New Roman" w:hAnsi="Times New Roman" w:eastAsia="Times New Roman"/>
          <w:color w:val="000000"/>
          <w:spacing w:val="0"/>
          <w:w w:val="100"/>
          <w:sz w:val="20"/>
          <w:vertAlign w:val="baseline"/>
          <w:lang w:val="en-US"/>
        </w:rPr>
        <w:t xml:space="preserve">Manifest—hazardous chemicals being manufactured	</w:t>
      </w:r>
      <w:r>
        <w:rPr>
          <w:rFonts w:ascii="Times New Roman" w:hAnsi="Times New Roman" w:eastAsia="Times New Roman"/>
          <w:color w:val="000000"/>
          <w:spacing w:val="0"/>
          <w:w w:val="100"/>
          <w:sz w:val="20"/>
          <w:vertAlign w:val="baseline"/>
          <w:lang w:val="en-US"/>
        </w:rPr>
        <w:t xml:space="preserve">469</w:t>
      </w:r>
    </w:p>
    <w:p>
      <w:pPr>
        <w:tabs>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	</w:t>
      </w:r>
      <w:r>
        <w:rPr>
          <w:rFonts w:ascii="Times New Roman" w:hAnsi="Times New Roman" w:eastAsia="Times New Roman"/>
          <w:color w:val="000000"/>
          <w:spacing w:val="0"/>
          <w:w w:val="100"/>
          <w:sz w:val="20"/>
          <w:vertAlign w:val="baseline"/>
          <w:lang w:val="en-US"/>
        </w:rPr>
        <w:t xml:space="preserve">Manifest—hazardous chemicals in transit	</w:t>
      </w:r>
      <w:r>
        <w:rPr>
          <w:rFonts w:ascii="Times New Roman" w:hAnsi="Times New Roman" w:eastAsia="Times New Roman"/>
          <w:color w:val="000000"/>
          <w:spacing w:val="0"/>
          <w:w w:val="100"/>
          <w:sz w:val="20"/>
          <w:vertAlign w:val="baseline"/>
          <w:lang w:val="en-US"/>
        </w:rPr>
        <w:t xml:space="preserve">470</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7	</w:t>
      </w:r>
      <w:r>
        <w:rPr>
          <w:rFonts w:ascii="Times New Roman" w:hAnsi="Times New Roman" w:eastAsia="Times New Roman"/>
          <w:color w:val="000000"/>
          <w:spacing w:val="0"/>
          <w:w w:val="100"/>
          <w:sz w:val="20"/>
          <w:vertAlign w:val="baseline"/>
          <w:lang w:val="en-US"/>
        </w:rPr>
        <w:t xml:space="preserve">Manifest—plan of workplace	</w:t>
      </w:r>
      <w:r>
        <w:rPr>
          <w:rFonts w:ascii="Times New Roman" w:hAnsi="Times New Roman" w:eastAsia="Times New Roman"/>
          <w:color w:val="000000"/>
          <w:spacing w:val="0"/>
          <w:w w:val="100"/>
          <w:sz w:val="20"/>
          <w:vertAlign w:val="baseline"/>
          <w:lang w:val="en-US"/>
        </w:rPr>
        <w:t xml:space="preserve">470</w:t>
      </w:r>
    </w:p>
    <w:p>
      <w:pPr>
        <w:tabs>
          <w:tab w:val="right" w:leader="none" w:pos="7704"/>
        </w:tabs>
        <w:spacing w:before="4" w:after="0" w:line="226"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Schedule 13 Placard requirements	</w:t>
      </w:r>
      <w:r>
        <w:rPr>
          <w:rFonts w:ascii="Times New Roman" w:hAnsi="Times New Roman" w:eastAsia="Times New Roman"/>
          <w:b w:val="true"/>
          <w:color w:val="000000"/>
          <w:spacing w:val="0"/>
          <w:w w:val="100"/>
          <w:sz w:val="20"/>
          <w:vertAlign w:val="baseline"/>
          <w:lang w:val="en-US"/>
        </w:rPr>
        <w:t xml:space="preserve">472</w:t>
      </w:r>
    </w:p>
    <w:p>
      <w:pPr>
        <w:tabs>
          <w:tab w:val="left" w:leader="none" w:pos="720"/>
          <w:tab w:val="right" w:leader="none" w:pos="7704"/>
        </w:tabs>
        <w:spacing w:before="12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Displaying placards	</w:t>
      </w:r>
      <w:r>
        <w:rPr>
          <w:rFonts w:ascii="Times New Roman" w:hAnsi="Times New Roman" w:eastAsia="Times New Roman"/>
          <w:color w:val="000000"/>
          <w:spacing w:val="0"/>
          <w:w w:val="100"/>
          <w:sz w:val="20"/>
          <w:vertAlign w:val="baseline"/>
          <w:lang w:val="en-US"/>
        </w:rPr>
        <w:t xml:space="preserve">472</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Maintaining placards	</w:t>
      </w:r>
      <w:r>
        <w:rPr>
          <w:rFonts w:ascii="Times New Roman" w:hAnsi="Times New Roman" w:eastAsia="Times New Roman"/>
          <w:color w:val="000000"/>
          <w:spacing w:val="0"/>
          <w:w w:val="100"/>
          <w:sz w:val="20"/>
          <w:vertAlign w:val="baseline"/>
          <w:lang w:val="en-US"/>
        </w:rPr>
        <w:t xml:space="preserve">472</w:t>
      </w:r>
    </w:p>
    <w:p>
      <w:pPr>
        <w:tabs>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	</w:t>
      </w:r>
      <w:r>
        <w:rPr>
          <w:rFonts w:ascii="Times New Roman" w:hAnsi="Times New Roman" w:eastAsia="Times New Roman"/>
          <w:color w:val="000000"/>
          <w:spacing w:val="0"/>
          <w:w w:val="100"/>
          <w:sz w:val="20"/>
          <w:vertAlign w:val="baseline"/>
          <w:lang w:val="en-US"/>
        </w:rPr>
        <w:t xml:space="preserve">Outer warning placards—requirements	</w:t>
      </w:r>
      <w:r>
        <w:rPr>
          <w:rFonts w:ascii="Times New Roman" w:hAnsi="Times New Roman" w:eastAsia="Times New Roman"/>
          <w:color w:val="000000"/>
          <w:spacing w:val="0"/>
          <w:w w:val="100"/>
          <w:sz w:val="20"/>
          <w:vertAlign w:val="baseline"/>
          <w:lang w:val="en-US"/>
        </w:rPr>
        <w:t xml:space="preserve">473</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	</w:t>
      </w:r>
      <w:r>
        <w:rPr>
          <w:rFonts w:ascii="Times New Roman" w:hAnsi="Times New Roman" w:eastAsia="Times New Roman"/>
          <w:color w:val="000000"/>
          <w:spacing w:val="0"/>
          <w:w w:val="100"/>
          <w:sz w:val="20"/>
          <w:vertAlign w:val="baseline"/>
          <w:lang w:val="en-US"/>
        </w:rPr>
        <w:t xml:space="preserve">Placards for particular hazardous chemicals stored in bulk	</w:t>
      </w:r>
      <w:r>
        <w:rPr>
          <w:rFonts w:ascii="Times New Roman" w:hAnsi="Times New Roman" w:eastAsia="Times New Roman"/>
          <w:color w:val="000000"/>
          <w:spacing w:val="0"/>
          <w:w w:val="100"/>
          <w:sz w:val="20"/>
          <w:vertAlign w:val="baseline"/>
          <w:lang w:val="en-US"/>
        </w:rPr>
        <w:t xml:space="preserve">473</w:t>
      </w:r>
    </w:p>
    <w:p>
      <w:pPr>
        <w:tabs>
          <w:tab w:val="left" w:leader="none" w:pos="720"/>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	</w:t>
      </w:r>
      <w:r>
        <w:rPr>
          <w:rFonts w:ascii="Times New Roman" w:hAnsi="Times New Roman" w:eastAsia="Times New Roman"/>
          <w:color w:val="000000"/>
          <w:spacing w:val="0"/>
          <w:w w:val="100"/>
          <w:sz w:val="20"/>
          <w:vertAlign w:val="baseline"/>
          <w:lang w:val="en-US"/>
        </w:rPr>
        <w:t xml:space="preserve">Placards for unstable explosives, organic peroxides type A or self-reactive substances</w:t>
      </w:r>
    </w:p>
    <w:p>
      <w:pPr>
        <w:tabs>
          <w:tab w:val="right" w:leader="none" w:pos="7704"/>
        </w:tabs>
        <w:spacing w:before="0" w:after="0" w:line="230" w:lineRule="exact"/>
        <w:ind w:right="0" w:left="7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type A stored in bulk	</w:t>
      </w:r>
      <w:r>
        <w:rPr>
          <w:rFonts w:ascii="Times New Roman" w:hAnsi="Times New Roman" w:eastAsia="Times New Roman"/>
          <w:color w:val="000000"/>
          <w:spacing w:val="0"/>
          <w:w w:val="100"/>
          <w:sz w:val="20"/>
          <w:vertAlign w:val="baseline"/>
          <w:lang w:val="en-US"/>
        </w:rPr>
        <w:t xml:space="preserve">475</w:t>
      </w:r>
    </w:p>
    <w:p>
      <w:pPr>
        <w:tabs>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	</w:t>
      </w:r>
      <w:r>
        <w:rPr>
          <w:rFonts w:ascii="Times New Roman" w:hAnsi="Times New Roman" w:eastAsia="Times New Roman"/>
          <w:color w:val="000000"/>
          <w:spacing w:val="0"/>
          <w:w w:val="100"/>
          <w:sz w:val="20"/>
          <w:vertAlign w:val="baseline"/>
          <w:lang w:val="en-US"/>
        </w:rPr>
        <w:t xml:space="preserve">Placards for packaged Schedule 11 hazardous chemicals (other than flammable liquids</w:t>
      </w:r>
    </w:p>
    <w:p>
      <w:pPr>
        <w:tabs>
          <w:tab w:val="right" w:leader="none" w:pos="7704"/>
        </w:tabs>
        <w:spacing w:before="0" w:after="0" w:line="226" w:lineRule="exact"/>
        <w:ind w:right="0" w:left="7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category 4) and IBCs	</w:t>
      </w:r>
      <w:r>
        <w:rPr>
          <w:rFonts w:ascii="Times New Roman" w:hAnsi="Times New Roman" w:eastAsia="Times New Roman"/>
          <w:color w:val="000000"/>
          <w:spacing w:val="0"/>
          <w:w w:val="100"/>
          <w:sz w:val="20"/>
          <w:vertAlign w:val="baseline"/>
          <w:lang w:val="en-US"/>
        </w:rPr>
        <w:t xml:space="preserve">476</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7	</w:t>
      </w:r>
      <w:r>
        <w:rPr>
          <w:rFonts w:ascii="Times New Roman" w:hAnsi="Times New Roman" w:eastAsia="Times New Roman"/>
          <w:color w:val="000000"/>
          <w:spacing w:val="0"/>
          <w:w w:val="100"/>
          <w:sz w:val="20"/>
          <w:vertAlign w:val="baseline"/>
          <w:lang w:val="en-US"/>
        </w:rPr>
        <w:t xml:space="preserve">Placards for flammable liquids category 4 packaged or in bulk	</w:t>
      </w:r>
      <w:r>
        <w:rPr>
          <w:rFonts w:ascii="Times New Roman" w:hAnsi="Times New Roman" w:eastAsia="Times New Roman"/>
          <w:color w:val="000000"/>
          <w:spacing w:val="0"/>
          <w:w w:val="100"/>
          <w:sz w:val="20"/>
          <w:vertAlign w:val="baseline"/>
          <w:lang w:val="en-US"/>
        </w:rPr>
        <w:t xml:space="preserve">477</w:t>
      </w:r>
    </w:p>
    <w:p>
      <w:pPr>
        <w:tabs>
          <w:tab w:val="right" w:leader="none" w:pos="7704"/>
        </w:tabs>
        <w:spacing w:before="4" w:after="0" w:line="226"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Schedule 14 Requirements for health monitoring	</w:t>
      </w:r>
      <w:r>
        <w:rPr>
          <w:rFonts w:ascii="Times New Roman" w:hAnsi="Times New Roman" w:eastAsia="Times New Roman"/>
          <w:b w:val="true"/>
          <w:color w:val="000000"/>
          <w:spacing w:val="0"/>
          <w:w w:val="100"/>
          <w:sz w:val="20"/>
          <w:vertAlign w:val="baseline"/>
          <w:lang w:val="en-US"/>
        </w:rPr>
        <w:t xml:space="preserve">479</w:t>
      </w:r>
    </w:p>
    <w:p>
      <w:pPr>
        <w:spacing w:before="124" w:after="0" w:line="226" w:lineRule="exact"/>
        <w:ind w:right="0" w:left="0" w:firstLine="0"/>
        <w:jc w:val="left"/>
        <w:textAlignment w:val="baseline"/>
        <w:rPr>
          <w:rFonts w:ascii="Times New Roman" w:hAnsi="Times New Roman" w:eastAsia="Times New Roman"/>
          <w:b w:val="true"/>
          <w:color w:val="000000"/>
          <w:spacing w:val="3"/>
          <w:w w:val="100"/>
          <w:sz w:val="20"/>
          <w:vertAlign w:val="baseline"/>
          <w:lang w:val="en-US"/>
        </w:rPr>
      </w:pPr>
      <w:r>
        <w:rPr>
          <w:rFonts w:ascii="Times New Roman" w:hAnsi="Times New Roman" w:eastAsia="Times New Roman"/>
          <w:b w:val="true"/>
          <w:color w:val="000000"/>
          <w:spacing w:val="3"/>
          <w:w w:val="100"/>
          <w:sz w:val="20"/>
          <w:vertAlign w:val="baseline"/>
          <w:lang w:val="en-US"/>
        </w:rPr>
        <w:t xml:space="preserve">Schedule 15 Hazardous chemicals at major hazard facilities (and their threshold</w:t>
      </w:r>
    </w:p>
    <w:p>
      <w:pPr>
        <w:tabs>
          <w:tab w:val="left" w:leader="none" w:pos="1368"/>
        </w:tabs>
        <w:spacing w:before="5" w:after="0" w:line="226" w:lineRule="exact"/>
        <w:ind w:right="0" w:left="0" w:firstLine="0"/>
        <w:jc w:val="left"/>
        <w:textAlignment w:val="baseline"/>
        <w:rPr>
          <w:rFonts w:ascii="Times New Roman" w:hAnsi="Times New Roman" w:eastAsia="Times New Roman"/>
          <w:b w:val="true"/>
          <w:color w:val="000000"/>
          <w:spacing w:val="-1"/>
          <w:w w:val="100"/>
          <w:sz w:val="20"/>
          <w:vertAlign w:val="baseline"/>
          <w:lang w:val="en-US"/>
        </w:rPr>
      </w:pPr>
      <w:r>
        <w:rPr>
          <w:rFonts w:ascii="Times New Roman" w:hAnsi="Times New Roman" w:eastAsia="Times New Roman"/>
          <w:b w:val="true"/>
          <w:color w:val="000000"/>
          <w:spacing w:val="-1"/>
          <w:w w:val="100"/>
          <w:sz w:val="20"/>
          <w:vertAlign w:val="baseline"/>
          <w:lang w:val="en-US"/>
        </w:rPr>
        <w:t xml:space="preserve">quantity)	</w:t>
      </w:r>
      <w:r>
        <w:rPr>
          <w:rFonts w:ascii="Times New Roman" w:hAnsi="Times New Roman" w:eastAsia="Times New Roman"/>
          <w:b w:val="true"/>
          <w:color w:val="000000"/>
          <w:spacing w:val="-1"/>
          <w:w w:val="100"/>
          <w:sz w:val="20"/>
          <w:vertAlign w:val="baseline"/>
          <w:lang w:val="en-US"/>
        </w:rPr>
        <w:t xml:space="preserve">482</w:t>
      </w:r>
    </w:p>
    <w:p>
      <w:pPr>
        <w:tabs>
          <w:tab w:val="left" w:leader="none" w:pos="720"/>
          <w:tab w:val="right" w:leader="none" w:pos="7704"/>
        </w:tabs>
        <w:spacing w:before="12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Definitions	</w:t>
      </w:r>
      <w:r>
        <w:rPr>
          <w:rFonts w:ascii="Times New Roman" w:hAnsi="Times New Roman" w:eastAsia="Times New Roman"/>
          <w:color w:val="000000"/>
          <w:spacing w:val="0"/>
          <w:w w:val="100"/>
          <w:sz w:val="20"/>
          <w:vertAlign w:val="baseline"/>
          <w:lang w:val="en-US"/>
        </w:rPr>
        <w:t xml:space="preserve">482</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Relevant hazardous chemicals	</w:t>
      </w:r>
      <w:r>
        <w:rPr>
          <w:rFonts w:ascii="Times New Roman" w:hAnsi="Times New Roman" w:eastAsia="Times New Roman"/>
          <w:color w:val="000000"/>
          <w:spacing w:val="0"/>
          <w:w w:val="100"/>
          <w:sz w:val="20"/>
          <w:vertAlign w:val="baseline"/>
          <w:lang w:val="en-US"/>
        </w:rPr>
        <w:t xml:space="preserve">482</w:t>
      </w:r>
    </w:p>
    <w:p>
      <w:pPr>
        <w:tabs>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	</w:t>
      </w:r>
      <w:r>
        <w:rPr>
          <w:rFonts w:ascii="Times New Roman" w:hAnsi="Times New Roman" w:eastAsia="Times New Roman"/>
          <w:color w:val="000000"/>
          <w:spacing w:val="0"/>
          <w:w w:val="100"/>
          <w:sz w:val="20"/>
          <w:vertAlign w:val="baseline"/>
          <w:lang w:val="en-US"/>
        </w:rPr>
        <w:t xml:space="preserve">Threshold quantity of one hazardous chemical	</w:t>
      </w:r>
      <w:r>
        <w:rPr>
          <w:rFonts w:ascii="Times New Roman" w:hAnsi="Times New Roman" w:eastAsia="Times New Roman"/>
          <w:color w:val="000000"/>
          <w:spacing w:val="0"/>
          <w:w w:val="100"/>
          <w:sz w:val="20"/>
          <w:vertAlign w:val="baseline"/>
          <w:lang w:val="en-US"/>
        </w:rPr>
        <w:t xml:space="preserve">482</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	</w:t>
      </w:r>
      <w:r>
        <w:rPr>
          <w:rFonts w:ascii="Times New Roman" w:hAnsi="Times New Roman" w:eastAsia="Times New Roman"/>
          <w:color w:val="000000"/>
          <w:spacing w:val="0"/>
          <w:w w:val="100"/>
          <w:sz w:val="20"/>
          <w:vertAlign w:val="baseline"/>
          <w:lang w:val="en-US"/>
        </w:rPr>
        <w:t xml:space="preserve">Threshold quantity of more than 1 hazardous chemical	</w:t>
      </w:r>
      <w:r>
        <w:rPr>
          <w:rFonts w:ascii="Times New Roman" w:hAnsi="Times New Roman" w:eastAsia="Times New Roman"/>
          <w:color w:val="000000"/>
          <w:spacing w:val="0"/>
          <w:w w:val="100"/>
          <w:sz w:val="20"/>
          <w:vertAlign w:val="baseline"/>
          <w:lang w:val="en-US"/>
        </w:rPr>
        <w:t xml:space="preserve">482</w:t>
      </w:r>
    </w:p>
    <w:p>
      <w:pPr>
        <w:tabs>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	</w:t>
      </w:r>
      <w:r>
        <w:rPr>
          <w:rFonts w:ascii="Times New Roman" w:hAnsi="Times New Roman" w:eastAsia="Times New Roman"/>
          <w:color w:val="000000"/>
          <w:spacing w:val="0"/>
          <w:w w:val="100"/>
          <w:sz w:val="20"/>
          <w:vertAlign w:val="baseline"/>
          <w:lang w:val="en-US"/>
        </w:rPr>
        <w:t xml:space="preserve">How table 15.1 must be used	</w:t>
      </w:r>
      <w:r>
        <w:rPr>
          <w:rFonts w:ascii="Times New Roman" w:hAnsi="Times New Roman" w:eastAsia="Times New Roman"/>
          <w:color w:val="000000"/>
          <w:spacing w:val="0"/>
          <w:w w:val="100"/>
          <w:sz w:val="20"/>
          <w:vertAlign w:val="baseline"/>
          <w:lang w:val="en-US"/>
        </w:rPr>
        <w:t xml:space="preserve">483</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	</w:t>
      </w:r>
      <w:r>
        <w:rPr>
          <w:rFonts w:ascii="Times New Roman" w:hAnsi="Times New Roman" w:eastAsia="Times New Roman"/>
          <w:color w:val="000000"/>
          <w:spacing w:val="0"/>
          <w:w w:val="100"/>
          <w:sz w:val="20"/>
          <w:vertAlign w:val="baseline"/>
          <w:lang w:val="en-US"/>
        </w:rPr>
        <w:t xml:space="preserve">How table 15.2 must be used	</w:t>
      </w:r>
      <w:r>
        <w:rPr>
          <w:rFonts w:ascii="Times New Roman" w:hAnsi="Times New Roman" w:eastAsia="Times New Roman"/>
          <w:color w:val="000000"/>
          <w:spacing w:val="0"/>
          <w:w w:val="100"/>
          <w:sz w:val="20"/>
          <w:vertAlign w:val="baseline"/>
          <w:lang w:val="en-US"/>
        </w:rPr>
        <w:t xml:space="preserve">483</w:t>
      </w:r>
    </w:p>
    <w:p>
      <w:pPr>
        <w:spacing w:before="3" w:after="0" w:line="226" w:lineRule="exact"/>
        <w:ind w:right="0" w:left="0" w:firstLine="0"/>
        <w:jc w:val="left"/>
        <w:textAlignment w:val="baseline"/>
        <w:rPr>
          <w:rFonts w:ascii="Times New Roman" w:hAnsi="Times New Roman" w:eastAsia="Times New Roman"/>
          <w:b w:val="true"/>
          <w:color w:val="000000"/>
          <w:spacing w:val="6"/>
          <w:w w:val="100"/>
          <w:sz w:val="20"/>
          <w:vertAlign w:val="baseline"/>
          <w:lang w:val="en-US"/>
        </w:rPr>
      </w:pPr>
      <w:r>
        <w:rPr>
          <w:rFonts w:ascii="Times New Roman" w:hAnsi="Times New Roman" w:eastAsia="Times New Roman"/>
          <w:b w:val="true"/>
          <w:color w:val="000000"/>
          <w:spacing w:val="6"/>
          <w:w w:val="100"/>
          <w:sz w:val="20"/>
          <w:vertAlign w:val="baseline"/>
          <w:lang w:val="en-US"/>
        </w:rPr>
        <w:t xml:space="preserve">Schedule 16 Matters to be included in emergency plan for major hazard facility 489</w:t>
      </w:r>
    </w:p>
    <w:p>
      <w:pPr>
        <w:tabs>
          <w:tab w:val="left" w:leader="none" w:pos="720"/>
          <w:tab w:val="right" w:leader="none" w:pos="7704"/>
        </w:tabs>
        <w:spacing w:before="117"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Site and hazard detail	</w:t>
      </w:r>
      <w:r>
        <w:rPr>
          <w:rFonts w:ascii="Times New Roman" w:hAnsi="Times New Roman" w:eastAsia="Times New Roman"/>
          <w:color w:val="000000"/>
          <w:spacing w:val="0"/>
          <w:w w:val="100"/>
          <w:sz w:val="20"/>
          <w:vertAlign w:val="baseline"/>
          <w:lang w:val="en-US"/>
        </w:rPr>
        <w:t xml:space="preserve">489</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Command structure and site personnel	</w:t>
      </w:r>
      <w:r>
        <w:rPr>
          <w:rFonts w:ascii="Times New Roman" w:hAnsi="Times New Roman" w:eastAsia="Times New Roman"/>
          <w:color w:val="000000"/>
          <w:spacing w:val="0"/>
          <w:w w:val="100"/>
          <w:sz w:val="20"/>
          <w:vertAlign w:val="baseline"/>
          <w:lang w:val="en-US"/>
        </w:rPr>
        <w:t xml:space="preserve">489</w:t>
      </w:r>
    </w:p>
    <w:p>
      <w:pPr>
        <w:tabs>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	</w:t>
      </w:r>
      <w:r>
        <w:rPr>
          <w:rFonts w:ascii="Times New Roman" w:hAnsi="Times New Roman" w:eastAsia="Times New Roman"/>
          <w:color w:val="000000"/>
          <w:spacing w:val="0"/>
          <w:w w:val="100"/>
          <w:sz w:val="20"/>
          <w:vertAlign w:val="baseline"/>
          <w:lang w:val="en-US"/>
        </w:rPr>
        <w:t xml:space="preserve">Notifications	</w:t>
      </w:r>
      <w:r>
        <w:rPr>
          <w:rFonts w:ascii="Times New Roman" w:hAnsi="Times New Roman" w:eastAsia="Times New Roman"/>
          <w:color w:val="000000"/>
          <w:spacing w:val="0"/>
          <w:w w:val="100"/>
          <w:sz w:val="20"/>
          <w:vertAlign w:val="baseline"/>
          <w:lang w:val="en-US"/>
        </w:rPr>
        <w:t xml:space="preserve">490</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	</w:t>
      </w:r>
      <w:r>
        <w:rPr>
          <w:rFonts w:ascii="Times New Roman" w:hAnsi="Times New Roman" w:eastAsia="Times New Roman"/>
          <w:color w:val="000000"/>
          <w:spacing w:val="0"/>
          <w:w w:val="100"/>
          <w:sz w:val="20"/>
          <w:vertAlign w:val="baseline"/>
          <w:lang w:val="en-US"/>
        </w:rPr>
        <w:t xml:space="preserve">Resources and equipment	</w:t>
      </w:r>
      <w:r>
        <w:rPr>
          <w:rFonts w:ascii="Times New Roman" w:hAnsi="Times New Roman" w:eastAsia="Times New Roman"/>
          <w:color w:val="000000"/>
          <w:spacing w:val="0"/>
          <w:w w:val="100"/>
          <w:sz w:val="20"/>
          <w:vertAlign w:val="baseline"/>
          <w:lang w:val="en-US"/>
        </w:rPr>
        <w:t xml:space="preserve">490</w:t>
      </w:r>
    </w:p>
    <w:p>
      <w:pPr>
        <w:tabs>
          <w:tab w:val="right" w:leader="none" w:pos="7704"/>
        </w:tabs>
        <w:spacing w:before="0" w:after="0" w:line="230" w:lineRule="exact"/>
        <w:ind w:right="0" w:left="0" w:firstLine="216"/>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 Procedures	</w:t>
      </w:r>
      <w:r>
        <w:rPr>
          <w:rFonts w:ascii="Times New Roman" w:hAnsi="Times New Roman" w:eastAsia="Times New Roman"/>
          <w:color w:val="000000"/>
          <w:spacing w:val="0"/>
          <w:w w:val="100"/>
          <w:sz w:val="20"/>
          <w:vertAlign w:val="baseline"/>
          <w:lang w:val="en-US"/>
        </w:rPr>
        <w:t xml:space="preserve">490</w:t>
        <w:br/>
      </w:r>
      <w:r>
        <w:rPr>
          <w:rFonts w:ascii="Times New Roman" w:hAnsi="Times New Roman" w:eastAsia="Times New Roman"/>
          <w:b w:val="true"/>
          <w:color w:val="000000"/>
          <w:spacing w:val="0"/>
          <w:w w:val="100"/>
          <w:sz w:val="20"/>
          <w:vertAlign w:val="baseline"/>
          <w:lang w:val="en-US"/>
        </w:rPr>
        <w:t xml:space="preserve">Schedule 17 Additional matters to be included in safety management system of major hazard facility 492</w:t>
      </w:r>
    </w:p>
    <w:p>
      <w:pPr>
        <w:tabs>
          <w:tab w:val="left" w:leader="none" w:pos="720"/>
          <w:tab w:val="right" w:leader="none" w:pos="7704"/>
        </w:tabs>
        <w:spacing w:before="122"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Safety policy and safety objectives	</w:t>
      </w:r>
      <w:r>
        <w:rPr>
          <w:rFonts w:ascii="Times New Roman" w:hAnsi="Times New Roman" w:eastAsia="Times New Roman"/>
          <w:color w:val="000000"/>
          <w:spacing w:val="0"/>
          <w:w w:val="100"/>
          <w:sz w:val="20"/>
          <w:vertAlign w:val="baseline"/>
          <w:lang w:val="en-US"/>
        </w:rPr>
        <w:t xml:space="preserve">492</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Organisation and personnel	</w:t>
      </w:r>
      <w:r>
        <w:rPr>
          <w:rFonts w:ascii="Times New Roman" w:hAnsi="Times New Roman" w:eastAsia="Times New Roman"/>
          <w:color w:val="000000"/>
          <w:spacing w:val="0"/>
          <w:w w:val="100"/>
          <w:sz w:val="20"/>
          <w:vertAlign w:val="baseline"/>
          <w:lang w:val="en-US"/>
        </w:rPr>
        <w:t xml:space="preserve">492</w:t>
      </w:r>
    </w:p>
    <w:p>
      <w:pPr>
        <w:tabs>
          <w:tab w:val="left" w:leader="none" w:pos="720"/>
          <w:tab w:val="right" w:leader="none" w:pos="7704"/>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	</w:t>
      </w:r>
      <w:r>
        <w:rPr>
          <w:rFonts w:ascii="Times New Roman" w:hAnsi="Times New Roman" w:eastAsia="Times New Roman"/>
          <w:color w:val="000000"/>
          <w:spacing w:val="0"/>
          <w:w w:val="100"/>
          <w:sz w:val="20"/>
          <w:vertAlign w:val="baseline"/>
          <w:lang w:val="en-US"/>
        </w:rPr>
        <w:t xml:space="preserve">Operational controls	</w:t>
      </w:r>
      <w:r>
        <w:rPr>
          <w:rFonts w:ascii="Times New Roman" w:hAnsi="Times New Roman" w:eastAsia="Times New Roman"/>
          <w:color w:val="000000"/>
          <w:spacing w:val="0"/>
          <w:w w:val="100"/>
          <w:sz w:val="20"/>
          <w:vertAlign w:val="baseline"/>
          <w:lang w:val="en-US"/>
        </w:rPr>
        <w:t xml:space="preserve">492</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	</w:t>
      </w:r>
      <w:r>
        <w:rPr>
          <w:rFonts w:ascii="Times New Roman" w:hAnsi="Times New Roman" w:eastAsia="Times New Roman"/>
          <w:color w:val="000000"/>
          <w:spacing w:val="0"/>
          <w:w w:val="100"/>
          <w:sz w:val="20"/>
          <w:vertAlign w:val="baseline"/>
          <w:lang w:val="en-US"/>
        </w:rPr>
        <w:t xml:space="preserve">Duties of operators	</w:t>
      </w:r>
      <w:r>
        <w:rPr>
          <w:rFonts w:ascii="Times New Roman" w:hAnsi="Times New Roman" w:eastAsia="Times New Roman"/>
          <w:color w:val="000000"/>
          <w:spacing w:val="0"/>
          <w:w w:val="100"/>
          <w:sz w:val="20"/>
          <w:vertAlign w:val="baseline"/>
          <w:lang w:val="en-US"/>
        </w:rPr>
        <w:t xml:space="preserve">493</w:t>
      </w:r>
    </w:p>
    <w:p>
      <w:pPr>
        <w:tabs>
          <w:tab w:val="left" w:leader="none" w:pos="720"/>
          <w:tab w:val="right" w:leader="none" w:pos="7704"/>
        </w:tabs>
        <w:spacing w:before="0" w:after="0" w:line="226"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	</w:t>
      </w:r>
      <w:r>
        <w:rPr>
          <w:rFonts w:ascii="Times New Roman" w:hAnsi="Times New Roman" w:eastAsia="Times New Roman"/>
          <w:color w:val="000000"/>
          <w:spacing w:val="0"/>
          <w:w w:val="100"/>
          <w:sz w:val="20"/>
          <w:vertAlign w:val="baseline"/>
          <w:lang w:val="en-US"/>
        </w:rPr>
        <w:t xml:space="preserve">Management of change	</w:t>
      </w:r>
      <w:r>
        <w:rPr>
          <w:rFonts w:ascii="Times New Roman" w:hAnsi="Times New Roman" w:eastAsia="Times New Roman"/>
          <w:color w:val="000000"/>
          <w:spacing w:val="0"/>
          <w:w w:val="100"/>
          <w:sz w:val="20"/>
          <w:vertAlign w:val="baseline"/>
          <w:lang w:val="en-US"/>
        </w:rPr>
        <w:t xml:space="preserve">493</w:t>
      </w:r>
    </w:p>
    <w:p>
      <w:pPr>
        <w:tabs>
          <w:tab w:val="left" w:leader="none" w:pos="720"/>
          <w:tab w:val="right" w:leader="none" w:pos="7704"/>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	</w:t>
      </w:r>
      <w:r>
        <w:rPr>
          <w:rFonts w:ascii="Times New Roman" w:hAnsi="Times New Roman" w:eastAsia="Times New Roman"/>
          <w:color w:val="000000"/>
          <w:spacing w:val="0"/>
          <w:w w:val="100"/>
          <w:sz w:val="20"/>
          <w:vertAlign w:val="baseline"/>
          <w:lang w:val="en-US"/>
        </w:rPr>
        <w:t xml:space="preserve">Principles and standards	</w:t>
      </w:r>
      <w:r>
        <w:rPr>
          <w:rFonts w:ascii="Times New Roman" w:hAnsi="Times New Roman" w:eastAsia="Times New Roman"/>
          <w:color w:val="000000"/>
          <w:spacing w:val="0"/>
          <w:w w:val="100"/>
          <w:sz w:val="20"/>
          <w:vertAlign w:val="baseline"/>
          <w:lang w:val="en-US"/>
        </w:rPr>
        <w:t xml:space="preserve">493</w:t>
      </w:r>
    </w:p>
    <w:p>
      <w:pPr>
        <w:tabs>
          <w:tab w:val="left" w:leader="none" w:pos="720"/>
          <w:tab w:val="right" w:leader="none" w:pos="7704"/>
        </w:tabs>
        <w:spacing w:before="0" w:after="629"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10.65pt" to="498.5pt,710.6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7	</w:t>
      </w:r>
      <w:r>
        <w:rPr>
          <w:rFonts w:ascii="Times New Roman" w:hAnsi="Times New Roman" w:eastAsia="Times New Roman"/>
          <w:color w:val="000000"/>
          <w:spacing w:val="0"/>
          <w:w w:val="100"/>
          <w:sz w:val="20"/>
          <w:vertAlign w:val="baseline"/>
          <w:lang w:val="en-US"/>
        </w:rPr>
        <w:t xml:space="preserve">Performance monitoring	</w:t>
      </w:r>
      <w:r>
        <w:rPr>
          <w:rFonts w:ascii="Times New Roman" w:hAnsi="Times New Roman" w:eastAsia="Times New Roman"/>
          <w:color w:val="000000"/>
          <w:spacing w:val="0"/>
          <w:w w:val="100"/>
          <w:sz w:val="20"/>
          <w:vertAlign w:val="baseline"/>
          <w:lang w:val="en-US"/>
        </w:rPr>
        <w:t xml:space="preserve">493</w:t>
      </w:r>
    </w:p>
    <w:p>
      <w:pPr>
        <w:spacing w:before="0" w:after="629" w:line="230" w:lineRule="exact"/>
        <w:sectPr>
          <w:type w:val="nextPage"/>
          <w:pgSz w:w="11909" w:h="16838" w:orient="portrait"/>
          <w:pgMar w:bottom="1542" w:top="1320" w:right="1940" w:left="1949" w:header="720" w:footer="720"/>
          <w:titlePg w:val="false"/>
          <w:textDirection w:val="lrTb"/>
        </w:sectPr>
      </w:pPr>
    </w:p>
    <w:p>
      <w:pPr>
        <w:tabs>
          <w:tab w:val="right" w:leader="none" w:pos="4104"/>
        </w:tabs>
        <w:spacing w:before="12" w:after="0" w:line="179" w:lineRule="exact"/>
        <w:ind w:right="0" w:left="0" w:firstLine="0"/>
        <w:jc w:val="left"/>
        <w:textAlignment w:val="baseline"/>
        <w:rPr>
          <w:rFonts w:ascii="Times New Roman" w:hAnsi="Times New Roman" w:eastAsia="Times New Roman"/>
          <w:color w:val="000000"/>
          <w:spacing w:val="0"/>
          <w:w w:val="100"/>
          <w:sz w:val="17"/>
          <w:vertAlign w:val="baseline"/>
          <w:lang w:val="en-US"/>
        </w:rPr>
      </w:pPr>
      <w:r>
        <w:rPr>
          <w:rFonts w:ascii="Times New Roman" w:hAnsi="Times New Roman" w:eastAsia="Times New Roman"/>
          <w:color w:val="000000"/>
          <w:spacing w:val="0"/>
          <w:w w:val="100"/>
          <w:sz w:val="17"/>
          <w:vertAlign w:val="baseline"/>
          <w:lang w:val="en-US"/>
        </w:rPr>
        <w:t xml:space="preserve">PCC [359] 1.1.2021	</w:t>
      </w:r>
      <w:r>
        <w:rPr>
          <w:rFonts w:ascii="Times New Roman" w:hAnsi="Times New Roman" w:eastAsia="Times New Roman"/>
          <w:color w:val="000000"/>
          <w:spacing w:val="0"/>
          <w:w w:val="100"/>
          <w:sz w:val="17"/>
          <w:vertAlign w:val="baseline"/>
          <w:lang w:val="en-US"/>
        </w:rPr>
        <w:t xml:space="preserve">22</w:t>
      </w:r>
    </w:p>
    <w:p>
      <w:pPr>
        <w:sectPr>
          <w:type w:val="continuous"/>
          <w:pgSz w:w="11909" w:h="16838" w:orient="portrait"/>
          <w:pgMar w:bottom="1542" w:top="1320" w:right="5873" w:left="1996" w:header="720" w:footer="720"/>
          <w:titlePg w:val="false"/>
          <w:textDirection w:val="lrTb"/>
        </w:sectPr>
      </w:pPr>
    </w:p>
    <w:p>
      <w:pPr>
        <w:spacing w:before="22" w:after="228"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7272"/>
        </w:tabs>
        <w:spacing w:before="480" w:after="0" w:line="230" w:lineRule="exact"/>
        <w:ind w:right="0" w:left="0" w:firstLine="216"/>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90.95pt" to="498.5pt,90.9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8 Audit	</w:t>
      </w:r>
      <w:r>
        <w:rPr>
          <w:rFonts w:ascii="Times New Roman" w:hAnsi="Times New Roman" w:eastAsia="Times New Roman"/>
          <w:color w:val="000000"/>
          <w:spacing w:val="0"/>
          <w:w w:val="100"/>
          <w:sz w:val="20"/>
          <w:vertAlign w:val="baseline"/>
          <w:lang w:val="en-US"/>
        </w:rPr>
        <w:t xml:space="preserve">494 </w:t>
      </w:r>
      <w:r>
        <w:rPr>
          <w:rFonts w:ascii="Times New Roman" w:hAnsi="Times New Roman" w:eastAsia="Times New Roman"/>
          <w:b w:val="true"/>
          <w:color w:val="000000"/>
          <w:spacing w:val="0"/>
          <w:w w:val="100"/>
          <w:sz w:val="20"/>
          <w:vertAlign w:val="baseline"/>
          <w:lang w:val="en-US"/>
        </w:rPr>
        <w:t xml:space="preserve">Schedule 18 Additional matters to be included in safety case for a major hazard</w:t>
      </w:r>
    </w:p>
    <w:p>
      <w:pPr>
        <w:tabs>
          <w:tab w:val="left" w:leader="none" w:pos="1368"/>
        </w:tabs>
        <w:spacing w:before="1" w:after="0" w:line="229" w:lineRule="exact"/>
        <w:ind w:right="0" w:left="0" w:firstLine="0"/>
        <w:jc w:val="left"/>
        <w:textAlignment w:val="baseline"/>
        <w:rPr>
          <w:rFonts w:ascii="Times New Roman" w:hAnsi="Times New Roman" w:eastAsia="Times New Roman"/>
          <w:b w:val="true"/>
          <w:color w:val="000000"/>
          <w:spacing w:val="-1"/>
          <w:w w:val="100"/>
          <w:sz w:val="20"/>
          <w:vertAlign w:val="baseline"/>
          <w:lang w:val="en-US"/>
        </w:rPr>
      </w:pPr>
      <w:r>
        <w:rPr>
          <w:rFonts w:ascii="Times New Roman" w:hAnsi="Times New Roman" w:eastAsia="Times New Roman"/>
          <w:b w:val="true"/>
          <w:color w:val="000000"/>
          <w:spacing w:val="-1"/>
          <w:w w:val="100"/>
          <w:sz w:val="20"/>
          <w:vertAlign w:val="baseline"/>
          <w:lang w:val="en-US"/>
        </w:rPr>
        <w:t xml:space="preserve">facility	</w:t>
      </w:r>
      <w:r>
        <w:rPr>
          <w:rFonts w:ascii="Times New Roman" w:hAnsi="Times New Roman" w:eastAsia="Times New Roman"/>
          <w:b w:val="true"/>
          <w:color w:val="000000"/>
          <w:spacing w:val="-1"/>
          <w:w w:val="100"/>
          <w:sz w:val="20"/>
          <w:vertAlign w:val="baseline"/>
          <w:lang w:val="en-US"/>
        </w:rPr>
        <w:t xml:space="preserve">495</w:t>
      </w:r>
    </w:p>
    <w:p>
      <w:pPr>
        <w:tabs>
          <w:tab w:val="left" w:leader="none" w:pos="1368"/>
          <w:tab w:val="left" w:leader="none" w:pos="7272"/>
        </w:tabs>
        <w:spacing w:before="121" w:after="0" w:line="229"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1	</w:t>
      </w:r>
      <w:r>
        <w:rPr>
          <w:rFonts w:ascii="Times New Roman" w:hAnsi="Times New Roman" w:eastAsia="Times New Roman"/>
          <w:b w:val="true"/>
          <w:color w:val="000000"/>
          <w:spacing w:val="0"/>
          <w:w w:val="100"/>
          <w:sz w:val="20"/>
          <w:vertAlign w:val="baseline"/>
          <w:lang w:val="en-US"/>
        </w:rPr>
        <w:t xml:space="preserve">Facility description	</w:t>
      </w:r>
      <w:r>
        <w:rPr>
          <w:rFonts w:ascii="Times New Roman" w:hAnsi="Times New Roman" w:eastAsia="Times New Roman"/>
          <w:b w:val="true"/>
          <w:color w:val="000000"/>
          <w:spacing w:val="0"/>
          <w:w w:val="100"/>
          <w:sz w:val="20"/>
          <w:vertAlign w:val="baseline"/>
          <w:lang w:val="en-US"/>
        </w:rPr>
        <w:t xml:space="preserve">495</w:t>
      </w:r>
    </w:p>
    <w:p>
      <w:pPr>
        <w:tabs>
          <w:tab w:val="left" w:leader="none" w:pos="720"/>
          <w:tab w:val="left" w:leader="none" w:pos="7272"/>
        </w:tabs>
        <w:spacing w:before="12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The facility	</w:t>
      </w:r>
      <w:r>
        <w:rPr>
          <w:rFonts w:ascii="Times New Roman" w:hAnsi="Times New Roman" w:eastAsia="Times New Roman"/>
          <w:color w:val="000000"/>
          <w:spacing w:val="0"/>
          <w:w w:val="100"/>
          <w:sz w:val="20"/>
          <w:vertAlign w:val="baseline"/>
          <w:lang w:val="en-US"/>
        </w:rPr>
        <w:t xml:space="preserve">495</w:t>
      </w:r>
    </w:p>
    <w:p>
      <w:pPr>
        <w:tabs>
          <w:tab w:val="left" w:leader="none" w:pos="720"/>
          <w:tab w:val="left" w:leader="none" w:pos="7272"/>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The surrounding area	</w:t>
      </w:r>
      <w:r>
        <w:rPr>
          <w:rFonts w:ascii="Times New Roman" w:hAnsi="Times New Roman" w:eastAsia="Times New Roman"/>
          <w:color w:val="000000"/>
          <w:spacing w:val="0"/>
          <w:w w:val="100"/>
          <w:sz w:val="20"/>
          <w:vertAlign w:val="baseline"/>
          <w:lang w:val="en-US"/>
        </w:rPr>
        <w:t xml:space="preserve">496</w:t>
      </w:r>
    </w:p>
    <w:p>
      <w:pPr>
        <w:tabs>
          <w:tab w:val="left" w:leader="none" w:pos="1368"/>
          <w:tab w:val="left" w:leader="none" w:pos="7272"/>
        </w:tabs>
        <w:spacing w:before="2" w:after="0" w:line="229"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Part 2	</w:t>
      </w:r>
      <w:r>
        <w:rPr>
          <w:rFonts w:ascii="Times New Roman" w:hAnsi="Times New Roman" w:eastAsia="Times New Roman"/>
          <w:b w:val="true"/>
          <w:color w:val="000000"/>
          <w:spacing w:val="0"/>
          <w:w w:val="100"/>
          <w:sz w:val="20"/>
          <w:vertAlign w:val="baseline"/>
          <w:lang w:val="en-US"/>
        </w:rPr>
        <w:t xml:space="preserve">Safety information	</w:t>
      </w:r>
      <w:r>
        <w:rPr>
          <w:rFonts w:ascii="Times New Roman" w:hAnsi="Times New Roman" w:eastAsia="Times New Roman"/>
          <w:b w:val="true"/>
          <w:color w:val="000000"/>
          <w:spacing w:val="0"/>
          <w:w w:val="100"/>
          <w:sz w:val="20"/>
          <w:vertAlign w:val="baseline"/>
          <w:lang w:val="en-US"/>
        </w:rPr>
        <w:t xml:space="preserve">497</w:t>
      </w:r>
    </w:p>
    <w:p>
      <w:pPr>
        <w:tabs>
          <w:tab w:val="left" w:leader="none" w:pos="720"/>
          <w:tab w:val="left" w:leader="none" w:pos="7272"/>
        </w:tabs>
        <w:spacing w:before="12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	</w:t>
      </w:r>
      <w:r>
        <w:rPr>
          <w:rFonts w:ascii="Times New Roman" w:hAnsi="Times New Roman" w:eastAsia="Times New Roman"/>
          <w:color w:val="000000"/>
          <w:spacing w:val="0"/>
          <w:w w:val="100"/>
          <w:sz w:val="20"/>
          <w:vertAlign w:val="baseline"/>
          <w:lang w:val="en-US"/>
        </w:rPr>
        <w:t xml:space="preserve">Control measures to limit the consequences of major incidents	</w:t>
      </w:r>
      <w:r>
        <w:rPr>
          <w:rFonts w:ascii="Times New Roman" w:hAnsi="Times New Roman" w:eastAsia="Times New Roman"/>
          <w:color w:val="000000"/>
          <w:spacing w:val="0"/>
          <w:w w:val="100"/>
          <w:sz w:val="20"/>
          <w:vertAlign w:val="baseline"/>
          <w:lang w:val="en-US"/>
        </w:rPr>
        <w:t xml:space="preserve">497</w:t>
      </w:r>
    </w:p>
    <w:p>
      <w:pPr>
        <w:tabs>
          <w:tab w:val="left" w:leader="none" w:pos="720"/>
          <w:tab w:val="left" w:leader="none" w:pos="7272"/>
        </w:tabs>
        <w:spacing w:before="0"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	</w:t>
      </w:r>
      <w:r>
        <w:rPr>
          <w:rFonts w:ascii="Times New Roman" w:hAnsi="Times New Roman" w:eastAsia="Times New Roman"/>
          <w:color w:val="000000"/>
          <w:spacing w:val="0"/>
          <w:w w:val="100"/>
          <w:sz w:val="20"/>
          <w:vertAlign w:val="baseline"/>
          <w:lang w:val="en-US"/>
        </w:rPr>
        <w:t xml:space="preserve">Performance monitoring	</w:t>
      </w:r>
      <w:r>
        <w:rPr>
          <w:rFonts w:ascii="Times New Roman" w:hAnsi="Times New Roman" w:eastAsia="Times New Roman"/>
          <w:color w:val="000000"/>
          <w:spacing w:val="0"/>
          <w:w w:val="100"/>
          <w:sz w:val="20"/>
          <w:vertAlign w:val="baseline"/>
          <w:lang w:val="en-US"/>
        </w:rPr>
        <w:t xml:space="preserve">497</w:t>
      </w:r>
    </w:p>
    <w:p>
      <w:pPr>
        <w:tabs>
          <w:tab w:val="left" w:leader="none" w:pos="720"/>
          <w:tab w:val="left" w:leader="none" w:pos="7272"/>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	</w:t>
      </w:r>
      <w:r>
        <w:rPr>
          <w:rFonts w:ascii="Times New Roman" w:hAnsi="Times New Roman" w:eastAsia="Times New Roman"/>
          <w:color w:val="000000"/>
          <w:spacing w:val="0"/>
          <w:w w:val="100"/>
          <w:sz w:val="20"/>
          <w:vertAlign w:val="baseline"/>
          <w:lang w:val="en-US"/>
        </w:rPr>
        <w:t xml:space="preserve">Safety management system	</w:t>
      </w:r>
      <w:r>
        <w:rPr>
          <w:rFonts w:ascii="Times New Roman" w:hAnsi="Times New Roman" w:eastAsia="Times New Roman"/>
          <w:color w:val="000000"/>
          <w:spacing w:val="0"/>
          <w:w w:val="100"/>
          <w:sz w:val="20"/>
          <w:vertAlign w:val="baseline"/>
          <w:lang w:val="en-US"/>
        </w:rPr>
        <w:t xml:space="preserve">498</w:t>
      </w:r>
    </w:p>
    <w:p>
      <w:pPr>
        <w:tabs>
          <w:tab w:val="left" w:leader="none" w:pos="720"/>
          <w:tab w:val="left" w:leader="none" w:pos="7272"/>
        </w:tabs>
        <w:spacing w:before="0" w:after="0" w:line="225"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	</w:t>
      </w:r>
      <w:r>
        <w:rPr>
          <w:rFonts w:ascii="Times New Roman" w:hAnsi="Times New Roman" w:eastAsia="Times New Roman"/>
          <w:color w:val="000000"/>
          <w:spacing w:val="0"/>
          <w:w w:val="100"/>
          <w:sz w:val="20"/>
          <w:vertAlign w:val="baseline"/>
          <w:lang w:val="en-US"/>
        </w:rPr>
        <w:t xml:space="preserve">Safety and reliability of facility structures and plant	</w:t>
      </w:r>
      <w:r>
        <w:rPr>
          <w:rFonts w:ascii="Times New Roman" w:hAnsi="Times New Roman" w:eastAsia="Times New Roman"/>
          <w:color w:val="000000"/>
          <w:spacing w:val="0"/>
          <w:w w:val="100"/>
          <w:sz w:val="20"/>
          <w:vertAlign w:val="baseline"/>
          <w:lang w:val="en-US"/>
        </w:rPr>
        <w:t xml:space="preserve">498</w:t>
      </w:r>
    </w:p>
    <w:p>
      <w:pPr>
        <w:tabs>
          <w:tab w:val="left" w:leader="none" w:pos="720"/>
          <w:tab w:val="left" w:leader="none" w:pos="7272"/>
        </w:tabs>
        <w:spacing w:before="1" w:after="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7	</w:t>
      </w:r>
      <w:r>
        <w:rPr>
          <w:rFonts w:ascii="Times New Roman" w:hAnsi="Times New Roman" w:eastAsia="Times New Roman"/>
          <w:color w:val="000000"/>
          <w:spacing w:val="0"/>
          <w:w w:val="100"/>
          <w:sz w:val="20"/>
          <w:vertAlign w:val="baseline"/>
          <w:lang w:val="en-US"/>
        </w:rPr>
        <w:t xml:space="preserve">Major incident history	</w:t>
      </w:r>
      <w:r>
        <w:rPr>
          <w:rFonts w:ascii="Times New Roman" w:hAnsi="Times New Roman" w:eastAsia="Times New Roman"/>
          <w:color w:val="000000"/>
          <w:spacing w:val="0"/>
          <w:w w:val="100"/>
          <w:sz w:val="20"/>
          <w:vertAlign w:val="baseline"/>
          <w:lang w:val="en-US"/>
        </w:rPr>
        <w:t xml:space="preserve">498</w:t>
      </w:r>
    </w:p>
    <w:p>
      <w:pPr>
        <w:tabs>
          <w:tab w:val="left" w:leader="none" w:pos="7272"/>
        </w:tabs>
        <w:spacing w:before="1" w:after="8556" w:line="229"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APPENDIX Jurisdictional Notes	</w:t>
      </w:r>
      <w:r>
        <w:rPr>
          <w:rFonts w:ascii="Times New Roman" w:hAnsi="Times New Roman" w:eastAsia="Times New Roman"/>
          <w:b w:val="true"/>
          <w:color w:val="000000"/>
          <w:spacing w:val="0"/>
          <w:w w:val="100"/>
          <w:sz w:val="20"/>
          <w:vertAlign w:val="baseline"/>
          <w:lang w:val="en-US"/>
        </w:rPr>
        <w:t xml:space="preserve">499</w:t>
      </w:r>
    </w:p>
    <w:p>
      <w:pPr>
        <w:spacing w:before="229"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1.05pt,0.3pt" style="position:absolute;mso-position-horizontal-relative:text;mso-position-vertical-relative:text;">
            <v:stroke dashstyle="solid"/>
          </v:line>
        </w:pict>
      </w:r>
    </w:p>
    <w:p>
      <w:pPr>
        <w:sectPr>
          <w:type w:val="nextPage"/>
          <w:pgSz w:w="11909" w:h="16838" w:orient="portrait"/>
          <w:pgMar w:bottom="1542" w:top="1320" w:right="1940" w:left="1949" w:header="720" w:footer="720"/>
          <w:titlePg w:val="false"/>
          <w:textDirection w:val="lrTb"/>
        </w:sectPr>
      </w:pPr>
    </w:p>
    <w:p>
      <w:pPr>
        <w:tabs>
          <w:tab w:val="right" w:leader="none" w:pos="4032"/>
        </w:tabs>
        <w:spacing w:before="5" w:after="0" w:line="178"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1.1.2021	</w:t>
      </w:r>
      <w:r>
        <w:rPr>
          <w:rFonts w:ascii="Times New Roman" w:hAnsi="Times New Roman" w:eastAsia="Times New Roman"/>
          <w:color w:val="000000"/>
          <w:spacing w:val="0"/>
          <w:w w:val="100"/>
          <w:sz w:val="16"/>
          <w:vertAlign w:val="baseline"/>
          <w:lang w:val="en-US"/>
        </w:rPr>
        <w:t xml:space="preserve">23</w:t>
      </w:r>
    </w:p>
    <w:p>
      <w:pPr>
        <w:sectPr>
          <w:type w:val="continuous"/>
          <w:pgSz w:w="11909" w:h="16838" w:orient="portrait"/>
          <w:pgMar w:bottom="1542" w:top="1320" w:right="5878" w:left="1991"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	</w:t>
      </w:r>
      <w:r>
        <w:rPr>
          <w:rFonts w:ascii="Times New Roman" w:hAnsi="Times New Roman" w:eastAsia="Times New Roman"/>
          <w:color w:val="000000"/>
          <w:spacing w:val="0"/>
          <w:w w:val="100"/>
          <w:sz w:val="20"/>
          <w:vertAlign w:val="baseline"/>
          <w:lang w:val="en-US"/>
        </w:rPr>
        <w:t xml:space="preserve">Introductory Matters</w:t>
      </w:r>
    </w:p>
    <w:p>
      <w:pPr>
        <w:spacing w:before="265" w:after="0" w:line="556" w:lineRule="exact"/>
        <w:ind w:right="0" w:left="0" w:firstLine="0"/>
        <w:jc w:val="left"/>
        <w:textAlignment w:val="baseline"/>
        <w:rPr>
          <w:rFonts w:ascii="Times New Roman" w:hAnsi="Times New Roman" w:eastAsia="Times New Roman"/>
          <w:b w:val="true"/>
          <w:color w:val="000000"/>
          <w:spacing w:val="0"/>
          <w:w w:val="100"/>
          <w:sz w:val="25"/>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5"/>
          <w:vertAlign w:val="baseline"/>
          <w:lang w:val="en-US"/>
        </w:rPr>
        <w:t xml:space="preserve">CHAPTER 1 PRELIMINARY</w:t>
        <w:br/>
      </w:r>
      <w:r>
        <w:rPr>
          <w:rFonts w:ascii="Times New Roman" w:hAnsi="Times New Roman" w:eastAsia="Times New Roman"/>
          <w:b w:val="true"/>
          <w:color w:val="000000"/>
          <w:spacing w:val="0"/>
          <w:w w:val="100"/>
          <w:sz w:val="28"/>
          <w:vertAlign w:val="baseline"/>
          <w:lang w:val="en-US"/>
        </w:rPr>
        <w:t xml:space="preserve">Part 1.1 Introductory Matters</w:t>
      </w:r>
    </w:p>
    <w:p>
      <w:pPr>
        <w:spacing w:before="118"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 Citation</w:t>
      </w:r>
    </w:p>
    <w:p>
      <w:pPr>
        <w:spacing w:before="113" w:after="0" w:line="279" w:lineRule="exact"/>
        <w:ind w:right="576" w:left="1368" w:firstLine="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These Regulations may be cited as the </w:t>
      </w:r>
      <w:r>
        <w:rPr>
          <w:rFonts w:ascii="Times New Roman" w:hAnsi="Times New Roman" w:eastAsia="Times New Roman"/>
          <w:i w:val="true"/>
          <w:color w:val="000000"/>
          <w:spacing w:val="0"/>
          <w:w w:val="100"/>
          <w:sz w:val="24"/>
          <w:vertAlign w:val="baseline"/>
          <w:lang w:val="en-US"/>
        </w:rPr>
        <w:t xml:space="preserve">Work Health and Safety Regulations 2011</w:t>
      </w:r>
      <w:r>
        <w:rPr>
          <w:rFonts w:ascii="Times New Roman" w:hAnsi="Times New Roman" w:eastAsia="Times New Roman"/>
          <w:color w:val="000000"/>
          <w:spacing w:val="0"/>
          <w:w w:val="100"/>
          <w:sz w:val="24"/>
          <w:vertAlign w:val="baseline"/>
          <w:lang w:val="en-US"/>
        </w:rPr>
        <w:t xml:space="preserve">.</w:t>
      </w:r>
    </w:p>
    <w:p>
      <w:pPr>
        <w:spacing w:before="124"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7"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jurisdictional note in the Appendix.</w:t>
      </w:r>
    </w:p>
    <w:p>
      <w:pPr>
        <w:spacing w:before="120"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 Commencement</w:t>
      </w:r>
    </w:p>
    <w:p>
      <w:pPr>
        <w:numPr>
          <w:ilvl w:val="0"/>
          <w:numId w:val="1"/>
        </w:numPr>
        <w:tabs>
          <w:tab w:val="clear" w:pos="360"/>
          <w:tab w:val="left" w:pos="1368"/>
        </w:tabs>
        <w:spacing w:before="115" w:after="0" w:line="278"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These Regulations (except regulation 164) commence on 1 January 2012.</w:t>
      </w:r>
    </w:p>
    <w:p>
      <w:pPr>
        <w:numPr>
          <w:ilvl w:val="0"/>
          <w:numId w:val="1"/>
        </w:numPr>
        <w:tabs>
          <w:tab w:val="clear" w:pos="360"/>
          <w:tab w:val="left" w:pos="1368"/>
        </w:tabs>
        <w:spacing w:before="121" w:after="0" w:line="273"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Regulation 164 commences on 1 January 2013.</w:t>
      </w:r>
    </w:p>
    <w:p>
      <w:pPr>
        <w:spacing w:before="125"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3 Authorising provisions</w:t>
      </w:r>
    </w:p>
    <w:p>
      <w:pPr>
        <w:spacing w:before="115" w:after="0" w:line="278" w:lineRule="exact"/>
        <w:ind w:right="288"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These Regulations are made under section 276 and Schedule 3 of the </w:t>
      </w:r>
      <w:r>
        <w:rPr>
          <w:rFonts w:ascii="Times New Roman" w:hAnsi="Times New Roman" w:eastAsia="Times New Roman"/>
          <w:i w:val="true"/>
          <w:color w:val="000000"/>
          <w:spacing w:val="0"/>
          <w:w w:val="100"/>
          <w:sz w:val="24"/>
          <w:vertAlign w:val="baseline"/>
          <w:lang w:val="en-US"/>
        </w:rPr>
        <w:t xml:space="preserve">Work Health and Safety Act 2011</w:t>
      </w:r>
      <w:r>
        <w:rPr>
          <w:rFonts w:ascii="Times New Roman" w:hAnsi="Times New Roman" w:eastAsia="Times New Roman"/>
          <w:color w:val="000000"/>
          <w:spacing w:val="0"/>
          <w:w w:val="100"/>
          <w:sz w:val="24"/>
          <w:vertAlign w:val="baseline"/>
          <w:lang w:val="en-US"/>
        </w:rPr>
        <w:t xml:space="preserve">.</w:t>
      </w:r>
    </w:p>
    <w:p>
      <w:pPr>
        <w:spacing w:before="124"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7"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jurisdictional note in the Appendix.</w:t>
      </w:r>
    </w:p>
    <w:p>
      <w:pPr>
        <w:spacing w:before="120"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4 Revocation</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Regulations listed in Schedule 1 are revoked.</w:t>
      </w:r>
    </w:p>
    <w:p>
      <w:pPr>
        <w:spacing w:before="124"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7"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jurisdictional notes in the Appendix.</w:t>
      </w:r>
    </w:p>
    <w:p>
      <w:pPr>
        <w:spacing w:before="120"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5 Definitions</w:t>
      </w:r>
    </w:p>
    <w:p>
      <w:pPr>
        <w:spacing w:before="123"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7"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20"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In these Regulations:</w:t>
      </w:r>
    </w:p>
    <w:p>
      <w:pPr>
        <w:spacing w:before="122" w:after="0" w:line="276" w:lineRule="exact"/>
        <w:ind w:right="144"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abrasive blasting </w:t>
      </w:r>
      <w:r>
        <w:rPr>
          <w:rFonts w:ascii="Times New Roman" w:hAnsi="Times New Roman" w:eastAsia="Times New Roman"/>
          <w:color w:val="000000"/>
          <w:spacing w:val="0"/>
          <w:w w:val="100"/>
          <w:sz w:val="24"/>
          <w:vertAlign w:val="baseline"/>
          <w:lang w:val="en-US"/>
        </w:rPr>
        <w:t xml:space="preserve">means propelling a stream of abrasive material at high speed against a surface using compressed air, liquid, steam, centrifugal wheels or paddles to clean, abrade, etch or otherwise change the original appearance or condition of the surface.</w:t>
      </w:r>
    </w:p>
    <w:p>
      <w:pPr>
        <w:spacing w:before="121" w:after="0" w:line="274"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accredited assessor </w:t>
      </w:r>
      <w:r>
        <w:rPr>
          <w:rFonts w:ascii="Times New Roman" w:hAnsi="Times New Roman" w:eastAsia="Times New Roman"/>
          <w:color w:val="000000"/>
          <w:spacing w:val="0"/>
          <w:w w:val="100"/>
          <w:sz w:val="24"/>
          <w:vertAlign w:val="baseline"/>
          <w:lang w:val="en-US"/>
        </w:rPr>
        <w:t xml:space="preserve">means:</w:t>
      </w:r>
    </w:p>
    <w:p>
      <w:pPr>
        <w:numPr>
          <w:ilvl w:val="0"/>
          <w:numId w:val="2"/>
        </w:numPr>
        <w:tabs>
          <w:tab w:val="clear" w:pos="288"/>
          <w:tab w:val="left" w:pos="2376"/>
        </w:tabs>
        <w:spacing w:before="123" w:after="0" w:line="274" w:lineRule="exact"/>
        <w:ind w:right="576"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who is accredited under Part 4.5 to conduct assessments; or</w:t>
      </w:r>
    </w:p>
    <w:p>
      <w:pPr>
        <w:numPr>
          <w:ilvl w:val="0"/>
          <w:numId w:val="2"/>
        </w:numPr>
        <w:tabs>
          <w:tab w:val="clear" w:pos="288"/>
          <w:tab w:val="left" w:pos="2376"/>
        </w:tabs>
        <w:spacing w:before="125" w:after="758" w:line="273" w:lineRule="exact"/>
        <w:ind w:right="0" w:left="2376" w:hanging="288"/>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regulator.</w:t>
      </w:r>
    </w:p>
    <w:p>
      <w:pPr>
        <w:spacing w:before="125" w:after="758" w:line="273" w:lineRule="exact"/>
        <w:sectPr>
          <w:type w:val="nextPage"/>
          <w:pgSz w:w="11909" w:h="16838" w:orient="portrait"/>
          <w:pgMar w:bottom="1082" w:top="1140" w:right="1940" w:left="1949" w:header="720" w:footer="720"/>
          <w:titlePg w:val="false"/>
          <w:textDirection w:val="lrTb"/>
        </w:sectPr>
      </w:pPr>
    </w:p>
    <w:p>
      <w:pPr>
        <w:tabs>
          <w:tab w:val="right" w:leader="none" w:pos="4032"/>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w:t>
      </w:r>
    </w:p>
    <w:p>
      <w:pPr>
        <w:sectPr>
          <w:type w:val="continuous"/>
          <w:pgSz w:w="11909" w:h="16838" w:orient="portrait"/>
          <w:pgMar w:bottom="1082" w:top="1140" w:right="5902" w:left="1967" w:header="720" w:footer="720"/>
          <w:titlePg w:val="false"/>
          <w:textDirection w:val="lrTb"/>
        </w:sectPr>
      </w:pPr>
    </w:p>
    <w:p>
      <w:pPr>
        <w:spacing w:before="6"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2" w:after="223"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	</w:t>
      </w:r>
      <w:r>
        <w:rPr>
          <w:rFonts w:ascii="Times New Roman" w:hAnsi="Times New Roman" w:eastAsia="Times New Roman"/>
          <w:color w:val="000000"/>
          <w:spacing w:val="0"/>
          <w:w w:val="100"/>
          <w:sz w:val="20"/>
          <w:vertAlign w:val="baseline"/>
          <w:lang w:val="en-US"/>
        </w:rPr>
        <w:t xml:space="preserve">Introductory Matters</w:t>
      </w:r>
    </w:p>
    <w:p>
      <w:pPr>
        <w:spacing w:before="255"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Note</w:t>
      </w:r>
    </w:p>
    <w:p>
      <w:pPr>
        <w:spacing w:before="125" w:after="0" w:line="229"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jurisdictional note in the Appendix.</w:t>
      </w:r>
    </w:p>
    <w:p>
      <w:pPr>
        <w:spacing w:before="126" w:after="0" w:line="274" w:lineRule="exact"/>
        <w:ind w:right="72"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ADG Code </w:t>
      </w:r>
      <w:r>
        <w:rPr>
          <w:rFonts w:ascii="Times New Roman" w:hAnsi="Times New Roman" w:eastAsia="Times New Roman"/>
          <w:color w:val="000000"/>
          <w:spacing w:val="0"/>
          <w:w w:val="100"/>
          <w:sz w:val="24"/>
          <w:vertAlign w:val="baseline"/>
          <w:lang w:val="en-US"/>
        </w:rPr>
        <w:t xml:space="preserve">means the </w:t>
      </w:r>
      <w:r>
        <w:rPr>
          <w:rFonts w:ascii="Times New Roman" w:hAnsi="Times New Roman" w:eastAsia="Times New Roman"/>
          <w:i w:val="true"/>
          <w:color w:val="000000"/>
          <w:spacing w:val="0"/>
          <w:w w:val="100"/>
          <w:sz w:val="24"/>
          <w:vertAlign w:val="baseline"/>
          <w:lang w:val="en-US"/>
        </w:rPr>
        <w:t xml:space="preserve">Australian Code for the Transport of Dangerous Goods by Road and Rail</w:t>
      </w:r>
      <w:r>
        <w:rPr>
          <w:rFonts w:ascii="Times New Roman" w:hAnsi="Times New Roman" w:eastAsia="Times New Roman"/>
          <w:color w:val="000000"/>
          <w:spacing w:val="0"/>
          <w:w w:val="100"/>
          <w:sz w:val="24"/>
          <w:vertAlign w:val="baseline"/>
          <w:lang w:val="en-US"/>
        </w:rPr>
        <w:t xml:space="preserve">, approved by the Transport and Infrastructure Council, as in force or remade from time to time. If that document is amended or remade, a reference in these Regulations to a provision of that document extends to the corresponding provision (if any) of the amended or remade document.</w:t>
      </w:r>
    </w:p>
    <w:p>
      <w:pPr>
        <w:spacing w:before="127"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9"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The ADG Code is accessible at</w:t>
      </w:r>
      <w:hyperlink r:id="dhId1">
        <w:r>
          <w:rPr>
            <w:rFonts w:ascii="Times New Roman" w:hAnsi="Times New Roman" w:eastAsia="Times New Roman"/>
            <w:color w:val="0000FF"/>
            <w:spacing w:val="0"/>
            <w:w w:val="100"/>
            <w:sz w:val="20"/>
            <w:u w:val="single"/>
            <w:vertAlign w:val="baseline"/>
            <w:lang w:val="en-US"/>
          </w:rPr>
          <w:t xml:space="preserve"> www.ntc.gov.au.</w:t>
        </w:r>
      </w:hyperlink>
      <w:r>
        <w:rPr>
          <w:rFonts w:ascii="Times New Roman" w:hAnsi="Times New Roman" w:eastAsia="Times New Roman"/>
          <w:color w:val="000000"/>
          <w:spacing w:val="0"/>
          <w:w w:val="100"/>
          <w:sz w:val="20"/>
          <w:vertAlign w:val="baseline"/>
          <w:lang w:val="en-US"/>
        </w:rPr>
        <w:t xml:space="preserve">
</w:t>
      </w:r>
    </w:p>
    <w:p>
      <w:pPr>
        <w:spacing w:before="110" w:after="0" w:line="278" w:lineRule="exact"/>
        <w:ind w:right="504" w:left="1872" w:hanging="504"/>
        <w:jc w:val="left"/>
        <w:textAlignment w:val="baseline"/>
        <w:rPr>
          <w:rFonts w:ascii="Times New Roman" w:hAnsi="Times New Roman" w:eastAsia="Times New Roman"/>
          <w:b w:val="true"/>
          <w:i w:val="true"/>
          <w:color w:val="000000"/>
          <w:spacing w:val="-1"/>
          <w:w w:val="100"/>
          <w:sz w:val="24"/>
          <w:vertAlign w:val="baseline"/>
          <w:lang w:val="en-US"/>
        </w:rPr>
      </w:pPr>
      <w:r>
        <w:rPr>
          <w:rFonts w:ascii="Times New Roman" w:hAnsi="Times New Roman" w:eastAsia="Times New Roman"/>
          <w:b w:val="true"/>
          <w:i w:val="true"/>
          <w:color w:val="000000"/>
          <w:spacing w:val="-1"/>
          <w:w w:val="100"/>
          <w:sz w:val="24"/>
          <w:vertAlign w:val="baseline"/>
          <w:lang w:val="en-US"/>
        </w:rPr>
        <w:t xml:space="preserve">administrative control </w:t>
      </w:r>
      <w:r>
        <w:rPr>
          <w:rFonts w:ascii="Times New Roman" w:hAnsi="Times New Roman" w:eastAsia="Times New Roman"/>
          <w:color w:val="000000"/>
          <w:spacing w:val="-1"/>
          <w:w w:val="100"/>
          <w:sz w:val="24"/>
          <w:vertAlign w:val="baseline"/>
          <w:lang w:val="en-US"/>
        </w:rPr>
        <w:t xml:space="preserve">means a method of work, a process or a procedure designed to minimise risk, but does not include:</w:t>
      </w:r>
    </w:p>
    <w:p>
      <w:pPr>
        <w:numPr>
          <w:ilvl w:val="0"/>
          <w:numId w:val="3"/>
        </w:numPr>
        <w:tabs>
          <w:tab w:val="clear" w:pos="360"/>
          <w:tab w:val="left" w:pos="2376"/>
        </w:tabs>
        <w:spacing w:before="124" w:after="0" w:line="270"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engineering control; or</w:t>
      </w:r>
    </w:p>
    <w:p>
      <w:pPr>
        <w:numPr>
          <w:ilvl w:val="0"/>
          <w:numId w:val="3"/>
        </w:numPr>
        <w:tabs>
          <w:tab w:val="clear" w:pos="360"/>
          <w:tab w:val="left" w:pos="2376"/>
        </w:tabs>
        <w:spacing w:before="128" w:after="0" w:line="270"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use of personal protective equipment.</w:t>
      </w:r>
    </w:p>
    <w:p>
      <w:pPr>
        <w:spacing w:before="128" w:after="0" w:line="274" w:lineRule="exact"/>
        <w:ind w:right="432"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Agvet Code</w:t>
      </w:r>
      <w:r>
        <w:rPr>
          <w:rFonts w:ascii="Times New Roman" w:hAnsi="Times New Roman" w:eastAsia="Times New Roman"/>
          <w:color w:val="000000"/>
          <w:spacing w:val="0"/>
          <w:w w:val="100"/>
          <w:sz w:val="24"/>
          <w:vertAlign w:val="baseline"/>
          <w:lang w:val="en-US"/>
        </w:rPr>
        <w:t xml:space="preserve">, in Part 7.1, means the Agricultural and Veterinary Chemicals Code set out in the Schedule to the </w:t>
      </w:r>
      <w:r>
        <w:rPr>
          <w:rFonts w:ascii="Times New Roman" w:hAnsi="Times New Roman" w:eastAsia="Times New Roman"/>
          <w:i w:val="true"/>
          <w:color w:val="000000"/>
          <w:spacing w:val="0"/>
          <w:w w:val="100"/>
          <w:sz w:val="24"/>
          <w:vertAlign w:val="baseline"/>
          <w:lang w:val="en-US"/>
        </w:rPr>
        <w:t xml:space="preserve">Agricultural and Veterinary Chemicals Code Act 1994 </w:t>
      </w:r>
      <w:r>
        <w:rPr>
          <w:rFonts w:ascii="Times New Roman" w:hAnsi="Times New Roman" w:eastAsia="Times New Roman"/>
          <w:color w:val="000000"/>
          <w:spacing w:val="0"/>
          <w:w w:val="100"/>
          <w:sz w:val="24"/>
          <w:vertAlign w:val="baseline"/>
          <w:lang w:val="en-US"/>
        </w:rPr>
        <w:t xml:space="preserve">of the Commonwealth.</w:t>
      </w:r>
    </w:p>
    <w:p>
      <w:pPr>
        <w:spacing w:before="116" w:after="0" w:line="278" w:lineRule="exact"/>
        <w:ind w:right="216" w:left="1872" w:hanging="504"/>
        <w:jc w:val="left"/>
        <w:textAlignment w:val="baseline"/>
        <w:rPr>
          <w:rFonts w:ascii="Times New Roman" w:hAnsi="Times New Roman" w:eastAsia="Times New Roman"/>
          <w:b w:val="true"/>
          <w:i w:val="true"/>
          <w:color w:val="000000"/>
          <w:spacing w:val="-1"/>
          <w:w w:val="100"/>
          <w:sz w:val="24"/>
          <w:vertAlign w:val="baseline"/>
          <w:lang w:val="en-US"/>
        </w:rPr>
      </w:pPr>
      <w:r>
        <w:rPr>
          <w:rFonts w:ascii="Times New Roman" w:hAnsi="Times New Roman" w:eastAsia="Times New Roman"/>
          <w:b w:val="true"/>
          <w:i w:val="true"/>
          <w:color w:val="000000"/>
          <w:spacing w:val="-1"/>
          <w:w w:val="100"/>
          <w:sz w:val="24"/>
          <w:vertAlign w:val="baseline"/>
          <w:lang w:val="en-US"/>
        </w:rPr>
        <w:t xml:space="preserve">airborne contaminant </w:t>
      </w:r>
      <w:r>
        <w:rPr>
          <w:rFonts w:ascii="Times New Roman" w:hAnsi="Times New Roman" w:eastAsia="Times New Roman"/>
          <w:color w:val="000000"/>
          <w:spacing w:val="-1"/>
          <w:w w:val="100"/>
          <w:sz w:val="24"/>
          <w:vertAlign w:val="baseline"/>
          <w:lang w:val="en-US"/>
        </w:rPr>
        <w:t xml:space="preserve">means a contaminant in the form of a fume, mist, gas, vapour or dust, and includes micro-organisms.</w:t>
      </w:r>
    </w:p>
    <w:p>
      <w:pPr>
        <w:spacing w:before="118" w:after="0" w:line="276" w:lineRule="exact"/>
        <w:ind w:right="72"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amusement device </w:t>
      </w:r>
      <w:r>
        <w:rPr>
          <w:rFonts w:ascii="Times New Roman" w:hAnsi="Times New Roman" w:eastAsia="Times New Roman"/>
          <w:color w:val="000000"/>
          <w:spacing w:val="0"/>
          <w:w w:val="100"/>
          <w:sz w:val="24"/>
          <w:vertAlign w:val="baseline"/>
          <w:lang w:val="en-US"/>
        </w:rPr>
        <w:t xml:space="preserve">means plant operated for hire or reward that provides entertainment, sightseeing or amusement through movement of the equipment, or part of the equipment, or when passengers or other users travel or move on, around or along the equipment, but does not include:</w:t>
      </w:r>
    </w:p>
    <w:p>
      <w:pPr>
        <w:numPr>
          <w:ilvl w:val="0"/>
          <w:numId w:val="4"/>
        </w:numPr>
        <w:tabs>
          <w:tab w:val="clear" w:pos="360"/>
          <w:tab w:val="left" w:pos="2376"/>
        </w:tabs>
        <w:spacing w:before="124" w:after="0" w:line="274" w:lineRule="exact"/>
        <w:ind w:right="7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miniature train and railway system owned and operated by a model railway society, club or association; or</w:t>
      </w:r>
    </w:p>
    <w:p>
      <w:pPr>
        <w:numPr>
          <w:ilvl w:val="0"/>
          <w:numId w:val="4"/>
        </w:numPr>
        <w:tabs>
          <w:tab w:val="clear" w:pos="360"/>
          <w:tab w:val="left" w:pos="2376"/>
        </w:tabs>
        <w:spacing w:before="122" w:after="0" w:line="276" w:lineRule="exact"/>
        <w:ind w:right="360" w:left="2376"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ride or device that is used as a form of transport and that is, in relation to its use for that purpose, regulated under another Act or an Act of the Commonwealth; or</w:t>
      </w:r>
    </w:p>
    <w:p>
      <w:pPr>
        <w:spacing w:before="127" w:after="0" w:line="225" w:lineRule="exact"/>
        <w:ind w:right="0" w:left="2376"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9"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jurisdictional note in the Appendix.</w:t>
      </w:r>
    </w:p>
    <w:p>
      <w:pPr>
        <w:numPr>
          <w:ilvl w:val="0"/>
          <w:numId w:val="4"/>
        </w:numPr>
        <w:tabs>
          <w:tab w:val="clear" w:pos="360"/>
          <w:tab w:val="left" w:pos="2376"/>
        </w:tabs>
        <w:spacing w:before="118" w:after="0" w:line="270"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boat or flotation device:</w:t>
      </w:r>
    </w:p>
    <w:p>
      <w:pPr>
        <w:spacing w:before="116" w:after="1251" w:line="278" w:lineRule="exact"/>
        <w:ind w:right="216" w:left="2880" w:hanging="288"/>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 that is solely propelled by a person who is in or on the boat or device; and</w:t>
      </w:r>
    </w:p>
    <w:p>
      <w:pPr>
        <w:spacing w:before="116" w:after="1251" w:line="278" w:lineRule="exact"/>
        <w:sectPr>
          <w:type w:val="nextPage"/>
          <w:pgSz w:w="11909" w:h="16838" w:orient="portrait"/>
          <w:pgMar w:bottom="1082" w:top="1140" w:right="1940" w:left="1949" w:header="720" w:footer="720"/>
          <w:titlePg w:val="false"/>
          <w:textDirection w:val="lrTb"/>
        </w:sectPr>
      </w:pPr>
    </w:p>
    <w:p>
      <w:pPr>
        <w:tabs>
          <w:tab w:val="right" w:leader="none" w:pos="4032"/>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w:t>
      </w:r>
    </w:p>
    <w:p>
      <w:pPr>
        <w:sectPr>
          <w:type w:val="continuous"/>
          <w:pgSz w:w="11909" w:h="16838" w:orient="portrait"/>
          <w:pgMar w:bottom="1082" w:top="1140" w:right="5895" w:left="1974"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	</w:t>
      </w:r>
      <w:r>
        <w:rPr>
          <w:rFonts w:ascii="Times New Roman" w:hAnsi="Times New Roman" w:eastAsia="Times New Roman"/>
          <w:color w:val="000000"/>
          <w:spacing w:val="0"/>
          <w:w w:val="100"/>
          <w:sz w:val="20"/>
          <w:vertAlign w:val="baseline"/>
          <w:lang w:val="en-US"/>
        </w:rPr>
        <w:t xml:space="preserve">Introductory Matters</w:t>
      </w:r>
    </w:p>
    <w:p>
      <w:pPr>
        <w:spacing w:before="247" w:after="0" w:line="276" w:lineRule="exact"/>
        <w:ind w:right="144" w:left="2952" w:hanging="504"/>
        <w:jc w:val="left"/>
        <w:textAlignment w:val="baseline"/>
        <w:rPr>
          <w:rFonts w:ascii="Times New Roman" w:hAnsi="Times New Roman" w:eastAsia="Times New Roman"/>
          <w:color w:val="000000"/>
          <w:spacing w:val="-1"/>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1"/>
          <w:w w:val="100"/>
          <w:sz w:val="24"/>
          <w:vertAlign w:val="baseline"/>
          <w:lang w:val="en-US"/>
        </w:rPr>
        <w:t xml:space="preserve">(ii) that is not attached to any mechanical elements or equipment outside the boat or device, and that does not rely on any artificial flow of water to move; or</w:t>
      </w:r>
    </w:p>
    <w:p>
      <w:pPr>
        <w:numPr>
          <w:ilvl w:val="0"/>
          <w:numId w:val="4"/>
        </w:numPr>
        <w:tabs>
          <w:tab w:val="clear" w:pos="360"/>
          <w:tab w:val="left" w:pos="2376"/>
        </w:tabs>
        <w:spacing w:before="123" w:after="0" w:line="276" w:lineRule="exact"/>
        <w:ind w:right="576"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plant specifically designed for a sporting, professional stunt, theatrical or acrobatic purpose or activity; or</w:t>
      </w:r>
    </w:p>
    <w:p>
      <w:pPr>
        <w:numPr>
          <w:ilvl w:val="0"/>
          <w:numId w:val="4"/>
        </w:numPr>
        <w:tabs>
          <w:tab w:val="clear" w:pos="360"/>
          <w:tab w:val="left" w:pos="2376"/>
        </w:tabs>
        <w:spacing w:before="121" w:after="0" w:line="272"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coin-operated or token-operated device that:</w:t>
      </w:r>
    </w:p>
    <w:p>
      <w:pPr>
        <w:numPr>
          <w:ilvl w:val="0"/>
          <w:numId w:val="5"/>
        </w:numPr>
        <w:tabs>
          <w:tab w:val="clear" w:pos="576"/>
          <w:tab w:val="left" w:pos="2952"/>
        </w:tabs>
        <w:spacing w:before="123" w:after="0" w:line="276" w:lineRule="exact"/>
        <w:ind w:right="144" w:left="2952" w:hanging="576"/>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intended to be ridden, at the one time, by not more than 4 children who must be below the age of 10 years; and</w:t>
      </w:r>
    </w:p>
    <w:p>
      <w:pPr>
        <w:numPr>
          <w:ilvl w:val="0"/>
          <w:numId w:val="5"/>
        </w:numPr>
        <w:tabs>
          <w:tab w:val="clear" w:pos="576"/>
          <w:tab w:val="left" w:pos="2952"/>
        </w:tabs>
        <w:spacing w:before="114" w:after="0" w:line="279" w:lineRule="exact"/>
        <w:ind w:right="432" w:left="2952" w:hanging="576"/>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usually located in a shopping centre or similar public location; and</w:t>
      </w:r>
    </w:p>
    <w:p>
      <w:pPr>
        <w:numPr>
          <w:ilvl w:val="0"/>
          <w:numId w:val="5"/>
        </w:numPr>
        <w:tabs>
          <w:tab w:val="clear" w:pos="576"/>
          <w:tab w:val="left" w:pos="2952"/>
        </w:tabs>
        <w:spacing w:before="121" w:after="0" w:line="272" w:lineRule="exact"/>
        <w:ind w:right="0" w:left="2952" w:hanging="576"/>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does not necessarily have an operator.</w:t>
      </w:r>
    </w:p>
    <w:p>
      <w:pPr>
        <w:spacing w:before="116" w:after="0" w:line="278" w:lineRule="exact"/>
        <w:ind w:right="432"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article </w:t>
      </w:r>
      <w:r>
        <w:rPr>
          <w:rFonts w:ascii="Times New Roman" w:hAnsi="Times New Roman" w:eastAsia="Times New Roman"/>
          <w:color w:val="000000"/>
          <w:spacing w:val="0"/>
          <w:w w:val="100"/>
          <w:sz w:val="24"/>
          <w:vertAlign w:val="baseline"/>
          <w:lang w:val="en-US"/>
        </w:rPr>
        <w:t xml:space="preserve">means a manufactured item, other than a fluid or particle, that:</w:t>
      </w:r>
    </w:p>
    <w:p>
      <w:pPr>
        <w:numPr>
          <w:ilvl w:val="0"/>
          <w:numId w:val="6"/>
        </w:numPr>
        <w:tabs>
          <w:tab w:val="clear" w:pos="360"/>
          <w:tab w:val="left" w:pos="2376"/>
        </w:tabs>
        <w:spacing w:before="116" w:after="0" w:line="278" w:lineRule="exact"/>
        <w:ind w:right="86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formed into a particular shape or design during manufacture; and</w:t>
      </w:r>
    </w:p>
    <w:p>
      <w:pPr>
        <w:numPr>
          <w:ilvl w:val="0"/>
          <w:numId w:val="6"/>
        </w:numPr>
        <w:tabs>
          <w:tab w:val="clear" w:pos="360"/>
          <w:tab w:val="left" w:pos="2376"/>
        </w:tabs>
        <w:spacing w:before="116" w:after="0" w:line="278" w:lineRule="exact"/>
        <w:ind w:right="36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has hazard properties and a function that are wholly or partly dependent on the shape or design.</w:t>
      </w:r>
    </w:p>
    <w:p>
      <w:pPr>
        <w:spacing w:before="122" w:after="0" w:line="272"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asbestos</w:t>
      </w:r>
      <w:r>
        <w:rPr>
          <w:rFonts w:ascii="Times New Roman" w:hAnsi="Times New Roman" w:eastAsia="Times New Roman"/>
          <w:color w:val="000000"/>
          <w:spacing w:val="0"/>
          <w:w w:val="100"/>
          <w:sz w:val="24"/>
          <w:vertAlign w:val="baseline"/>
          <w:lang w:val="en-US"/>
        </w:rPr>
        <w:t xml:space="preserve">—see section 197A of the Act.</w:t>
      </w:r>
    </w:p>
    <w:p>
      <w:pPr>
        <w:spacing w:before="126" w:after="0" w:line="272"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asbestos containing material (ACM)</w:t>
      </w:r>
      <w:r>
        <w:rPr>
          <w:rFonts w:ascii="Times New Roman" w:hAnsi="Times New Roman" w:eastAsia="Times New Roman"/>
          <w:color w:val="000000"/>
          <w:spacing w:val="0"/>
          <w:w w:val="100"/>
          <w:sz w:val="24"/>
          <w:vertAlign w:val="baseline"/>
          <w:lang w:val="en-US"/>
        </w:rPr>
        <w:t xml:space="preserve">—see section 197A of the Act.</w:t>
      </w:r>
    </w:p>
    <w:p>
      <w:pPr>
        <w:spacing w:before="118" w:after="0" w:line="276" w:lineRule="exact"/>
        <w:ind w:right="144"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asbestos-contaminated dust or debris (ACD) </w:t>
      </w:r>
      <w:r>
        <w:rPr>
          <w:rFonts w:ascii="Times New Roman" w:hAnsi="Times New Roman" w:eastAsia="Times New Roman"/>
          <w:color w:val="000000"/>
          <w:spacing w:val="0"/>
          <w:w w:val="100"/>
          <w:sz w:val="24"/>
          <w:vertAlign w:val="baseline"/>
          <w:lang w:val="en-US"/>
        </w:rPr>
        <w:t xml:space="preserve">means dust or debris that has settled within a workplace and is, or is assumed to be, contaminated with asbestos.</w:t>
      </w:r>
    </w:p>
    <w:p>
      <w:pPr>
        <w:spacing w:before="4" w:after="0" w:line="394" w:lineRule="exact"/>
        <w:ind w:right="1224"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asbestos management plan</w:t>
      </w:r>
      <w:r>
        <w:rPr>
          <w:rFonts w:ascii="Times New Roman" w:hAnsi="Times New Roman" w:eastAsia="Times New Roman"/>
          <w:color w:val="000000"/>
          <w:spacing w:val="0"/>
          <w:w w:val="100"/>
          <w:sz w:val="24"/>
          <w:vertAlign w:val="baseline"/>
          <w:lang w:val="en-US"/>
        </w:rPr>
        <w:t xml:space="preserve">—see regulation 429 or 432. </w:t>
      </w:r>
      <w:r>
        <w:rPr>
          <w:rFonts w:ascii="Times New Roman" w:hAnsi="Times New Roman" w:eastAsia="Times New Roman"/>
          <w:b w:val="true"/>
          <w:i w:val="true"/>
          <w:color w:val="000000"/>
          <w:spacing w:val="0"/>
          <w:w w:val="100"/>
          <w:sz w:val="24"/>
          <w:vertAlign w:val="baseline"/>
          <w:lang w:val="en-US"/>
        </w:rPr>
        <w:t xml:space="preserve">asbestos register</w:t>
      </w:r>
      <w:r>
        <w:rPr>
          <w:rFonts w:ascii="Times New Roman" w:hAnsi="Times New Roman" w:eastAsia="Times New Roman"/>
          <w:color w:val="000000"/>
          <w:spacing w:val="0"/>
          <w:w w:val="100"/>
          <w:sz w:val="24"/>
          <w:vertAlign w:val="baseline"/>
          <w:lang w:val="en-US"/>
        </w:rPr>
        <w:t xml:space="preserve">—see regulation 425.</w:t>
      </w:r>
    </w:p>
    <w:p>
      <w:pPr>
        <w:spacing w:before="124" w:after="0" w:line="275" w:lineRule="exact"/>
        <w:ind w:right="144"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asbestos-related work </w:t>
      </w:r>
      <w:r>
        <w:rPr>
          <w:rFonts w:ascii="Times New Roman" w:hAnsi="Times New Roman" w:eastAsia="Times New Roman"/>
          <w:color w:val="000000"/>
          <w:spacing w:val="0"/>
          <w:w w:val="100"/>
          <w:sz w:val="24"/>
          <w:vertAlign w:val="baseline"/>
          <w:lang w:val="en-US"/>
        </w:rPr>
        <w:t xml:space="preserve">means work involving asbestos (other than asbestos removal work to which Part 8.7 applies) that is permitted under the exceptions set out in regulation 419(3), (4) and (5).</w:t>
      </w:r>
    </w:p>
    <w:p>
      <w:pPr>
        <w:spacing w:before="124" w:after="0" w:line="274" w:lineRule="exact"/>
        <w:ind w:right="144" w:left="1872" w:hanging="504"/>
        <w:jc w:val="both"/>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asbestos removal licence </w:t>
      </w:r>
      <w:r>
        <w:rPr>
          <w:rFonts w:ascii="Times New Roman" w:hAnsi="Times New Roman" w:eastAsia="Times New Roman"/>
          <w:color w:val="000000"/>
          <w:spacing w:val="0"/>
          <w:w w:val="100"/>
          <w:sz w:val="24"/>
          <w:vertAlign w:val="baseline"/>
          <w:lang w:val="en-US"/>
        </w:rPr>
        <w:t xml:space="preserve">means a Class A asbestos removal licence or a Class B asbestos removal licence.</w:t>
      </w:r>
    </w:p>
    <w:p>
      <w:pPr>
        <w:spacing w:before="126" w:after="0" w:line="272"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asbestos removal work </w:t>
      </w:r>
      <w:r>
        <w:rPr>
          <w:rFonts w:ascii="Times New Roman" w:hAnsi="Times New Roman" w:eastAsia="Times New Roman"/>
          <w:color w:val="000000"/>
          <w:spacing w:val="0"/>
          <w:w w:val="100"/>
          <w:sz w:val="24"/>
          <w:vertAlign w:val="baseline"/>
          <w:lang w:val="en-US"/>
        </w:rPr>
        <w:t xml:space="preserve">means:</w:t>
      </w:r>
    </w:p>
    <w:p>
      <w:pPr>
        <w:numPr>
          <w:ilvl w:val="0"/>
          <w:numId w:val="7"/>
        </w:numPr>
        <w:tabs>
          <w:tab w:val="clear" w:pos="360"/>
          <w:tab w:val="left" w:pos="2376"/>
        </w:tabs>
        <w:spacing w:before="122" w:after="0" w:line="272"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work involving the removal of asbestos or ACM; or</w:t>
      </w:r>
    </w:p>
    <w:p>
      <w:pPr>
        <w:numPr>
          <w:ilvl w:val="0"/>
          <w:numId w:val="7"/>
        </w:numPr>
        <w:tabs>
          <w:tab w:val="clear" w:pos="360"/>
          <w:tab w:val="left" w:pos="2376"/>
        </w:tabs>
        <w:spacing w:before="124" w:after="735" w:line="274" w:lineRule="exact"/>
        <w:ind w:right="288" w:left="2376"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Part 8.10, Class A asbestos removal work or Class B asbestos removal work.</w:t>
      </w:r>
    </w:p>
    <w:p>
      <w:pPr>
        <w:spacing w:before="124" w:after="735" w:line="274" w:lineRule="exact"/>
        <w:sectPr>
          <w:type w:val="nextPage"/>
          <w:pgSz w:w="11909" w:h="16838" w:orient="portrait"/>
          <w:pgMar w:bottom="1082" w:top="1140" w:right="1940" w:left="1949" w:header="720" w:footer="720"/>
          <w:titlePg w:val="false"/>
          <w:textDirection w:val="lrTb"/>
        </w:sectPr>
      </w:pPr>
    </w:p>
    <w:p>
      <w:pPr>
        <w:tabs>
          <w:tab w:val="right" w:leader="none" w:pos="4032"/>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w:t>
      </w:r>
    </w:p>
    <w:p>
      <w:pPr>
        <w:sectPr>
          <w:type w:val="continuous"/>
          <w:pgSz w:w="11909" w:h="16838" w:orient="portrait"/>
          <w:pgMar w:bottom="1082" w:top="1140" w:right="5900" w:left="1969"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	</w:t>
      </w:r>
      <w:r>
        <w:rPr>
          <w:rFonts w:ascii="Times New Roman" w:hAnsi="Times New Roman" w:eastAsia="Times New Roman"/>
          <w:color w:val="000000"/>
          <w:spacing w:val="0"/>
          <w:w w:val="100"/>
          <w:sz w:val="20"/>
          <w:vertAlign w:val="baseline"/>
          <w:lang w:val="en-US"/>
        </w:rPr>
        <w:t xml:space="preserve">Introductory Matters</w:t>
      </w:r>
    </w:p>
    <w:p>
      <w:pPr>
        <w:spacing w:before="244" w:after="0" w:line="279" w:lineRule="exact"/>
        <w:ind w:right="720" w:left="1872" w:hanging="504"/>
        <w:jc w:val="left"/>
        <w:textAlignment w:val="baseline"/>
        <w:rPr>
          <w:rFonts w:ascii="Times New Roman" w:hAnsi="Times New Roman" w:eastAsia="Times New Roman"/>
          <w:b w:val="true"/>
          <w:i w:val="true"/>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i w:val="true"/>
          <w:color w:val="000000"/>
          <w:spacing w:val="0"/>
          <w:w w:val="100"/>
          <w:sz w:val="24"/>
          <w:vertAlign w:val="baseline"/>
          <w:lang w:val="en-US"/>
        </w:rPr>
        <w:t xml:space="preserve">asbestos removalist </w:t>
      </w:r>
      <w:r>
        <w:rPr>
          <w:rFonts w:ascii="Times New Roman" w:hAnsi="Times New Roman" w:eastAsia="Times New Roman"/>
          <w:color w:val="000000"/>
          <w:spacing w:val="0"/>
          <w:w w:val="100"/>
          <w:sz w:val="24"/>
          <w:vertAlign w:val="baseline"/>
          <w:lang w:val="en-US"/>
        </w:rPr>
        <w:t xml:space="preserve">means a person conducting a business or undertaking who carries out asbestos removal work.</w:t>
      </w:r>
    </w:p>
    <w:p>
      <w:pPr>
        <w:spacing w:before="117" w:after="0" w:line="276" w:lineRule="exact"/>
        <w:ind w:right="432"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asbestos waste </w:t>
      </w:r>
      <w:r>
        <w:rPr>
          <w:rFonts w:ascii="Times New Roman" w:hAnsi="Times New Roman" w:eastAsia="Times New Roman"/>
          <w:color w:val="000000"/>
          <w:spacing w:val="0"/>
          <w:w w:val="100"/>
          <w:sz w:val="24"/>
          <w:vertAlign w:val="baseline"/>
          <w:lang w:val="en-US"/>
        </w:rPr>
        <w:t xml:space="preserve">means asbestos or ACM removed and disposable items used during asbestos removal work including plastic sheeting and disposable tools.</w:t>
      </w:r>
    </w:p>
    <w:p>
      <w:pPr>
        <w:spacing w:before="127" w:after="0" w:line="274"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biological monitoring </w:t>
      </w:r>
      <w:r>
        <w:rPr>
          <w:rFonts w:ascii="Times New Roman" w:hAnsi="Times New Roman" w:eastAsia="Times New Roman"/>
          <w:color w:val="000000"/>
          <w:spacing w:val="0"/>
          <w:w w:val="100"/>
          <w:sz w:val="24"/>
          <w:vertAlign w:val="baseline"/>
          <w:lang w:val="en-US"/>
        </w:rPr>
        <w:t xml:space="preserve">means:</w:t>
      </w:r>
    </w:p>
    <w:p>
      <w:pPr>
        <w:numPr>
          <w:ilvl w:val="0"/>
          <w:numId w:val="8"/>
        </w:numPr>
        <w:tabs>
          <w:tab w:val="clear" w:pos="360"/>
          <w:tab w:val="left" w:pos="2376"/>
        </w:tabs>
        <w:spacing w:before="115" w:after="0" w:line="276" w:lineRule="exact"/>
        <w:ind w:right="14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measurement and evaluation of a substance, or its metabolites, in the body tissue, fluids or exhaled air of a person exposed to the substance; or</w:t>
      </w:r>
    </w:p>
    <w:p>
      <w:pPr>
        <w:numPr>
          <w:ilvl w:val="0"/>
          <w:numId w:val="8"/>
        </w:numPr>
        <w:tabs>
          <w:tab w:val="clear" w:pos="360"/>
          <w:tab w:val="left" w:pos="2376"/>
        </w:tabs>
        <w:spacing w:before="127" w:after="0" w:line="272"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blood lead level monitoring.</w:t>
      </w:r>
    </w:p>
    <w:p>
      <w:pPr>
        <w:spacing w:before="117" w:after="0" w:line="276" w:lineRule="exact"/>
        <w:ind w:right="144"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blood lead level </w:t>
      </w:r>
      <w:r>
        <w:rPr>
          <w:rFonts w:ascii="Times New Roman" w:hAnsi="Times New Roman" w:eastAsia="Times New Roman"/>
          <w:color w:val="000000"/>
          <w:spacing w:val="0"/>
          <w:w w:val="100"/>
          <w:sz w:val="24"/>
          <w:vertAlign w:val="baseline"/>
          <w:lang w:val="en-US"/>
        </w:rPr>
        <w:t xml:space="preserve">means the concentration of lead in whole blood expressed in micromoles per litre (µmol/L) or micrograms per decilitre (µg/dL).</w:t>
      </w:r>
    </w:p>
    <w:p>
      <w:pPr>
        <w:spacing w:before="120" w:after="0" w:line="276" w:lineRule="exact"/>
        <w:ind w:right="576"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blood lead level monitoring </w:t>
      </w:r>
      <w:r>
        <w:rPr>
          <w:rFonts w:ascii="Times New Roman" w:hAnsi="Times New Roman" w:eastAsia="Times New Roman"/>
          <w:color w:val="000000"/>
          <w:spacing w:val="0"/>
          <w:w w:val="100"/>
          <w:sz w:val="24"/>
          <w:vertAlign w:val="baseline"/>
          <w:lang w:val="en-US"/>
        </w:rPr>
        <w:t xml:space="preserve">means the testing of the venous or capillary blood of a person by a laboratory accredited by NATA, under the supervision of a registered medical practitioner, to determine the blood lead level.</w:t>
      </w:r>
    </w:p>
    <w:p>
      <w:pPr>
        <w:spacing w:before="122" w:after="0" w:line="274" w:lineRule="exact"/>
        <w:ind w:right="0" w:left="1368" w:firstLine="0"/>
        <w:jc w:val="left"/>
        <w:textAlignment w:val="baseline"/>
        <w:rPr>
          <w:rFonts w:ascii="Times New Roman" w:hAnsi="Times New Roman" w:eastAsia="Times New Roman"/>
          <w:b w:val="true"/>
          <w:i w:val="true"/>
          <w:color w:val="000000"/>
          <w:spacing w:val="-1"/>
          <w:w w:val="100"/>
          <w:sz w:val="24"/>
          <w:vertAlign w:val="baseline"/>
          <w:lang w:val="en-US"/>
        </w:rPr>
      </w:pPr>
      <w:r>
        <w:rPr>
          <w:rFonts w:ascii="Times New Roman" w:hAnsi="Times New Roman" w:eastAsia="Times New Roman"/>
          <w:b w:val="true"/>
          <w:i w:val="true"/>
          <w:color w:val="000000"/>
          <w:spacing w:val="-1"/>
          <w:w w:val="100"/>
          <w:sz w:val="24"/>
          <w:vertAlign w:val="baseline"/>
          <w:lang w:val="en-US"/>
        </w:rPr>
        <w:t xml:space="preserve">boiler </w:t>
      </w:r>
      <w:r>
        <w:rPr>
          <w:rFonts w:ascii="Times New Roman" w:hAnsi="Times New Roman" w:eastAsia="Times New Roman"/>
          <w:color w:val="000000"/>
          <w:spacing w:val="-1"/>
          <w:w w:val="100"/>
          <w:sz w:val="24"/>
          <w:vertAlign w:val="baseline"/>
          <w:lang w:val="en-US"/>
        </w:rPr>
        <w:t xml:space="preserve">means:</w:t>
      </w:r>
    </w:p>
    <w:p>
      <w:pPr>
        <w:numPr>
          <w:ilvl w:val="0"/>
          <w:numId w:val="9"/>
        </w:numPr>
        <w:tabs>
          <w:tab w:val="clear" w:pos="360"/>
          <w:tab w:val="left" w:pos="2376"/>
        </w:tabs>
        <w:spacing w:before="124" w:after="0" w:line="275" w:lineRule="exact"/>
        <w:ind w:right="14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numPr>
          <w:ilvl w:val="0"/>
          <w:numId w:val="9"/>
        </w:numPr>
        <w:tabs>
          <w:tab w:val="clear" w:pos="360"/>
          <w:tab w:val="left" w:pos="2376"/>
        </w:tabs>
        <w:spacing w:before="124" w:after="0" w:line="275" w:lineRule="exact"/>
        <w:ind w:right="288"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superheaters, reheaters, economisers, boiler piping, supports, mountings, valves, gauges, fittings, controls, boiler setting and other equipment directly associated with those vessels,</w:t>
      </w:r>
    </w:p>
    <w:p>
      <w:pPr>
        <w:spacing w:before="126"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but does not include:</w:t>
      </w:r>
    </w:p>
    <w:p>
      <w:pPr>
        <w:numPr>
          <w:ilvl w:val="0"/>
          <w:numId w:val="9"/>
        </w:numPr>
        <w:tabs>
          <w:tab w:val="clear" w:pos="360"/>
          <w:tab w:val="left" w:pos="2376"/>
        </w:tabs>
        <w:spacing w:before="120" w:after="0" w:line="276" w:lineRule="exact"/>
        <w:ind w:right="648"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except in Schedules 3 and 4, a fully flooded or pressurised system where water or another liquid is heated to a temperature lower than the normal atmospheric boiling temperature of the liquid; or</w:t>
      </w:r>
    </w:p>
    <w:p>
      <w:pPr>
        <w:numPr>
          <w:ilvl w:val="0"/>
          <w:numId w:val="9"/>
        </w:numPr>
        <w:tabs>
          <w:tab w:val="clear" w:pos="360"/>
          <w:tab w:val="left" w:pos="2376"/>
        </w:tabs>
        <w:spacing w:before="118" w:after="0" w:line="276" w:lineRule="exact"/>
        <w:ind w:right="7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the purposes of Parts 5.2 and 5.3 and in Schedules 3 and 4, a boiler designed or manufactured to the following codes:</w:t>
      </w:r>
    </w:p>
    <w:p>
      <w:pPr>
        <w:spacing w:before="126" w:after="781" w:line="274" w:lineRule="exact"/>
        <w:ind w:right="648" w:left="2880" w:hanging="288"/>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 AMBSC Part 1—A</w:t>
      </w:r>
      <w:r>
        <w:rPr>
          <w:rFonts w:ascii="Times New Roman" w:hAnsi="Times New Roman" w:eastAsia="Times New Roman"/>
          <w:i w:val="true"/>
          <w:color w:val="000000"/>
          <w:spacing w:val="0"/>
          <w:w w:val="100"/>
          <w:sz w:val="24"/>
          <w:vertAlign w:val="baseline"/>
          <w:lang w:val="en-US"/>
        </w:rPr>
        <w:t xml:space="preserve">ustralian Miniature Boiler Safety Committee Code for Copper Boilers</w:t>
      </w:r>
      <w:r>
        <w:rPr>
          <w:rFonts w:ascii="Times New Roman" w:hAnsi="Times New Roman" w:eastAsia="Times New Roman"/>
          <w:color w:val="000000"/>
          <w:spacing w:val="0"/>
          <w:w w:val="100"/>
          <w:sz w:val="24"/>
          <w:vertAlign w:val="baseline"/>
          <w:lang w:val="en-US"/>
        </w:rPr>
        <w:t xml:space="preserve">;</w:t>
      </w:r>
    </w:p>
    <w:p>
      <w:pPr>
        <w:spacing w:before="126" w:after="781" w:line="274" w:lineRule="exact"/>
        <w:sectPr>
          <w:type w:val="nextPage"/>
          <w:pgSz w:w="11909" w:h="16838" w:orient="portrait"/>
          <w:pgMar w:bottom="1082" w:top="1140" w:right="1940" w:left="1949" w:header="720" w:footer="720"/>
          <w:titlePg w:val="false"/>
          <w:textDirection w:val="lrTb"/>
        </w:sectPr>
      </w:pPr>
    </w:p>
    <w:p>
      <w:pPr>
        <w:tabs>
          <w:tab w:val="right" w:leader="none" w:pos="4032"/>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w:t>
      </w:r>
    </w:p>
    <w:p>
      <w:pPr>
        <w:sectPr>
          <w:type w:val="continuous"/>
          <w:pgSz w:w="11909" w:h="16838" w:orient="portrait"/>
          <w:pgMar w:bottom="1082" w:top="1140" w:right="5895" w:left="1974"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	</w:t>
      </w:r>
      <w:r>
        <w:rPr>
          <w:rFonts w:ascii="Times New Roman" w:hAnsi="Times New Roman" w:eastAsia="Times New Roman"/>
          <w:color w:val="000000"/>
          <w:spacing w:val="0"/>
          <w:w w:val="100"/>
          <w:sz w:val="20"/>
          <w:vertAlign w:val="baseline"/>
          <w:lang w:val="en-US"/>
        </w:rPr>
        <w:t xml:space="preserve">Introductory Matters</w:t>
      </w:r>
    </w:p>
    <w:p>
      <w:pPr>
        <w:numPr>
          <w:ilvl w:val="0"/>
          <w:numId w:val="10"/>
        </w:numPr>
        <w:tabs>
          <w:tab w:val="clear" w:pos="432"/>
          <w:tab w:val="left" w:pos="2880"/>
        </w:tabs>
        <w:spacing w:before="246" w:after="0" w:line="279" w:lineRule="exact"/>
        <w:ind w:right="648" w:left="2880" w:hanging="432"/>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AMBSC Part 2—</w:t>
      </w:r>
      <w:r>
        <w:rPr>
          <w:rFonts w:ascii="Times New Roman" w:hAnsi="Times New Roman" w:eastAsia="Times New Roman"/>
          <w:i w:val="true"/>
          <w:color w:val="000000"/>
          <w:spacing w:val="0"/>
          <w:w w:val="100"/>
          <w:sz w:val="24"/>
          <w:vertAlign w:val="baseline"/>
          <w:lang w:val="en-US"/>
        </w:rPr>
        <w:t xml:space="preserve">Australian Miniature Boiler Safety Committee Code for Steel Boilers</w:t>
      </w:r>
      <w:r>
        <w:rPr>
          <w:rFonts w:ascii="Times New Roman" w:hAnsi="Times New Roman" w:eastAsia="Times New Roman"/>
          <w:color w:val="000000"/>
          <w:spacing w:val="0"/>
          <w:w w:val="100"/>
          <w:sz w:val="24"/>
          <w:vertAlign w:val="baseline"/>
          <w:lang w:val="en-US"/>
        </w:rPr>
        <w:t xml:space="preserve">;</w:t>
      </w:r>
    </w:p>
    <w:p>
      <w:pPr>
        <w:numPr>
          <w:ilvl w:val="0"/>
          <w:numId w:val="10"/>
        </w:numPr>
        <w:tabs>
          <w:tab w:val="clear" w:pos="432"/>
          <w:tab w:val="left" w:pos="2880"/>
        </w:tabs>
        <w:spacing w:before="114" w:after="0" w:line="279" w:lineRule="exact"/>
        <w:ind w:right="216" w:left="288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AMBSC Part 3—</w:t>
      </w:r>
      <w:r>
        <w:rPr>
          <w:rFonts w:ascii="Times New Roman" w:hAnsi="Times New Roman" w:eastAsia="Times New Roman"/>
          <w:i w:val="true"/>
          <w:color w:val="000000"/>
          <w:spacing w:val="0"/>
          <w:w w:val="100"/>
          <w:sz w:val="24"/>
          <w:vertAlign w:val="baseline"/>
          <w:lang w:val="en-US"/>
        </w:rPr>
        <w:t xml:space="preserve">Australian Miniature Boiler Safety Committee Code for Sub-Miniature Boilers</w:t>
      </w:r>
      <w:r>
        <w:rPr>
          <w:rFonts w:ascii="Times New Roman" w:hAnsi="Times New Roman" w:eastAsia="Times New Roman"/>
          <w:color w:val="000000"/>
          <w:spacing w:val="0"/>
          <w:w w:val="100"/>
          <w:sz w:val="24"/>
          <w:vertAlign w:val="baseline"/>
          <w:lang w:val="en-US"/>
        </w:rPr>
        <w:t xml:space="preserve">;</w:t>
      </w:r>
    </w:p>
    <w:p>
      <w:pPr>
        <w:numPr>
          <w:ilvl w:val="0"/>
          <w:numId w:val="10"/>
        </w:numPr>
        <w:tabs>
          <w:tab w:val="clear" w:pos="432"/>
          <w:tab w:val="left" w:pos="2880"/>
        </w:tabs>
        <w:spacing w:before="114" w:after="0" w:line="279" w:lineRule="exact"/>
        <w:ind w:right="144" w:left="288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AMBSC Part 4—</w:t>
      </w:r>
      <w:r>
        <w:rPr>
          <w:rFonts w:ascii="Times New Roman" w:hAnsi="Times New Roman" w:eastAsia="Times New Roman"/>
          <w:i w:val="true"/>
          <w:color w:val="000000"/>
          <w:spacing w:val="0"/>
          <w:w w:val="100"/>
          <w:sz w:val="24"/>
          <w:vertAlign w:val="baseline"/>
          <w:lang w:val="en-US"/>
        </w:rPr>
        <w:t xml:space="preserve">Australian Miniature Boiler Safety Committee Code for Duplex Steel Boilers</w:t>
      </w:r>
      <w:r>
        <w:rPr>
          <w:rFonts w:ascii="Times New Roman" w:hAnsi="Times New Roman" w:eastAsia="Times New Roman"/>
          <w:color w:val="000000"/>
          <w:spacing w:val="0"/>
          <w:w w:val="100"/>
          <w:sz w:val="24"/>
          <w:vertAlign w:val="baseline"/>
          <w:lang w:val="en-US"/>
        </w:rPr>
        <w:t xml:space="preserve">; or</w:t>
      </w:r>
    </w:p>
    <w:p>
      <w:pPr>
        <w:spacing w:before="119" w:after="0" w:line="272" w:lineRule="exact"/>
        <w:ind w:right="0" w:left="208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 in Schedules 3 and 4:</w:t>
      </w:r>
    </w:p>
    <w:p>
      <w:pPr>
        <w:numPr>
          <w:ilvl w:val="0"/>
          <w:numId w:val="11"/>
        </w:numPr>
        <w:tabs>
          <w:tab w:val="clear" w:pos="432"/>
          <w:tab w:val="left" w:pos="2880"/>
        </w:tabs>
        <w:spacing w:before="127" w:after="0" w:line="272" w:lineRule="exact"/>
        <w:ind w:right="0" w:left="288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direct fired process heater; or</w:t>
      </w:r>
    </w:p>
    <w:p>
      <w:pPr>
        <w:numPr>
          <w:ilvl w:val="0"/>
          <w:numId w:val="11"/>
        </w:numPr>
        <w:tabs>
          <w:tab w:val="clear" w:pos="432"/>
          <w:tab w:val="left" w:pos="2880"/>
        </w:tabs>
        <w:spacing w:before="114" w:after="0" w:line="279" w:lineRule="exact"/>
        <w:ind w:right="720" w:left="288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boilers with less than 5 square metres heating surface or 150 kilowatt output; or</w:t>
      </w:r>
    </w:p>
    <w:p>
      <w:pPr>
        <w:numPr>
          <w:ilvl w:val="0"/>
          <w:numId w:val="11"/>
        </w:numPr>
        <w:tabs>
          <w:tab w:val="clear" w:pos="432"/>
          <w:tab w:val="left" w:pos="2880"/>
        </w:tabs>
        <w:spacing w:before="117" w:after="0" w:line="276" w:lineRule="exact"/>
        <w:ind w:right="144" w:left="288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unattended boilers certified in compliance with AS 2593:2004 (Boilers—Safety management and supervision systems).</w:t>
      </w:r>
    </w:p>
    <w:p>
      <w:pPr>
        <w:spacing w:before="120" w:after="0" w:line="276" w:lineRule="exact"/>
        <w:ind w:right="432"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boom-type elevating work platform </w:t>
      </w:r>
      <w:r>
        <w:rPr>
          <w:rFonts w:ascii="Times New Roman" w:hAnsi="Times New Roman" w:eastAsia="Times New Roman"/>
          <w:color w:val="000000"/>
          <w:spacing w:val="0"/>
          <w:w w:val="100"/>
          <w:sz w:val="24"/>
          <w:vertAlign w:val="baseline"/>
          <w:lang w:val="en-US"/>
        </w:rPr>
        <w:t xml:space="preserve">means a telescoping device, hinged device, or articulated device, or any combination of these, used to support a platform on which personnel, equipment and materials may be elevated.</w:t>
      </w:r>
    </w:p>
    <w:p>
      <w:pPr>
        <w:spacing w:before="122" w:after="0" w:line="274"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bridge crane </w:t>
      </w:r>
      <w:r>
        <w:rPr>
          <w:rFonts w:ascii="Times New Roman" w:hAnsi="Times New Roman" w:eastAsia="Times New Roman"/>
          <w:color w:val="000000"/>
          <w:spacing w:val="0"/>
          <w:w w:val="100"/>
          <w:sz w:val="24"/>
          <w:vertAlign w:val="baseline"/>
          <w:lang w:val="en-US"/>
        </w:rPr>
        <w:t xml:space="preserve">means a crane that:</w:t>
      </w:r>
    </w:p>
    <w:p>
      <w:pPr>
        <w:numPr>
          <w:ilvl w:val="0"/>
          <w:numId w:val="12"/>
        </w:numPr>
        <w:tabs>
          <w:tab w:val="clear" w:pos="360"/>
          <w:tab w:val="left" w:pos="2448"/>
        </w:tabs>
        <w:spacing w:before="122" w:after="0" w:line="274" w:lineRule="exact"/>
        <w:ind w:right="216" w:left="244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consists of a bridge beam or beams, that are mounted to end carriages at each end; and</w:t>
      </w:r>
    </w:p>
    <w:p>
      <w:pPr>
        <w:numPr>
          <w:ilvl w:val="0"/>
          <w:numId w:val="12"/>
        </w:numPr>
        <w:tabs>
          <w:tab w:val="clear" w:pos="360"/>
          <w:tab w:val="left" w:pos="2448"/>
        </w:tabs>
        <w:spacing w:before="126" w:after="0" w:line="272" w:lineRule="exact"/>
        <w:ind w:right="0" w:left="244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capable of travelling along elevated runways; and</w:t>
      </w:r>
    </w:p>
    <w:p>
      <w:pPr>
        <w:numPr>
          <w:ilvl w:val="0"/>
          <w:numId w:val="12"/>
        </w:numPr>
        <w:tabs>
          <w:tab w:val="clear" w:pos="360"/>
          <w:tab w:val="left" w:pos="2448"/>
        </w:tabs>
        <w:spacing w:before="116" w:after="0" w:line="278" w:lineRule="exact"/>
        <w:ind w:right="216" w:left="244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has 1 or more hoisting mechanisms arranged to traverse across the bridge.</w:t>
      </w:r>
    </w:p>
    <w:p>
      <w:pPr>
        <w:spacing w:before="118" w:after="0" w:line="276" w:lineRule="exact"/>
        <w:ind w:right="144"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building maintenance equipment </w:t>
      </w:r>
      <w:r>
        <w:rPr>
          <w:rFonts w:ascii="Times New Roman" w:hAnsi="Times New Roman" w:eastAsia="Times New Roman"/>
          <w:color w:val="000000"/>
          <w:spacing w:val="0"/>
          <w:w w:val="100"/>
          <w:sz w:val="24"/>
          <w:vertAlign w:val="baseline"/>
          <w:lang w:val="en-US"/>
        </w:rPr>
        <w:t xml:space="preserve">means a suspended platform and associated equipment, including a building maintenance unit or a swing stage, that incorporates permanently installed overhead supports to provide access to the faces of a building for maintenance, but does not include a suspended scaffold.</w:t>
      </w:r>
    </w:p>
    <w:p>
      <w:pPr>
        <w:spacing w:before="124" w:after="0" w:line="275" w:lineRule="exact"/>
        <w:ind w:right="216"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building maintenance unit </w:t>
      </w:r>
      <w:r>
        <w:rPr>
          <w:rFonts w:ascii="Times New Roman" w:hAnsi="Times New Roman" w:eastAsia="Times New Roman"/>
          <w:color w:val="000000"/>
          <w:spacing w:val="0"/>
          <w:w w:val="100"/>
          <w:sz w:val="24"/>
          <w:vertAlign w:val="baseline"/>
          <w:lang w:val="en-US"/>
        </w:rPr>
        <w:t xml:space="preserve">means a power operated suspended platform and associated equipment on a building specifically designed to provide permanent access to the faces of the building for maintenance.</w:t>
      </w:r>
    </w:p>
    <w:p>
      <w:pPr>
        <w:spacing w:before="124" w:after="0" w:line="274" w:lineRule="exact"/>
        <w:ind w:right="216"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bulk</w:t>
      </w:r>
      <w:r>
        <w:rPr>
          <w:rFonts w:ascii="Times New Roman" w:hAnsi="Times New Roman" w:eastAsia="Times New Roman"/>
          <w:color w:val="000000"/>
          <w:spacing w:val="0"/>
          <w:w w:val="100"/>
          <w:sz w:val="24"/>
          <w:vertAlign w:val="baseline"/>
          <w:lang w:val="en-US"/>
        </w:rPr>
        <w:t xml:space="preserve">, in relation to a hazardous chemical, means any quantity of a hazardous chemical that is:</w:t>
      </w:r>
    </w:p>
    <w:p>
      <w:pPr>
        <w:spacing w:before="124" w:after="1095" w:line="274" w:lineRule="exact"/>
        <w:ind w:right="144" w:left="244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in a container with a capacity exceeding 500 litres or net mass of more than 500 kilograms; or</w:t>
      </w:r>
    </w:p>
    <w:p>
      <w:pPr>
        <w:spacing w:before="124" w:after="1095" w:line="274" w:lineRule="exact"/>
        <w:sectPr>
          <w:type w:val="nextPage"/>
          <w:pgSz w:w="11909" w:h="16838" w:orient="portrait"/>
          <w:pgMar w:bottom="1082" w:top="1140" w:right="1940" w:left="1949" w:header="720" w:footer="720"/>
          <w:titlePg w:val="false"/>
          <w:textDirection w:val="lrTb"/>
        </w:sectPr>
      </w:pPr>
    </w:p>
    <w:p>
      <w:pPr>
        <w:tabs>
          <w:tab w:val="right" w:leader="none" w:pos="4032"/>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5</w:t>
      </w:r>
    </w:p>
    <w:p>
      <w:pPr>
        <w:sectPr>
          <w:type w:val="continuous"/>
          <w:pgSz w:w="11909" w:h="16838" w:orient="portrait"/>
          <w:pgMar w:bottom="1082" w:top="1140" w:right="5897" w:left="1972"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	</w:t>
      </w:r>
      <w:r>
        <w:rPr>
          <w:rFonts w:ascii="Times New Roman" w:hAnsi="Times New Roman" w:eastAsia="Times New Roman"/>
          <w:color w:val="000000"/>
          <w:spacing w:val="0"/>
          <w:w w:val="100"/>
          <w:sz w:val="20"/>
          <w:vertAlign w:val="baseline"/>
          <w:lang w:val="en-US"/>
        </w:rPr>
        <w:t xml:space="preserve">Introductory Matters</w:t>
      </w:r>
    </w:p>
    <w:p>
      <w:pPr>
        <w:spacing w:before="247" w:after="0" w:line="277" w:lineRule="exact"/>
        <w:ind w:right="0" w:left="2016"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(b) if the hazardous chemical is a solid—an undivided</w:t>
      </w:r>
    </w:p>
    <w:p>
      <w:pPr>
        <w:spacing w:before="2" w:after="0" w:line="277"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quantity exceeding 500 kilograms.</w:t>
      </w:r>
    </w:p>
    <w:p>
      <w:pPr>
        <w:spacing w:before="119" w:after="0" w:line="277" w:lineRule="exact"/>
        <w:ind w:right="288" w:left="1872" w:hanging="504"/>
        <w:jc w:val="left"/>
        <w:textAlignment w:val="baseline"/>
        <w:rPr>
          <w:rFonts w:ascii="Times New Roman" w:hAnsi="Times New Roman" w:eastAsia="Times New Roman"/>
          <w:b w:val="true"/>
          <w:i w:val="true"/>
          <w:color w:val="000000"/>
          <w:spacing w:val="-1"/>
          <w:w w:val="100"/>
          <w:sz w:val="24"/>
          <w:vertAlign w:val="baseline"/>
          <w:lang w:val="en-US"/>
        </w:rPr>
      </w:pPr>
      <w:r>
        <w:rPr>
          <w:rFonts w:ascii="Times New Roman" w:hAnsi="Times New Roman" w:eastAsia="Times New Roman"/>
          <w:b w:val="true"/>
          <w:i w:val="true"/>
          <w:color w:val="000000"/>
          <w:spacing w:val="-1"/>
          <w:w w:val="100"/>
          <w:sz w:val="24"/>
          <w:vertAlign w:val="baseline"/>
          <w:lang w:val="en-US"/>
        </w:rPr>
        <w:t xml:space="preserve">capacity</w:t>
      </w:r>
      <w:r>
        <w:rPr>
          <w:rFonts w:ascii="Times New Roman" w:hAnsi="Times New Roman" w:eastAsia="Times New Roman"/>
          <w:color w:val="000000"/>
          <w:spacing w:val="-1"/>
          <w:w w:val="100"/>
          <w:sz w:val="24"/>
          <w:vertAlign w:val="baseline"/>
          <w:lang w:val="en-US"/>
        </w:rPr>
        <w:t xml:space="preserve">, of a container (in Chapter 7), means the internal volume of the container at a temperature of 15</w:t>
      </w:r>
      <w:r>
        <w:rPr>
          <w:rFonts w:ascii="Arial" w:hAnsi="Arial" w:eastAsia="Arial"/>
          <w:color w:val="000000"/>
          <w:spacing w:val="-1"/>
          <w:w w:val="100"/>
          <w:sz w:val="25"/>
          <w:vertAlign w:val="baseline"/>
          <w:lang w:val="en-US"/>
        </w:rPr>
        <w:t xml:space="preserve">°</w:t>
      </w:r>
      <w:r>
        <w:rPr>
          <w:rFonts w:ascii="Times New Roman" w:hAnsi="Times New Roman" w:eastAsia="Times New Roman"/>
          <w:color w:val="000000"/>
          <w:spacing w:val="-1"/>
          <w:w w:val="100"/>
          <w:sz w:val="24"/>
          <w:vertAlign w:val="baseline"/>
          <w:lang w:val="en-US"/>
        </w:rPr>
        <w:t xml:space="preserve">C expressed in litres.</w:t>
      </w:r>
    </w:p>
    <w:p>
      <w:pPr>
        <w:spacing w:before="117" w:after="0" w:line="277" w:lineRule="exact"/>
        <w:ind w:right="648"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card holder </w:t>
      </w:r>
      <w:r>
        <w:rPr>
          <w:rFonts w:ascii="Times New Roman" w:hAnsi="Times New Roman" w:eastAsia="Times New Roman"/>
          <w:color w:val="000000"/>
          <w:spacing w:val="0"/>
          <w:w w:val="100"/>
          <w:sz w:val="24"/>
          <w:vertAlign w:val="baseline"/>
          <w:lang w:val="en-US"/>
        </w:rPr>
        <w:t xml:space="preserve">means the person to whom a general construction induction training card is issued.</w:t>
      </w:r>
    </w:p>
    <w:p>
      <w:pPr>
        <w:spacing w:before="118" w:after="0" w:line="277" w:lineRule="exact"/>
        <w:ind w:right="216"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certificate of medical fitness </w:t>
      </w:r>
      <w:r>
        <w:rPr>
          <w:rFonts w:ascii="Times New Roman" w:hAnsi="Times New Roman" w:eastAsia="Times New Roman"/>
          <w:color w:val="000000"/>
          <w:spacing w:val="0"/>
          <w:w w:val="100"/>
          <w:sz w:val="24"/>
          <w:vertAlign w:val="baseline"/>
          <w:lang w:val="en-US"/>
        </w:rPr>
        <w:t xml:space="preserve">means a certificate of medical fitness that complies with regulation 169.</w:t>
      </w:r>
    </w:p>
    <w:p>
      <w:pPr>
        <w:spacing w:before="117" w:after="0" w:line="277"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certification</w:t>
      </w:r>
      <w:r>
        <w:rPr>
          <w:rFonts w:ascii="Times New Roman" w:hAnsi="Times New Roman" w:eastAsia="Times New Roman"/>
          <w:color w:val="000000"/>
          <w:spacing w:val="0"/>
          <w:w w:val="100"/>
          <w:sz w:val="24"/>
          <w:vertAlign w:val="baseline"/>
          <w:lang w:val="en-US"/>
        </w:rPr>
        <w:t xml:space="preserve">, in relation to a specified VET course, means:</w:t>
      </w:r>
    </w:p>
    <w:p>
      <w:pPr>
        <w:numPr>
          <w:ilvl w:val="0"/>
          <w:numId w:val="13"/>
        </w:numPr>
        <w:tabs>
          <w:tab w:val="clear" w:pos="360"/>
          <w:tab w:val="left" w:pos="2376"/>
        </w:tabs>
        <w:spacing w:before="119" w:after="0" w:line="277" w:lineRule="exact"/>
        <w:ind w:right="288"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statement of attainment issued by an RTO stating that the person to whom it is issued has successfully completed the specified VET course; or</w:t>
      </w:r>
    </w:p>
    <w:p>
      <w:pPr>
        <w:numPr>
          <w:ilvl w:val="0"/>
          <w:numId w:val="13"/>
        </w:numPr>
        <w:tabs>
          <w:tab w:val="clear" w:pos="360"/>
          <w:tab w:val="left" w:pos="2376"/>
        </w:tabs>
        <w:spacing w:before="114" w:after="0" w:line="277" w:lineRule="exact"/>
        <w:ind w:right="14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high risk work—a notice of satisfactory assessment stating that the person to whom it is issued has successfully completed the specified VET course; or</w:t>
      </w:r>
    </w:p>
    <w:p>
      <w:pPr>
        <w:numPr>
          <w:ilvl w:val="0"/>
          <w:numId w:val="13"/>
        </w:numPr>
        <w:tabs>
          <w:tab w:val="clear" w:pos="360"/>
          <w:tab w:val="left" w:pos="2376"/>
        </w:tabs>
        <w:spacing w:before="118" w:after="0" w:line="277" w:lineRule="exact"/>
        <w:ind w:right="1296"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equivalent statement or notice issued by a corresponding RTO.</w:t>
      </w:r>
    </w:p>
    <w:p>
      <w:pPr>
        <w:spacing w:before="116" w:after="0" w:line="277" w:lineRule="exact"/>
        <w:ind w:right="288" w:left="1872" w:hanging="504"/>
        <w:jc w:val="left"/>
        <w:textAlignment w:val="baseline"/>
        <w:rPr>
          <w:rFonts w:ascii="Times New Roman" w:hAnsi="Times New Roman" w:eastAsia="Times New Roman"/>
          <w:b w:val="true"/>
          <w:i w:val="true"/>
          <w:color w:val="000000"/>
          <w:spacing w:val="-1"/>
          <w:w w:val="100"/>
          <w:sz w:val="24"/>
          <w:vertAlign w:val="baseline"/>
          <w:lang w:val="en-US"/>
        </w:rPr>
      </w:pPr>
      <w:r>
        <w:rPr>
          <w:rFonts w:ascii="Times New Roman" w:hAnsi="Times New Roman" w:eastAsia="Times New Roman"/>
          <w:b w:val="true"/>
          <w:i w:val="true"/>
          <w:color w:val="000000"/>
          <w:spacing w:val="-1"/>
          <w:w w:val="100"/>
          <w:sz w:val="24"/>
          <w:vertAlign w:val="baseline"/>
          <w:lang w:val="en-US"/>
        </w:rPr>
        <w:t xml:space="preserve">certified safety management system</w:t>
      </w:r>
      <w:r>
        <w:rPr>
          <w:rFonts w:ascii="Times New Roman" w:hAnsi="Times New Roman" w:eastAsia="Times New Roman"/>
          <w:color w:val="000000"/>
          <w:spacing w:val="-1"/>
          <w:w w:val="100"/>
          <w:sz w:val="24"/>
          <w:vertAlign w:val="baseline"/>
          <w:lang w:val="en-US"/>
        </w:rPr>
        <w:t xml:space="preserve">, in Chapter 8, means a safety management system that complies with AS 4801:2001 (Occupational health and safety management systems), or an equivalent system determined by the regulator.</w:t>
      </w:r>
    </w:p>
    <w:p>
      <w:pPr>
        <w:spacing w:before="116" w:after="0" w:line="277" w:lineRule="exact"/>
        <w:ind w:right="288"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chemical identity </w:t>
      </w:r>
      <w:r>
        <w:rPr>
          <w:rFonts w:ascii="Times New Roman" w:hAnsi="Times New Roman" w:eastAsia="Times New Roman"/>
          <w:color w:val="000000"/>
          <w:spacing w:val="0"/>
          <w:w w:val="100"/>
          <w:sz w:val="24"/>
          <w:vertAlign w:val="baseline"/>
          <w:lang w:val="en-US"/>
        </w:rPr>
        <w:t xml:space="preserve">means a name, in accordance with the nomenclature systems of the International Union of Pure and Applied Chemistry or the Chemical Abstracts Service, or a technical name, that gives a chemical a unique identity.</w:t>
      </w:r>
    </w:p>
    <w:p>
      <w:pPr>
        <w:spacing w:before="123" w:after="0" w:line="277" w:lineRule="exact"/>
        <w:ind w:right="0" w:left="1368" w:firstLine="0"/>
        <w:jc w:val="left"/>
        <w:textAlignment w:val="baseline"/>
        <w:rPr>
          <w:rFonts w:ascii="Times New Roman" w:hAnsi="Times New Roman" w:eastAsia="Times New Roman"/>
          <w:b w:val="true"/>
          <w:i w:val="true"/>
          <w:color w:val="000000"/>
          <w:spacing w:val="-2"/>
          <w:w w:val="100"/>
          <w:sz w:val="24"/>
          <w:vertAlign w:val="baseline"/>
          <w:lang w:val="en-US"/>
        </w:rPr>
      </w:pPr>
      <w:r>
        <w:rPr>
          <w:rFonts w:ascii="Times New Roman" w:hAnsi="Times New Roman" w:eastAsia="Times New Roman"/>
          <w:b w:val="true"/>
          <w:i w:val="true"/>
          <w:color w:val="000000"/>
          <w:spacing w:val="-2"/>
          <w:w w:val="100"/>
          <w:sz w:val="24"/>
          <w:vertAlign w:val="baseline"/>
          <w:lang w:val="en-US"/>
        </w:rPr>
        <w:t xml:space="preserve">class </w:t>
      </w:r>
      <w:r>
        <w:rPr>
          <w:rFonts w:ascii="Times New Roman" w:hAnsi="Times New Roman" w:eastAsia="Times New Roman"/>
          <w:color w:val="000000"/>
          <w:spacing w:val="-2"/>
          <w:w w:val="100"/>
          <w:sz w:val="24"/>
          <w:vertAlign w:val="baseline"/>
          <w:lang w:val="en-US"/>
        </w:rPr>
        <w:t xml:space="preserve">means:</w:t>
      </w:r>
    </w:p>
    <w:p>
      <w:pPr>
        <w:numPr>
          <w:ilvl w:val="0"/>
          <w:numId w:val="14"/>
        </w:numPr>
        <w:tabs>
          <w:tab w:val="clear" w:pos="360"/>
          <w:tab w:val="left" w:pos="2376"/>
        </w:tabs>
        <w:spacing w:before="117" w:after="0" w:line="277" w:lineRule="exact"/>
        <w:ind w:right="14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relation to high risk work, a class of work specified in Schedule 3;</w:t>
      </w:r>
    </w:p>
    <w:p>
      <w:pPr>
        <w:numPr>
          <w:ilvl w:val="0"/>
          <w:numId w:val="14"/>
        </w:numPr>
        <w:tabs>
          <w:tab w:val="clear" w:pos="360"/>
          <w:tab w:val="left" w:pos="2376"/>
        </w:tabs>
        <w:spacing w:before="118" w:after="0" w:line="277" w:lineRule="exact"/>
        <w:ind w:right="36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relation to asbestos removal work, Class A asbestos removal work or Class B asbestos removal work.</w:t>
      </w:r>
    </w:p>
    <w:p>
      <w:pPr>
        <w:spacing w:before="114" w:after="0" w:line="277" w:lineRule="exact"/>
        <w:ind w:right="72" w:left="1872" w:hanging="504"/>
        <w:jc w:val="left"/>
        <w:textAlignment w:val="baseline"/>
        <w:rPr>
          <w:rFonts w:ascii="Times New Roman" w:hAnsi="Times New Roman" w:eastAsia="Times New Roman"/>
          <w:b w:val="true"/>
          <w:i w:val="true"/>
          <w:color w:val="000000"/>
          <w:spacing w:val="-1"/>
          <w:w w:val="100"/>
          <w:sz w:val="24"/>
          <w:vertAlign w:val="baseline"/>
          <w:lang w:val="en-US"/>
        </w:rPr>
      </w:pPr>
      <w:r>
        <w:rPr>
          <w:rFonts w:ascii="Times New Roman" w:hAnsi="Times New Roman" w:eastAsia="Times New Roman"/>
          <w:b w:val="true"/>
          <w:i w:val="true"/>
          <w:color w:val="000000"/>
          <w:spacing w:val="-1"/>
          <w:w w:val="100"/>
          <w:sz w:val="24"/>
          <w:vertAlign w:val="baseline"/>
          <w:lang w:val="en-US"/>
        </w:rPr>
        <w:t xml:space="preserve">Class A asbestos removal licence </w:t>
      </w:r>
      <w:r>
        <w:rPr>
          <w:rFonts w:ascii="Times New Roman" w:hAnsi="Times New Roman" w:eastAsia="Times New Roman"/>
          <w:color w:val="000000"/>
          <w:spacing w:val="-1"/>
          <w:w w:val="100"/>
          <w:sz w:val="24"/>
          <w:vertAlign w:val="baseline"/>
          <w:lang w:val="en-US"/>
        </w:rPr>
        <w:t xml:space="preserve">means a licence that authorises the carrying out of Class A asbestos removal work and Class B asbestos removal work by or on behalf of the licence holder.</w:t>
      </w:r>
    </w:p>
    <w:p>
      <w:pPr>
        <w:spacing w:before="118" w:after="1488" w:line="277" w:lineRule="exact"/>
        <w:ind w:right="288" w:left="1872" w:hanging="504"/>
        <w:jc w:val="left"/>
        <w:textAlignment w:val="baseline"/>
        <w:rPr>
          <w:rFonts w:ascii="Times New Roman" w:hAnsi="Times New Roman" w:eastAsia="Times New Roman"/>
          <w:b w:val="true"/>
          <w:i w:val="true"/>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b w:val="true"/>
          <w:i w:val="true"/>
          <w:color w:val="000000"/>
          <w:spacing w:val="0"/>
          <w:w w:val="100"/>
          <w:sz w:val="24"/>
          <w:vertAlign w:val="baseline"/>
          <w:lang w:val="en-US"/>
        </w:rPr>
        <w:t xml:space="preserve">Class A asbestos removal work </w:t>
      </w:r>
      <w:r>
        <w:rPr>
          <w:rFonts w:ascii="Times New Roman" w:hAnsi="Times New Roman" w:eastAsia="Times New Roman"/>
          <w:color w:val="000000"/>
          <w:spacing w:val="0"/>
          <w:w w:val="100"/>
          <w:sz w:val="24"/>
          <w:vertAlign w:val="baseline"/>
          <w:lang w:val="en-US"/>
        </w:rPr>
        <w:t xml:space="preserve">means work that is required to be licensed under regulation 485.</w:t>
      </w:r>
    </w:p>
    <w:p>
      <w:pPr>
        <w:spacing w:before="118" w:after="1488" w:line="277" w:lineRule="exact"/>
        <w:sectPr>
          <w:type w:val="nextPage"/>
          <w:pgSz w:w="11909" w:h="16838" w:orient="portrait"/>
          <w:pgMar w:bottom="1082" w:top="1140" w:right="1940" w:left="1949" w:header="720" w:footer="720"/>
          <w:titlePg w:val="false"/>
          <w:textDirection w:val="lrTb"/>
        </w:sectPr>
      </w:pPr>
    </w:p>
    <w:p>
      <w:pPr>
        <w:tabs>
          <w:tab w:val="right" w:leader="none" w:pos="4032"/>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6</w:t>
      </w:r>
    </w:p>
    <w:p>
      <w:pPr>
        <w:sectPr>
          <w:type w:val="continuous"/>
          <w:pgSz w:w="11909" w:h="16838" w:orient="portrait"/>
          <w:pgMar w:bottom="1082" w:top="1140" w:right="5895" w:left="1974"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	</w:t>
      </w:r>
      <w:r>
        <w:rPr>
          <w:rFonts w:ascii="Times New Roman" w:hAnsi="Times New Roman" w:eastAsia="Times New Roman"/>
          <w:color w:val="000000"/>
          <w:spacing w:val="0"/>
          <w:w w:val="100"/>
          <w:sz w:val="20"/>
          <w:vertAlign w:val="baseline"/>
          <w:lang w:val="en-US"/>
        </w:rPr>
        <w:t xml:space="preserve">Introductory Matters</w:t>
      </w:r>
    </w:p>
    <w:p>
      <w:pPr>
        <w:spacing w:before="247" w:after="0" w:line="276" w:lineRule="exact"/>
        <w:ind w:right="288" w:left="1872" w:hanging="504"/>
        <w:jc w:val="left"/>
        <w:textAlignment w:val="baseline"/>
        <w:rPr>
          <w:rFonts w:ascii="Times New Roman" w:hAnsi="Times New Roman" w:eastAsia="Times New Roman"/>
          <w:b w:val="true"/>
          <w:i w:val="true"/>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i w:val="true"/>
          <w:color w:val="000000"/>
          <w:spacing w:val="0"/>
          <w:w w:val="100"/>
          <w:sz w:val="24"/>
          <w:vertAlign w:val="baseline"/>
          <w:lang w:val="en-US"/>
        </w:rPr>
        <w:t xml:space="preserve">Class B asbestos removal licence </w:t>
      </w:r>
      <w:r>
        <w:rPr>
          <w:rFonts w:ascii="Times New Roman" w:hAnsi="Times New Roman" w:eastAsia="Times New Roman"/>
          <w:color w:val="000000"/>
          <w:spacing w:val="0"/>
          <w:w w:val="100"/>
          <w:sz w:val="24"/>
          <w:vertAlign w:val="baseline"/>
          <w:lang w:val="en-US"/>
        </w:rPr>
        <w:t xml:space="preserve">means a licence that authorises the carrying out of Class B asbestos removal work by or on behalf of the licence holder.</w:t>
      </w:r>
    </w:p>
    <w:p>
      <w:pPr>
        <w:spacing w:before="123" w:after="0" w:line="276" w:lineRule="exact"/>
        <w:ind w:right="288"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Class B asbestos removal work </w:t>
      </w:r>
      <w:r>
        <w:rPr>
          <w:rFonts w:ascii="Times New Roman" w:hAnsi="Times New Roman" w:eastAsia="Times New Roman"/>
          <w:color w:val="000000"/>
          <w:spacing w:val="0"/>
          <w:w w:val="100"/>
          <w:sz w:val="24"/>
          <w:vertAlign w:val="baseline"/>
          <w:lang w:val="en-US"/>
        </w:rPr>
        <w:t xml:space="preserve">means work that is required to be licensed under regulation 487, but does not include Class A asbestos removal work.</w:t>
      </w:r>
    </w:p>
    <w:p>
      <w:pPr>
        <w:spacing w:before="114" w:after="0" w:line="279" w:lineRule="exact"/>
        <w:ind w:right="504"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class label </w:t>
      </w:r>
      <w:r>
        <w:rPr>
          <w:rFonts w:ascii="Times New Roman" w:hAnsi="Times New Roman" w:eastAsia="Times New Roman"/>
          <w:color w:val="000000"/>
          <w:spacing w:val="0"/>
          <w:w w:val="100"/>
          <w:sz w:val="24"/>
          <w:vertAlign w:val="baseline"/>
          <w:lang w:val="en-US"/>
        </w:rPr>
        <w:t xml:space="preserve">means a pictogram described in the ADG Code for a class, or division of a class, of dangerous goods.</w:t>
      </w:r>
    </w:p>
    <w:p>
      <w:pPr>
        <w:spacing w:before="0" w:after="0" w:line="397" w:lineRule="exact"/>
        <w:ind w:right="2520" w:left="1368" w:firstLine="0"/>
        <w:jc w:val="both"/>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clearance certificate—</w:t>
      </w:r>
      <w:r>
        <w:rPr>
          <w:rFonts w:ascii="Times New Roman" w:hAnsi="Times New Roman" w:eastAsia="Times New Roman"/>
          <w:color w:val="000000"/>
          <w:spacing w:val="0"/>
          <w:w w:val="100"/>
          <w:sz w:val="24"/>
          <w:vertAlign w:val="baseline"/>
          <w:lang w:val="en-US"/>
        </w:rPr>
        <w:t xml:space="preserve">see regulation 474. </w:t>
      </w:r>
      <w:r>
        <w:rPr>
          <w:rFonts w:ascii="Times New Roman" w:hAnsi="Times New Roman" w:eastAsia="Times New Roman"/>
          <w:b w:val="true"/>
          <w:i w:val="true"/>
          <w:color w:val="000000"/>
          <w:spacing w:val="0"/>
          <w:w w:val="100"/>
          <w:sz w:val="24"/>
          <w:vertAlign w:val="baseline"/>
          <w:lang w:val="en-US"/>
        </w:rPr>
        <w:t xml:space="preserve">clearance inspection</w:t>
      </w:r>
      <w:r>
        <w:rPr>
          <w:rFonts w:ascii="Times New Roman" w:hAnsi="Times New Roman" w:eastAsia="Times New Roman"/>
          <w:color w:val="000000"/>
          <w:spacing w:val="0"/>
          <w:w w:val="100"/>
          <w:sz w:val="24"/>
          <w:vertAlign w:val="baseline"/>
          <w:lang w:val="en-US"/>
        </w:rPr>
        <w:t xml:space="preserve">—see regulation 473.</w:t>
      </w:r>
    </w:p>
    <w:p>
      <w:pPr>
        <w:spacing w:before="112" w:after="0" w:line="279" w:lineRule="exact"/>
        <w:ind w:right="432" w:left="1872" w:hanging="504"/>
        <w:jc w:val="both"/>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combustible dust </w:t>
      </w:r>
      <w:r>
        <w:rPr>
          <w:rFonts w:ascii="Times New Roman" w:hAnsi="Times New Roman" w:eastAsia="Times New Roman"/>
          <w:color w:val="000000"/>
          <w:spacing w:val="0"/>
          <w:w w:val="100"/>
          <w:sz w:val="24"/>
          <w:vertAlign w:val="baseline"/>
          <w:lang w:val="en-US"/>
        </w:rPr>
        <w:t xml:space="preserve">means finely divided solid particles (including dust, fibres or flyings) that are:</w:t>
      </w:r>
    </w:p>
    <w:p>
      <w:pPr>
        <w:numPr>
          <w:ilvl w:val="0"/>
          <w:numId w:val="15"/>
        </w:numPr>
        <w:tabs>
          <w:tab w:val="clear" w:pos="360"/>
          <w:tab w:val="left" w:pos="2376"/>
        </w:tabs>
        <w:spacing w:before="119" w:after="0" w:line="274" w:lineRule="exact"/>
        <w:ind w:right="43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suspended in air or settle out of the atmosphere under their own weight; and</w:t>
      </w:r>
    </w:p>
    <w:p>
      <w:pPr>
        <w:numPr>
          <w:ilvl w:val="0"/>
          <w:numId w:val="15"/>
        </w:numPr>
        <w:tabs>
          <w:tab w:val="clear" w:pos="360"/>
          <w:tab w:val="left" w:pos="2376"/>
        </w:tabs>
        <w:spacing w:before="126" w:after="0" w:line="272"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able to burn or glow in air; and</w:t>
      </w:r>
    </w:p>
    <w:p>
      <w:pPr>
        <w:numPr>
          <w:ilvl w:val="0"/>
          <w:numId w:val="15"/>
        </w:numPr>
        <w:tabs>
          <w:tab w:val="clear" w:pos="360"/>
          <w:tab w:val="left" w:pos="2376"/>
        </w:tabs>
        <w:spacing w:before="116" w:after="0" w:line="278" w:lineRule="exact"/>
        <w:ind w:right="7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able to form an explosive mixture with air at atmospheric pressure and normal temperature.</w:t>
      </w:r>
    </w:p>
    <w:p>
      <w:pPr>
        <w:tabs>
          <w:tab w:val="left" w:leader="dot" w:pos="5328"/>
        </w:tabs>
        <w:spacing w:before="122" w:after="0" w:line="274" w:lineRule="exact"/>
        <w:ind w:right="0" w:left="1368" w:firstLine="0"/>
        <w:jc w:val="left"/>
        <w:textAlignment w:val="baseline"/>
        <w:rPr>
          <w:rFonts w:ascii="Times New Roman" w:hAnsi="Times New Roman" w:eastAsia="Times New Roman"/>
          <w:b w:val="true"/>
          <w:i w:val="true"/>
          <w:color w:val="000000"/>
          <w:spacing w:val="-1"/>
          <w:w w:val="100"/>
          <w:sz w:val="24"/>
          <w:vertAlign w:val="baseline"/>
          <w:lang w:val="en-US"/>
        </w:rPr>
      </w:pPr>
      <w:r>
        <w:rPr>
          <w:rFonts w:ascii="Times New Roman" w:hAnsi="Times New Roman" w:eastAsia="Times New Roman"/>
          <w:b w:val="true"/>
          <w:i w:val="true"/>
          <w:color w:val="000000"/>
          <w:spacing w:val="-1"/>
          <w:w w:val="100"/>
          <w:sz w:val="24"/>
          <w:vertAlign w:val="baseline"/>
          <w:lang w:val="en-US"/>
        </w:rPr>
        <w:t xml:space="preserve">combustible liquid </w:t>
      </w:r>
      <w:r>
        <w:rPr>
          <w:rFonts w:ascii="Times New Roman" w:hAnsi="Times New Roman" w:eastAsia="Times New Roman"/>
          <w:color w:val="000000"/>
          <w:spacing w:val="-1"/>
          <w:w w:val="100"/>
          <w:sz w:val="24"/>
          <w:vertAlign w:val="baseline"/>
          <w:lang w:val="en-US"/>
        </w:rPr>
        <w:t xml:space="preserve">means [	</w:t>
      </w:r>
      <w:r>
        <w:rPr>
          <w:rFonts w:ascii="Times New Roman" w:hAnsi="Times New Roman" w:eastAsia="Times New Roman"/>
          <w:color w:val="000000"/>
          <w:spacing w:val="-1"/>
          <w:w w:val="100"/>
          <w:sz w:val="24"/>
          <w:vertAlign w:val="baseline"/>
          <w:lang w:val="en-US"/>
        </w:rPr>
        <w:t xml:space="preserve">].</w:t>
      </w:r>
    </w:p>
    <w:p>
      <w:pPr>
        <w:spacing w:before="128"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7"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16" w:after="0" w:line="276" w:lineRule="exact"/>
        <w:ind w:right="144"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combustible substance </w:t>
      </w:r>
      <w:r>
        <w:rPr>
          <w:rFonts w:ascii="Times New Roman" w:hAnsi="Times New Roman" w:eastAsia="Times New Roman"/>
          <w:color w:val="000000"/>
          <w:spacing w:val="0"/>
          <w:w w:val="100"/>
          <w:sz w:val="24"/>
          <w:vertAlign w:val="baseline"/>
          <w:lang w:val="en-US"/>
        </w:rPr>
        <w:t xml:space="preserve">means a substance that is combustible, and includes dust, fibres, fumes, mists or vapours produced by the substance.</w:t>
      </w:r>
    </w:p>
    <w:p>
      <w:pPr>
        <w:spacing w:before="125"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Examples</w:t>
      </w:r>
    </w:p>
    <w:p>
      <w:pPr>
        <w:spacing w:before="126" w:after="0" w:line="227"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Wood, paper, oil, iron filings.</w:t>
      </w:r>
    </w:p>
    <w:p>
      <w:pPr>
        <w:spacing w:before="116" w:after="0" w:line="276" w:lineRule="exact"/>
        <w:ind w:right="216"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competency assessment</w:t>
      </w:r>
      <w:r>
        <w:rPr>
          <w:rFonts w:ascii="Times New Roman" w:hAnsi="Times New Roman" w:eastAsia="Times New Roman"/>
          <w:color w:val="000000"/>
          <w:spacing w:val="0"/>
          <w:w w:val="100"/>
          <w:sz w:val="24"/>
          <w:vertAlign w:val="baseline"/>
          <w:lang w:val="en-US"/>
        </w:rPr>
        <w:t xml:space="preserve">, in Part 4.5, means an assessment in relation to the completion of a specified VET course to carry out a class of high risk work.</w:t>
      </w:r>
    </w:p>
    <w:p>
      <w:pPr>
        <w:spacing w:before="126" w:after="0" w:line="274"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competent person </w:t>
      </w:r>
      <w:r>
        <w:rPr>
          <w:rFonts w:ascii="Times New Roman" w:hAnsi="Times New Roman" w:eastAsia="Times New Roman"/>
          <w:color w:val="000000"/>
          <w:spacing w:val="0"/>
          <w:w w:val="100"/>
          <w:sz w:val="24"/>
          <w:vertAlign w:val="baseline"/>
          <w:lang w:val="en-US"/>
        </w:rPr>
        <w:t xml:space="preserve">means:</w:t>
      </w:r>
    </w:p>
    <w:p>
      <w:pPr>
        <w:numPr>
          <w:ilvl w:val="0"/>
          <w:numId w:val="16"/>
        </w:numPr>
        <w:tabs>
          <w:tab w:val="clear" w:pos="360"/>
          <w:tab w:val="left" w:pos="2376"/>
        </w:tabs>
        <w:spacing w:before="114" w:after="0" w:line="278" w:lineRule="exact"/>
        <w:ind w:right="216"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electrical work on energised electrical equipment or energised electrical installations (other than testing</w:t>
      </w:r>
    </w:p>
    <w:p>
      <w:pPr>
        <w:tabs>
          <w:tab w:val="left" w:leader="dot" w:pos="6624"/>
        </w:tabs>
        <w:spacing w:before="2" w:after="0" w:line="272" w:lineRule="exact"/>
        <w:ind w:right="0" w:left="2376"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referred to in regulations 150 and 165)—[	</w:t>
      </w:r>
      <w:r>
        <w:rPr>
          <w:rFonts w:ascii="Times New Roman" w:hAnsi="Times New Roman" w:eastAsia="Times New Roman"/>
          <w:color w:val="000000"/>
          <w:spacing w:val="0"/>
          <w:w w:val="100"/>
          <w:sz w:val="24"/>
          <w:vertAlign w:val="baseline"/>
          <w:lang w:val="en-US"/>
        </w:rPr>
        <w:t xml:space="preserve">];</w:t>
      </w:r>
    </w:p>
    <w:p>
      <w:pPr>
        <w:spacing w:before="125" w:after="0" w:line="225" w:lineRule="exact"/>
        <w:ind w:right="0" w:left="2376"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7"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numPr>
          <w:ilvl w:val="0"/>
          <w:numId w:val="16"/>
        </w:numPr>
        <w:tabs>
          <w:tab w:val="clear" w:pos="360"/>
          <w:tab w:val="left" w:pos="2376"/>
        </w:tabs>
        <w:spacing w:before="120" w:after="1047" w:line="272"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for general diving work—see regulations 174 and 177;</w:t>
      </w:r>
    </w:p>
    <w:p>
      <w:pPr>
        <w:spacing w:before="120" w:after="1047" w:line="272" w:lineRule="exact"/>
        <w:sectPr>
          <w:type w:val="nextPage"/>
          <w:pgSz w:w="11909" w:h="16838" w:orient="portrait"/>
          <w:pgMar w:bottom="1082" w:top="1140" w:right="1940" w:left="1949" w:header="720" w:footer="720"/>
          <w:titlePg w:val="false"/>
          <w:textDirection w:val="lrTb"/>
        </w:sectPr>
      </w:pPr>
    </w:p>
    <w:p>
      <w:pPr>
        <w:tabs>
          <w:tab w:val="right" w:leader="none" w:pos="4032"/>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7</w:t>
      </w:r>
    </w:p>
    <w:p>
      <w:pPr>
        <w:sectPr>
          <w:type w:val="continuous"/>
          <w:pgSz w:w="11909" w:h="16838" w:orient="portrait"/>
          <w:pgMar w:bottom="1082" w:top="1140" w:right="5895" w:left="1974"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	</w:t>
      </w:r>
      <w:r>
        <w:rPr>
          <w:rFonts w:ascii="Times New Roman" w:hAnsi="Times New Roman" w:eastAsia="Times New Roman"/>
          <w:color w:val="000000"/>
          <w:spacing w:val="0"/>
          <w:w w:val="100"/>
          <w:sz w:val="20"/>
          <w:vertAlign w:val="baseline"/>
          <w:lang w:val="en-US"/>
        </w:rPr>
        <w:t xml:space="preserve">Introductory Matters</w:t>
      </w:r>
    </w:p>
    <w:p>
      <w:pPr>
        <w:spacing w:before="244" w:after="0" w:line="279" w:lineRule="exact"/>
        <w:ind w:right="144" w:left="2448" w:hanging="432"/>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(c) for a major inspection of a mobile crane or a tower crane under regulation 235—see regulation 235;</w:t>
      </w:r>
    </w:p>
    <w:p>
      <w:pPr>
        <w:spacing w:before="114" w:after="0" w:line="279" w:lineRule="exact"/>
        <w:ind w:right="576" w:left="2448" w:hanging="432"/>
        <w:jc w:val="left"/>
        <w:textAlignment w:val="baseline"/>
        <w:rPr>
          <w:rFonts w:ascii="Times New Roman" w:hAnsi="Times New Roman" w:eastAsia="Times New Roman"/>
          <w:color w:val="000000"/>
          <w:spacing w:val="-2"/>
          <w:w w:val="100"/>
          <w:sz w:val="24"/>
          <w:vertAlign w:val="baseline"/>
          <w:lang w:val="en-US"/>
        </w:rPr>
      </w:pPr>
      <w:r>
        <w:rPr>
          <w:rFonts w:ascii="Times New Roman" w:hAnsi="Times New Roman" w:eastAsia="Times New Roman"/>
          <w:color w:val="000000"/>
          <w:spacing w:val="-2"/>
          <w:w w:val="100"/>
          <w:sz w:val="24"/>
          <w:vertAlign w:val="baseline"/>
          <w:lang w:val="en-US"/>
        </w:rPr>
        <w:t xml:space="preserve">(d) for inspection of amusement devices and passenger ropeways under regulation 241—see regulation 241;</w:t>
      </w:r>
    </w:p>
    <w:p>
      <w:pPr>
        <w:spacing w:before="117" w:after="0" w:line="276" w:lineRule="exact"/>
        <w:ind w:right="360" w:left="2448"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 for design verification under regulation 252—a person who has the skills, qualifications, competence and experience to design the plant or verify the design;</w:t>
      </w:r>
    </w:p>
    <w:p>
      <w:pPr>
        <w:spacing w:before="124" w:after="0" w:line="275" w:lineRule="exact"/>
        <w:ind w:right="288" w:left="2448" w:hanging="432"/>
        <w:jc w:val="left"/>
        <w:textAlignment w:val="baseline"/>
        <w:rPr>
          <w:rFonts w:ascii="Times New Roman" w:hAnsi="Times New Roman" w:eastAsia="Times New Roman"/>
          <w:color w:val="000000"/>
          <w:spacing w:val="-2"/>
          <w:w w:val="100"/>
          <w:sz w:val="24"/>
          <w:vertAlign w:val="baseline"/>
          <w:lang w:val="en-US"/>
        </w:rPr>
      </w:pPr>
      <w:r>
        <w:rPr>
          <w:rFonts w:ascii="Times New Roman" w:hAnsi="Times New Roman" w:eastAsia="Times New Roman"/>
          <w:color w:val="000000"/>
          <w:spacing w:val="-2"/>
          <w:w w:val="100"/>
          <w:sz w:val="24"/>
          <w:vertAlign w:val="baseline"/>
          <w:lang w:val="en-US"/>
        </w:rPr>
        <w:t xml:space="preserve">(f) for a clearance inspection under regulation 473—a person who has acquired through training or experience the knowledge and skills of relevant asbestos removal industry practice and holds:</w:t>
      </w:r>
    </w:p>
    <w:p>
      <w:pPr>
        <w:numPr>
          <w:ilvl w:val="0"/>
          <w:numId w:val="17"/>
        </w:numPr>
        <w:tabs>
          <w:tab w:val="clear" w:pos="504"/>
          <w:tab w:val="left" w:pos="2952"/>
        </w:tabs>
        <w:spacing w:before="126" w:after="0" w:line="273" w:lineRule="exact"/>
        <w:ind w:right="648" w:left="2952"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certification in relation to the specified VET course for asbestos assessor work; or</w:t>
      </w:r>
    </w:p>
    <w:p>
      <w:pPr>
        <w:numPr>
          <w:ilvl w:val="0"/>
          <w:numId w:val="17"/>
        </w:numPr>
        <w:tabs>
          <w:tab w:val="clear" w:pos="504"/>
          <w:tab w:val="left" w:pos="2952"/>
        </w:tabs>
        <w:spacing w:before="118" w:after="0" w:line="276" w:lineRule="exact"/>
        <w:ind w:right="360" w:left="2952"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tertiary qualification in occupational health and safety, occupational hygiene, science, building, construction or environmental health;</w:t>
      </w:r>
    </w:p>
    <w:p>
      <w:pPr>
        <w:spacing w:before="122" w:after="0" w:line="276" w:lineRule="exact"/>
        <w:ind w:right="288" w:left="2448"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 for any other case—a person who has acquired through training, qualification or experience the knowledge and skills to carry out the task.</w:t>
      </w:r>
    </w:p>
    <w:p>
      <w:pPr>
        <w:spacing w:before="120" w:after="0" w:line="276" w:lineRule="exact"/>
        <w:ind w:right="144"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concrete placing boom </w:t>
      </w:r>
      <w:r>
        <w:rPr>
          <w:rFonts w:ascii="Times New Roman" w:hAnsi="Times New Roman" w:eastAsia="Times New Roman"/>
          <w:color w:val="000000"/>
          <w:spacing w:val="0"/>
          <w:w w:val="100"/>
          <w:sz w:val="24"/>
          <w:vertAlign w:val="baseline"/>
          <w:lang w:val="en-US"/>
        </w:rPr>
        <w:t xml:space="preserve">means plant incorporating an articulating boom, capable of power operated slewing and luffing to place concrete by way of pumping through a pipeline attached to, or forming part of, the boom of the plant.</w:t>
      </w:r>
    </w:p>
    <w:p>
      <w:pPr>
        <w:spacing w:before="122" w:after="0" w:line="274" w:lineRule="exact"/>
        <w:ind w:right="144" w:left="0" w:firstLine="0"/>
        <w:jc w:val="righ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confined space </w:t>
      </w:r>
      <w:r>
        <w:rPr>
          <w:rFonts w:ascii="Times New Roman" w:hAnsi="Times New Roman" w:eastAsia="Times New Roman"/>
          <w:color w:val="000000"/>
          <w:spacing w:val="0"/>
          <w:w w:val="100"/>
          <w:sz w:val="24"/>
          <w:vertAlign w:val="baseline"/>
          <w:lang w:val="en-US"/>
        </w:rPr>
        <w:t xml:space="preserve">means an enclosed or partially enclosed space that:</w:t>
      </w:r>
    </w:p>
    <w:p>
      <w:pPr>
        <w:numPr>
          <w:ilvl w:val="0"/>
          <w:numId w:val="18"/>
        </w:numPr>
        <w:tabs>
          <w:tab w:val="clear" w:pos="432"/>
          <w:tab w:val="left" w:pos="2448"/>
        </w:tabs>
        <w:spacing w:before="122" w:after="0" w:line="274" w:lineRule="exact"/>
        <w:ind w:right="144" w:left="2448"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not designed or intended primarily to be occupied by a person; and</w:t>
      </w:r>
    </w:p>
    <w:p>
      <w:pPr>
        <w:numPr>
          <w:ilvl w:val="0"/>
          <w:numId w:val="18"/>
        </w:numPr>
        <w:tabs>
          <w:tab w:val="clear" w:pos="432"/>
          <w:tab w:val="left" w:pos="2448"/>
        </w:tabs>
        <w:spacing w:before="126" w:after="0" w:line="272" w:lineRule="exact"/>
        <w:ind w:right="0" w:left="2448"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or is designed or intended to be, at normal</w:t>
      </w:r>
    </w:p>
    <w:p>
      <w:pPr>
        <w:spacing w:before="0" w:after="0" w:line="276" w:lineRule="exact"/>
        <w:ind w:right="360" w:left="244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atmospheric pressure while any person is in the space; and</w:t>
      </w:r>
    </w:p>
    <w:p>
      <w:pPr>
        <w:numPr>
          <w:ilvl w:val="0"/>
          <w:numId w:val="18"/>
        </w:numPr>
        <w:tabs>
          <w:tab w:val="clear" w:pos="432"/>
          <w:tab w:val="left" w:pos="2448"/>
        </w:tabs>
        <w:spacing w:before="122" w:after="0" w:line="272" w:lineRule="exact"/>
        <w:ind w:right="0" w:left="2448"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or is likely to be a risk to health and safety from:</w:t>
      </w:r>
    </w:p>
    <w:p>
      <w:pPr>
        <w:numPr>
          <w:ilvl w:val="0"/>
          <w:numId w:val="19"/>
        </w:numPr>
        <w:tabs>
          <w:tab w:val="clear" w:pos="504"/>
          <w:tab w:val="left" w:pos="2952"/>
        </w:tabs>
        <w:spacing w:before="124" w:after="0" w:line="274" w:lineRule="exact"/>
        <w:ind w:right="504" w:left="2952"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atmosphere that does not have a safe oxygen level; or</w:t>
      </w:r>
    </w:p>
    <w:p>
      <w:pPr>
        <w:numPr>
          <w:ilvl w:val="0"/>
          <w:numId w:val="19"/>
        </w:numPr>
        <w:tabs>
          <w:tab w:val="clear" w:pos="504"/>
          <w:tab w:val="left" w:pos="2952"/>
        </w:tabs>
        <w:spacing w:before="122" w:after="0" w:line="276" w:lineRule="exact"/>
        <w:ind w:right="72" w:left="2952"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contaminants, including airborne gases, vapours and dusts, that may cause injury from fire or explosion; or</w:t>
      </w:r>
    </w:p>
    <w:p>
      <w:pPr>
        <w:numPr>
          <w:ilvl w:val="0"/>
          <w:numId w:val="19"/>
        </w:numPr>
        <w:tabs>
          <w:tab w:val="clear" w:pos="504"/>
          <w:tab w:val="left" w:pos="2952"/>
        </w:tabs>
        <w:spacing w:before="116" w:after="937" w:line="278" w:lineRule="exact"/>
        <w:ind w:right="1296" w:left="2952" w:hanging="504"/>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harmful concentrations of any airborne contaminants; or</w:t>
      </w:r>
    </w:p>
    <w:p>
      <w:pPr>
        <w:spacing w:before="116" w:after="937" w:line="278" w:lineRule="exact"/>
        <w:sectPr>
          <w:type w:val="nextPage"/>
          <w:pgSz w:w="11909" w:h="16838" w:orient="portrait"/>
          <w:pgMar w:bottom="1082" w:top="1140" w:right="1940" w:left="1949" w:header="720" w:footer="720"/>
          <w:titlePg w:val="false"/>
          <w:textDirection w:val="lrTb"/>
        </w:sectPr>
      </w:pPr>
    </w:p>
    <w:p>
      <w:pPr>
        <w:tabs>
          <w:tab w:val="right" w:leader="none" w:pos="4032"/>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8</w:t>
      </w:r>
    </w:p>
    <w:p>
      <w:pPr>
        <w:sectPr>
          <w:type w:val="continuous"/>
          <w:pgSz w:w="11909" w:h="16838" w:orient="portrait"/>
          <w:pgMar w:bottom="1082" w:top="1140" w:right="5897" w:left="1972"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	</w:t>
      </w:r>
      <w:r>
        <w:rPr>
          <w:rFonts w:ascii="Times New Roman" w:hAnsi="Times New Roman" w:eastAsia="Times New Roman"/>
          <w:color w:val="000000"/>
          <w:spacing w:val="0"/>
          <w:w w:val="100"/>
          <w:sz w:val="20"/>
          <w:vertAlign w:val="baseline"/>
          <w:lang w:val="en-US"/>
        </w:rPr>
        <w:t xml:space="preserve">Introductory Matters</w:t>
      </w:r>
    </w:p>
    <w:p>
      <w:pPr>
        <w:spacing w:before="251" w:after="0" w:line="272" w:lineRule="exact"/>
        <w:ind w:right="0" w:left="2376"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(iv) engulfment,</w:t>
      </w:r>
    </w:p>
    <w:p>
      <w:pPr>
        <w:spacing w:before="127"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but does not include a mine shaft or the workings of a mine.</w:t>
      </w:r>
    </w:p>
    <w:p>
      <w:pPr>
        <w:spacing w:before="114" w:after="0" w:line="279" w:lineRule="exact"/>
        <w:ind w:right="288"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confined space entry permit </w:t>
      </w:r>
      <w:r>
        <w:rPr>
          <w:rFonts w:ascii="Times New Roman" w:hAnsi="Times New Roman" w:eastAsia="Times New Roman"/>
          <w:color w:val="000000"/>
          <w:spacing w:val="0"/>
          <w:w w:val="100"/>
          <w:sz w:val="24"/>
          <w:vertAlign w:val="baseline"/>
          <w:lang w:val="en-US"/>
        </w:rPr>
        <w:t xml:space="preserve">means a confined space entry permit issued under regulation 67.</w:t>
      </w:r>
    </w:p>
    <w:p>
      <w:pPr>
        <w:spacing w:before="0" w:after="0" w:line="395"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construction project</w:t>
      </w:r>
      <w:r>
        <w:rPr>
          <w:rFonts w:ascii="Times New Roman" w:hAnsi="Times New Roman" w:eastAsia="Times New Roman"/>
          <w:color w:val="000000"/>
          <w:spacing w:val="0"/>
          <w:w w:val="100"/>
          <w:sz w:val="24"/>
          <w:vertAlign w:val="baseline"/>
          <w:lang w:val="en-US"/>
        </w:rPr>
        <w:t xml:space="preserve">—see regulation 292.</w:t>
        <w:br/>
      </w:r>
      <w:r>
        <w:rPr>
          <w:rFonts w:ascii="Times New Roman" w:hAnsi="Times New Roman" w:eastAsia="Times New Roman"/>
          <w:b w:val="true"/>
          <w:i w:val="true"/>
          <w:color w:val="000000"/>
          <w:spacing w:val="0"/>
          <w:w w:val="100"/>
          <w:sz w:val="24"/>
          <w:vertAlign w:val="baseline"/>
          <w:lang w:val="en-US"/>
        </w:rPr>
        <w:t xml:space="preserve">construction work</w:t>
      </w:r>
      <w:r>
        <w:rPr>
          <w:rFonts w:ascii="Times New Roman" w:hAnsi="Times New Roman" w:eastAsia="Times New Roman"/>
          <w:color w:val="000000"/>
          <w:spacing w:val="0"/>
          <w:w w:val="100"/>
          <w:sz w:val="24"/>
          <w:vertAlign w:val="baseline"/>
          <w:lang w:val="en-US"/>
        </w:rPr>
        <w:t xml:space="preserve">—see regulation 289.</w:t>
        <w:br/>
      </w:r>
      <w:r>
        <w:rPr>
          <w:rFonts w:ascii="Times New Roman" w:hAnsi="Times New Roman" w:eastAsia="Times New Roman"/>
          <w:b w:val="true"/>
          <w:i w:val="true"/>
          <w:color w:val="000000"/>
          <w:spacing w:val="0"/>
          <w:w w:val="100"/>
          <w:sz w:val="24"/>
          <w:vertAlign w:val="baseline"/>
          <w:lang w:val="en-US"/>
        </w:rPr>
        <w:t xml:space="preserve">consumer product </w:t>
      </w:r>
      <w:r>
        <w:rPr>
          <w:rFonts w:ascii="Times New Roman" w:hAnsi="Times New Roman" w:eastAsia="Times New Roman"/>
          <w:color w:val="000000"/>
          <w:spacing w:val="0"/>
          <w:w w:val="100"/>
          <w:sz w:val="24"/>
          <w:vertAlign w:val="baseline"/>
          <w:lang w:val="en-US"/>
        </w:rPr>
        <w:t xml:space="preserve">means a thing that:</w:t>
      </w:r>
    </w:p>
    <w:p>
      <w:pPr>
        <w:numPr>
          <w:ilvl w:val="0"/>
          <w:numId w:val="20"/>
        </w:numPr>
        <w:tabs>
          <w:tab w:val="clear" w:pos="360"/>
          <w:tab w:val="left" w:pos="2376"/>
        </w:tabs>
        <w:spacing w:before="124" w:after="0" w:line="273" w:lineRule="exact"/>
        <w:ind w:right="288"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packed or repacked primarily for use by a household consumer or for use in an office; and</w:t>
      </w:r>
    </w:p>
    <w:p>
      <w:pPr>
        <w:numPr>
          <w:ilvl w:val="0"/>
          <w:numId w:val="20"/>
        </w:numPr>
        <w:tabs>
          <w:tab w:val="clear" w:pos="360"/>
          <w:tab w:val="left" w:pos="2376"/>
        </w:tabs>
        <w:spacing w:before="124" w:after="0" w:line="275" w:lineRule="exact"/>
        <w:ind w:right="14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thing is packed or repacked primarily for use by a household consumer—is packed in the way and quantity in which it is intended to be used by a household consumer; and</w:t>
      </w:r>
    </w:p>
    <w:p>
      <w:pPr>
        <w:numPr>
          <w:ilvl w:val="0"/>
          <w:numId w:val="20"/>
        </w:numPr>
        <w:tabs>
          <w:tab w:val="clear" w:pos="360"/>
          <w:tab w:val="left" w:pos="2376"/>
        </w:tabs>
        <w:spacing w:before="118" w:after="0" w:line="276" w:lineRule="exact"/>
        <w:ind w:right="14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thing is packed or repacked primarily for use in an office—is packed in the way and quantity in which it is intended to be used for office work.</w:t>
      </w:r>
    </w:p>
    <w:p>
      <w:pPr>
        <w:spacing w:before="122" w:after="0" w:line="276" w:lineRule="exact"/>
        <w:ind w:right="72" w:left="1872" w:hanging="504"/>
        <w:jc w:val="left"/>
        <w:textAlignment w:val="baseline"/>
        <w:rPr>
          <w:rFonts w:ascii="Times New Roman" w:hAnsi="Times New Roman" w:eastAsia="Times New Roman"/>
          <w:b w:val="true"/>
          <w:i w:val="true"/>
          <w:color w:val="000000"/>
          <w:spacing w:val="1"/>
          <w:w w:val="100"/>
          <w:sz w:val="24"/>
          <w:vertAlign w:val="baseline"/>
          <w:lang w:val="en-US"/>
        </w:rPr>
      </w:pPr>
      <w:r>
        <w:rPr>
          <w:rFonts w:ascii="Times New Roman" w:hAnsi="Times New Roman" w:eastAsia="Times New Roman"/>
          <w:b w:val="true"/>
          <w:i w:val="true"/>
          <w:color w:val="000000"/>
          <w:spacing w:val="1"/>
          <w:w w:val="100"/>
          <w:sz w:val="24"/>
          <w:vertAlign w:val="baseline"/>
          <w:lang w:val="en-US"/>
        </w:rPr>
        <w:t xml:space="preserve">container</w:t>
      </w:r>
      <w:r>
        <w:rPr>
          <w:rFonts w:ascii="Times New Roman" w:hAnsi="Times New Roman" w:eastAsia="Times New Roman"/>
          <w:color w:val="000000"/>
          <w:spacing w:val="1"/>
          <w:w w:val="100"/>
          <w:sz w:val="24"/>
          <w:vertAlign w:val="baseline"/>
          <w:lang w:val="en-US"/>
        </w:rPr>
        <w:t xml:space="preserve">, in relation to a hazardous chemical, means anything in or by which a hazardous chemical is, or has been, wholly or partly covered, enclosed or packed, including anything necessary for the container to perform its function as a container.</w:t>
      </w:r>
    </w:p>
    <w:p>
      <w:pPr>
        <w:spacing w:before="116" w:after="0" w:line="278" w:lineRule="exact"/>
        <w:ind w:right="72" w:left="1872" w:hanging="504"/>
        <w:jc w:val="both"/>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contaminant </w:t>
      </w:r>
      <w:r>
        <w:rPr>
          <w:rFonts w:ascii="Times New Roman" w:hAnsi="Times New Roman" w:eastAsia="Times New Roman"/>
          <w:color w:val="000000"/>
          <w:spacing w:val="0"/>
          <w:w w:val="100"/>
          <w:sz w:val="24"/>
          <w:vertAlign w:val="baseline"/>
          <w:lang w:val="en-US"/>
        </w:rPr>
        <w:t xml:space="preserve">means any substance that may be harmful to health or safety.</w:t>
      </w:r>
    </w:p>
    <w:p>
      <w:pPr>
        <w:spacing w:before="116" w:after="0" w:line="278" w:lineRule="exact"/>
        <w:ind w:right="216" w:left="1872" w:hanging="504"/>
        <w:jc w:val="both"/>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control measure</w:t>
      </w:r>
      <w:r>
        <w:rPr>
          <w:rFonts w:ascii="Times New Roman" w:hAnsi="Times New Roman" w:eastAsia="Times New Roman"/>
          <w:color w:val="000000"/>
          <w:spacing w:val="0"/>
          <w:w w:val="100"/>
          <w:sz w:val="24"/>
          <w:vertAlign w:val="baseline"/>
          <w:lang w:val="en-US"/>
        </w:rPr>
        <w:t xml:space="preserve">, in relation to a risk to health and safety, means a measure to eliminate or minimise the risk.</w:t>
      </w:r>
    </w:p>
    <w:p>
      <w:pPr>
        <w:spacing w:before="120" w:after="0" w:line="276" w:lineRule="exact"/>
        <w:ind w:right="72"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conveyor </w:t>
      </w:r>
      <w:r>
        <w:rPr>
          <w:rFonts w:ascii="Times New Roman" w:hAnsi="Times New Roman" w:eastAsia="Times New Roman"/>
          <w:color w:val="000000"/>
          <w:spacing w:val="0"/>
          <w:w w:val="100"/>
          <w:sz w:val="24"/>
          <w:vertAlign w:val="baseline"/>
          <w:lang w:val="en-US"/>
        </w:rPr>
        <w:t xml:space="preserve">means equipment or apparatus operated by power other than manual power and by which loads are raised, lowered or transported or capable of being raised, lowered, transported, or continuously driven, by:</w:t>
      </w:r>
    </w:p>
    <w:p>
      <w:pPr>
        <w:numPr>
          <w:ilvl w:val="0"/>
          <w:numId w:val="21"/>
        </w:numPr>
        <w:tabs>
          <w:tab w:val="clear" w:pos="360"/>
          <w:tab w:val="left" w:pos="2376"/>
        </w:tabs>
        <w:spacing w:before="122" w:after="0" w:line="272"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endless belt, rope or chain or other similar means; or</w:t>
      </w:r>
    </w:p>
    <w:p>
      <w:pPr>
        <w:numPr>
          <w:ilvl w:val="0"/>
          <w:numId w:val="21"/>
        </w:numPr>
        <w:tabs>
          <w:tab w:val="clear" w:pos="360"/>
          <w:tab w:val="left" w:pos="2376"/>
        </w:tabs>
        <w:spacing w:before="124" w:after="0" w:line="274" w:lineRule="exact"/>
        <w:ind w:right="72" w:left="2376"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buckets, trays or other containers or fittings moved by an endless belt, rope, chain or similar means; or</w:t>
      </w:r>
    </w:p>
    <w:p>
      <w:pPr>
        <w:numPr>
          <w:ilvl w:val="0"/>
          <w:numId w:val="21"/>
        </w:numPr>
        <w:tabs>
          <w:tab w:val="clear" w:pos="360"/>
          <w:tab w:val="left" w:pos="2376"/>
        </w:tabs>
        <w:spacing w:before="126" w:after="0" w:line="272" w:lineRule="exact"/>
        <w:ind w:right="0" w:left="2376"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rotating screw; or</w:t>
      </w:r>
    </w:p>
    <w:p>
      <w:pPr>
        <w:numPr>
          <w:ilvl w:val="0"/>
          <w:numId w:val="21"/>
        </w:numPr>
        <w:tabs>
          <w:tab w:val="clear" w:pos="360"/>
          <w:tab w:val="left" w:pos="2376"/>
        </w:tabs>
        <w:spacing w:before="122" w:after="0" w:line="272" w:lineRule="exact"/>
        <w:ind w:right="0" w:left="2376"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vibration or walking beam; or</w:t>
      </w:r>
    </w:p>
    <w:p>
      <w:pPr>
        <w:numPr>
          <w:ilvl w:val="0"/>
          <w:numId w:val="21"/>
        </w:numPr>
        <w:tabs>
          <w:tab w:val="clear" w:pos="360"/>
          <w:tab w:val="left" w:pos="2376"/>
        </w:tabs>
        <w:spacing w:before="124" w:after="855" w:line="274" w:lineRule="exact"/>
        <w:ind w:right="216" w:left="2376" w:hanging="36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powered roller conveyor if the rollers are driven by an endless belt, rope or chain or other similar means,</w:t>
      </w:r>
    </w:p>
    <w:p>
      <w:pPr>
        <w:spacing w:before="124" w:after="855" w:line="274" w:lineRule="exact"/>
        <w:sectPr>
          <w:type w:val="nextPage"/>
          <w:pgSz w:w="11909" w:h="16838" w:orient="portrait"/>
          <w:pgMar w:bottom="1082" w:top="1140" w:right="1940" w:left="1949" w:header="720" w:footer="720"/>
          <w:titlePg w:val="false"/>
          <w:textDirection w:val="lrTb"/>
        </w:sectPr>
      </w:pPr>
    </w:p>
    <w:p>
      <w:pPr>
        <w:tabs>
          <w:tab w:val="right" w:leader="none" w:pos="4032"/>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9</w:t>
      </w:r>
    </w:p>
    <w:p>
      <w:pPr>
        <w:sectPr>
          <w:type w:val="continuous"/>
          <w:pgSz w:w="11909" w:h="16838" w:orient="portrait"/>
          <w:pgMar w:bottom="1082" w:top="1140" w:right="5895" w:left="1974"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	</w:t>
      </w:r>
      <w:r>
        <w:rPr>
          <w:rFonts w:ascii="Times New Roman" w:hAnsi="Times New Roman" w:eastAsia="Times New Roman"/>
          <w:color w:val="000000"/>
          <w:spacing w:val="0"/>
          <w:w w:val="100"/>
          <w:sz w:val="20"/>
          <w:vertAlign w:val="baseline"/>
          <w:lang w:val="en-US"/>
        </w:rPr>
        <w:t xml:space="preserve">Introductory Matters</w:t>
      </w:r>
    </w:p>
    <w:p>
      <w:pPr>
        <w:spacing w:before="243" w:after="0" w:line="279" w:lineRule="exact"/>
        <w:ind w:right="216" w:left="1872" w:firstLine="0"/>
        <w:jc w:val="left"/>
        <w:textAlignment w:val="baseline"/>
        <w:rPr>
          <w:rFonts w:ascii="Times New Roman" w:hAnsi="Times New Roman" w:eastAsia="Times New Roman"/>
          <w:color w:val="000000"/>
          <w:spacing w:val="-1"/>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1"/>
          <w:w w:val="100"/>
          <w:sz w:val="24"/>
          <w:vertAlign w:val="baseline"/>
          <w:lang w:val="en-US"/>
        </w:rPr>
        <w:t xml:space="preserve">and includes the superstructure, gear and auxiliary equipment used in connection with that equipment or apparatus.</w:t>
      </w:r>
    </w:p>
    <w:p>
      <w:pPr>
        <w:spacing w:before="117" w:after="0" w:line="276" w:lineRule="exact"/>
        <w:ind w:right="432"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correct classification </w:t>
      </w:r>
      <w:r>
        <w:rPr>
          <w:rFonts w:ascii="Times New Roman" w:hAnsi="Times New Roman" w:eastAsia="Times New Roman"/>
          <w:color w:val="000000"/>
          <w:spacing w:val="0"/>
          <w:w w:val="100"/>
          <w:sz w:val="24"/>
          <w:vertAlign w:val="baseline"/>
          <w:lang w:val="en-US"/>
        </w:rPr>
        <w:t xml:space="preserve">means the set of hazard classes and hazard categories assigned to a hazardous chemical when it is correctly classified.</w:t>
      </w:r>
    </w:p>
    <w:p>
      <w:pPr>
        <w:spacing w:before="126"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30" w:lineRule="exact"/>
        <w:ind w:right="576"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 of Schedule 9 sets out when a hazardous chemical is correctly classified.</w:t>
      </w:r>
    </w:p>
    <w:p>
      <w:pPr>
        <w:spacing w:before="111" w:after="0" w:line="277" w:lineRule="exact"/>
        <w:ind w:right="216"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crane </w:t>
      </w:r>
      <w:r>
        <w:rPr>
          <w:rFonts w:ascii="Times New Roman" w:hAnsi="Times New Roman" w:eastAsia="Times New Roman"/>
          <w:color w:val="000000"/>
          <w:spacing w:val="0"/>
          <w:w w:val="100"/>
          <w:sz w:val="24"/>
          <w:vertAlign w:val="baseline"/>
          <w:lang w:val="en-US"/>
        </w:rPr>
        <w:t xml:space="preserve">means an appliance intended for raising or lowering a load and moving it horizontally including the supporting structure of the crane and its foundations, but does not include any of the following:</w:t>
      </w:r>
    </w:p>
    <w:p>
      <w:pPr>
        <w:numPr>
          <w:ilvl w:val="0"/>
          <w:numId w:val="22"/>
        </w:numPr>
        <w:tabs>
          <w:tab w:val="clear" w:pos="288"/>
          <w:tab w:val="left" w:pos="2376"/>
        </w:tabs>
        <w:spacing w:before="122" w:after="0" w:line="271" w:lineRule="exact"/>
        <w:ind w:right="0"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industrial lift truck;</w:t>
      </w:r>
    </w:p>
    <w:p>
      <w:pPr>
        <w:numPr>
          <w:ilvl w:val="0"/>
          <w:numId w:val="22"/>
        </w:numPr>
        <w:tabs>
          <w:tab w:val="clear" w:pos="288"/>
          <w:tab w:val="left" w:pos="2376"/>
        </w:tabs>
        <w:spacing w:before="128" w:after="0" w:line="271" w:lineRule="exact"/>
        <w:ind w:right="0"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earthmoving machinery;</w:t>
      </w:r>
    </w:p>
    <w:p>
      <w:pPr>
        <w:numPr>
          <w:ilvl w:val="0"/>
          <w:numId w:val="22"/>
        </w:numPr>
        <w:tabs>
          <w:tab w:val="clear" w:pos="288"/>
          <w:tab w:val="left" w:pos="2376"/>
        </w:tabs>
        <w:spacing w:before="122" w:after="0" w:line="271" w:lineRule="exact"/>
        <w:ind w:right="0"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amusement device;</w:t>
      </w:r>
    </w:p>
    <w:p>
      <w:pPr>
        <w:numPr>
          <w:ilvl w:val="0"/>
          <w:numId w:val="22"/>
        </w:numPr>
        <w:tabs>
          <w:tab w:val="clear" w:pos="288"/>
          <w:tab w:val="left" w:pos="2376"/>
        </w:tabs>
        <w:spacing w:before="128" w:after="0" w:line="271" w:lineRule="exact"/>
        <w:ind w:right="0"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tractor;</w:t>
      </w:r>
    </w:p>
    <w:p>
      <w:pPr>
        <w:numPr>
          <w:ilvl w:val="0"/>
          <w:numId w:val="22"/>
        </w:numPr>
        <w:tabs>
          <w:tab w:val="clear" w:pos="288"/>
          <w:tab w:val="left" w:pos="2376"/>
        </w:tabs>
        <w:spacing w:before="122" w:after="0" w:line="271" w:lineRule="exact"/>
        <w:ind w:right="0"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industrial robot;</w:t>
      </w:r>
    </w:p>
    <w:p>
      <w:pPr>
        <w:numPr>
          <w:ilvl w:val="0"/>
          <w:numId w:val="22"/>
        </w:numPr>
        <w:tabs>
          <w:tab w:val="clear" w:pos="288"/>
          <w:tab w:val="left" w:pos="2376"/>
        </w:tabs>
        <w:spacing w:before="128" w:after="0" w:line="271" w:lineRule="exact"/>
        <w:ind w:right="0"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conveyor;</w:t>
      </w:r>
    </w:p>
    <w:p>
      <w:pPr>
        <w:numPr>
          <w:ilvl w:val="0"/>
          <w:numId w:val="22"/>
        </w:numPr>
        <w:tabs>
          <w:tab w:val="clear" w:pos="288"/>
          <w:tab w:val="left" w:pos="2376"/>
        </w:tabs>
        <w:spacing w:before="122" w:after="0" w:line="271" w:lineRule="exact"/>
        <w:ind w:right="0"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building maintenance equipment;</w:t>
      </w:r>
    </w:p>
    <w:p>
      <w:pPr>
        <w:numPr>
          <w:ilvl w:val="0"/>
          <w:numId w:val="22"/>
        </w:numPr>
        <w:tabs>
          <w:tab w:val="clear" w:pos="288"/>
          <w:tab w:val="left" w:pos="2376"/>
        </w:tabs>
        <w:spacing w:before="128" w:after="0" w:line="271" w:lineRule="exact"/>
        <w:ind w:right="0"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suspended scaffold;</w:t>
      </w:r>
    </w:p>
    <w:p>
      <w:pPr>
        <w:numPr>
          <w:ilvl w:val="0"/>
          <w:numId w:val="22"/>
        </w:numPr>
        <w:tabs>
          <w:tab w:val="clear" w:pos="288"/>
          <w:tab w:val="left" w:pos="2376"/>
        </w:tabs>
        <w:spacing w:before="122" w:after="0" w:line="271" w:lineRule="exact"/>
        <w:ind w:right="0"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lift.</w:t>
      </w:r>
    </w:p>
    <w:p>
      <w:pPr>
        <w:spacing w:before="126" w:after="0" w:line="273" w:lineRule="exact"/>
        <w:ind w:right="72" w:left="1872" w:hanging="504"/>
        <w:jc w:val="both"/>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current certificate of medical fitness </w:t>
      </w:r>
      <w:r>
        <w:rPr>
          <w:rFonts w:ascii="Times New Roman" w:hAnsi="Times New Roman" w:eastAsia="Times New Roman"/>
          <w:color w:val="000000"/>
          <w:spacing w:val="0"/>
          <w:w w:val="100"/>
          <w:sz w:val="24"/>
          <w:vertAlign w:val="baseline"/>
          <w:lang w:val="en-US"/>
        </w:rPr>
        <w:t xml:space="preserve">means a certificate of medical fitness that:</w:t>
      </w:r>
    </w:p>
    <w:p>
      <w:pPr>
        <w:numPr>
          <w:ilvl w:val="0"/>
          <w:numId w:val="23"/>
        </w:numPr>
        <w:tabs>
          <w:tab w:val="clear" w:pos="288"/>
          <w:tab w:val="left" w:pos="2376"/>
        </w:tabs>
        <w:spacing w:before="128" w:after="0" w:line="271" w:lineRule="exact"/>
        <w:ind w:right="0"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was issued within the past 12 months; and</w:t>
      </w:r>
    </w:p>
    <w:p>
      <w:pPr>
        <w:numPr>
          <w:ilvl w:val="0"/>
          <w:numId w:val="23"/>
        </w:numPr>
        <w:tabs>
          <w:tab w:val="clear" w:pos="288"/>
          <w:tab w:val="left" w:pos="2376"/>
        </w:tabs>
        <w:spacing w:before="122" w:after="0" w:line="271" w:lineRule="exact"/>
        <w:ind w:right="0"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has not expired or been revoked.</w:t>
      </w:r>
    </w:p>
    <w:p>
      <w:pPr>
        <w:spacing w:before="123" w:after="0" w:line="276" w:lineRule="exact"/>
        <w:ind w:right="72"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demolition work </w:t>
      </w:r>
      <w:r>
        <w:rPr>
          <w:rFonts w:ascii="Times New Roman" w:hAnsi="Times New Roman" w:eastAsia="Times New Roman"/>
          <w:color w:val="000000"/>
          <w:spacing w:val="0"/>
          <w:w w:val="100"/>
          <w:sz w:val="24"/>
          <w:vertAlign w:val="baseline"/>
          <w:lang w:val="en-US"/>
        </w:rPr>
        <w:t xml:space="preserve">means work to demolish or dismantle a structure, or part of a structure that is loadbearing or otherwise related to the physical integrity of the structure, but does not include:</w:t>
      </w:r>
    </w:p>
    <w:p>
      <w:pPr>
        <w:numPr>
          <w:ilvl w:val="0"/>
          <w:numId w:val="24"/>
        </w:numPr>
        <w:tabs>
          <w:tab w:val="clear" w:pos="288"/>
          <w:tab w:val="left" w:pos="2376"/>
        </w:tabs>
        <w:spacing w:before="117" w:after="0" w:line="276" w:lineRule="exact"/>
        <w:ind w:right="216"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dismantling of formwork, falsework, or other structures designed or used to provide support, access or containment during construction work; or</w:t>
      </w:r>
    </w:p>
    <w:p>
      <w:pPr>
        <w:numPr>
          <w:ilvl w:val="0"/>
          <w:numId w:val="24"/>
        </w:numPr>
        <w:tabs>
          <w:tab w:val="clear" w:pos="288"/>
          <w:tab w:val="left" w:pos="2376"/>
        </w:tabs>
        <w:spacing w:before="128" w:after="0" w:line="271" w:lineRule="exact"/>
        <w:ind w:right="0"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removal of power, light or telecommunication poles.</w:t>
      </w:r>
    </w:p>
    <w:p>
      <w:pPr>
        <w:spacing w:before="114" w:after="1182" w:line="279" w:lineRule="exact"/>
        <w:ind w:right="576" w:left="1872" w:hanging="504"/>
        <w:jc w:val="left"/>
        <w:textAlignment w:val="baseline"/>
        <w:rPr>
          <w:rFonts w:ascii="Times New Roman" w:hAnsi="Times New Roman" w:eastAsia="Times New Roman"/>
          <w:b w:val="true"/>
          <w:i w:val="true"/>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b w:val="true"/>
          <w:i w:val="true"/>
          <w:color w:val="000000"/>
          <w:spacing w:val="0"/>
          <w:w w:val="100"/>
          <w:sz w:val="24"/>
          <w:vertAlign w:val="baseline"/>
          <w:lang w:val="en-US"/>
        </w:rPr>
        <w:t xml:space="preserve">derrick crane </w:t>
      </w:r>
      <w:r>
        <w:rPr>
          <w:rFonts w:ascii="Times New Roman" w:hAnsi="Times New Roman" w:eastAsia="Times New Roman"/>
          <w:color w:val="000000"/>
          <w:spacing w:val="0"/>
          <w:w w:val="100"/>
          <w:sz w:val="24"/>
          <w:vertAlign w:val="baseline"/>
          <w:lang w:val="en-US"/>
        </w:rPr>
        <w:t xml:space="preserve">means a slewing strut-boom crane with its boom pivoted at the base of a mast that is:</w:t>
      </w:r>
    </w:p>
    <w:p>
      <w:pPr>
        <w:spacing w:before="114" w:after="1182" w:line="279"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10</w:t>
      </w:r>
    </w:p>
    <w:p>
      <w:pPr>
        <w:sectPr>
          <w:type w:val="continuous"/>
          <w:pgSz w:w="11909" w:h="16838" w:orient="portrait"/>
          <w:pgMar w:bottom="1082" w:top="1140" w:right="5851" w:left="1978"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	</w:t>
      </w:r>
      <w:r>
        <w:rPr>
          <w:rFonts w:ascii="Times New Roman" w:hAnsi="Times New Roman" w:eastAsia="Times New Roman"/>
          <w:color w:val="000000"/>
          <w:spacing w:val="0"/>
          <w:w w:val="100"/>
          <w:sz w:val="20"/>
          <w:vertAlign w:val="baseline"/>
          <w:lang w:val="en-US"/>
        </w:rPr>
        <w:t xml:space="preserve">Introductory Matters</w:t>
      </w:r>
    </w:p>
    <w:p>
      <w:pPr>
        <w:numPr>
          <w:ilvl w:val="0"/>
          <w:numId w:val="25"/>
        </w:numPr>
        <w:tabs>
          <w:tab w:val="clear" w:pos="360"/>
          <w:tab w:val="left" w:pos="2376"/>
        </w:tabs>
        <w:spacing w:before="250" w:after="0" w:line="276" w:lineRule="exact"/>
        <w:ind w:right="432" w:left="2376"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guyed (guy-derrick) or held by backstays (stiff-legged derrick); and</w:t>
      </w:r>
    </w:p>
    <w:p>
      <w:pPr>
        <w:numPr>
          <w:ilvl w:val="0"/>
          <w:numId w:val="25"/>
        </w:numPr>
        <w:tabs>
          <w:tab w:val="clear" w:pos="360"/>
          <w:tab w:val="left" w:pos="2376"/>
        </w:tabs>
        <w:spacing w:before="117" w:after="0" w:line="276"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capable of luffing under load.</w:t>
      </w:r>
    </w:p>
    <w:p>
      <w:pPr>
        <w:spacing w:before="120" w:after="0" w:line="276" w:lineRule="exact"/>
        <w:ind w:right="576"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designer</w:t>
      </w:r>
      <w:r>
        <w:rPr>
          <w:rFonts w:ascii="Times New Roman" w:hAnsi="Times New Roman" w:eastAsia="Times New Roman"/>
          <w:color w:val="000000"/>
          <w:spacing w:val="0"/>
          <w:w w:val="100"/>
          <w:sz w:val="24"/>
          <w:vertAlign w:val="baseline"/>
          <w:lang w:val="en-US"/>
        </w:rPr>
        <w:t xml:space="preserve">, in relation to plant, a substance or a structure, has the same meaning as it has in section 22 of the Act.</w:t>
      </w:r>
    </w:p>
    <w:p>
      <w:pPr>
        <w:spacing w:before="123" w:after="0" w:line="276" w:lineRule="exact"/>
        <w:ind w:right="216"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determined major hazard facility </w:t>
      </w:r>
      <w:r>
        <w:rPr>
          <w:rFonts w:ascii="Times New Roman" w:hAnsi="Times New Roman" w:eastAsia="Times New Roman"/>
          <w:color w:val="000000"/>
          <w:spacing w:val="0"/>
          <w:w w:val="100"/>
          <w:sz w:val="24"/>
          <w:vertAlign w:val="baseline"/>
          <w:lang w:val="en-US"/>
        </w:rPr>
        <w:t xml:space="preserve">means a facility that has been determined under regulation 541 or 542 to be a major hazard facility.</w:t>
      </w:r>
    </w:p>
    <w:p>
      <w:pPr>
        <w:spacing w:before="117" w:after="0" w:line="276" w:lineRule="exact"/>
        <w:ind w:right="216"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direct fired process heater </w:t>
      </w:r>
      <w:r>
        <w:rPr>
          <w:rFonts w:ascii="Times New Roman" w:hAnsi="Times New Roman" w:eastAsia="Times New Roman"/>
          <w:color w:val="000000"/>
          <w:spacing w:val="0"/>
          <w:w w:val="100"/>
          <w:sz w:val="24"/>
          <w:vertAlign w:val="baseline"/>
          <w:lang w:val="en-US"/>
        </w:rPr>
        <w:t xml:space="preserve">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spacing w:before="120" w:after="0" w:line="276" w:lineRule="exact"/>
        <w:ind w:right="0" w:left="1368" w:firstLine="0"/>
        <w:jc w:val="left"/>
        <w:textAlignment w:val="baseline"/>
        <w:rPr>
          <w:rFonts w:ascii="Times New Roman" w:hAnsi="Times New Roman" w:eastAsia="Times New Roman"/>
          <w:b w:val="true"/>
          <w:i w:val="true"/>
          <w:color w:val="000000"/>
          <w:spacing w:val="-1"/>
          <w:w w:val="100"/>
          <w:sz w:val="24"/>
          <w:vertAlign w:val="baseline"/>
          <w:lang w:val="en-US"/>
        </w:rPr>
      </w:pPr>
      <w:r>
        <w:rPr>
          <w:rFonts w:ascii="Times New Roman" w:hAnsi="Times New Roman" w:eastAsia="Times New Roman"/>
          <w:b w:val="true"/>
          <w:i w:val="true"/>
          <w:color w:val="000000"/>
          <w:spacing w:val="-1"/>
          <w:w w:val="100"/>
          <w:sz w:val="24"/>
          <w:vertAlign w:val="baseline"/>
          <w:lang w:val="en-US"/>
        </w:rPr>
        <w:t xml:space="preserve">dogging work </w:t>
      </w:r>
      <w:r>
        <w:rPr>
          <w:rFonts w:ascii="Times New Roman" w:hAnsi="Times New Roman" w:eastAsia="Times New Roman"/>
          <w:color w:val="000000"/>
          <w:spacing w:val="-1"/>
          <w:w w:val="100"/>
          <w:sz w:val="24"/>
          <w:vertAlign w:val="baseline"/>
          <w:lang w:val="en-US"/>
        </w:rPr>
        <w:t xml:space="preserve">means:</w:t>
      </w:r>
    </w:p>
    <w:p>
      <w:pPr>
        <w:numPr>
          <w:ilvl w:val="0"/>
          <w:numId w:val="26"/>
        </w:numPr>
        <w:tabs>
          <w:tab w:val="clear" w:pos="360"/>
          <w:tab w:val="left" w:pos="2376"/>
        </w:tabs>
        <w:spacing w:before="120" w:after="0" w:line="276" w:lineRule="exact"/>
        <w:ind w:right="216"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application of slinging techniques, including the selection and inspection of lifting gear, to safely sling a load; or</w:t>
      </w:r>
    </w:p>
    <w:p>
      <w:pPr>
        <w:numPr>
          <w:ilvl w:val="0"/>
          <w:numId w:val="26"/>
        </w:numPr>
        <w:tabs>
          <w:tab w:val="clear" w:pos="360"/>
          <w:tab w:val="left" w:pos="2376"/>
        </w:tabs>
        <w:spacing w:before="120" w:after="0" w:line="276" w:lineRule="exact"/>
        <w:ind w:right="43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directing of a plant operator in the movement of a load when the load is out of the operator's view.</w:t>
      </w:r>
    </w:p>
    <w:p>
      <w:pPr>
        <w:spacing w:before="120" w:after="0" w:line="276"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duty holder</w:t>
      </w:r>
      <w:r>
        <w:rPr>
          <w:rFonts w:ascii="Times New Roman" w:hAnsi="Times New Roman" w:eastAsia="Times New Roman"/>
          <w:color w:val="000000"/>
          <w:spacing w:val="0"/>
          <w:w w:val="100"/>
          <w:sz w:val="24"/>
          <w:vertAlign w:val="baseline"/>
          <w:lang w:val="en-US"/>
        </w:rPr>
        <w:t xml:space="preserve">, in Part 3.1, means a person referred to in regulation 32.</w:t>
      </w:r>
    </w:p>
    <w:p>
      <w:pPr>
        <w:spacing w:before="122" w:after="0" w:line="276"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EANx</w:t>
      </w:r>
      <w:r>
        <w:rPr>
          <w:rFonts w:ascii="Times New Roman" w:hAnsi="Times New Roman" w:eastAsia="Times New Roman"/>
          <w:color w:val="000000"/>
          <w:spacing w:val="0"/>
          <w:w w:val="100"/>
          <w:sz w:val="24"/>
          <w:vertAlign w:val="baseline"/>
          <w:lang w:val="en-US"/>
        </w:rPr>
        <w:t xml:space="preserve">, in Part 4.8, means a mixture of oxygen and nitrogen in</w:t>
      </w:r>
    </w:p>
    <w:p>
      <w:pPr>
        <w:spacing w:before="0"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which the volume of oxygen is at least 22%.</w:t>
      </w:r>
    </w:p>
    <w:p>
      <w:pPr>
        <w:spacing w:before="120" w:after="0" w:line="276" w:lineRule="exact"/>
        <w:ind w:right="72"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earthmoving machinery </w:t>
      </w:r>
      <w:r>
        <w:rPr>
          <w:rFonts w:ascii="Times New Roman" w:hAnsi="Times New Roman" w:eastAsia="Times New Roman"/>
          <w:color w:val="000000"/>
          <w:spacing w:val="0"/>
          <w:w w:val="100"/>
          <w:sz w:val="24"/>
          <w:vertAlign w:val="baseline"/>
          <w:lang w:val="en-US"/>
        </w:rPr>
        <w:t xml:space="preserve">means operator controlled plant used to excavate, load, transport, compact or spread earth, overburden, rubble, spoil, aggregate or similar material, but does not include a tractor or industrial lift truck.</w:t>
      </w:r>
    </w:p>
    <w:p>
      <w:pPr>
        <w:spacing w:before="120" w:after="0" w:line="276" w:lineRule="exact"/>
        <w:ind w:right="288"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electrical equipment</w:t>
      </w:r>
      <w:r>
        <w:rPr>
          <w:rFonts w:ascii="Times New Roman" w:hAnsi="Times New Roman" w:eastAsia="Times New Roman"/>
          <w:color w:val="000000"/>
          <w:spacing w:val="0"/>
          <w:w w:val="100"/>
          <w:sz w:val="24"/>
          <w:vertAlign w:val="baseline"/>
          <w:lang w:val="en-US"/>
        </w:rPr>
        <w:t xml:space="preserve">—see regulation 144 (and regulation 148 for Division 3 of Part 4.7).</w:t>
      </w:r>
    </w:p>
    <w:p>
      <w:pPr>
        <w:spacing w:before="120" w:after="0" w:line="276" w:lineRule="exact"/>
        <w:ind w:right="216"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electrical installation</w:t>
      </w:r>
      <w:r>
        <w:rPr>
          <w:rFonts w:ascii="Times New Roman" w:hAnsi="Times New Roman" w:eastAsia="Times New Roman"/>
          <w:color w:val="000000"/>
          <w:spacing w:val="0"/>
          <w:w w:val="100"/>
          <w:sz w:val="24"/>
          <w:vertAlign w:val="baseline"/>
          <w:lang w:val="en-US"/>
        </w:rPr>
        <w:t xml:space="preserve">—see regulation 145 (and regulation 148 for Division 3 of Part 4.7).</w:t>
      </w:r>
    </w:p>
    <w:p>
      <w:pPr>
        <w:spacing w:before="120" w:after="0" w:line="276" w:lineRule="exact"/>
        <w:ind w:right="72"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electrical risk </w:t>
      </w:r>
      <w:r>
        <w:rPr>
          <w:rFonts w:ascii="Times New Roman" w:hAnsi="Times New Roman" w:eastAsia="Times New Roman"/>
          <w:color w:val="000000"/>
          <w:spacing w:val="0"/>
          <w:w w:val="100"/>
          <w:sz w:val="24"/>
          <w:vertAlign w:val="baseline"/>
          <w:lang w:val="en-US"/>
        </w:rPr>
        <w:t xml:space="preserve">means risk to a person of death, shock or other injury caused directly or indirectly by electricity.</w:t>
      </w:r>
    </w:p>
    <w:p>
      <w:pPr>
        <w:spacing w:before="124" w:after="0" w:line="276"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electrical work</w:t>
      </w:r>
      <w:r>
        <w:rPr>
          <w:rFonts w:ascii="Times New Roman" w:hAnsi="Times New Roman" w:eastAsia="Times New Roman"/>
          <w:color w:val="000000"/>
          <w:spacing w:val="0"/>
          <w:w w:val="100"/>
          <w:sz w:val="24"/>
          <w:vertAlign w:val="baseline"/>
          <w:lang w:val="en-US"/>
        </w:rPr>
        <w:t xml:space="preserve">—see regulation 146.</w:t>
      </w:r>
    </w:p>
    <w:p>
      <w:pPr>
        <w:tabs>
          <w:tab w:val="left" w:leader="dot" w:pos="5544"/>
        </w:tabs>
        <w:spacing w:before="118" w:after="0" w:line="276"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electricity supply authority </w:t>
      </w:r>
      <w:r>
        <w:rPr>
          <w:rFonts w:ascii="Times New Roman" w:hAnsi="Times New Roman" w:eastAsia="Times New Roman"/>
          <w:color w:val="000000"/>
          <w:spacing w:val="0"/>
          <w:w w:val="100"/>
          <w:sz w:val="24"/>
          <w:vertAlign w:val="baseline"/>
          <w:lang w:val="en-US"/>
        </w:rPr>
        <w:t xml:space="preserve">means [	</w:t>
      </w:r>
      <w:r>
        <w:rPr>
          <w:rFonts w:ascii="Times New Roman" w:hAnsi="Times New Roman" w:eastAsia="Times New Roman"/>
          <w:color w:val="000000"/>
          <w:spacing w:val="0"/>
          <w:w w:val="100"/>
          <w:sz w:val="24"/>
          <w:vertAlign w:val="baseline"/>
          <w:lang w:val="en-US"/>
        </w:rPr>
        <w:t xml:space="preserve">].</w:t>
      </w:r>
    </w:p>
    <w:p>
      <w:pPr>
        <w:spacing w:before="128" w:after="74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Note</w:t>
      </w:r>
    </w:p>
    <w:p>
      <w:pPr>
        <w:spacing w:before="128" w:after="740" w:line="225"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11</w:t>
      </w:r>
    </w:p>
    <w:p>
      <w:pPr>
        <w:sectPr>
          <w:type w:val="continuous"/>
          <w:pgSz w:w="11909" w:h="16838" w:orient="portrait"/>
          <w:pgMar w:bottom="1082" w:top="1140" w:right="5861" w:left="1968"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	</w:t>
      </w:r>
      <w:r>
        <w:rPr>
          <w:rFonts w:ascii="Times New Roman" w:hAnsi="Times New Roman" w:eastAsia="Times New Roman"/>
          <w:color w:val="000000"/>
          <w:spacing w:val="0"/>
          <w:w w:val="100"/>
          <w:sz w:val="20"/>
          <w:vertAlign w:val="baseline"/>
          <w:lang w:val="en-US"/>
        </w:rPr>
        <w:t xml:space="preserve">Introductory Matters</w:t>
      </w:r>
    </w:p>
    <w:p>
      <w:pPr>
        <w:spacing w:before="255" w:after="0" w:line="227"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See the jurisdictional note in the Appendix.</w:t>
      </w:r>
    </w:p>
    <w:p>
      <w:pPr>
        <w:tabs>
          <w:tab w:val="left" w:leader="none" w:pos="6120"/>
        </w:tabs>
        <w:spacing w:before="118" w:after="0" w:line="277" w:lineRule="exact"/>
        <w:ind w:right="0" w:left="1368" w:firstLine="0"/>
        <w:jc w:val="left"/>
        <w:textAlignment w:val="baseline"/>
        <w:rPr>
          <w:rFonts w:ascii="Times New Roman" w:hAnsi="Times New Roman" w:eastAsia="Times New Roman"/>
          <w:b w:val="true"/>
          <w:i w:val="true"/>
          <w:color w:val="000000"/>
          <w:spacing w:val="-1"/>
          <w:w w:val="100"/>
          <w:sz w:val="24"/>
          <w:vertAlign w:val="baseline"/>
          <w:lang w:val="en-US"/>
        </w:rPr>
      </w:pPr>
      <w:r>
        <w:rPr>
          <w:rFonts w:ascii="Times New Roman" w:hAnsi="Times New Roman" w:eastAsia="Times New Roman"/>
          <w:b w:val="true"/>
          <w:i w:val="true"/>
          <w:color w:val="000000"/>
          <w:spacing w:val="-1"/>
          <w:w w:val="100"/>
          <w:sz w:val="24"/>
          <w:vertAlign w:val="baseline"/>
          <w:lang w:val="en-US"/>
        </w:rPr>
        <w:t xml:space="preserve">emergency service organisation </w:t>
      </w:r>
      <w:r>
        <w:rPr>
          <w:rFonts w:ascii="Times New Roman" w:hAnsi="Times New Roman" w:eastAsia="Times New Roman"/>
          <w:color w:val="000000"/>
          <w:spacing w:val="-1"/>
          <w:w w:val="100"/>
          <w:sz w:val="24"/>
          <w:vertAlign w:val="baseline"/>
          <w:lang w:val="en-US"/>
        </w:rPr>
        <w:t xml:space="preserve">means [	</w:t>
      </w:r>
      <w:r>
        <w:rPr>
          <w:rFonts w:ascii="Times New Roman" w:hAnsi="Times New Roman" w:eastAsia="Times New Roman"/>
          <w:color w:val="000000"/>
          <w:spacing w:val="-1"/>
          <w:w w:val="100"/>
          <w:sz w:val="25"/>
          <w:u w:val="single"/>
          <w:vertAlign w:val="baseline"/>
          <w:lang w:val="en-US"/>
        </w:rPr>
        <w:t xml:space="preserve">].</w:t>
      </w:r>
      <w:r>
        <w:rPr>
          <w:rFonts w:ascii="Times New Roman" w:hAnsi="Times New Roman" w:eastAsia="Times New Roman"/>
          <w:color w:val="000000"/>
          <w:spacing w:val="-1"/>
          <w:w w:val="100"/>
          <w:sz w:val="24"/>
          <w:vertAlign w:val="baseline"/>
          <w:lang w:val="en-US"/>
        </w:rPr>
        <w:t xml:space="preserve">
</w:t>
      </w:r>
    </w:p>
    <w:p>
      <w:pPr>
        <w:spacing w:before="122"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7"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tabs>
          <w:tab w:val="left" w:leader="none" w:pos="5544"/>
        </w:tabs>
        <w:spacing w:before="118" w:after="0" w:line="277" w:lineRule="exact"/>
        <w:ind w:right="0" w:left="1368" w:firstLine="0"/>
        <w:jc w:val="left"/>
        <w:textAlignment w:val="baseline"/>
        <w:rPr>
          <w:rFonts w:ascii="Times New Roman" w:hAnsi="Times New Roman" w:eastAsia="Times New Roman"/>
          <w:b w:val="true"/>
          <w:i w:val="true"/>
          <w:color w:val="000000"/>
          <w:spacing w:val="-1"/>
          <w:w w:val="100"/>
          <w:sz w:val="24"/>
          <w:vertAlign w:val="baseline"/>
          <w:lang w:val="en-US"/>
        </w:rPr>
      </w:pPr>
      <w:r>
        <w:rPr>
          <w:rFonts w:ascii="Times New Roman" w:hAnsi="Times New Roman" w:eastAsia="Times New Roman"/>
          <w:b w:val="true"/>
          <w:i w:val="true"/>
          <w:color w:val="000000"/>
          <w:spacing w:val="-1"/>
          <w:w w:val="100"/>
          <w:sz w:val="24"/>
          <w:vertAlign w:val="baseline"/>
          <w:lang w:val="en-US"/>
        </w:rPr>
        <w:t xml:space="preserve">emergency service worker </w:t>
      </w:r>
      <w:r>
        <w:rPr>
          <w:rFonts w:ascii="Times New Roman" w:hAnsi="Times New Roman" w:eastAsia="Times New Roman"/>
          <w:color w:val="000000"/>
          <w:spacing w:val="-1"/>
          <w:w w:val="100"/>
          <w:sz w:val="24"/>
          <w:vertAlign w:val="baseline"/>
          <w:lang w:val="en-US"/>
        </w:rPr>
        <w:t xml:space="preserve">means [	</w:t>
      </w:r>
      <w:r>
        <w:rPr>
          <w:rFonts w:ascii="Times New Roman" w:hAnsi="Times New Roman" w:eastAsia="Times New Roman"/>
          <w:color w:val="000000"/>
          <w:spacing w:val="-1"/>
          <w:w w:val="100"/>
          <w:sz w:val="25"/>
          <w:u w:val="single"/>
          <w:vertAlign w:val="baseline"/>
          <w:lang w:val="en-US"/>
        </w:rPr>
        <w:t xml:space="preserve">].</w:t>
      </w:r>
      <w:r>
        <w:rPr>
          <w:rFonts w:ascii="Times New Roman" w:hAnsi="Times New Roman" w:eastAsia="Times New Roman"/>
          <w:color w:val="000000"/>
          <w:spacing w:val="-1"/>
          <w:w w:val="100"/>
          <w:sz w:val="24"/>
          <w:vertAlign w:val="baseline"/>
          <w:lang w:val="en-US"/>
        </w:rPr>
        <w:t xml:space="preserve">
</w:t>
      </w:r>
    </w:p>
    <w:p>
      <w:pPr>
        <w:spacing w:before="127"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7"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18" w:after="0" w:line="274" w:lineRule="exact"/>
        <w:ind w:right="432" w:left="1872" w:hanging="504"/>
        <w:jc w:val="both"/>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engineering control </w:t>
      </w:r>
      <w:r>
        <w:rPr>
          <w:rFonts w:ascii="Times New Roman" w:hAnsi="Times New Roman" w:eastAsia="Times New Roman"/>
          <w:color w:val="000000"/>
          <w:spacing w:val="0"/>
          <w:w w:val="100"/>
          <w:sz w:val="24"/>
          <w:vertAlign w:val="baseline"/>
          <w:lang w:val="en-US"/>
        </w:rPr>
        <w:t xml:space="preserve">means a control measure that is physical in nature, including a mechanical device or process.</w:t>
      </w:r>
    </w:p>
    <w:p>
      <w:pPr>
        <w:spacing w:before="122" w:after="0" w:line="276" w:lineRule="exact"/>
        <w:ind w:right="72"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entry</w:t>
      </w:r>
      <w:r>
        <w:rPr>
          <w:rFonts w:ascii="Times New Roman" w:hAnsi="Times New Roman" w:eastAsia="Times New Roman"/>
          <w:color w:val="000000"/>
          <w:spacing w:val="0"/>
          <w:w w:val="100"/>
          <w:sz w:val="24"/>
          <w:vertAlign w:val="baseline"/>
          <w:lang w:val="en-US"/>
        </w:rPr>
        <w:t xml:space="preserve">, by a person into a confined space, means the person's head or upper body is in the confined space or within the boundary of the confined space.</w:t>
      </w:r>
    </w:p>
    <w:p>
      <w:pPr>
        <w:spacing w:before="122" w:after="0" w:line="274"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essential services </w:t>
      </w:r>
      <w:r>
        <w:rPr>
          <w:rFonts w:ascii="Times New Roman" w:hAnsi="Times New Roman" w:eastAsia="Times New Roman"/>
          <w:color w:val="000000"/>
          <w:spacing w:val="0"/>
          <w:w w:val="100"/>
          <w:sz w:val="24"/>
          <w:vertAlign w:val="baseline"/>
          <w:lang w:val="en-US"/>
        </w:rPr>
        <w:t xml:space="preserve">means the supply of:</w:t>
      </w:r>
    </w:p>
    <w:p>
      <w:pPr>
        <w:numPr>
          <w:ilvl w:val="0"/>
          <w:numId w:val="27"/>
        </w:numPr>
        <w:tabs>
          <w:tab w:val="clear" w:pos="360"/>
          <w:tab w:val="left" w:pos="2376"/>
        </w:tabs>
        <w:spacing w:before="122" w:after="0" w:line="274" w:lineRule="exact"/>
        <w:ind w:right="7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gas, water, sewerage, telecommunications, electricity and similar services; or</w:t>
      </w:r>
    </w:p>
    <w:p>
      <w:pPr>
        <w:numPr>
          <w:ilvl w:val="0"/>
          <w:numId w:val="27"/>
        </w:numPr>
        <w:tabs>
          <w:tab w:val="clear" w:pos="360"/>
          <w:tab w:val="left" w:pos="2376"/>
        </w:tabs>
        <w:spacing w:before="6" w:after="0" w:line="394" w:lineRule="exact"/>
        <w:ind w:right="432" w:left="1368" w:firstLine="648"/>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chemicals, fuel and refrigerant in pipes or lines. </w:t>
      </w:r>
      <w:r>
        <w:rPr>
          <w:rFonts w:ascii="Times New Roman" w:hAnsi="Times New Roman" w:eastAsia="Times New Roman"/>
          <w:b w:val="true"/>
          <w:i w:val="true"/>
          <w:color w:val="000000"/>
          <w:spacing w:val="-1"/>
          <w:w w:val="100"/>
          <w:sz w:val="24"/>
          <w:vertAlign w:val="baseline"/>
          <w:lang w:val="en-US"/>
        </w:rPr>
        <w:t xml:space="preserve">excavation </w:t>
      </w:r>
      <w:r>
        <w:rPr>
          <w:rFonts w:ascii="Times New Roman" w:hAnsi="Times New Roman" w:eastAsia="Times New Roman"/>
          <w:color w:val="000000"/>
          <w:spacing w:val="-1"/>
          <w:w w:val="100"/>
          <w:sz w:val="24"/>
          <w:vertAlign w:val="baseline"/>
          <w:lang w:val="en-US"/>
        </w:rPr>
        <w:t xml:space="preserve">means a trench, tunnel or shaft, but does not include:</w:t>
      </w:r>
    </w:p>
    <w:p>
      <w:pPr>
        <w:numPr>
          <w:ilvl w:val="0"/>
          <w:numId w:val="28"/>
        </w:numPr>
        <w:tabs>
          <w:tab w:val="clear" w:pos="360"/>
          <w:tab w:val="left" w:pos="2376"/>
        </w:tabs>
        <w:spacing w:before="124" w:after="0" w:line="272" w:lineRule="exact"/>
        <w:ind w:right="0" w:left="1368" w:firstLine="64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mine; or</w:t>
      </w:r>
    </w:p>
    <w:p>
      <w:pPr>
        <w:numPr>
          <w:ilvl w:val="0"/>
          <w:numId w:val="28"/>
        </w:numPr>
        <w:tabs>
          <w:tab w:val="clear" w:pos="360"/>
          <w:tab w:val="left" w:pos="2376"/>
        </w:tabs>
        <w:spacing w:before="122" w:after="0" w:line="272" w:lineRule="exact"/>
        <w:ind w:right="0" w:left="2016"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bore to which a [relevant water law] applies; or</w:t>
      </w:r>
    </w:p>
    <w:p>
      <w:pPr>
        <w:spacing w:before="125" w:after="0" w:line="225" w:lineRule="exact"/>
        <w:ind w:right="0" w:left="2376"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7"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numPr>
          <w:ilvl w:val="0"/>
          <w:numId w:val="28"/>
        </w:numPr>
        <w:tabs>
          <w:tab w:val="clear" w:pos="360"/>
          <w:tab w:val="left" w:pos="2376"/>
        </w:tabs>
        <w:spacing w:before="0" w:after="0" w:line="396" w:lineRule="exact"/>
        <w:ind w:right="1800" w:left="1368" w:firstLine="64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trench for use as a place of interment. </w:t>
      </w:r>
      <w:r>
        <w:rPr>
          <w:rFonts w:ascii="Times New Roman" w:hAnsi="Times New Roman" w:eastAsia="Times New Roman"/>
          <w:b w:val="true"/>
          <w:i w:val="true"/>
          <w:color w:val="000000"/>
          <w:spacing w:val="0"/>
          <w:w w:val="100"/>
          <w:sz w:val="24"/>
          <w:vertAlign w:val="baseline"/>
          <w:lang w:val="en-US"/>
        </w:rPr>
        <w:t xml:space="preserve">excavation work </w:t>
      </w:r>
      <w:r>
        <w:rPr>
          <w:rFonts w:ascii="Times New Roman" w:hAnsi="Times New Roman" w:eastAsia="Times New Roman"/>
          <w:color w:val="000000"/>
          <w:spacing w:val="0"/>
          <w:w w:val="100"/>
          <w:sz w:val="24"/>
          <w:vertAlign w:val="baseline"/>
          <w:lang w:val="en-US"/>
        </w:rPr>
        <w:t xml:space="preserve">means work to:</w:t>
      </w:r>
    </w:p>
    <w:p>
      <w:pPr>
        <w:numPr>
          <w:ilvl w:val="0"/>
          <w:numId w:val="29"/>
        </w:numPr>
        <w:tabs>
          <w:tab w:val="clear" w:pos="360"/>
          <w:tab w:val="left" w:pos="2376"/>
        </w:tabs>
        <w:spacing w:before="119" w:after="0" w:line="272" w:lineRule="exact"/>
        <w:ind w:right="0" w:left="2016"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make an excavation; or</w:t>
      </w:r>
    </w:p>
    <w:p>
      <w:pPr>
        <w:numPr>
          <w:ilvl w:val="0"/>
          <w:numId w:val="29"/>
        </w:numPr>
        <w:tabs>
          <w:tab w:val="clear" w:pos="360"/>
          <w:tab w:val="left" w:pos="2376"/>
        </w:tabs>
        <w:spacing w:before="127" w:after="0" w:line="272" w:lineRule="exact"/>
        <w:ind w:right="0" w:left="2016"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fill or partly fill an excavation.</w:t>
      </w:r>
    </w:p>
    <w:p>
      <w:pPr>
        <w:spacing w:before="117" w:after="0" w:line="276" w:lineRule="exact"/>
        <w:ind w:right="144"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exposure standard</w:t>
      </w:r>
      <w:r>
        <w:rPr>
          <w:rFonts w:ascii="Times New Roman" w:hAnsi="Times New Roman" w:eastAsia="Times New Roman"/>
          <w:color w:val="000000"/>
          <w:spacing w:val="0"/>
          <w:w w:val="100"/>
          <w:sz w:val="24"/>
          <w:vertAlign w:val="baseline"/>
          <w:lang w:val="en-US"/>
        </w:rPr>
        <w:t xml:space="preserve">, except in Part 4.1, means an exposure standard in the Workplace Exposure Standard for Airborne Contaminants.</w:t>
      </w:r>
    </w:p>
    <w:p>
      <w:pPr>
        <w:spacing w:before="127" w:after="0" w:line="274"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exposure standard for noise</w:t>
      </w:r>
      <w:r>
        <w:rPr>
          <w:rFonts w:ascii="Times New Roman" w:hAnsi="Times New Roman" w:eastAsia="Times New Roman"/>
          <w:color w:val="000000"/>
          <w:spacing w:val="0"/>
          <w:w w:val="100"/>
          <w:sz w:val="24"/>
          <w:vertAlign w:val="baseline"/>
          <w:lang w:val="en-US"/>
        </w:rPr>
        <w:t xml:space="preserve">—see regulation 56.</w:t>
      </w:r>
    </w:p>
    <w:p>
      <w:pPr>
        <w:spacing w:before="119" w:after="0" w:line="274" w:lineRule="exact"/>
        <w:ind w:right="0" w:left="0" w:firstLine="0"/>
        <w:jc w:val="center"/>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external review </w:t>
      </w:r>
      <w:r>
        <w:rPr>
          <w:rFonts w:ascii="Times New Roman" w:hAnsi="Times New Roman" w:eastAsia="Times New Roman"/>
          <w:color w:val="000000"/>
          <w:spacing w:val="0"/>
          <w:w w:val="100"/>
          <w:sz w:val="24"/>
          <w:vertAlign w:val="baseline"/>
          <w:lang w:val="en-US"/>
        </w:rPr>
        <w:t xml:space="preserve">means an external review under Part 11.1.</w:t>
      </w:r>
    </w:p>
    <w:p>
      <w:pPr>
        <w:spacing w:before="121" w:after="1162" w:line="276" w:lineRule="exact"/>
        <w:ind w:right="432" w:left="1872" w:hanging="504"/>
        <w:jc w:val="left"/>
        <w:textAlignment w:val="baseline"/>
        <w:rPr>
          <w:rFonts w:ascii="Times New Roman" w:hAnsi="Times New Roman" w:eastAsia="Times New Roman"/>
          <w:b w:val="true"/>
          <w:i w:val="true"/>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b w:val="true"/>
          <w:i w:val="true"/>
          <w:color w:val="000000"/>
          <w:spacing w:val="0"/>
          <w:w w:val="100"/>
          <w:sz w:val="24"/>
          <w:vertAlign w:val="baseline"/>
          <w:lang w:val="en-US"/>
        </w:rPr>
        <w:t xml:space="preserve">extra-low voltage </w:t>
      </w:r>
      <w:r>
        <w:rPr>
          <w:rFonts w:ascii="Times New Roman" w:hAnsi="Times New Roman" w:eastAsia="Times New Roman"/>
          <w:color w:val="000000"/>
          <w:spacing w:val="0"/>
          <w:w w:val="100"/>
          <w:sz w:val="24"/>
          <w:vertAlign w:val="baseline"/>
          <w:lang w:val="en-US"/>
        </w:rPr>
        <w:t xml:space="preserve">means voltage that does not exceed 50 volts alternating current (50V AC) or 120 volts ripple-free direct current (120V ripple-free DC).</w:t>
      </w:r>
    </w:p>
    <w:p>
      <w:pPr>
        <w:spacing w:before="121" w:after="1162" w:line="276"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12</w:t>
      </w:r>
    </w:p>
    <w:p>
      <w:pPr>
        <w:sectPr>
          <w:type w:val="continuous"/>
          <w:pgSz w:w="11909" w:h="16838" w:orient="portrait"/>
          <w:pgMar w:bottom="1082" w:top="1140" w:right="5853" w:left="1976"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	</w:t>
      </w:r>
      <w:r>
        <w:rPr>
          <w:rFonts w:ascii="Times New Roman" w:hAnsi="Times New Roman" w:eastAsia="Times New Roman"/>
          <w:color w:val="000000"/>
          <w:spacing w:val="0"/>
          <w:w w:val="100"/>
          <w:sz w:val="20"/>
          <w:vertAlign w:val="baseline"/>
          <w:lang w:val="en-US"/>
        </w:rPr>
        <w:t xml:space="preserve">Introductory Matters</w:t>
      </w:r>
    </w:p>
    <w:p>
      <w:pPr>
        <w:spacing w:before="251" w:after="0" w:line="273" w:lineRule="exact"/>
        <w:ind w:right="0" w:left="1296" w:firstLine="0"/>
        <w:jc w:val="left"/>
        <w:textAlignment w:val="baseline"/>
        <w:rPr>
          <w:rFonts w:ascii="Times New Roman" w:hAnsi="Times New Roman" w:eastAsia="Times New Roman"/>
          <w:b w:val="true"/>
          <w:i w:val="true"/>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i w:val="true"/>
          <w:color w:val="000000"/>
          <w:spacing w:val="0"/>
          <w:w w:val="100"/>
          <w:sz w:val="24"/>
          <w:vertAlign w:val="baseline"/>
          <w:lang w:val="en-US"/>
        </w:rPr>
        <w:t xml:space="preserve">facility</w:t>
      </w:r>
      <w:r>
        <w:rPr>
          <w:rFonts w:ascii="Times New Roman" w:hAnsi="Times New Roman" w:eastAsia="Times New Roman"/>
          <w:color w:val="000000"/>
          <w:spacing w:val="0"/>
          <w:w w:val="100"/>
          <w:sz w:val="24"/>
          <w:vertAlign w:val="baseline"/>
          <w:lang w:val="en-US"/>
        </w:rPr>
        <w:t xml:space="preserve">, in Chapter 9, means a workplace at which Schedule 15</w:t>
      </w:r>
    </w:p>
    <w:p>
      <w:pPr>
        <w:spacing w:before="6"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chemicals are present or likely to be present.</w:t>
      </w:r>
    </w:p>
    <w:p>
      <w:pPr>
        <w:spacing w:before="121" w:after="0" w:line="273" w:lineRule="exact"/>
        <w:ind w:right="0" w:left="1296"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fall arrest system </w:t>
      </w:r>
      <w:r>
        <w:rPr>
          <w:rFonts w:ascii="Times New Roman" w:hAnsi="Times New Roman" w:eastAsia="Times New Roman"/>
          <w:color w:val="000000"/>
          <w:spacing w:val="0"/>
          <w:w w:val="100"/>
          <w:sz w:val="24"/>
          <w:vertAlign w:val="baseline"/>
          <w:lang w:val="en-US"/>
        </w:rPr>
        <w:t xml:space="preserve">means plant or material designed to arrest a fall.</w:t>
      </w:r>
    </w:p>
    <w:p>
      <w:pPr>
        <w:spacing w:before="124" w:after="0" w:line="226"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Example</w:t>
      </w:r>
    </w:p>
    <w:p>
      <w:pPr>
        <w:spacing w:before="123" w:after="0" w:line="230" w:lineRule="exact"/>
        <w:ind w:right="360" w:left="1872"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An industrial safety net, a catch platform, a safety harness system (other than a system that relies entirely on a restraint technique system).</w:t>
      </w:r>
    </w:p>
    <w:p>
      <w:pPr>
        <w:spacing w:before="112" w:after="0" w:line="279" w:lineRule="exact"/>
        <w:ind w:right="360" w:left="1872" w:hanging="576"/>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fault</w:t>
      </w:r>
      <w:r>
        <w:rPr>
          <w:rFonts w:ascii="Times New Roman" w:hAnsi="Times New Roman" w:eastAsia="Times New Roman"/>
          <w:color w:val="000000"/>
          <w:spacing w:val="0"/>
          <w:w w:val="100"/>
          <w:sz w:val="24"/>
          <w:vertAlign w:val="baseline"/>
          <w:lang w:val="en-US"/>
        </w:rPr>
        <w:t xml:space="preserve">, in relation to plant, means a break or defect that may cause the plant to present a risk to health and safety.</w:t>
      </w:r>
    </w:p>
    <w:p>
      <w:pPr>
        <w:spacing w:before="117" w:after="0" w:line="276" w:lineRule="exact"/>
        <w:ind w:right="144" w:left="1872" w:hanging="576"/>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female of reproductive capacity</w:t>
      </w:r>
      <w:r>
        <w:rPr>
          <w:rFonts w:ascii="Times New Roman" w:hAnsi="Times New Roman" w:eastAsia="Times New Roman"/>
          <w:color w:val="000000"/>
          <w:spacing w:val="0"/>
          <w:w w:val="100"/>
          <w:sz w:val="24"/>
          <w:vertAlign w:val="baseline"/>
          <w:lang w:val="en-US"/>
        </w:rPr>
        <w:t xml:space="preserve">, in Part 7.2, means a female other than a female who provides information stating that she is not of reproductive capacity.</w:t>
      </w:r>
    </w:p>
    <w:p>
      <w:pPr>
        <w:spacing w:before="127" w:after="0" w:line="273" w:lineRule="exact"/>
        <w:ind w:right="0" w:left="1296"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fire risk hazardous chemical </w:t>
      </w:r>
      <w:r>
        <w:rPr>
          <w:rFonts w:ascii="Times New Roman" w:hAnsi="Times New Roman" w:eastAsia="Times New Roman"/>
          <w:color w:val="000000"/>
          <w:spacing w:val="0"/>
          <w:w w:val="100"/>
          <w:sz w:val="24"/>
          <w:vertAlign w:val="baseline"/>
          <w:lang w:val="en-US"/>
        </w:rPr>
        <w:t xml:space="preserve">means a hazardous chemical that:</w:t>
      </w:r>
    </w:p>
    <w:p>
      <w:pPr>
        <w:spacing w:before="120" w:after="0" w:line="272" w:lineRule="exact"/>
        <w:ind w:right="0" w:left="2016"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is any of the following:</w:t>
      </w:r>
    </w:p>
    <w:p>
      <w:pPr>
        <w:numPr>
          <w:ilvl w:val="0"/>
          <w:numId w:val="30"/>
        </w:numPr>
        <w:tabs>
          <w:tab w:val="clear" w:pos="504"/>
          <w:tab w:val="left" w:pos="2952"/>
        </w:tabs>
        <w:spacing w:before="127" w:after="0" w:line="272" w:lineRule="exact"/>
        <w:ind w:right="0" w:left="2952" w:hanging="504"/>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a flammable gas;</w:t>
      </w:r>
    </w:p>
    <w:p>
      <w:pPr>
        <w:numPr>
          <w:ilvl w:val="0"/>
          <w:numId w:val="30"/>
        </w:numPr>
        <w:tabs>
          <w:tab w:val="clear" w:pos="504"/>
          <w:tab w:val="left" w:pos="2952"/>
        </w:tabs>
        <w:spacing w:before="121" w:after="0" w:line="272" w:lineRule="exact"/>
        <w:ind w:right="0" w:left="2952"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flammable liquid (hazard category 1 to 3);</w:t>
      </w:r>
    </w:p>
    <w:p>
      <w:pPr>
        <w:numPr>
          <w:ilvl w:val="0"/>
          <w:numId w:val="30"/>
        </w:numPr>
        <w:tabs>
          <w:tab w:val="clear" w:pos="504"/>
          <w:tab w:val="left" w:pos="2952"/>
        </w:tabs>
        <w:spacing w:before="127" w:after="0" w:line="272" w:lineRule="exact"/>
        <w:ind w:right="0" w:left="2952" w:hanging="504"/>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a flammable solid;</w:t>
      </w:r>
    </w:p>
    <w:p>
      <w:pPr>
        <w:numPr>
          <w:ilvl w:val="0"/>
          <w:numId w:val="30"/>
        </w:numPr>
        <w:tabs>
          <w:tab w:val="clear" w:pos="504"/>
          <w:tab w:val="left" w:pos="2952"/>
        </w:tabs>
        <w:spacing w:before="121" w:after="0" w:line="272" w:lineRule="exact"/>
        <w:ind w:right="0" w:left="2952"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substance liable to spontaneous combustion;</w:t>
      </w:r>
    </w:p>
    <w:p>
      <w:pPr>
        <w:numPr>
          <w:ilvl w:val="0"/>
          <w:numId w:val="30"/>
        </w:numPr>
        <w:tabs>
          <w:tab w:val="clear" w:pos="504"/>
          <w:tab w:val="left" w:pos="2952"/>
        </w:tabs>
        <w:spacing w:before="126" w:after="0" w:line="273" w:lineRule="exact"/>
        <w:ind w:right="504" w:left="2952"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substance which, in contact with water, emits flammable gases;</w:t>
      </w:r>
    </w:p>
    <w:p>
      <w:pPr>
        <w:numPr>
          <w:ilvl w:val="0"/>
          <w:numId w:val="30"/>
        </w:numPr>
        <w:tabs>
          <w:tab w:val="clear" w:pos="504"/>
          <w:tab w:val="left" w:pos="2952"/>
        </w:tabs>
        <w:spacing w:before="127" w:after="0" w:line="272" w:lineRule="exact"/>
        <w:ind w:right="0" w:left="2952" w:hanging="504"/>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an oxidizing substance;</w:t>
      </w:r>
    </w:p>
    <w:p>
      <w:pPr>
        <w:numPr>
          <w:ilvl w:val="0"/>
          <w:numId w:val="30"/>
        </w:numPr>
        <w:tabs>
          <w:tab w:val="clear" w:pos="504"/>
          <w:tab w:val="left" w:pos="2952"/>
        </w:tabs>
        <w:spacing w:before="121" w:after="0" w:line="272" w:lineRule="exact"/>
        <w:ind w:right="0" w:left="2952"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organic peroxide; and</w:t>
      </w:r>
    </w:p>
    <w:p>
      <w:pPr>
        <w:spacing w:before="127" w:after="0" w:line="272"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burns readily or supports combustion.</w:t>
      </w:r>
    </w:p>
    <w:p>
      <w:pPr>
        <w:spacing w:before="116" w:after="0" w:line="277" w:lineRule="exact"/>
        <w:ind w:right="72" w:left="1872" w:hanging="576"/>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fitness criteria</w:t>
      </w:r>
      <w:r>
        <w:rPr>
          <w:rFonts w:ascii="Times New Roman" w:hAnsi="Times New Roman" w:eastAsia="Times New Roman"/>
          <w:color w:val="000000"/>
          <w:spacing w:val="0"/>
          <w:w w:val="100"/>
          <w:sz w:val="24"/>
          <w:vertAlign w:val="baseline"/>
          <w:lang w:val="en-US"/>
        </w:rPr>
        <w:t xml:space="preserve">, in relation to diving work, means the fitness criteria specified in clause M4 of Appendix M to AS/NZS 2299.1:2015 (Occupational diving operations—Standard operational practice).</w:t>
      </w:r>
    </w:p>
    <w:p>
      <w:pPr>
        <w:spacing w:before="121" w:after="0" w:line="273" w:lineRule="exact"/>
        <w:ind w:right="0" w:left="1296"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flammable gas </w:t>
      </w:r>
      <w:r>
        <w:rPr>
          <w:rFonts w:ascii="Times New Roman" w:hAnsi="Times New Roman" w:eastAsia="Times New Roman"/>
          <w:color w:val="000000"/>
          <w:spacing w:val="0"/>
          <w:w w:val="100"/>
          <w:sz w:val="24"/>
          <w:vertAlign w:val="baseline"/>
          <w:lang w:val="en-US"/>
        </w:rPr>
        <w:t xml:space="preserve">has the same meaning as it has in the GHS.</w:t>
      </w:r>
    </w:p>
    <w:p>
      <w:pPr>
        <w:spacing w:before="122" w:after="0" w:line="278" w:lineRule="exact"/>
        <w:ind w:right="144" w:left="1872" w:hanging="576"/>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flammable liquid </w:t>
      </w:r>
      <w:r>
        <w:rPr>
          <w:rFonts w:ascii="Times New Roman" w:hAnsi="Times New Roman" w:eastAsia="Times New Roman"/>
          <w:color w:val="000000"/>
          <w:spacing w:val="0"/>
          <w:w w:val="100"/>
          <w:sz w:val="24"/>
          <w:vertAlign w:val="baseline"/>
          <w:lang w:val="en-US"/>
        </w:rPr>
        <w:t xml:space="preserve">means a flammable liquid within the meaning of the GHS that has a flash point of less than 93</w:t>
      </w:r>
      <w:r>
        <w:rPr>
          <w:rFonts w:ascii="Arial" w:hAnsi="Arial" w:eastAsia="Arial"/>
          <w:color w:val="000000"/>
          <w:spacing w:val="0"/>
          <w:w w:val="100"/>
          <w:sz w:val="25"/>
          <w:vertAlign w:val="baseline"/>
          <w:lang w:val="en-US"/>
        </w:rPr>
        <w:t xml:space="preserve">°</w:t>
      </w:r>
      <w:r>
        <w:rPr>
          <w:rFonts w:ascii="Times New Roman" w:hAnsi="Times New Roman" w:eastAsia="Times New Roman"/>
          <w:color w:val="000000"/>
          <w:spacing w:val="0"/>
          <w:w w:val="100"/>
          <w:sz w:val="24"/>
          <w:vertAlign w:val="baseline"/>
          <w:lang w:val="en-US"/>
        </w:rPr>
        <w:t xml:space="preserve">C.</w:t>
      </w:r>
    </w:p>
    <w:p>
      <w:pPr>
        <w:spacing w:before="119" w:after="1028" w:line="275" w:lineRule="exact"/>
        <w:ind w:right="72" w:left="1872" w:hanging="576"/>
        <w:jc w:val="left"/>
        <w:textAlignment w:val="baseline"/>
        <w:rPr>
          <w:rFonts w:ascii="Times New Roman" w:hAnsi="Times New Roman" w:eastAsia="Times New Roman"/>
          <w:b w:val="true"/>
          <w:i w:val="true"/>
          <w:color w:val="000000"/>
          <w:spacing w:val="1"/>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b w:val="true"/>
          <w:i w:val="true"/>
          <w:color w:val="000000"/>
          <w:spacing w:val="1"/>
          <w:w w:val="100"/>
          <w:sz w:val="24"/>
          <w:vertAlign w:val="baseline"/>
          <w:lang w:val="en-US"/>
        </w:rPr>
        <w:t xml:space="preserve">forklift truck</w:t>
      </w:r>
      <w:r>
        <w:rPr>
          <w:rFonts w:ascii="Times New Roman" w:hAnsi="Times New Roman" w:eastAsia="Times New Roman"/>
          <w:color w:val="000000"/>
          <w:spacing w:val="1"/>
          <w:w w:val="100"/>
          <w:sz w:val="24"/>
          <w:vertAlign w:val="baseline"/>
          <w:lang w:val="en-US"/>
        </w:rPr>
        <w:t xml:space="preserve">, in Schedules 3 and 4, means a powered industrial truck equipped with lifting media made up of a mast and an elevating load carriage to which is attached a pair of fork arms or other arms that can be raised 900mm or more above the ground, but does not include a pedestrian-operated truck or a pallet truck.</w:t>
      </w:r>
    </w:p>
    <w:p>
      <w:pPr>
        <w:spacing w:before="119" w:after="1028" w:line="275"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13</w:t>
      </w:r>
    </w:p>
    <w:p>
      <w:pPr>
        <w:sectPr>
          <w:type w:val="continuous"/>
          <w:pgSz w:w="11909" w:h="16838" w:orient="portrait"/>
          <w:pgMar w:bottom="1082" w:top="1140" w:right="5858" w:left="1971"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	</w:t>
      </w:r>
      <w:r>
        <w:rPr>
          <w:rFonts w:ascii="Times New Roman" w:hAnsi="Times New Roman" w:eastAsia="Times New Roman"/>
          <w:color w:val="000000"/>
          <w:spacing w:val="0"/>
          <w:w w:val="100"/>
          <w:sz w:val="20"/>
          <w:vertAlign w:val="baseline"/>
          <w:lang w:val="en-US"/>
        </w:rPr>
        <w:t xml:space="preserve">Introductory Matters</w:t>
      </w:r>
    </w:p>
    <w:p>
      <w:pPr>
        <w:spacing w:before="251" w:after="0" w:line="274"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i w:val="true"/>
          <w:color w:val="000000"/>
          <w:spacing w:val="0"/>
          <w:w w:val="100"/>
          <w:sz w:val="24"/>
          <w:vertAlign w:val="baseline"/>
          <w:lang w:val="en-US"/>
        </w:rPr>
        <w:t xml:space="preserve">friable asbestos </w:t>
      </w:r>
      <w:r>
        <w:rPr>
          <w:rFonts w:ascii="Times New Roman" w:hAnsi="Times New Roman" w:eastAsia="Times New Roman"/>
          <w:color w:val="000000"/>
          <w:spacing w:val="0"/>
          <w:w w:val="100"/>
          <w:sz w:val="24"/>
          <w:vertAlign w:val="baseline"/>
          <w:lang w:val="en-US"/>
        </w:rPr>
        <w:t xml:space="preserve">means material that:</w:t>
      </w:r>
    </w:p>
    <w:p>
      <w:pPr>
        <w:numPr>
          <w:ilvl w:val="0"/>
          <w:numId w:val="31"/>
        </w:numPr>
        <w:tabs>
          <w:tab w:val="clear" w:pos="360"/>
          <w:tab w:val="left" w:pos="2376"/>
        </w:tabs>
        <w:spacing w:before="125" w:after="0" w:line="273" w:lineRule="exact"/>
        <w:ind w:right="288" w:left="2376" w:hanging="360"/>
        <w:jc w:val="both"/>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is in a powder form or that can be crumbled, pulverised or reduced to a powder by hand pressure when dry; and</w:t>
      </w:r>
    </w:p>
    <w:p>
      <w:pPr>
        <w:numPr>
          <w:ilvl w:val="0"/>
          <w:numId w:val="31"/>
        </w:numPr>
        <w:tabs>
          <w:tab w:val="clear" w:pos="360"/>
          <w:tab w:val="left" w:pos="2376"/>
        </w:tabs>
        <w:spacing w:before="7" w:after="0" w:line="393" w:lineRule="exact"/>
        <w:ind w:right="0" w:left="1368" w:firstLine="64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contains asbestos.</w:t>
        <w:br/>
      </w:r>
      <w:r>
        <w:rPr>
          <w:rFonts w:ascii="Times New Roman" w:hAnsi="Times New Roman" w:eastAsia="Times New Roman"/>
          <w:b w:val="true"/>
          <w:i w:val="true"/>
          <w:color w:val="000000"/>
          <w:spacing w:val="0"/>
          <w:w w:val="100"/>
          <w:sz w:val="24"/>
          <w:vertAlign w:val="baseline"/>
          <w:lang w:val="en-US"/>
        </w:rPr>
        <w:t xml:space="preserve">gantry crane </w:t>
      </w:r>
      <w:r>
        <w:rPr>
          <w:rFonts w:ascii="Times New Roman" w:hAnsi="Times New Roman" w:eastAsia="Times New Roman"/>
          <w:color w:val="000000"/>
          <w:spacing w:val="0"/>
          <w:w w:val="100"/>
          <w:sz w:val="24"/>
          <w:vertAlign w:val="baseline"/>
          <w:lang w:val="en-US"/>
        </w:rPr>
        <w:t xml:space="preserve">means a crane that:</w:t>
      </w:r>
    </w:p>
    <w:p>
      <w:pPr>
        <w:numPr>
          <w:ilvl w:val="0"/>
          <w:numId w:val="32"/>
        </w:numPr>
        <w:tabs>
          <w:tab w:val="clear" w:pos="360"/>
          <w:tab w:val="left" w:pos="2376"/>
        </w:tabs>
        <w:spacing w:before="125" w:after="0" w:line="273" w:lineRule="exact"/>
        <w:ind w:right="288" w:left="2376"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consists of a bridge beam or beams supported at one or both ends by legs mounted to end carriages; and</w:t>
      </w:r>
    </w:p>
    <w:p>
      <w:pPr>
        <w:numPr>
          <w:ilvl w:val="0"/>
          <w:numId w:val="32"/>
        </w:numPr>
        <w:tabs>
          <w:tab w:val="clear" w:pos="360"/>
          <w:tab w:val="left" w:pos="2376"/>
        </w:tabs>
        <w:spacing w:before="126" w:after="0" w:line="273" w:lineRule="exact"/>
        <w:ind w:right="36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capable of travelling on supporting surfaces or deck levels, whether fixed or not; and</w:t>
      </w:r>
    </w:p>
    <w:p>
      <w:pPr>
        <w:numPr>
          <w:ilvl w:val="0"/>
          <w:numId w:val="32"/>
        </w:numPr>
        <w:tabs>
          <w:tab w:val="clear" w:pos="360"/>
          <w:tab w:val="left" w:pos="2376"/>
        </w:tabs>
        <w:spacing w:before="126" w:after="0" w:line="273" w:lineRule="exact"/>
        <w:ind w:right="7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has a crab with 1 or more hoisting units arranged to travel across the bridge.</w:t>
      </w:r>
    </w:p>
    <w:p>
      <w:pPr>
        <w:spacing w:before="126" w:after="0" w:line="274"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gas cylinder </w:t>
      </w:r>
      <w:r>
        <w:rPr>
          <w:rFonts w:ascii="Times New Roman" w:hAnsi="Times New Roman" w:eastAsia="Times New Roman"/>
          <w:color w:val="000000"/>
          <w:spacing w:val="0"/>
          <w:w w:val="100"/>
          <w:sz w:val="24"/>
          <w:vertAlign w:val="baseline"/>
          <w:lang w:val="en-US"/>
        </w:rPr>
        <w:t xml:space="preserve">means a rigid vessel:</w:t>
      </w:r>
    </w:p>
    <w:p>
      <w:pPr>
        <w:numPr>
          <w:ilvl w:val="0"/>
          <w:numId w:val="33"/>
        </w:numPr>
        <w:tabs>
          <w:tab w:val="clear" w:pos="360"/>
          <w:tab w:val="left" w:pos="2376"/>
        </w:tabs>
        <w:spacing w:before="116" w:after="0" w:line="276" w:lineRule="exact"/>
        <w:ind w:right="504" w:left="2376"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does not exceed 3000 litres water capacity and is without openings or integral attachments on the shell other than at the ends; and</w:t>
      </w:r>
    </w:p>
    <w:p>
      <w:pPr>
        <w:numPr>
          <w:ilvl w:val="0"/>
          <w:numId w:val="33"/>
        </w:numPr>
        <w:tabs>
          <w:tab w:val="clear" w:pos="360"/>
          <w:tab w:val="left" w:pos="2376"/>
        </w:tabs>
        <w:spacing w:before="116" w:after="0" w:line="278" w:lineRule="exact"/>
        <w:ind w:right="7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is designed for the storage and transport of gas under pressure; and</w:t>
      </w:r>
    </w:p>
    <w:p>
      <w:pPr>
        <w:numPr>
          <w:ilvl w:val="0"/>
          <w:numId w:val="33"/>
        </w:numPr>
        <w:tabs>
          <w:tab w:val="clear" w:pos="360"/>
          <w:tab w:val="left" w:pos="2376"/>
        </w:tabs>
        <w:spacing w:before="116" w:after="0" w:line="278" w:lineRule="exact"/>
        <w:ind w:right="576"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is covered by AS 2030.1:2009 (Gas cylinders— General requirements).</w:t>
      </w:r>
    </w:p>
    <w:p>
      <w:pPr>
        <w:spacing w:before="118" w:after="0" w:line="276" w:lineRule="exact"/>
        <w:ind w:right="288"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general construction induction training </w:t>
      </w:r>
      <w:r>
        <w:rPr>
          <w:rFonts w:ascii="Times New Roman" w:hAnsi="Times New Roman" w:eastAsia="Times New Roman"/>
          <w:color w:val="000000"/>
          <w:spacing w:val="0"/>
          <w:w w:val="100"/>
          <w:sz w:val="24"/>
          <w:vertAlign w:val="baseline"/>
          <w:lang w:val="en-US"/>
        </w:rPr>
        <w:t xml:space="preserve">means training delivered in Australia by an RTO for the specified VET course for general construction induction training.</w:t>
      </w:r>
    </w:p>
    <w:p>
      <w:pPr>
        <w:spacing w:before="125" w:after="0" w:line="274" w:lineRule="exact"/>
        <w:ind w:right="0" w:left="0" w:firstLine="0"/>
        <w:jc w:val="center"/>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general construction induction training card </w:t>
      </w:r>
      <w:r>
        <w:rPr>
          <w:rFonts w:ascii="Times New Roman" w:hAnsi="Times New Roman" w:eastAsia="Times New Roman"/>
          <w:color w:val="000000"/>
          <w:spacing w:val="0"/>
          <w:w w:val="100"/>
          <w:sz w:val="24"/>
          <w:vertAlign w:val="baseline"/>
          <w:lang w:val="en-US"/>
        </w:rPr>
        <w:t xml:space="preserve">means:</w:t>
      </w:r>
    </w:p>
    <w:p>
      <w:pPr>
        <w:numPr>
          <w:ilvl w:val="0"/>
          <w:numId w:val="34"/>
        </w:numPr>
        <w:tabs>
          <w:tab w:val="clear" w:pos="360"/>
          <w:tab w:val="left" w:pos="2376"/>
        </w:tabs>
        <w:spacing w:before="115" w:after="0" w:line="278" w:lineRule="exact"/>
        <w:ind w:right="792" w:left="2376"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in Division 2 of Part 6.5—a general construction induction training card issued under that Division;</w:t>
      </w:r>
    </w:p>
    <w:p>
      <w:pPr>
        <w:numPr>
          <w:ilvl w:val="0"/>
          <w:numId w:val="34"/>
        </w:numPr>
        <w:tabs>
          <w:tab w:val="clear" w:pos="360"/>
          <w:tab w:val="left" w:pos="2376"/>
        </w:tabs>
        <w:spacing w:before="116" w:after="0" w:line="278" w:lineRule="exact"/>
        <w:ind w:right="648"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any other case—a general construction induction training card issued:</w:t>
      </w:r>
    </w:p>
    <w:p>
      <w:pPr>
        <w:numPr>
          <w:ilvl w:val="0"/>
          <w:numId w:val="35"/>
        </w:numPr>
        <w:tabs>
          <w:tab w:val="clear" w:pos="360"/>
          <w:tab w:val="left" w:pos="2880"/>
        </w:tabs>
        <w:spacing w:before="116" w:after="0" w:line="278" w:lineRule="exact"/>
        <w:ind w:right="1368" w:left="2880"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under Division 2 of Part 6.5 or under a corresponding WHS law; or</w:t>
      </w:r>
    </w:p>
    <w:p>
      <w:pPr>
        <w:numPr>
          <w:ilvl w:val="0"/>
          <w:numId w:val="35"/>
        </w:numPr>
        <w:tabs>
          <w:tab w:val="clear" w:pos="360"/>
          <w:tab w:val="left" w:pos="2880"/>
        </w:tabs>
        <w:spacing w:before="118" w:after="0" w:line="276" w:lineRule="exact"/>
        <w:ind w:right="216" w:left="2880"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by an RTO under an agreement between the regulator and an RTO or a corresponding regulator and an RTO.</w:t>
      </w:r>
    </w:p>
    <w:p>
      <w:pPr>
        <w:spacing w:before="129"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1371" w:line="228"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25" w:after="1371" w:line="228"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14</w:t>
      </w:r>
    </w:p>
    <w:p>
      <w:pPr>
        <w:sectPr>
          <w:type w:val="continuous"/>
          <w:pgSz w:w="11909" w:h="16838" w:orient="portrait"/>
          <w:pgMar w:bottom="1082" w:top="1140" w:right="5853" w:left="1976"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	</w:t>
      </w:r>
      <w:r>
        <w:rPr>
          <w:rFonts w:ascii="Times New Roman" w:hAnsi="Times New Roman" w:eastAsia="Times New Roman"/>
          <w:color w:val="000000"/>
          <w:spacing w:val="0"/>
          <w:w w:val="100"/>
          <w:sz w:val="20"/>
          <w:vertAlign w:val="baseline"/>
          <w:lang w:val="en-US"/>
        </w:rPr>
        <w:t xml:space="preserve">Introductory Matters</w:t>
      </w:r>
    </w:p>
    <w:p>
      <w:pPr>
        <w:spacing w:before="250" w:after="0" w:line="276" w:lineRule="exact"/>
        <w:ind w:right="360" w:left="1872" w:hanging="504"/>
        <w:jc w:val="left"/>
        <w:textAlignment w:val="baseline"/>
        <w:rPr>
          <w:rFonts w:ascii="Times New Roman" w:hAnsi="Times New Roman" w:eastAsia="Times New Roman"/>
          <w:b w:val="true"/>
          <w:i w:val="true"/>
          <w:color w:val="000000"/>
          <w:spacing w:val="-1"/>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i w:val="true"/>
          <w:color w:val="000000"/>
          <w:spacing w:val="-1"/>
          <w:w w:val="100"/>
          <w:sz w:val="24"/>
          <w:vertAlign w:val="baseline"/>
          <w:lang w:val="en-US"/>
        </w:rPr>
        <w:t xml:space="preserve">general construction induction training certification </w:t>
      </w:r>
      <w:r>
        <w:rPr>
          <w:rFonts w:ascii="Times New Roman" w:hAnsi="Times New Roman" w:eastAsia="Times New Roman"/>
          <w:color w:val="000000"/>
          <w:spacing w:val="-1"/>
          <w:w w:val="100"/>
          <w:sz w:val="24"/>
          <w:vertAlign w:val="baseline"/>
          <w:lang w:val="en-US"/>
        </w:rPr>
        <w:t xml:space="preserve">means a certification for the completion of the specified VET course</w:t>
      </w:r>
    </w:p>
    <w:p>
      <w:pPr>
        <w:spacing w:before="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general construction induction training.</w:t>
      </w:r>
    </w:p>
    <w:p>
      <w:pPr>
        <w:spacing w:before="120" w:after="0" w:line="276" w:lineRule="exact"/>
        <w:ind w:right="576"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general diving work </w:t>
      </w:r>
      <w:r>
        <w:rPr>
          <w:rFonts w:ascii="Times New Roman" w:hAnsi="Times New Roman" w:eastAsia="Times New Roman"/>
          <w:color w:val="000000"/>
          <w:spacing w:val="0"/>
          <w:w w:val="100"/>
          <w:sz w:val="24"/>
          <w:vertAlign w:val="baseline"/>
          <w:lang w:val="en-US"/>
        </w:rPr>
        <w:t xml:space="preserve">means work carried out in or under water while breathing compressed gas, and includes:</w:t>
      </w:r>
    </w:p>
    <w:p>
      <w:pPr>
        <w:numPr>
          <w:ilvl w:val="0"/>
          <w:numId w:val="36"/>
        </w:numPr>
        <w:tabs>
          <w:tab w:val="clear" w:pos="360"/>
          <w:tab w:val="left" w:pos="2376"/>
        </w:tabs>
        <w:spacing w:before="123" w:after="0" w:line="276" w:lineRule="exact"/>
        <w:ind w:right="0" w:left="1872" w:firstLine="14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incidental diving work; and</w:t>
      </w:r>
    </w:p>
    <w:p>
      <w:pPr>
        <w:numPr>
          <w:ilvl w:val="0"/>
          <w:numId w:val="36"/>
        </w:numPr>
        <w:tabs>
          <w:tab w:val="clear" w:pos="360"/>
          <w:tab w:val="left" w:pos="2376"/>
        </w:tabs>
        <w:spacing w:before="0" w:after="0" w:line="396" w:lineRule="exact"/>
        <w:ind w:right="1944" w:left="1872" w:firstLine="14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limited scientific diving work, but does not include high risk diving work.</w:t>
      </w:r>
    </w:p>
    <w:p>
      <w:pPr>
        <w:spacing w:before="117" w:after="0" w:line="276" w:lineRule="exact"/>
        <w:ind w:right="144"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genuine research </w:t>
      </w:r>
      <w:r>
        <w:rPr>
          <w:rFonts w:ascii="Times New Roman" w:hAnsi="Times New Roman" w:eastAsia="Times New Roman"/>
          <w:color w:val="000000"/>
          <w:spacing w:val="0"/>
          <w:w w:val="100"/>
          <w:sz w:val="24"/>
          <w:vertAlign w:val="baseline"/>
          <w:lang w:val="en-US"/>
        </w:rPr>
        <w:t xml:space="preserve">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spacing w:before="118" w:after="0" w:line="276" w:lineRule="exact"/>
        <w:ind w:right="144" w:left="1872" w:hanging="504"/>
        <w:jc w:val="left"/>
        <w:textAlignment w:val="baseline"/>
        <w:rPr>
          <w:rFonts w:ascii="Times New Roman" w:hAnsi="Times New Roman" w:eastAsia="Times New Roman"/>
          <w:b w:val="true"/>
          <w:i w:val="true"/>
          <w:color w:val="000000"/>
          <w:spacing w:val="-1"/>
          <w:w w:val="100"/>
          <w:sz w:val="24"/>
          <w:vertAlign w:val="baseline"/>
          <w:lang w:val="en-US"/>
        </w:rPr>
      </w:pPr>
      <w:r>
        <w:rPr>
          <w:rFonts w:ascii="Times New Roman" w:hAnsi="Times New Roman" w:eastAsia="Times New Roman"/>
          <w:b w:val="true"/>
          <w:i w:val="true"/>
          <w:color w:val="000000"/>
          <w:spacing w:val="-1"/>
          <w:w w:val="100"/>
          <w:sz w:val="24"/>
          <w:vertAlign w:val="baseline"/>
          <w:lang w:val="en-US"/>
        </w:rPr>
        <w:t xml:space="preserve">GHS </w:t>
      </w:r>
      <w:r>
        <w:rPr>
          <w:rFonts w:ascii="Times New Roman" w:hAnsi="Times New Roman" w:eastAsia="Times New Roman"/>
          <w:color w:val="000000"/>
          <w:spacing w:val="-1"/>
          <w:w w:val="100"/>
          <w:sz w:val="24"/>
          <w:vertAlign w:val="baseline"/>
          <w:lang w:val="en-US"/>
        </w:rPr>
        <w:t xml:space="preserve">means the Globally Harmonised System of Classification and Labelling of Chemicals, Seventh revised edition, published by the United Nations as modified under Schedule 6.</w:t>
      </w:r>
    </w:p>
    <w:p>
      <w:pPr>
        <w:spacing w:before="130"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7"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The Schedule 6 tables replace some tables in the GHS.</w:t>
      </w:r>
    </w:p>
    <w:p>
      <w:pPr>
        <w:spacing w:before="116" w:after="0" w:line="276" w:lineRule="exact"/>
        <w:ind w:right="288" w:left="1872" w:hanging="504"/>
        <w:jc w:val="left"/>
        <w:textAlignment w:val="baseline"/>
        <w:rPr>
          <w:rFonts w:ascii="Times New Roman" w:hAnsi="Times New Roman" w:eastAsia="Times New Roman"/>
          <w:b w:val="true"/>
          <w:i w:val="true"/>
          <w:color w:val="000000"/>
          <w:spacing w:val="-1"/>
          <w:w w:val="100"/>
          <w:sz w:val="24"/>
          <w:vertAlign w:val="baseline"/>
          <w:lang w:val="en-US"/>
        </w:rPr>
      </w:pPr>
      <w:r>
        <w:rPr>
          <w:rFonts w:ascii="Times New Roman" w:hAnsi="Times New Roman" w:eastAsia="Times New Roman"/>
          <w:b w:val="true"/>
          <w:i w:val="true"/>
          <w:color w:val="000000"/>
          <w:spacing w:val="-1"/>
          <w:w w:val="100"/>
          <w:sz w:val="24"/>
          <w:vertAlign w:val="baseline"/>
          <w:lang w:val="en-US"/>
        </w:rPr>
        <w:t xml:space="preserve">GHS 3 </w:t>
      </w:r>
      <w:r>
        <w:rPr>
          <w:rFonts w:ascii="Times New Roman" w:hAnsi="Times New Roman" w:eastAsia="Times New Roman"/>
          <w:color w:val="000000"/>
          <w:spacing w:val="-1"/>
          <w:w w:val="100"/>
          <w:sz w:val="24"/>
          <w:vertAlign w:val="baseline"/>
          <w:lang w:val="en-US"/>
        </w:rPr>
        <w:t xml:space="preserve">means the Globally Harmonised System of Classification and Labelling of Chemicals, Third revised edition, published by the United Nations as modified under Schedule 6.</w:t>
      </w:r>
    </w:p>
    <w:p>
      <w:pPr>
        <w:spacing w:before="125"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7"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The Schedule 6 tables replace some tables in GHS 3.</w:t>
      </w:r>
    </w:p>
    <w:p>
      <w:pPr>
        <w:spacing w:before="118" w:after="0" w:line="276" w:lineRule="exact"/>
        <w:ind w:right="0"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hazard category </w:t>
      </w:r>
      <w:r>
        <w:rPr>
          <w:rFonts w:ascii="Times New Roman" w:hAnsi="Times New Roman" w:eastAsia="Times New Roman"/>
          <w:color w:val="000000"/>
          <w:spacing w:val="0"/>
          <w:w w:val="100"/>
          <w:sz w:val="24"/>
          <w:vertAlign w:val="baseline"/>
          <w:lang w:val="en-US"/>
        </w:rPr>
        <w:t xml:space="preserve">means a division of criteria within a hazard class in the GHS.</w:t>
      </w:r>
    </w:p>
    <w:p>
      <w:pPr>
        <w:spacing w:before="120" w:after="0" w:line="276" w:lineRule="exact"/>
        <w:ind w:right="1440"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hazard class </w:t>
      </w:r>
      <w:r>
        <w:rPr>
          <w:rFonts w:ascii="Times New Roman" w:hAnsi="Times New Roman" w:eastAsia="Times New Roman"/>
          <w:color w:val="000000"/>
          <w:spacing w:val="0"/>
          <w:w w:val="100"/>
          <w:sz w:val="24"/>
          <w:vertAlign w:val="baseline"/>
          <w:lang w:val="en-US"/>
        </w:rPr>
        <w:t xml:space="preserve">means the nature of a physical, health or environmental hazard under the GHS.</w:t>
      </w:r>
    </w:p>
    <w:p>
      <w:pPr>
        <w:spacing w:before="118" w:after="0" w:line="276" w:lineRule="exact"/>
        <w:ind w:right="360"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hazard pictogram </w:t>
      </w:r>
      <w:r>
        <w:rPr>
          <w:rFonts w:ascii="Times New Roman" w:hAnsi="Times New Roman" w:eastAsia="Times New Roman"/>
          <w:color w:val="000000"/>
          <w:spacing w:val="0"/>
          <w:w w:val="100"/>
          <w:sz w:val="24"/>
          <w:vertAlign w:val="baseline"/>
          <w:lang w:val="en-US"/>
        </w:rPr>
        <w:t xml:space="preserve">means a graphical composition, including a symbol plus other graphical elements, that is assigned in the GHS to a hazard class or hazard category.</w:t>
      </w:r>
    </w:p>
    <w:p>
      <w:pPr>
        <w:spacing w:before="120" w:after="0" w:line="276" w:lineRule="exact"/>
        <w:ind w:right="144"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hazard statement </w:t>
      </w:r>
      <w:r>
        <w:rPr>
          <w:rFonts w:ascii="Times New Roman" w:hAnsi="Times New Roman" w:eastAsia="Times New Roman"/>
          <w:color w:val="000000"/>
          <w:spacing w:val="0"/>
          <w:w w:val="100"/>
          <w:sz w:val="24"/>
          <w:vertAlign w:val="baseline"/>
          <w:lang w:val="en-US"/>
        </w:rPr>
        <w:t xml:space="preserve">means a statement assigned in the GHS to a hazard class or hazard category describing the nature of the hazards of a hazardous chemical including, if appropriate, the degree of hazard.</w:t>
      </w:r>
    </w:p>
    <w:p>
      <w:pPr>
        <w:spacing w:before="123" w:after="1430" w:line="276"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b w:val="true"/>
          <w:i w:val="true"/>
          <w:color w:val="000000"/>
          <w:spacing w:val="0"/>
          <w:w w:val="100"/>
          <w:sz w:val="24"/>
          <w:vertAlign w:val="baseline"/>
          <w:lang w:val="en-US"/>
        </w:rPr>
        <w:t xml:space="preserve">hazardous area </w:t>
      </w:r>
      <w:r>
        <w:rPr>
          <w:rFonts w:ascii="Times New Roman" w:hAnsi="Times New Roman" w:eastAsia="Times New Roman"/>
          <w:color w:val="000000"/>
          <w:spacing w:val="0"/>
          <w:w w:val="100"/>
          <w:sz w:val="24"/>
          <w:vertAlign w:val="baseline"/>
          <w:lang w:val="en-US"/>
        </w:rPr>
        <w:t xml:space="preserve">means an area in which:</w:t>
      </w:r>
    </w:p>
    <w:p>
      <w:pPr>
        <w:spacing w:before="123" w:after="1430" w:line="276"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15</w:t>
      </w:r>
    </w:p>
    <w:p>
      <w:pPr>
        <w:sectPr>
          <w:type w:val="continuous"/>
          <w:pgSz w:w="11909" w:h="16838" w:orient="portrait"/>
          <w:pgMar w:bottom="1082" w:top="1140" w:right="5856" w:left="1973"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	</w:t>
      </w:r>
      <w:r>
        <w:rPr>
          <w:rFonts w:ascii="Times New Roman" w:hAnsi="Times New Roman" w:eastAsia="Times New Roman"/>
          <w:color w:val="000000"/>
          <w:spacing w:val="0"/>
          <w:w w:val="100"/>
          <w:sz w:val="20"/>
          <w:vertAlign w:val="baseline"/>
          <w:lang w:val="en-US"/>
        </w:rPr>
        <w:t xml:space="preserve">Introductory Matters</w:t>
      </w:r>
    </w:p>
    <w:p>
      <w:pPr>
        <w:numPr>
          <w:ilvl w:val="0"/>
          <w:numId w:val="37"/>
        </w:numPr>
        <w:tabs>
          <w:tab w:val="clear" w:pos="288"/>
          <w:tab w:val="left" w:pos="2376"/>
        </w:tabs>
        <w:spacing w:before="246" w:after="0" w:line="276" w:lineRule="exact"/>
        <w:ind w:right="216" w:left="2376" w:hanging="288"/>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an explosive gas is present in the atmosphere in a quantity that requires special precautions to be taken for the construction, installation and use of plant; or</w:t>
      </w:r>
    </w:p>
    <w:p>
      <w:pPr>
        <w:numPr>
          <w:ilvl w:val="0"/>
          <w:numId w:val="37"/>
        </w:numPr>
        <w:tabs>
          <w:tab w:val="clear" w:pos="288"/>
          <w:tab w:val="left" w:pos="2376"/>
        </w:tabs>
        <w:spacing w:before="124" w:after="0" w:line="275" w:lineRule="exact"/>
        <w:ind w:right="360"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combustible dust is present, or could reasonably be expected to be present, in the atmosphere in a quantity that requires special precautions to be taken for the construction, installation and use of plant.</w:t>
      </w:r>
    </w:p>
    <w:p>
      <w:pPr>
        <w:spacing w:before="126" w:after="0" w:line="275" w:lineRule="exact"/>
        <w:ind w:right="72" w:left="1872" w:hanging="36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hazardous chemical </w:t>
      </w:r>
      <w:r>
        <w:rPr>
          <w:rFonts w:ascii="Times New Roman" w:hAnsi="Times New Roman" w:eastAsia="Times New Roman"/>
          <w:color w:val="000000"/>
          <w:spacing w:val="0"/>
          <w:w w:val="100"/>
          <w:sz w:val="24"/>
          <w:vertAlign w:val="baseline"/>
          <w:lang w:val="en-US"/>
        </w:rPr>
        <w:t xml:space="preserve">means a substance, mixture or article that satisfies the criteria for any one or more hazard classes in the GHS (including a classification referred to in Schedule 6), unless the only hazard class or classes for which the substance, mixture or article satisfies the criteria are any one or more of the following:</w:t>
      </w:r>
    </w:p>
    <w:p>
      <w:pPr>
        <w:numPr>
          <w:ilvl w:val="0"/>
          <w:numId w:val="38"/>
        </w:numPr>
        <w:tabs>
          <w:tab w:val="clear" w:pos="288"/>
          <w:tab w:val="left" w:pos="2376"/>
        </w:tabs>
        <w:spacing w:before="123" w:after="0" w:line="271" w:lineRule="exact"/>
        <w:ind w:right="0"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acute toxicity—oral—category 5;</w:t>
      </w:r>
    </w:p>
    <w:p>
      <w:pPr>
        <w:numPr>
          <w:ilvl w:val="0"/>
          <w:numId w:val="38"/>
        </w:numPr>
        <w:tabs>
          <w:tab w:val="clear" w:pos="288"/>
          <w:tab w:val="left" w:pos="2376"/>
        </w:tabs>
        <w:spacing w:before="127" w:after="0" w:line="271" w:lineRule="exact"/>
        <w:ind w:right="0"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acute toxicity—dermal—category 5;</w:t>
      </w:r>
    </w:p>
    <w:p>
      <w:pPr>
        <w:numPr>
          <w:ilvl w:val="0"/>
          <w:numId w:val="38"/>
        </w:numPr>
        <w:tabs>
          <w:tab w:val="clear" w:pos="288"/>
          <w:tab w:val="left" w:pos="2376"/>
        </w:tabs>
        <w:spacing w:before="123" w:after="0" w:line="271" w:lineRule="exact"/>
        <w:ind w:right="0"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acute toxicity—inhalation—category 5;</w:t>
      </w:r>
    </w:p>
    <w:p>
      <w:pPr>
        <w:numPr>
          <w:ilvl w:val="0"/>
          <w:numId w:val="38"/>
        </w:numPr>
        <w:tabs>
          <w:tab w:val="clear" w:pos="288"/>
          <w:tab w:val="left" w:pos="2376"/>
        </w:tabs>
        <w:spacing w:before="127" w:after="0" w:line="271" w:lineRule="exact"/>
        <w:ind w:right="0"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skin corrosion/irritation—category 3;</w:t>
      </w:r>
    </w:p>
    <w:p>
      <w:pPr>
        <w:numPr>
          <w:ilvl w:val="0"/>
          <w:numId w:val="38"/>
        </w:numPr>
        <w:tabs>
          <w:tab w:val="clear" w:pos="288"/>
          <w:tab w:val="left" w:pos="2376"/>
        </w:tabs>
        <w:spacing w:before="123" w:after="0" w:line="271" w:lineRule="exact"/>
        <w:ind w:right="0"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aspiration hazard—category 2;</w:t>
      </w:r>
    </w:p>
    <w:p>
      <w:pPr>
        <w:numPr>
          <w:ilvl w:val="0"/>
          <w:numId w:val="38"/>
        </w:numPr>
        <w:tabs>
          <w:tab w:val="clear" w:pos="288"/>
          <w:tab w:val="left" w:pos="2376"/>
        </w:tabs>
        <w:spacing w:before="127" w:after="0" w:line="271" w:lineRule="exact"/>
        <w:ind w:right="0"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flammable gas—category 2;</w:t>
      </w:r>
    </w:p>
    <w:p>
      <w:pPr>
        <w:numPr>
          <w:ilvl w:val="0"/>
          <w:numId w:val="38"/>
        </w:numPr>
        <w:tabs>
          <w:tab w:val="clear" w:pos="288"/>
          <w:tab w:val="left" w:pos="2376"/>
        </w:tabs>
        <w:spacing w:before="116" w:after="0" w:line="278" w:lineRule="exact"/>
        <w:ind w:right="288"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acute hazard to the aquatic environment—category 1, 2 or 3;</w:t>
      </w:r>
    </w:p>
    <w:p>
      <w:pPr>
        <w:numPr>
          <w:ilvl w:val="0"/>
          <w:numId w:val="38"/>
        </w:numPr>
        <w:tabs>
          <w:tab w:val="clear" w:pos="288"/>
          <w:tab w:val="left" w:pos="2376"/>
        </w:tabs>
        <w:spacing w:before="116" w:after="0" w:line="278" w:lineRule="exact"/>
        <w:ind w:right="216" w:left="2376"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chronic hazard to the aquatic environment—category 1, 2, 3 or 4;</w:t>
      </w:r>
    </w:p>
    <w:p>
      <w:pPr>
        <w:numPr>
          <w:ilvl w:val="0"/>
          <w:numId w:val="38"/>
        </w:numPr>
        <w:tabs>
          <w:tab w:val="clear" w:pos="288"/>
          <w:tab w:val="left" w:pos="2376"/>
        </w:tabs>
        <w:spacing w:before="123" w:after="0" w:line="271" w:lineRule="exact"/>
        <w:ind w:right="0" w:left="2376"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hazardous to the ozone layer.</w:t>
      </w:r>
    </w:p>
    <w:p>
      <w:pPr>
        <w:spacing w:before="131"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8"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The Schedule 6 tables replace some tables in the GHS.</w:t>
      </w:r>
    </w:p>
    <w:p>
      <w:pPr>
        <w:spacing w:before="116" w:after="0" w:line="275" w:lineRule="exact"/>
        <w:ind w:right="72"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hazardous manual task </w:t>
      </w:r>
      <w:r>
        <w:rPr>
          <w:rFonts w:ascii="Times New Roman" w:hAnsi="Times New Roman" w:eastAsia="Times New Roman"/>
          <w:color w:val="000000"/>
          <w:spacing w:val="0"/>
          <w:w w:val="100"/>
          <w:sz w:val="24"/>
          <w:vertAlign w:val="baseline"/>
          <w:lang w:val="en-US"/>
        </w:rPr>
        <w:t xml:space="preserve">means a task that requires a person to lift, lower, push, pull, carry or otherwise move, hold or restrain any person, animal or thing that involves 1 or more of the following:</w:t>
      </w:r>
    </w:p>
    <w:p>
      <w:pPr>
        <w:numPr>
          <w:ilvl w:val="0"/>
          <w:numId w:val="39"/>
        </w:numPr>
        <w:tabs>
          <w:tab w:val="clear" w:pos="288"/>
          <w:tab w:val="left" w:pos="2376"/>
        </w:tabs>
        <w:spacing w:before="127" w:after="0" w:line="271" w:lineRule="exact"/>
        <w:ind w:right="0"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repetitive or sustained force;</w:t>
      </w:r>
    </w:p>
    <w:p>
      <w:pPr>
        <w:numPr>
          <w:ilvl w:val="0"/>
          <w:numId w:val="39"/>
        </w:numPr>
        <w:tabs>
          <w:tab w:val="clear" w:pos="288"/>
          <w:tab w:val="left" w:pos="2376"/>
        </w:tabs>
        <w:spacing w:before="123" w:after="0" w:line="271" w:lineRule="exact"/>
        <w:ind w:right="0"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high or sudden force;</w:t>
      </w:r>
    </w:p>
    <w:p>
      <w:pPr>
        <w:numPr>
          <w:ilvl w:val="0"/>
          <w:numId w:val="39"/>
        </w:numPr>
        <w:tabs>
          <w:tab w:val="clear" w:pos="288"/>
          <w:tab w:val="left" w:pos="2376"/>
        </w:tabs>
        <w:spacing w:before="127" w:after="0" w:line="271" w:lineRule="exact"/>
        <w:ind w:right="0"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repetitive movement;</w:t>
      </w:r>
    </w:p>
    <w:p>
      <w:pPr>
        <w:numPr>
          <w:ilvl w:val="0"/>
          <w:numId w:val="39"/>
        </w:numPr>
        <w:tabs>
          <w:tab w:val="clear" w:pos="288"/>
          <w:tab w:val="left" w:pos="2376"/>
        </w:tabs>
        <w:spacing w:before="123" w:after="0" w:line="271" w:lineRule="exact"/>
        <w:ind w:right="0"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sustained or awkward posture;</w:t>
      </w:r>
    </w:p>
    <w:p>
      <w:pPr>
        <w:numPr>
          <w:ilvl w:val="0"/>
          <w:numId w:val="39"/>
        </w:numPr>
        <w:tabs>
          <w:tab w:val="clear" w:pos="288"/>
          <w:tab w:val="left" w:pos="2376"/>
        </w:tabs>
        <w:spacing w:before="127" w:after="981" w:line="271" w:lineRule="exact"/>
        <w:ind w:right="0" w:left="2376" w:hanging="288"/>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exposure to vibration.</w:t>
      </w:r>
    </w:p>
    <w:p>
      <w:pPr>
        <w:spacing w:before="127" w:after="981" w:line="271"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16</w:t>
      </w:r>
    </w:p>
    <w:p>
      <w:pPr>
        <w:sectPr>
          <w:type w:val="continuous"/>
          <w:pgSz w:w="11909" w:h="16838" w:orient="portrait"/>
          <w:pgMar w:bottom="1082" w:top="1140" w:right="5853" w:left="1976" w:header="720" w:footer="720"/>
          <w:titlePg w:val="false"/>
          <w:textDirection w:val="lrTb"/>
        </w:sectPr>
      </w:pPr>
    </w:p>
    <w:p>
      <w:pPr>
        <w:spacing w:before="6"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5" w:after="226"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	</w:t>
      </w:r>
      <w:r>
        <w:rPr>
          <w:rFonts w:ascii="Times New Roman" w:hAnsi="Times New Roman" w:eastAsia="Times New Roman"/>
          <w:color w:val="000000"/>
          <w:spacing w:val="0"/>
          <w:w w:val="100"/>
          <w:sz w:val="20"/>
          <w:vertAlign w:val="baseline"/>
          <w:lang w:val="en-US"/>
        </w:rPr>
        <w:t xml:space="preserve">Introductory Matters</w:t>
      </w:r>
    </w:p>
    <w:p>
      <w:pPr>
        <w:spacing w:before="255"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Examples</w:t>
      </w:r>
    </w:p>
    <w:p>
      <w:pPr>
        <w:tabs>
          <w:tab w:val="left" w:leader="none" w:pos="2304"/>
        </w:tabs>
        <w:spacing w:before="125" w:after="0" w:line="226"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A task requiring a person to restrain live animals.</w:t>
      </w:r>
    </w:p>
    <w:p>
      <w:pPr>
        <w:tabs>
          <w:tab w:val="left" w:leader="none" w:pos="2304"/>
        </w:tabs>
        <w:spacing w:before="125" w:after="0" w:line="226"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A task requiring a person to lift or move loads that are unstable or</w:t>
      </w:r>
    </w:p>
    <w:p>
      <w:pPr>
        <w:spacing w:before="4" w:after="0" w:line="226"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unbalanced or are difficult to grasp or hold.</w:t>
      </w:r>
    </w:p>
    <w:p>
      <w:pPr>
        <w:tabs>
          <w:tab w:val="left" w:leader="none" w:pos="2304"/>
        </w:tabs>
        <w:spacing w:before="124" w:after="0" w:line="226"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	</w:t>
      </w:r>
      <w:r>
        <w:rPr>
          <w:rFonts w:ascii="Times New Roman" w:hAnsi="Times New Roman" w:eastAsia="Times New Roman"/>
          <w:color w:val="000000"/>
          <w:spacing w:val="0"/>
          <w:w w:val="100"/>
          <w:sz w:val="20"/>
          <w:vertAlign w:val="baseline"/>
          <w:lang w:val="en-US"/>
        </w:rPr>
        <w:t xml:space="preserve">A task requiring a person to sort objects on a conveyor belt.</w:t>
      </w:r>
    </w:p>
    <w:p>
      <w:pPr>
        <w:spacing w:before="119" w:after="0" w:line="274" w:lineRule="exact"/>
        <w:ind w:right="72" w:left="1872" w:hanging="504"/>
        <w:jc w:val="both"/>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Hazchem Code </w:t>
      </w:r>
      <w:r>
        <w:rPr>
          <w:rFonts w:ascii="Times New Roman" w:hAnsi="Times New Roman" w:eastAsia="Times New Roman"/>
          <w:color w:val="000000"/>
          <w:spacing w:val="0"/>
          <w:w w:val="100"/>
          <w:sz w:val="24"/>
          <w:vertAlign w:val="baseline"/>
          <w:lang w:val="en-US"/>
        </w:rPr>
        <w:t xml:space="preserve">means a Hazchem Code under the ADG Code, also known as an Emergency Action Code.</w:t>
      </w:r>
    </w:p>
    <w:p>
      <w:pPr>
        <w:spacing w:before="124" w:after="0" w:line="274" w:lineRule="exact"/>
        <w:ind w:right="288" w:left="1872" w:hanging="504"/>
        <w:jc w:val="both"/>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head or upper body </w:t>
      </w:r>
      <w:r>
        <w:rPr>
          <w:rFonts w:ascii="Times New Roman" w:hAnsi="Times New Roman" w:eastAsia="Times New Roman"/>
          <w:color w:val="000000"/>
          <w:spacing w:val="0"/>
          <w:w w:val="100"/>
          <w:sz w:val="24"/>
          <w:vertAlign w:val="baseline"/>
          <w:lang w:val="en-US"/>
        </w:rPr>
        <w:t xml:space="preserve">means the area of a person's body at or above the person's shoulders.</w:t>
      </w:r>
    </w:p>
    <w:p>
      <w:pPr>
        <w:spacing w:before="122" w:after="0" w:line="276" w:lineRule="exact"/>
        <w:ind w:right="432"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health monitoring</w:t>
      </w:r>
      <w:r>
        <w:rPr>
          <w:rFonts w:ascii="Times New Roman" w:hAnsi="Times New Roman" w:eastAsia="Times New Roman"/>
          <w:color w:val="000000"/>
          <w:spacing w:val="0"/>
          <w:w w:val="100"/>
          <w:sz w:val="24"/>
          <w:vertAlign w:val="baseline"/>
          <w:lang w:val="en-US"/>
        </w:rPr>
        <w:t xml:space="preserve">, of a person, means monitoring the person to identify changes in the person's health status because of exposure to certain substances.</w:t>
      </w:r>
    </w:p>
    <w:p>
      <w:pPr>
        <w:spacing w:before="122" w:after="0" w:line="274"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heritage boiler </w:t>
      </w:r>
      <w:r>
        <w:rPr>
          <w:rFonts w:ascii="Times New Roman" w:hAnsi="Times New Roman" w:eastAsia="Times New Roman"/>
          <w:color w:val="000000"/>
          <w:spacing w:val="0"/>
          <w:w w:val="100"/>
          <w:sz w:val="24"/>
          <w:vertAlign w:val="baseline"/>
          <w:lang w:val="en-US"/>
        </w:rPr>
        <w:t xml:space="preserve">means a boiler that:</w:t>
      </w:r>
    </w:p>
    <w:p>
      <w:pPr>
        <w:numPr>
          <w:ilvl w:val="0"/>
          <w:numId w:val="40"/>
        </w:numPr>
        <w:tabs>
          <w:tab w:val="clear" w:pos="360"/>
          <w:tab w:val="left" w:pos="2376"/>
        </w:tabs>
        <w:spacing w:before="124" w:after="0" w:line="272"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was manufactured before 1952; and</w:t>
      </w:r>
    </w:p>
    <w:p>
      <w:pPr>
        <w:numPr>
          <w:ilvl w:val="0"/>
          <w:numId w:val="40"/>
        </w:numPr>
        <w:tabs>
          <w:tab w:val="clear" w:pos="360"/>
          <w:tab w:val="left" w:pos="2376"/>
        </w:tabs>
        <w:spacing w:before="116" w:after="0" w:line="278" w:lineRule="exact"/>
        <w:ind w:right="288"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used for a historical purpose or activity, including an activity that is ancillary to a historical activity.</w:t>
      </w:r>
    </w:p>
    <w:p>
      <w:pPr>
        <w:spacing w:before="125"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Examples</w:t>
      </w:r>
    </w:p>
    <w:p>
      <w:pPr>
        <w:tabs>
          <w:tab w:val="left" w:leader="none" w:pos="2304"/>
        </w:tabs>
        <w:spacing w:before="122" w:after="0" w:line="230" w:lineRule="exact"/>
        <w:ind w:right="288" w:left="2376" w:hanging="504"/>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i w:val="true"/>
          <w:color w:val="000000"/>
          <w:spacing w:val="0"/>
          <w:w w:val="100"/>
          <w:sz w:val="21"/>
          <w:vertAlign w:val="baseline"/>
          <w:lang w:val="en-US"/>
        </w:rPr>
        <w:t xml:space="preserve">Historical activity</w:t>
      </w:r>
      <w:r>
        <w:rPr>
          <w:rFonts w:ascii="Times New Roman" w:hAnsi="Times New Roman" w:eastAsia="Times New Roman"/>
          <w:color w:val="000000"/>
          <w:spacing w:val="0"/>
          <w:w w:val="100"/>
          <w:sz w:val="20"/>
          <w:vertAlign w:val="baseline"/>
          <w:lang w:val="en-US"/>
        </w:rPr>
        <w:t xml:space="preserve">: a historical display, parade, demonstration or re</w:t>
        <w:softHyphen/>
      </w:r>
      <w:r>
        <w:rPr>
          <w:rFonts w:ascii="Times New Roman" w:hAnsi="Times New Roman" w:eastAsia="Times New Roman"/>
          <w:color w:val="000000"/>
          <w:spacing w:val="0"/>
          <w:w w:val="100"/>
          <w:sz w:val="20"/>
          <w:vertAlign w:val="baseline"/>
          <w:lang w:val="en-US"/>
        </w:rPr>
        <w:t xml:space="preserve">enactment.</w:t>
      </w:r>
    </w:p>
    <w:p>
      <w:pPr>
        <w:tabs>
          <w:tab w:val="left" w:leader="none" w:pos="2304"/>
        </w:tabs>
        <w:spacing w:before="121" w:after="0" w:line="230" w:lineRule="exact"/>
        <w:ind w:right="72" w:left="2376" w:hanging="50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i w:val="true"/>
          <w:color w:val="000000"/>
          <w:spacing w:val="0"/>
          <w:w w:val="100"/>
          <w:sz w:val="21"/>
          <w:vertAlign w:val="baseline"/>
          <w:lang w:val="en-US"/>
        </w:rPr>
        <w:t xml:space="preserve">Activity ancillary to a historical activity</w:t>
      </w:r>
      <w:r>
        <w:rPr>
          <w:rFonts w:ascii="Times New Roman" w:hAnsi="Times New Roman" w:eastAsia="Times New Roman"/>
          <w:color w:val="000000"/>
          <w:spacing w:val="0"/>
          <w:w w:val="100"/>
          <w:sz w:val="20"/>
          <w:vertAlign w:val="baseline"/>
          <w:lang w:val="en-US"/>
        </w:rPr>
        <w:t xml:space="preserve">: restoring, maintaining, modifying, servicing, repairing or housing a boiler used, or to be used, for a historical activity.</w:t>
      </w:r>
    </w:p>
    <w:p>
      <w:pPr>
        <w:spacing w:before="1" w:after="0" w:line="394" w:lineRule="exact"/>
        <w:ind w:right="180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high risk construction work</w:t>
      </w:r>
      <w:r>
        <w:rPr>
          <w:rFonts w:ascii="Times New Roman" w:hAnsi="Times New Roman" w:eastAsia="Times New Roman"/>
          <w:color w:val="000000"/>
          <w:spacing w:val="0"/>
          <w:w w:val="100"/>
          <w:sz w:val="24"/>
          <w:vertAlign w:val="baseline"/>
          <w:lang w:val="en-US"/>
        </w:rPr>
        <w:t xml:space="preserve">—see regulation 291. </w:t>
      </w:r>
      <w:r>
        <w:rPr>
          <w:rFonts w:ascii="Times New Roman" w:hAnsi="Times New Roman" w:eastAsia="Times New Roman"/>
          <w:b w:val="true"/>
          <w:i w:val="true"/>
          <w:color w:val="000000"/>
          <w:spacing w:val="0"/>
          <w:w w:val="100"/>
          <w:sz w:val="24"/>
          <w:vertAlign w:val="baseline"/>
          <w:lang w:val="en-US"/>
        </w:rPr>
        <w:t xml:space="preserve">high risk diving work </w:t>
      </w:r>
      <w:r>
        <w:rPr>
          <w:rFonts w:ascii="Times New Roman" w:hAnsi="Times New Roman" w:eastAsia="Times New Roman"/>
          <w:color w:val="000000"/>
          <w:spacing w:val="0"/>
          <w:w w:val="100"/>
          <w:sz w:val="24"/>
          <w:vertAlign w:val="baseline"/>
          <w:lang w:val="en-US"/>
        </w:rPr>
        <w:t xml:space="preserve">means work:</w:t>
      </w:r>
    </w:p>
    <w:p>
      <w:pPr>
        <w:numPr>
          <w:ilvl w:val="0"/>
          <w:numId w:val="41"/>
        </w:numPr>
        <w:tabs>
          <w:tab w:val="clear" w:pos="360"/>
          <w:tab w:val="left" w:pos="2376"/>
        </w:tabs>
        <w:spacing w:before="122" w:after="0" w:line="274" w:lineRule="exact"/>
        <w:ind w:right="43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carried out in or under water or any other liquid while breathing compressed gas; and</w:t>
      </w:r>
    </w:p>
    <w:p>
      <w:pPr>
        <w:numPr>
          <w:ilvl w:val="0"/>
          <w:numId w:val="41"/>
        </w:numPr>
        <w:tabs>
          <w:tab w:val="clear" w:pos="360"/>
          <w:tab w:val="left" w:pos="2376"/>
        </w:tabs>
        <w:spacing w:before="126" w:after="0" w:line="272"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involving 1 or more of the following:</w:t>
      </w:r>
    </w:p>
    <w:p>
      <w:pPr>
        <w:spacing w:before="24" w:after="0" w:line="360" w:lineRule="exact"/>
        <w:ind w:right="0" w:left="295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 construction work;</w:t>
        <w:br/>
      </w:r>
      <w:r>
        <w:rPr>
          <w:rFonts w:ascii="Times New Roman" w:hAnsi="Times New Roman" w:eastAsia="Times New Roman"/>
          <w:b w:val="true"/>
          <w:color w:val="000000"/>
          <w:spacing w:val="0"/>
          <w:w w:val="100"/>
          <w:sz w:val="20"/>
          <w:vertAlign w:val="baseline"/>
          <w:lang w:val="en-US"/>
        </w:rPr>
        <w:t xml:space="preserve">Notes</w:t>
      </w:r>
    </w:p>
    <w:p>
      <w:pPr>
        <w:tabs>
          <w:tab w:val="left" w:leader="none" w:pos="3384"/>
        </w:tabs>
        <w:spacing w:before="120" w:after="0" w:line="231" w:lineRule="exact"/>
        <w:ind w:right="72" w:left="3312" w:hanging="36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Subparagraph (ii) includes some additional construction-related activities.</w:t>
      </w:r>
    </w:p>
    <w:p>
      <w:pPr>
        <w:tabs>
          <w:tab w:val="left" w:leader="none" w:pos="3384"/>
        </w:tabs>
        <w:spacing w:before="124" w:after="0" w:line="231" w:lineRule="exact"/>
        <w:ind w:right="144" w:left="3312" w:hanging="36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For construction work generally, see Chapter 6. For the meaning of </w:t>
      </w:r>
      <w:r>
        <w:rPr>
          <w:rFonts w:ascii="Times New Roman" w:hAnsi="Times New Roman" w:eastAsia="Times New Roman"/>
          <w:i w:val="true"/>
          <w:color w:val="000000"/>
          <w:spacing w:val="0"/>
          <w:w w:val="100"/>
          <w:sz w:val="21"/>
          <w:vertAlign w:val="baseline"/>
          <w:lang w:val="en-US"/>
        </w:rPr>
        <w:t xml:space="preserve">construction work</w:t>
      </w:r>
      <w:r>
        <w:rPr>
          <w:rFonts w:ascii="Times New Roman" w:hAnsi="Times New Roman" w:eastAsia="Times New Roman"/>
          <w:color w:val="000000"/>
          <w:spacing w:val="0"/>
          <w:w w:val="100"/>
          <w:sz w:val="20"/>
          <w:vertAlign w:val="baseline"/>
          <w:lang w:val="en-US"/>
        </w:rPr>
        <w:t xml:space="preserve">, see regulation 289.</w:t>
      </w:r>
    </w:p>
    <w:p>
      <w:pPr>
        <w:spacing w:before="116" w:after="0" w:line="272" w:lineRule="exact"/>
        <w:ind w:right="108" w:left="0" w:firstLine="0"/>
        <w:jc w:val="righ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(ii) work of the kind described in regulation 289(3)(d);</w:t>
      </w:r>
    </w:p>
    <w:p>
      <w:pPr>
        <w:spacing w:before="122" w:after="711" w:line="276" w:lineRule="exact"/>
        <w:ind w:right="288" w:left="2952" w:hanging="576"/>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(iii) inspection work carried out in order to determine whether or not work described in subparagraph (i) or (ii) is necessary;</w:t>
      </w:r>
    </w:p>
    <w:p>
      <w:pPr>
        <w:spacing w:before="122" w:after="711" w:line="276"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17</w:t>
      </w:r>
    </w:p>
    <w:p>
      <w:pPr>
        <w:sectPr>
          <w:type w:val="continuous"/>
          <w:pgSz w:w="11909" w:h="16838" w:orient="portrait"/>
          <w:pgMar w:bottom="1082" w:top="1140" w:right="5853" w:left="1976"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	</w:t>
      </w:r>
      <w:r>
        <w:rPr>
          <w:rFonts w:ascii="Times New Roman" w:hAnsi="Times New Roman" w:eastAsia="Times New Roman"/>
          <w:color w:val="000000"/>
          <w:spacing w:val="0"/>
          <w:w w:val="100"/>
          <w:sz w:val="20"/>
          <w:vertAlign w:val="baseline"/>
          <w:lang w:val="en-US"/>
        </w:rPr>
        <w:t xml:space="preserve">Introductory Matters</w:t>
      </w:r>
    </w:p>
    <w:p>
      <w:pPr>
        <w:spacing w:before="244" w:after="0" w:line="279" w:lineRule="exact"/>
        <w:ind w:right="144" w:left="2880" w:hanging="504"/>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(iv) the recovery or salvage of a large structure or large item of plant for commercial purposes,</w:t>
      </w:r>
    </w:p>
    <w:p>
      <w:pPr>
        <w:spacing w:before="117" w:after="0" w:line="276" w:lineRule="exact"/>
        <w:ind w:right="288" w:left="1872"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but does not include minor work carried out in the sea or the waters of a bay or inlet or a marina that involves cleaning, inspecting, maintaining or searching for a vessel or mooring.</w:t>
      </w:r>
    </w:p>
    <w:p>
      <w:pPr>
        <w:spacing w:before="127" w:after="0" w:line="273"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high risk work </w:t>
      </w:r>
      <w:r>
        <w:rPr>
          <w:rFonts w:ascii="Times New Roman" w:hAnsi="Times New Roman" w:eastAsia="Times New Roman"/>
          <w:color w:val="000000"/>
          <w:spacing w:val="0"/>
          <w:w w:val="100"/>
          <w:sz w:val="24"/>
          <w:vertAlign w:val="baseline"/>
          <w:lang w:val="en-US"/>
        </w:rPr>
        <w:t xml:space="preserve">means any work set out in Schedule 3 as being</w:t>
      </w:r>
    </w:p>
    <w:p>
      <w:pPr>
        <w:spacing w:before="0"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within the scope of a high risk work licence.</w:t>
      </w:r>
    </w:p>
    <w:p>
      <w:pPr>
        <w:spacing w:before="126" w:after="0" w:line="273" w:lineRule="exact"/>
        <w:ind w:right="72"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high risk work licence </w:t>
      </w:r>
      <w:r>
        <w:rPr>
          <w:rFonts w:ascii="Times New Roman" w:hAnsi="Times New Roman" w:eastAsia="Times New Roman"/>
          <w:color w:val="000000"/>
          <w:spacing w:val="0"/>
          <w:w w:val="100"/>
          <w:sz w:val="24"/>
          <w:vertAlign w:val="baseline"/>
          <w:lang w:val="en-US"/>
        </w:rPr>
        <w:t xml:space="preserve">means any of the licences listed in Schedule 3.</w:t>
      </w:r>
    </w:p>
    <w:p>
      <w:pPr>
        <w:spacing w:before="128" w:after="0" w:line="274" w:lineRule="exact"/>
        <w:ind w:right="144"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hoist </w:t>
      </w:r>
      <w:r>
        <w:rPr>
          <w:rFonts w:ascii="Times New Roman" w:hAnsi="Times New Roman" w:eastAsia="Times New Roman"/>
          <w:color w:val="000000"/>
          <w:spacing w:val="0"/>
          <w:w w:val="100"/>
          <w:sz w:val="24"/>
          <w:vertAlign w:val="baseline"/>
          <w:lang w:val="en-US"/>
        </w:rPr>
        <w:t xml:space="preserve">means an appliance intended for raising or lowering a load or people, and includes an elevating work platform, a mast climbing work platform, personnel and materials hoist, scaffolding hoist and serial hoist, but does not include a lift or building maintenance equipment.</w:t>
      </w:r>
    </w:p>
    <w:p>
      <w:pPr>
        <w:spacing w:before="124" w:after="0" w:line="274" w:lineRule="exact"/>
        <w:ind w:right="720"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ignition source </w:t>
      </w:r>
      <w:r>
        <w:rPr>
          <w:rFonts w:ascii="Times New Roman" w:hAnsi="Times New Roman" w:eastAsia="Times New Roman"/>
          <w:color w:val="000000"/>
          <w:spacing w:val="0"/>
          <w:w w:val="100"/>
          <w:sz w:val="24"/>
          <w:vertAlign w:val="baseline"/>
          <w:lang w:val="en-US"/>
        </w:rPr>
        <w:t xml:space="preserve">means a source of energy capable of igniting flammable or combustible substances.</w:t>
      </w:r>
    </w:p>
    <w:p>
      <w:pPr>
        <w:spacing w:before="124" w:after="0" w:line="274" w:lineRule="exact"/>
        <w:ind w:right="504"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importer</w:t>
      </w:r>
      <w:r>
        <w:rPr>
          <w:rFonts w:ascii="Times New Roman" w:hAnsi="Times New Roman" w:eastAsia="Times New Roman"/>
          <w:color w:val="000000"/>
          <w:spacing w:val="0"/>
          <w:w w:val="100"/>
          <w:sz w:val="24"/>
          <w:vertAlign w:val="baseline"/>
          <w:lang w:val="en-US"/>
        </w:rPr>
        <w:t xml:space="preserve">, in relation to plant, a substance or a structure, has the same meaning as it has in section 24 of the Act.</w:t>
      </w:r>
    </w:p>
    <w:p>
      <w:pPr>
        <w:spacing w:before="126" w:after="0" w:line="273"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incidental diving work </w:t>
      </w:r>
      <w:r>
        <w:rPr>
          <w:rFonts w:ascii="Times New Roman" w:hAnsi="Times New Roman" w:eastAsia="Times New Roman"/>
          <w:color w:val="000000"/>
          <w:spacing w:val="0"/>
          <w:w w:val="100"/>
          <w:sz w:val="24"/>
          <w:vertAlign w:val="baseline"/>
          <w:lang w:val="en-US"/>
        </w:rPr>
        <w:t xml:space="preserve">means general diving work that:</w:t>
      </w:r>
    </w:p>
    <w:p>
      <w:pPr>
        <w:numPr>
          <w:ilvl w:val="0"/>
          <w:numId w:val="42"/>
        </w:numPr>
        <w:tabs>
          <w:tab w:val="clear" w:pos="360"/>
          <w:tab w:val="left" w:pos="2376"/>
        </w:tabs>
        <w:spacing w:before="115" w:after="0" w:line="278" w:lineRule="exact"/>
        <w:ind w:right="7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incidental to the conduct of the business or undertaking in which the diving work is carried out; and</w:t>
      </w:r>
    </w:p>
    <w:p>
      <w:pPr>
        <w:spacing w:before="125" w:after="0" w:line="226" w:lineRule="exact"/>
        <w:ind w:right="0" w:left="2376"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Example</w:t>
      </w:r>
    </w:p>
    <w:p>
      <w:pPr>
        <w:spacing w:before="125" w:after="0" w:line="230" w:lineRule="exact"/>
        <w:ind w:right="360" w:left="237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Acting underwater is incidental to the business or undertaking of filming.</w:t>
      </w:r>
    </w:p>
    <w:p>
      <w:pPr>
        <w:numPr>
          <w:ilvl w:val="0"/>
          <w:numId w:val="42"/>
        </w:numPr>
        <w:tabs>
          <w:tab w:val="clear" w:pos="360"/>
          <w:tab w:val="left" w:pos="2376"/>
        </w:tabs>
        <w:spacing w:before="117" w:after="0" w:line="272"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involves limited diving.</w:t>
      </w:r>
    </w:p>
    <w:p>
      <w:pPr>
        <w:spacing w:before="126" w:after="0" w:line="273" w:lineRule="exact"/>
        <w:ind w:right="72"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independent</w:t>
      </w:r>
      <w:r>
        <w:rPr>
          <w:rFonts w:ascii="Times New Roman" w:hAnsi="Times New Roman" w:eastAsia="Times New Roman"/>
          <w:color w:val="000000"/>
          <w:spacing w:val="0"/>
          <w:w w:val="100"/>
          <w:sz w:val="24"/>
          <w:vertAlign w:val="baseline"/>
          <w:lang w:val="en-US"/>
        </w:rPr>
        <w:t xml:space="preserve">, in relation to clearance inspections and air monitoring under Chapter 8, means:</w:t>
      </w:r>
    </w:p>
    <w:p>
      <w:pPr>
        <w:numPr>
          <w:ilvl w:val="0"/>
          <w:numId w:val="43"/>
        </w:numPr>
        <w:tabs>
          <w:tab w:val="clear" w:pos="360"/>
          <w:tab w:val="left" w:pos="2376"/>
        </w:tabs>
        <w:spacing w:before="127" w:after="0" w:line="272"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not involved in the removal of the asbestos; and</w:t>
      </w:r>
    </w:p>
    <w:p>
      <w:pPr>
        <w:numPr>
          <w:ilvl w:val="0"/>
          <w:numId w:val="43"/>
        </w:numPr>
        <w:tabs>
          <w:tab w:val="clear" w:pos="360"/>
          <w:tab w:val="left" w:pos="2376"/>
        </w:tabs>
        <w:spacing w:before="114" w:after="0" w:line="279" w:lineRule="exact"/>
        <w:ind w:right="7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not involved in a business or undertaking involved in the removal of the asbestos,</w:t>
      </w:r>
    </w:p>
    <w:p>
      <w:pPr>
        <w:spacing w:before="121"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relation to which the inspection or monitoring is conducted.</w:t>
      </w:r>
    </w:p>
    <w:p>
      <w:pPr>
        <w:spacing w:before="123" w:after="1109" w:line="276" w:lineRule="exact"/>
        <w:ind w:right="72" w:left="1872" w:hanging="504"/>
        <w:jc w:val="left"/>
        <w:textAlignment w:val="baseline"/>
        <w:rPr>
          <w:rFonts w:ascii="Times New Roman" w:hAnsi="Times New Roman" w:eastAsia="Times New Roman"/>
          <w:b w:val="true"/>
          <w:i w:val="true"/>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b w:val="true"/>
          <w:i w:val="true"/>
          <w:color w:val="000000"/>
          <w:spacing w:val="0"/>
          <w:w w:val="100"/>
          <w:sz w:val="24"/>
          <w:vertAlign w:val="baseline"/>
          <w:lang w:val="en-US"/>
        </w:rPr>
        <w:t xml:space="preserve">industrial lift truck </w:t>
      </w:r>
      <w:r>
        <w:rPr>
          <w:rFonts w:ascii="Times New Roman" w:hAnsi="Times New Roman" w:eastAsia="Times New Roman"/>
          <w:color w:val="000000"/>
          <w:spacing w:val="0"/>
          <w:w w:val="100"/>
          <w:sz w:val="24"/>
          <w:vertAlign w:val="baseline"/>
          <w:lang w:val="en-US"/>
        </w:rPr>
        <w:t xml:space="preserve">means powered mobile plant, designed to move goods, materials or equipment that is equipped with an elevating load carriage and is in the normal course of use equipped with a load-holding attachment, but does not include a mobile crane or earthmoving machinery.</w:t>
      </w:r>
    </w:p>
    <w:p>
      <w:pPr>
        <w:spacing w:before="123" w:after="1109" w:line="276"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18</w:t>
      </w:r>
    </w:p>
    <w:p>
      <w:pPr>
        <w:sectPr>
          <w:type w:val="continuous"/>
          <w:pgSz w:w="11909" w:h="16838" w:orient="portrait"/>
          <w:pgMar w:bottom="1082" w:top="1140" w:right="5856" w:left="1973"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	</w:t>
      </w:r>
      <w:r>
        <w:rPr>
          <w:rFonts w:ascii="Times New Roman" w:hAnsi="Times New Roman" w:eastAsia="Times New Roman"/>
          <w:color w:val="000000"/>
          <w:spacing w:val="0"/>
          <w:w w:val="100"/>
          <w:sz w:val="20"/>
          <w:vertAlign w:val="baseline"/>
          <w:lang w:val="en-US"/>
        </w:rPr>
        <w:t xml:space="preserve">Introductory Matters</w:t>
      </w:r>
    </w:p>
    <w:p>
      <w:pPr>
        <w:spacing w:before="246" w:after="0" w:line="277" w:lineRule="exact"/>
        <w:ind w:right="288" w:left="1872" w:hanging="504"/>
        <w:jc w:val="left"/>
        <w:textAlignment w:val="baseline"/>
        <w:rPr>
          <w:rFonts w:ascii="Times New Roman" w:hAnsi="Times New Roman" w:eastAsia="Times New Roman"/>
          <w:b w:val="true"/>
          <w:i w:val="true"/>
          <w:color w:val="000000"/>
          <w:spacing w:val="-1"/>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i w:val="true"/>
          <w:color w:val="000000"/>
          <w:spacing w:val="-1"/>
          <w:w w:val="100"/>
          <w:sz w:val="24"/>
          <w:vertAlign w:val="baseline"/>
          <w:lang w:val="en-US"/>
        </w:rPr>
        <w:t xml:space="preserve">industrial robot </w:t>
      </w:r>
      <w:r>
        <w:rPr>
          <w:rFonts w:ascii="Times New Roman" w:hAnsi="Times New Roman" w:eastAsia="Times New Roman"/>
          <w:color w:val="000000"/>
          <w:spacing w:val="-1"/>
          <w:w w:val="100"/>
          <w:sz w:val="24"/>
          <w:vertAlign w:val="baseline"/>
          <w:lang w:val="en-US"/>
        </w:rPr>
        <w:t xml:space="preserve">means plant that is a multifunctional manipulator and its controllers, capable of handling materials, parts or tools, or specialised devices, through variable programmed motions for the performance of a variety of tasks.</w:t>
      </w:r>
    </w:p>
    <w:p>
      <w:pPr>
        <w:spacing w:before="114" w:after="0" w:line="279" w:lineRule="exact"/>
        <w:ind w:right="360" w:left="1872" w:hanging="504"/>
        <w:jc w:val="left"/>
        <w:textAlignment w:val="baseline"/>
        <w:rPr>
          <w:rFonts w:ascii="Times New Roman" w:hAnsi="Times New Roman" w:eastAsia="Times New Roman"/>
          <w:b w:val="true"/>
          <w:i w:val="true"/>
          <w:color w:val="000000"/>
          <w:spacing w:val="-1"/>
          <w:w w:val="100"/>
          <w:sz w:val="24"/>
          <w:vertAlign w:val="baseline"/>
          <w:lang w:val="en-US"/>
        </w:rPr>
      </w:pPr>
      <w:r>
        <w:rPr>
          <w:rFonts w:ascii="Times New Roman" w:hAnsi="Times New Roman" w:eastAsia="Times New Roman"/>
          <w:b w:val="true"/>
          <w:i w:val="true"/>
          <w:color w:val="000000"/>
          <w:spacing w:val="-1"/>
          <w:w w:val="100"/>
          <w:sz w:val="24"/>
          <w:vertAlign w:val="baseline"/>
          <w:lang w:val="en-US"/>
        </w:rPr>
        <w:t xml:space="preserve">inflatable device (continuously blown) </w:t>
      </w:r>
      <w:r>
        <w:rPr>
          <w:rFonts w:ascii="Times New Roman" w:hAnsi="Times New Roman" w:eastAsia="Times New Roman"/>
          <w:color w:val="000000"/>
          <w:spacing w:val="-1"/>
          <w:w w:val="100"/>
          <w:sz w:val="24"/>
          <w:vertAlign w:val="baseline"/>
          <w:lang w:val="en-US"/>
        </w:rPr>
        <w:t xml:space="preserve">means an amusement device that is an inflatable device that relies on a continuous</w:t>
      </w:r>
    </w:p>
    <w:p>
      <w:pPr>
        <w:spacing w:before="1"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supply of air pressure to maintain its shape.</w:t>
      </w:r>
    </w:p>
    <w:p>
      <w:pPr>
        <w:spacing w:before="123" w:after="0" w:line="276" w:lineRule="exact"/>
        <w:ind w:right="360"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in situ asbestos </w:t>
      </w:r>
      <w:r>
        <w:rPr>
          <w:rFonts w:ascii="Times New Roman" w:hAnsi="Times New Roman" w:eastAsia="Times New Roman"/>
          <w:color w:val="000000"/>
          <w:spacing w:val="0"/>
          <w:w w:val="100"/>
          <w:sz w:val="24"/>
          <w:vertAlign w:val="baseline"/>
          <w:lang w:val="en-US"/>
        </w:rPr>
        <w:t xml:space="preserve">means asbestos or ACM fixed or installed in a structure, equipment or plant, but does not include naturally occurring asbestos.</w:t>
      </w:r>
    </w:p>
    <w:p>
      <w:pPr>
        <w:spacing w:before="114" w:after="0" w:line="279" w:lineRule="exact"/>
        <w:ind w:right="360" w:left="1872" w:hanging="504"/>
        <w:jc w:val="both"/>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intermediate bulk container (IBC) </w:t>
      </w:r>
      <w:r>
        <w:rPr>
          <w:rFonts w:ascii="Times New Roman" w:hAnsi="Times New Roman" w:eastAsia="Times New Roman"/>
          <w:color w:val="000000"/>
          <w:spacing w:val="0"/>
          <w:w w:val="100"/>
          <w:sz w:val="24"/>
          <w:vertAlign w:val="baseline"/>
          <w:lang w:val="en-US"/>
        </w:rPr>
        <w:t xml:space="preserve">has the same meaning as IBC has in the ADG Code.</w:t>
      </w:r>
    </w:p>
    <w:p>
      <w:pPr>
        <w:spacing w:before="0" w:after="0" w:line="393" w:lineRule="exact"/>
        <w:ind w:right="0" w:left="0" w:firstLine="0"/>
        <w:jc w:val="center"/>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internal review </w:t>
      </w:r>
      <w:r>
        <w:rPr>
          <w:rFonts w:ascii="Times New Roman" w:hAnsi="Times New Roman" w:eastAsia="Times New Roman"/>
          <w:color w:val="000000"/>
          <w:spacing w:val="0"/>
          <w:w w:val="100"/>
          <w:sz w:val="24"/>
          <w:vertAlign w:val="baseline"/>
          <w:lang w:val="en-US"/>
        </w:rPr>
        <w:t xml:space="preserve">means internal review under Part 11.1.</w:t>
        <w:br/>
      </w:r>
      <w:r>
        <w:rPr>
          <w:rFonts w:ascii="Times New Roman" w:hAnsi="Times New Roman" w:eastAsia="Times New Roman"/>
          <w:b w:val="true"/>
          <w:i w:val="true"/>
          <w:color w:val="000000"/>
          <w:spacing w:val="0"/>
          <w:w w:val="100"/>
          <w:sz w:val="24"/>
          <w:vertAlign w:val="baseline"/>
          <w:lang w:val="en-US"/>
        </w:rPr>
        <w:t xml:space="preserve">in transit</w:t>
      </w:r>
      <w:r>
        <w:rPr>
          <w:rFonts w:ascii="Times New Roman" w:hAnsi="Times New Roman" w:eastAsia="Times New Roman"/>
          <w:color w:val="000000"/>
          <w:spacing w:val="0"/>
          <w:w w:val="100"/>
          <w:sz w:val="24"/>
          <w:vertAlign w:val="baseline"/>
          <w:lang w:val="en-US"/>
        </w:rPr>
        <w:t xml:space="preserve">, in relation to a thing, means that the thing:</w:t>
      </w:r>
    </w:p>
    <w:p>
      <w:pPr>
        <w:numPr>
          <w:ilvl w:val="0"/>
          <w:numId w:val="44"/>
        </w:numPr>
        <w:tabs>
          <w:tab w:val="clear" w:pos="360"/>
          <w:tab w:val="left" w:pos="2376"/>
        </w:tabs>
        <w:spacing w:before="124" w:after="0" w:line="274" w:lineRule="exact"/>
        <w:ind w:right="7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supplied to, or stored at, a workplace in containers that are not opened at the workplace; and</w:t>
      </w:r>
    </w:p>
    <w:p>
      <w:pPr>
        <w:numPr>
          <w:ilvl w:val="0"/>
          <w:numId w:val="44"/>
        </w:numPr>
        <w:tabs>
          <w:tab w:val="clear" w:pos="360"/>
          <w:tab w:val="left" w:pos="2376"/>
        </w:tabs>
        <w:spacing w:before="126" w:after="0" w:line="272"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not used at the workplace; and</w:t>
      </w:r>
    </w:p>
    <w:p>
      <w:pPr>
        <w:numPr>
          <w:ilvl w:val="0"/>
          <w:numId w:val="44"/>
        </w:numPr>
        <w:tabs>
          <w:tab w:val="clear" w:pos="360"/>
          <w:tab w:val="left" w:pos="2376"/>
        </w:tabs>
        <w:spacing w:before="116" w:after="0" w:line="278" w:lineRule="exact"/>
        <w:ind w:right="216"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kept at the workplace for not more than 5 consecutive days.</w:t>
      </w:r>
    </w:p>
    <w:p>
      <w:pPr>
        <w:spacing w:before="116" w:after="0" w:line="278" w:lineRule="exact"/>
        <w:ind w:right="288"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lead </w:t>
      </w:r>
      <w:r>
        <w:rPr>
          <w:rFonts w:ascii="Times New Roman" w:hAnsi="Times New Roman" w:eastAsia="Times New Roman"/>
          <w:color w:val="000000"/>
          <w:spacing w:val="0"/>
          <w:w w:val="100"/>
          <w:sz w:val="24"/>
          <w:vertAlign w:val="baseline"/>
          <w:lang w:val="en-US"/>
        </w:rPr>
        <w:t xml:space="preserve">means lead metal, lead alloys, inorganic lead compounds and lead salts of organic acids.</w:t>
      </w:r>
    </w:p>
    <w:p>
      <w:pPr>
        <w:spacing w:before="122" w:after="0" w:line="272"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lead process</w:t>
      </w:r>
      <w:r>
        <w:rPr>
          <w:rFonts w:ascii="Times New Roman" w:hAnsi="Times New Roman" w:eastAsia="Times New Roman"/>
          <w:color w:val="000000"/>
          <w:spacing w:val="0"/>
          <w:w w:val="100"/>
          <w:sz w:val="24"/>
          <w:vertAlign w:val="baseline"/>
          <w:lang w:val="en-US"/>
        </w:rPr>
        <w:t xml:space="preserve">—see regulation 392.</w:t>
      </w:r>
    </w:p>
    <w:p>
      <w:pPr>
        <w:spacing w:before="124" w:after="0" w:line="274" w:lineRule="exact"/>
        <w:ind w:right="216" w:left="1872" w:hanging="504"/>
        <w:jc w:val="both"/>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lead process area </w:t>
      </w:r>
      <w:r>
        <w:rPr>
          <w:rFonts w:ascii="Times New Roman" w:hAnsi="Times New Roman" w:eastAsia="Times New Roman"/>
          <w:color w:val="000000"/>
          <w:spacing w:val="0"/>
          <w:w w:val="100"/>
          <w:sz w:val="24"/>
          <w:vertAlign w:val="baseline"/>
          <w:lang w:val="en-US"/>
        </w:rPr>
        <w:t xml:space="preserve">means a workplace or part of a workplace where a lead process is carried out.</w:t>
      </w:r>
    </w:p>
    <w:p>
      <w:pPr>
        <w:spacing w:before="4" w:after="0" w:line="394"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lead risk work</w:t>
      </w:r>
      <w:r>
        <w:rPr>
          <w:rFonts w:ascii="Times New Roman" w:hAnsi="Times New Roman" w:eastAsia="Times New Roman"/>
          <w:color w:val="000000"/>
          <w:spacing w:val="0"/>
          <w:w w:val="100"/>
          <w:sz w:val="24"/>
          <w:vertAlign w:val="baseline"/>
          <w:lang w:val="en-US"/>
        </w:rPr>
        <w:t xml:space="preserve">—see regulation 394.</w:t>
        <w:br/>
      </w:r>
      <w:r>
        <w:rPr>
          <w:rFonts w:ascii="Times New Roman" w:hAnsi="Times New Roman" w:eastAsia="Times New Roman"/>
          <w:b w:val="true"/>
          <w:i w:val="true"/>
          <w:color w:val="000000"/>
          <w:spacing w:val="0"/>
          <w:w w:val="100"/>
          <w:sz w:val="24"/>
          <w:vertAlign w:val="baseline"/>
          <w:lang w:val="en-US"/>
        </w:rPr>
        <w:t xml:space="preserve">licence holder </w:t>
      </w:r>
      <w:r>
        <w:rPr>
          <w:rFonts w:ascii="Times New Roman" w:hAnsi="Times New Roman" w:eastAsia="Times New Roman"/>
          <w:color w:val="000000"/>
          <w:spacing w:val="0"/>
          <w:w w:val="100"/>
          <w:sz w:val="24"/>
          <w:vertAlign w:val="baseline"/>
          <w:lang w:val="en-US"/>
        </w:rPr>
        <w:t xml:space="preserve">means:</w:t>
      </w:r>
    </w:p>
    <w:p>
      <w:pPr>
        <w:numPr>
          <w:ilvl w:val="0"/>
          <w:numId w:val="45"/>
        </w:numPr>
        <w:tabs>
          <w:tab w:val="clear" w:pos="360"/>
          <w:tab w:val="left" w:pos="2376"/>
        </w:tabs>
        <w:spacing w:before="124" w:after="0" w:line="274" w:lineRule="exact"/>
        <w:ind w:right="288"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high risk work licence—the person who is licensed to carry out the work; or</w:t>
      </w:r>
    </w:p>
    <w:p>
      <w:pPr>
        <w:numPr>
          <w:ilvl w:val="0"/>
          <w:numId w:val="45"/>
        </w:numPr>
        <w:tabs>
          <w:tab w:val="clear" w:pos="360"/>
          <w:tab w:val="left" w:pos="2376"/>
        </w:tabs>
        <w:spacing w:before="124" w:after="0" w:line="274" w:lineRule="exact"/>
        <w:ind w:right="36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asbestos assessor licence—the person who is licensed:</w:t>
      </w:r>
    </w:p>
    <w:p>
      <w:pPr>
        <w:numPr>
          <w:ilvl w:val="0"/>
          <w:numId w:val="46"/>
        </w:numPr>
        <w:tabs>
          <w:tab w:val="clear" w:pos="504"/>
          <w:tab w:val="left" w:pos="2880"/>
        </w:tabs>
        <w:spacing w:before="124" w:after="0" w:line="274" w:lineRule="exact"/>
        <w:ind w:right="216" w:left="2880"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to carry out air monitoring during Class A asbestos removal work; and</w:t>
      </w:r>
    </w:p>
    <w:p>
      <w:pPr>
        <w:numPr>
          <w:ilvl w:val="0"/>
          <w:numId w:val="46"/>
        </w:numPr>
        <w:tabs>
          <w:tab w:val="clear" w:pos="504"/>
          <w:tab w:val="left" w:pos="2880"/>
        </w:tabs>
        <w:spacing w:before="124" w:after="0" w:line="274" w:lineRule="exact"/>
        <w:ind w:right="792" w:left="2880"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to carry out clearance inspections of Class A asbestos removal work; and</w:t>
      </w:r>
    </w:p>
    <w:p>
      <w:pPr>
        <w:numPr>
          <w:ilvl w:val="0"/>
          <w:numId w:val="46"/>
        </w:numPr>
        <w:tabs>
          <w:tab w:val="clear" w:pos="504"/>
          <w:tab w:val="left" w:pos="2880"/>
        </w:tabs>
        <w:spacing w:before="124" w:after="735" w:line="274" w:lineRule="exact"/>
        <w:ind w:right="216" w:left="2880" w:hanging="504"/>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to issue clearance certificates in relation to Class A asbestos removal work; or</w:t>
      </w:r>
    </w:p>
    <w:p>
      <w:pPr>
        <w:spacing w:before="124" w:after="735" w:line="274"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19</w:t>
      </w:r>
    </w:p>
    <w:p>
      <w:pPr>
        <w:sectPr>
          <w:type w:val="continuous"/>
          <w:pgSz w:w="11909" w:h="16838" w:orient="portrait"/>
          <w:pgMar w:bottom="1082" w:top="1140" w:right="5853" w:left="1976"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	</w:t>
      </w:r>
      <w:r>
        <w:rPr>
          <w:rFonts w:ascii="Times New Roman" w:hAnsi="Times New Roman" w:eastAsia="Times New Roman"/>
          <w:color w:val="000000"/>
          <w:spacing w:val="0"/>
          <w:w w:val="100"/>
          <w:sz w:val="20"/>
          <w:vertAlign w:val="baseline"/>
          <w:lang w:val="en-US"/>
        </w:rPr>
        <w:t xml:space="preserve">Introductory Matters</w:t>
      </w:r>
    </w:p>
    <w:p>
      <w:pPr>
        <w:numPr>
          <w:ilvl w:val="0"/>
          <w:numId w:val="47"/>
        </w:numPr>
        <w:tabs>
          <w:tab w:val="clear" w:pos="288"/>
          <w:tab w:val="left" w:pos="2376"/>
        </w:tabs>
        <w:spacing w:before="248" w:after="0" w:line="276" w:lineRule="exact"/>
        <w:ind w:right="360" w:left="2376" w:hanging="288"/>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an asbestos removal licence—the person conducting the business or undertaking to whom the licence is granted; or</w:t>
      </w:r>
    </w:p>
    <w:p>
      <w:pPr>
        <w:numPr>
          <w:ilvl w:val="0"/>
          <w:numId w:val="47"/>
        </w:numPr>
        <w:tabs>
          <w:tab w:val="clear" w:pos="288"/>
          <w:tab w:val="left" w:pos="2376"/>
        </w:tabs>
        <w:spacing w:before="123" w:after="0" w:line="276" w:lineRule="exact"/>
        <w:ind w:right="144"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major hazard facility licence—the operator of the major hazard facility to whom the licence is granted or transferred.</w:t>
      </w:r>
    </w:p>
    <w:p>
      <w:pPr>
        <w:spacing w:before="114" w:after="0" w:line="279" w:lineRule="exact"/>
        <w:ind w:right="360"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licensed asbestos assessor </w:t>
      </w:r>
      <w:r>
        <w:rPr>
          <w:rFonts w:ascii="Times New Roman" w:hAnsi="Times New Roman" w:eastAsia="Times New Roman"/>
          <w:color w:val="000000"/>
          <w:spacing w:val="0"/>
          <w:w w:val="100"/>
          <w:sz w:val="24"/>
          <w:vertAlign w:val="baseline"/>
          <w:lang w:val="en-US"/>
        </w:rPr>
        <w:t xml:space="preserve">means a person who holds an asbestos assessor licence.</w:t>
      </w:r>
    </w:p>
    <w:p>
      <w:pPr>
        <w:spacing w:before="116" w:after="0" w:line="277" w:lineRule="exact"/>
        <w:ind w:right="144"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licensed asbestos removalist </w:t>
      </w:r>
      <w:r>
        <w:rPr>
          <w:rFonts w:ascii="Times New Roman" w:hAnsi="Times New Roman" w:eastAsia="Times New Roman"/>
          <w:color w:val="000000"/>
          <w:spacing w:val="0"/>
          <w:w w:val="100"/>
          <w:sz w:val="24"/>
          <w:vertAlign w:val="baseline"/>
          <w:lang w:val="en-US"/>
        </w:rPr>
        <w:t xml:space="preserve">means a person conducting a business or undertaking who is licensed under these Regulations to carry out Class A asbestos removal work or Class B asbestos removal work.</w:t>
      </w:r>
    </w:p>
    <w:p>
      <w:pPr>
        <w:spacing w:before="117" w:after="0" w:line="276" w:lineRule="exact"/>
        <w:ind w:right="144"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licensed asbestos removal work </w:t>
      </w:r>
      <w:r>
        <w:rPr>
          <w:rFonts w:ascii="Times New Roman" w:hAnsi="Times New Roman" w:eastAsia="Times New Roman"/>
          <w:color w:val="000000"/>
          <w:spacing w:val="0"/>
          <w:w w:val="100"/>
          <w:sz w:val="24"/>
          <w:vertAlign w:val="baseline"/>
          <w:lang w:val="en-US"/>
        </w:rPr>
        <w:t xml:space="preserve">means asbestos removal work for which a Class A asbestos removal licence or Class B asbestos removal licence is required.</w:t>
      </w:r>
    </w:p>
    <w:p>
      <w:pPr>
        <w:spacing w:before="116" w:after="0" w:line="278" w:lineRule="exact"/>
        <w:ind w:right="144"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licensed major hazard facility </w:t>
      </w:r>
      <w:r>
        <w:rPr>
          <w:rFonts w:ascii="Times New Roman" w:hAnsi="Times New Roman" w:eastAsia="Times New Roman"/>
          <w:color w:val="000000"/>
          <w:spacing w:val="0"/>
          <w:w w:val="100"/>
          <w:sz w:val="24"/>
          <w:vertAlign w:val="baseline"/>
          <w:lang w:val="en-US"/>
        </w:rPr>
        <w:t xml:space="preserve">means a major hazard facility that is licensed under Part 9.7.</w:t>
      </w:r>
    </w:p>
    <w:p>
      <w:pPr>
        <w:spacing w:before="118" w:after="0" w:line="276" w:lineRule="exact"/>
        <w:ind w:right="72"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lift </w:t>
      </w:r>
      <w:r>
        <w:rPr>
          <w:rFonts w:ascii="Times New Roman" w:hAnsi="Times New Roman" w:eastAsia="Times New Roman"/>
          <w:color w:val="000000"/>
          <w:spacing w:val="0"/>
          <w:w w:val="100"/>
          <w:sz w:val="24"/>
          <w:vertAlign w:val="baseline"/>
          <w:lang w:val="en-US"/>
        </w:rPr>
        <w:t xml:space="preserve">means plant that is, or is intended to be, permanently installed in or attached to a structure, in which people, goods or materials may be raised or lowered within a car or cage, or on a platform and the movement of which is restricted by a guide or guides, and includes:</w:t>
      </w:r>
    </w:p>
    <w:p>
      <w:pPr>
        <w:numPr>
          <w:ilvl w:val="0"/>
          <w:numId w:val="48"/>
        </w:numPr>
        <w:tabs>
          <w:tab w:val="clear" w:pos="288"/>
          <w:tab w:val="left" w:pos="2376"/>
        </w:tabs>
        <w:spacing w:before="125" w:after="0" w:line="273" w:lineRule="exact"/>
        <w:ind w:right="0"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chairlift and stairway lift; and</w:t>
      </w:r>
    </w:p>
    <w:p>
      <w:pPr>
        <w:numPr>
          <w:ilvl w:val="0"/>
          <w:numId w:val="48"/>
        </w:numPr>
        <w:tabs>
          <w:tab w:val="clear" w:pos="288"/>
          <w:tab w:val="left" w:pos="2376"/>
        </w:tabs>
        <w:spacing w:before="116" w:after="0" w:line="278" w:lineRule="exact"/>
        <w:ind w:right="72" w:left="2376"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supporting structure, machinery, equipment, gear, lift well, enclosures and entrances.</w:t>
      </w:r>
    </w:p>
    <w:p>
      <w:pPr>
        <w:spacing w:before="116" w:after="0" w:line="278" w:lineRule="exact"/>
        <w:ind w:right="792"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limited diving </w:t>
      </w:r>
      <w:r>
        <w:rPr>
          <w:rFonts w:ascii="Times New Roman" w:hAnsi="Times New Roman" w:eastAsia="Times New Roman"/>
          <w:color w:val="000000"/>
          <w:spacing w:val="0"/>
          <w:w w:val="100"/>
          <w:sz w:val="24"/>
          <w:vertAlign w:val="baseline"/>
          <w:lang w:val="en-US"/>
        </w:rPr>
        <w:t xml:space="preserve">means diving that does not involve any of the following:</w:t>
      </w:r>
    </w:p>
    <w:p>
      <w:pPr>
        <w:numPr>
          <w:ilvl w:val="0"/>
          <w:numId w:val="49"/>
        </w:numPr>
        <w:tabs>
          <w:tab w:val="clear" w:pos="288"/>
          <w:tab w:val="left" w:pos="2376"/>
        </w:tabs>
        <w:spacing w:before="121" w:after="0" w:line="273" w:lineRule="exact"/>
        <w:ind w:right="0"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diving to a depth below 30 metres;</w:t>
      </w:r>
    </w:p>
    <w:p>
      <w:pPr>
        <w:numPr>
          <w:ilvl w:val="0"/>
          <w:numId w:val="49"/>
        </w:numPr>
        <w:tabs>
          <w:tab w:val="clear" w:pos="288"/>
          <w:tab w:val="left" w:pos="2376"/>
        </w:tabs>
        <w:spacing w:before="125" w:after="0" w:line="273" w:lineRule="exact"/>
        <w:ind w:right="0"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need for a decompression stop;</w:t>
      </w:r>
    </w:p>
    <w:p>
      <w:pPr>
        <w:numPr>
          <w:ilvl w:val="0"/>
          <w:numId w:val="49"/>
        </w:numPr>
        <w:tabs>
          <w:tab w:val="clear" w:pos="288"/>
          <w:tab w:val="left" w:pos="2376"/>
        </w:tabs>
        <w:spacing w:before="116" w:after="0" w:line="278" w:lineRule="exact"/>
        <w:ind w:right="360"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use of mechanical lifting equipment or a buoyancy lifting device;</w:t>
      </w:r>
    </w:p>
    <w:p>
      <w:pPr>
        <w:numPr>
          <w:ilvl w:val="0"/>
          <w:numId w:val="49"/>
        </w:numPr>
        <w:tabs>
          <w:tab w:val="clear" w:pos="288"/>
          <w:tab w:val="left" w:pos="2376"/>
        </w:tabs>
        <w:spacing w:before="116" w:after="0" w:line="278" w:lineRule="exact"/>
        <w:ind w:right="288"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diving beneath anything that would require the diver to move sideways before being able to ascend;</w:t>
      </w:r>
    </w:p>
    <w:p>
      <w:pPr>
        <w:numPr>
          <w:ilvl w:val="0"/>
          <w:numId w:val="49"/>
        </w:numPr>
        <w:tabs>
          <w:tab w:val="clear" w:pos="288"/>
          <w:tab w:val="left" w:pos="2376"/>
        </w:tabs>
        <w:spacing w:before="121" w:after="0" w:line="273" w:lineRule="exact"/>
        <w:ind w:right="0"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use of plant that is powered from the surface;</w:t>
      </w:r>
    </w:p>
    <w:p>
      <w:pPr>
        <w:numPr>
          <w:ilvl w:val="0"/>
          <w:numId w:val="49"/>
        </w:numPr>
        <w:tabs>
          <w:tab w:val="clear" w:pos="288"/>
          <w:tab w:val="left" w:pos="2376"/>
        </w:tabs>
        <w:spacing w:before="124" w:after="1094" w:line="274" w:lineRule="exact"/>
        <w:ind w:right="864" w:left="2376" w:hanging="288"/>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diving for more than 28 days during a period of 6 months.</w:t>
      </w:r>
    </w:p>
    <w:p>
      <w:pPr>
        <w:spacing w:before="124" w:after="1094" w:line="274"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20</w:t>
      </w:r>
    </w:p>
    <w:p>
      <w:pPr>
        <w:sectPr>
          <w:type w:val="continuous"/>
          <w:pgSz w:w="11909" w:h="16838" w:orient="portrait"/>
          <w:pgMar w:bottom="1082" w:top="1140" w:right="5853" w:left="1976"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	</w:t>
      </w:r>
      <w:r>
        <w:rPr>
          <w:rFonts w:ascii="Times New Roman" w:hAnsi="Times New Roman" w:eastAsia="Times New Roman"/>
          <w:color w:val="000000"/>
          <w:spacing w:val="0"/>
          <w:w w:val="100"/>
          <w:sz w:val="20"/>
          <w:vertAlign w:val="baseline"/>
          <w:lang w:val="en-US"/>
        </w:rPr>
        <w:t xml:space="preserve">Introductory Matters</w:t>
      </w:r>
    </w:p>
    <w:p>
      <w:pPr>
        <w:spacing w:before="249" w:after="0" w:line="276"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i w:val="true"/>
          <w:color w:val="000000"/>
          <w:spacing w:val="0"/>
          <w:w w:val="100"/>
          <w:sz w:val="24"/>
          <w:vertAlign w:val="baseline"/>
          <w:lang w:val="en-US"/>
        </w:rPr>
        <w:t xml:space="preserve">limited scientific diving work </w:t>
      </w:r>
      <w:r>
        <w:rPr>
          <w:rFonts w:ascii="Times New Roman" w:hAnsi="Times New Roman" w:eastAsia="Times New Roman"/>
          <w:color w:val="000000"/>
          <w:spacing w:val="0"/>
          <w:w w:val="100"/>
          <w:sz w:val="24"/>
          <w:vertAlign w:val="baseline"/>
          <w:lang w:val="en-US"/>
        </w:rPr>
        <w:t xml:space="preserve">means general diving work that:</w:t>
      </w:r>
    </w:p>
    <w:p>
      <w:pPr>
        <w:numPr>
          <w:ilvl w:val="0"/>
          <w:numId w:val="50"/>
        </w:numPr>
        <w:tabs>
          <w:tab w:val="clear" w:pos="360"/>
          <w:tab w:val="left" w:pos="2376"/>
        </w:tabs>
        <w:spacing w:before="121" w:after="0" w:line="276" w:lineRule="exact"/>
        <w:ind w:right="36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carried out for the purpose of professional scientific research, natural resource management or scientific research as an educational activity; and</w:t>
      </w:r>
    </w:p>
    <w:p>
      <w:pPr>
        <w:numPr>
          <w:ilvl w:val="0"/>
          <w:numId w:val="50"/>
        </w:numPr>
        <w:tabs>
          <w:tab w:val="clear" w:pos="360"/>
          <w:tab w:val="left" w:pos="2376"/>
        </w:tabs>
        <w:spacing w:before="117" w:after="0" w:line="276"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involves only limited diving.</w:t>
      </w:r>
    </w:p>
    <w:p>
      <w:pPr>
        <w:spacing w:before="123" w:after="0" w:line="276" w:lineRule="exact"/>
        <w:ind w:right="360"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local authority</w:t>
      </w:r>
      <w:r>
        <w:rPr>
          <w:rFonts w:ascii="Times New Roman" w:hAnsi="Times New Roman" w:eastAsia="Times New Roman"/>
          <w:color w:val="000000"/>
          <w:spacing w:val="0"/>
          <w:w w:val="100"/>
          <w:sz w:val="24"/>
          <w:vertAlign w:val="baseline"/>
          <w:lang w:val="en-US"/>
        </w:rPr>
        <w:t xml:space="preserve">, in relation to a facility, means the local authority for the local authority area in which the facility and the surrounding area are located.</w:t>
      </w:r>
    </w:p>
    <w:p>
      <w:pPr>
        <w:spacing w:before="120" w:after="0" w:line="276" w:lineRule="exact"/>
        <w:ind w:right="288"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local community</w:t>
      </w:r>
      <w:r>
        <w:rPr>
          <w:rFonts w:ascii="Times New Roman" w:hAnsi="Times New Roman" w:eastAsia="Times New Roman"/>
          <w:color w:val="000000"/>
          <w:spacing w:val="0"/>
          <w:w w:val="100"/>
          <w:sz w:val="24"/>
          <w:vertAlign w:val="baseline"/>
          <w:lang w:val="en-US"/>
        </w:rPr>
        <w:t xml:space="preserve">, in relation to a major hazard facility, means the community in the surrounding area.</w:t>
      </w:r>
    </w:p>
    <w:p>
      <w:pPr>
        <w:spacing w:before="115" w:after="0" w:line="276" w:lineRule="exact"/>
        <w:ind w:right="144" w:left="1872" w:hanging="504"/>
        <w:jc w:val="both"/>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lower explosive limit (LEL)</w:t>
      </w:r>
      <w:r>
        <w:rPr>
          <w:rFonts w:ascii="Times New Roman" w:hAnsi="Times New Roman" w:eastAsia="Times New Roman"/>
          <w:color w:val="000000"/>
          <w:spacing w:val="0"/>
          <w:w w:val="100"/>
          <w:sz w:val="24"/>
          <w:vertAlign w:val="baseline"/>
          <w:lang w:val="en-US"/>
        </w:rPr>
        <w:t xml:space="preserve">, in relation to a flammable gas, vapour or mist, means the concentration of the gas, vapour or mist in air below which the propagation of a flame does not occur on contact with an ignition source.</w:t>
      </w:r>
    </w:p>
    <w:p>
      <w:pPr>
        <w:spacing w:before="120" w:after="0" w:line="276" w:lineRule="exact"/>
        <w:ind w:right="360" w:left="1872" w:hanging="504"/>
        <w:jc w:val="both"/>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maintain</w:t>
      </w:r>
      <w:r>
        <w:rPr>
          <w:rFonts w:ascii="Times New Roman" w:hAnsi="Times New Roman" w:eastAsia="Times New Roman"/>
          <w:color w:val="000000"/>
          <w:spacing w:val="0"/>
          <w:w w:val="100"/>
          <w:sz w:val="24"/>
          <w:vertAlign w:val="baseline"/>
          <w:lang w:val="en-US"/>
        </w:rPr>
        <w:t xml:space="preserve">, in relation to plant or a structure in Chapter 5, includes repair or servicing of plant or a structure.</w:t>
      </w:r>
    </w:p>
    <w:p>
      <w:pPr>
        <w:spacing w:before="124" w:after="0" w:line="276"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major hazard facility </w:t>
      </w:r>
      <w:r>
        <w:rPr>
          <w:rFonts w:ascii="Times New Roman" w:hAnsi="Times New Roman" w:eastAsia="Times New Roman"/>
          <w:color w:val="000000"/>
          <w:spacing w:val="0"/>
          <w:w w:val="100"/>
          <w:sz w:val="24"/>
          <w:vertAlign w:val="baseline"/>
          <w:lang w:val="en-US"/>
        </w:rPr>
        <w:t xml:space="preserve">means a facility:</w:t>
      </w:r>
    </w:p>
    <w:p>
      <w:pPr>
        <w:numPr>
          <w:ilvl w:val="0"/>
          <w:numId w:val="51"/>
        </w:numPr>
        <w:tabs>
          <w:tab w:val="clear" w:pos="360"/>
          <w:tab w:val="left" w:pos="2376"/>
        </w:tabs>
        <w:spacing w:before="116" w:after="0" w:line="276" w:lineRule="exact"/>
        <w:ind w:right="288"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at which Schedule 15 chemicals are present or likely to be present in a quantity that exceeds their threshold quantity; or</w:t>
      </w:r>
    </w:p>
    <w:p>
      <w:pPr>
        <w:numPr>
          <w:ilvl w:val="0"/>
          <w:numId w:val="51"/>
        </w:numPr>
        <w:tabs>
          <w:tab w:val="clear" w:pos="360"/>
          <w:tab w:val="left" w:pos="2376"/>
        </w:tabs>
        <w:spacing w:before="120" w:after="0" w:line="276" w:lineRule="exact"/>
        <w:ind w:right="14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is determined by the regulator under Part 9.2 to be a major hazard facility.</w:t>
      </w:r>
    </w:p>
    <w:p>
      <w:pPr>
        <w:spacing w:before="120" w:after="0" w:line="276" w:lineRule="exact"/>
        <w:ind w:right="360" w:left="1872" w:hanging="504"/>
        <w:jc w:val="both"/>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major hazard facility licence </w:t>
      </w:r>
      <w:r>
        <w:rPr>
          <w:rFonts w:ascii="Times New Roman" w:hAnsi="Times New Roman" w:eastAsia="Times New Roman"/>
          <w:color w:val="000000"/>
          <w:spacing w:val="0"/>
          <w:w w:val="100"/>
          <w:sz w:val="24"/>
          <w:vertAlign w:val="baseline"/>
          <w:lang w:val="en-US"/>
        </w:rPr>
        <w:t xml:space="preserve">means a licence granted under Part 9.7 in relation to a major hazard facility.</w:t>
      </w:r>
    </w:p>
    <w:p>
      <w:pPr>
        <w:spacing w:before="124" w:after="0" w:line="276"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major incident</w:t>
      </w:r>
      <w:r>
        <w:rPr>
          <w:rFonts w:ascii="Times New Roman" w:hAnsi="Times New Roman" w:eastAsia="Times New Roman"/>
          <w:color w:val="000000"/>
          <w:spacing w:val="0"/>
          <w:w w:val="100"/>
          <w:sz w:val="24"/>
          <w:vertAlign w:val="baseline"/>
          <w:lang w:val="en-US"/>
        </w:rPr>
        <w:t xml:space="preserve">—see regulation 531.</w:t>
      </w:r>
    </w:p>
    <w:p>
      <w:pPr>
        <w:spacing w:before="118" w:after="0" w:line="276" w:lineRule="exact"/>
        <w:ind w:right="936"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major incident hazard </w:t>
      </w:r>
      <w:r>
        <w:rPr>
          <w:rFonts w:ascii="Times New Roman" w:hAnsi="Times New Roman" w:eastAsia="Times New Roman"/>
          <w:color w:val="000000"/>
          <w:spacing w:val="0"/>
          <w:w w:val="100"/>
          <w:sz w:val="24"/>
          <w:vertAlign w:val="baseline"/>
          <w:lang w:val="en-US"/>
        </w:rPr>
        <w:t xml:space="preserve">means a hazard that could cause, or contribute to causing, a major incident.</w:t>
      </w:r>
    </w:p>
    <w:p>
      <w:pPr>
        <w:spacing w:before="120" w:after="0" w:line="276" w:lineRule="exact"/>
        <w:ind w:right="576"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manifest </w:t>
      </w:r>
      <w:r>
        <w:rPr>
          <w:rFonts w:ascii="Times New Roman" w:hAnsi="Times New Roman" w:eastAsia="Times New Roman"/>
          <w:color w:val="000000"/>
          <w:spacing w:val="0"/>
          <w:w w:val="100"/>
          <w:sz w:val="24"/>
          <w:vertAlign w:val="baseline"/>
          <w:lang w:val="en-US"/>
        </w:rPr>
        <w:t xml:space="preserve">means a written summary of the hazardous chemicals used, handled or stored at a workplace.</w:t>
      </w:r>
    </w:p>
    <w:p>
      <w:pPr>
        <w:spacing w:before="125"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8"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Schedule 12 (Manifest requirements) for what a manifest must contain.</w:t>
      </w:r>
    </w:p>
    <w:p>
      <w:pPr>
        <w:spacing w:before="117" w:after="0" w:line="276"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manifest quantity</w:t>
      </w:r>
      <w:r>
        <w:rPr>
          <w:rFonts w:ascii="Times New Roman" w:hAnsi="Times New Roman" w:eastAsia="Times New Roman"/>
          <w:color w:val="000000"/>
          <w:spacing w:val="0"/>
          <w:w w:val="100"/>
          <w:sz w:val="24"/>
          <w:vertAlign w:val="baseline"/>
          <w:lang w:val="en-US"/>
        </w:rPr>
        <w:t xml:space="preserve">, in relation to a Schedule 11 hazardous chemical,</w:t>
      </w:r>
    </w:p>
    <w:p>
      <w:pPr>
        <w:spacing w:before="0" w:after="0" w:line="276"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means the manifest quantity referred to in Schedule 11,</w:t>
      </w:r>
    </w:p>
    <w:p>
      <w:pPr>
        <w:spacing w:before="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table 11.1, column 5 for that hazardous chemical.</w:t>
      </w:r>
    </w:p>
    <w:p>
      <w:pPr>
        <w:spacing w:before="120" w:after="946" w:line="276" w:lineRule="exact"/>
        <w:ind w:right="360" w:left="1872" w:hanging="504"/>
        <w:jc w:val="both"/>
        <w:textAlignment w:val="baseline"/>
        <w:rPr>
          <w:rFonts w:ascii="Times New Roman" w:hAnsi="Times New Roman" w:eastAsia="Times New Roman"/>
          <w:b w:val="true"/>
          <w:i w:val="true"/>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b w:val="true"/>
          <w:i w:val="true"/>
          <w:color w:val="000000"/>
          <w:spacing w:val="0"/>
          <w:w w:val="100"/>
          <w:sz w:val="24"/>
          <w:vertAlign w:val="baseline"/>
          <w:lang w:val="en-US"/>
        </w:rPr>
        <w:t xml:space="preserve">manufacturer</w:t>
      </w:r>
      <w:r>
        <w:rPr>
          <w:rFonts w:ascii="Times New Roman" w:hAnsi="Times New Roman" w:eastAsia="Times New Roman"/>
          <w:color w:val="000000"/>
          <w:spacing w:val="0"/>
          <w:w w:val="100"/>
          <w:sz w:val="24"/>
          <w:vertAlign w:val="baseline"/>
          <w:lang w:val="en-US"/>
        </w:rPr>
        <w:t xml:space="preserve">, in relation to plant, a substance or a structure, has the same meaning as it has in section 23 of the Act.</w:t>
      </w:r>
    </w:p>
    <w:p>
      <w:pPr>
        <w:spacing w:before="120" w:after="946" w:line="276"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21</w:t>
      </w:r>
    </w:p>
    <w:p>
      <w:pPr>
        <w:sectPr>
          <w:type w:val="continuous"/>
          <w:pgSz w:w="11909" w:h="16838" w:orient="portrait"/>
          <w:pgMar w:bottom="1082" w:top="1140" w:right="5861" w:left="1968"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	</w:t>
      </w:r>
      <w:r>
        <w:rPr>
          <w:rFonts w:ascii="Times New Roman" w:hAnsi="Times New Roman" w:eastAsia="Times New Roman"/>
          <w:color w:val="000000"/>
          <w:spacing w:val="0"/>
          <w:w w:val="100"/>
          <w:sz w:val="20"/>
          <w:vertAlign w:val="baseline"/>
          <w:lang w:val="en-US"/>
        </w:rPr>
        <w:t xml:space="preserve">Introductory Matters</w:t>
      </w:r>
    </w:p>
    <w:p>
      <w:pPr>
        <w:spacing w:before="250" w:after="0" w:line="276" w:lineRule="exact"/>
        <w:ind w:right="144" w:left="1872" w:hanging="504"/>
        <w:jc w:val="left"/>
        <w:textAlignment w:val="baseline"/>
        <w:rPr>
          <w:rFonts w:ascii="Times New Roman" w:hAnsi="Times New Roman" w:eastAsia="Times New Roman"/>
          <w:b w:val="true"/>
          <w:i w:val="true"/>
          <w:color w:val="000000"/>
          <w:spacing w:val="-1"/>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i w:val="true"/>
          <w:color w:val="000000"/>
          <w:spacing w:val="-1"/>
          <w:w w:val="100"/>
          <w:sz w:val="24"/>
          <w:vertAlign w:val="baseline"/>
          <w:lang w:val="en-US"/>
        </w:rPr>
        <w:t xml:space="preserve">mast climbing work platform </w:t>
      </w:r>
      <w:r>
        <w:rPr>
          <w:rFonts w:ascii="Times New Roman" w:hAnsi="Times New Roman" w:eastAsia="Times New Roman"/>
          <w:color w:val="000000"/>
          <w:spacing w:val="-1"/>
          <w:w w:val="100"/>
          <w:sz w:val="24"/>
          <w:vertAlign w:val="baseline"/>
          <w:lang w:val="en-US"/>
        </w:rPr>
        <w:t xml:space="preserve">means a hoist with a working platform used for temporary purposes to raise personnel and materials to the working position by means of a drive system mounted on an extendable mast that may be tied to a structure.</w:t>
      </w:r>
    </w:p>
    <w:p>
      <w:pPr>
        <w:spacing w:before="119" w:after="0" w:line="276"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materials hoist </w:t>
      </w:r>
      <w:r>
        <w:rPr>
          <w:rFonts w:ascii="Times New Roman" w:hAnsi="Times New Roman" w:eastAsia="Times New Roman"/>
          <w:color w:val="000000"/>
          <w:spacing w:val="0"/>
          <w:w w:val="100"/>
          <w:sz w:val="24"/>
          <w:vertAlign w:val="baseline"/>
          <w:lang w:val="en-US"/>
        </w:rPr>
        <w:t xml:space="preserve">means a hoist that:</w:t>
      </w:r>
    </w:p>
    <w:p>
      <w:pPr>
        <w:numPr>
          <w:ilvl w:val="0"/>
          <w:numId w:val="52"/>
        </w:numPr>
        <w:tabs>
          <w:tab w:val="clear" w:pos="360"/>
          <w:tab w:val="left" w:pos="2376"/>
        </w:tabs>
        <w:spacing w:before="121" w:after="0" w:line="276" w:lineRule="exact"/>
        <w:ind w:right="14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consists of a car, bucket or platform cantilevered from, and travelling up and down outside, a face of the support of a structure; and</w:t>
      </w:r>
    </w:p>
    <w:p>
      <w:pPr>
        <w:numPr>
          <w:ilvl w:val="0"/>
          <w:numId w:val="52"/>
        </w:numPr>
        <w:tabs>
          <w:tab w:val="clear" w:pos="360"/>
          <w:tab w:val="left" w:pos="2376"/>
        </w:tabs>
        <w:spacing w:before="120" w:after="0" w:line="276" w:lineRule="exact"/>
        <w:ind w:right="86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used for hoisting things and substances but not persons.</w:t>
      </w:r>
    </w:p>
    <w:p>
      <w:pPr>
        <w:spacing w:before="115" w:after="0" w:line="276" w:lineRule="exact"/>
        <w:ind w:right="720"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membrane filter method </w:t>
      </w:r>
      <w:r>
        <w:rPr>
          <w:rFonts w:ascii="Times New Roman" w:hAnsi="Times New Roman" w:eastAsia="Times New Roman"/>
          <w:color w:val="000000"/>
          <w:spacing w:val="0"/>
          <w:w w:val="100"/>
          <w:sz w:val="24"/>
          <w:vertAlign w:val="baseline"/>
          <w:lang w:val="en-US"/>
        </w:rPr>
        <w:t xml:space="preserve">means the membrane filter method described in the Guidance Note on the Membrane Filter Method for Estimating Airborne Asbestos Fibres [NOHSC:3003 (2005)].</w:t>
      </w:r>
    </w:p>
    <w:p>
      <w:pPr>
        <w:spacing w:before="124" w:after="0" w:line="276"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mixture </w:t>
      </w:r>
      <w:r>
        <w:rPr>
          <w:rFonts w:ascii="Times New Roman" w:hAnsi="Times New Roman" w:eastAsia="Times New Roman"/>
          <w:color w:val="000000"/>
          <w:spacing w:val="0"/>
          <w:w w:val="100"/>
          <w:sz w:val="24"/>
          <w:vertAlign w:val="baseline"/>
          <w:lang w:val="en-US"/>
        </w:rPr>
        <w:t xml:space="preserve">in Part 7.1, means a combination of, or a solution</w:t>
      </w:r>
    </w:p>
    <w:p>
      <w:pPr>
        <w:spacing w:before="0" w:after="0" w:line="275" w:lineRule="exact"/>
        <w:ind w:right="144"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composed of, 2 or more substances that do not react with each other.</w:t>
      </w:r>
    </w:p>
    <w:p>
      <w:pPr>
        <w:spacing w:before="118" w:after="0" w:line="276" w:lineRule="exact"/>
        <w:ind w:right="0"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mobile crane </w:t>
      </w:r>
      <w:r>
        <w:rPr>
          <w:rFonts w:ascii="Times New Roman" w:hAnsi="Times New Roman" w:eastAsia="Times New Roman"/>
          <w:color w:val="000000"/>
          <w:spacing w:val="0"/>
          <w:w w:val="100"/>
          <w:sz w:val="24"/>
          <w:vertAlign w:val="baseline"/>
          <w:lang w:val="en-US"/>
        </w:rPr>
        <w:t xml:space="preserve">means a crane capable of travelling over a supporting surface without the need for fixed runways and relying only on gravity for stability.</w:t>
      </w:r>
    </w:p>
    <w:p>
      <w:pPr>
        <w:spacing w:before="124" w:after="0" w:line="276"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modification</w:t>
      </w:r>
      <w:r>
        <w:rPr>
          <w:rFonts w:ascii="Times New Roman" w:hAnsi="Times New Roman" w:eastAsia="Times New Roman"/>
          <w:color w:val="000000"/>
          <w:spacing w:val="0"/>
          <w:w w:val="100"/>
          <w:sz w:val="24"/>
          <w:vertAlign w:val="baseline"/>
          <w:lang w:val="en-US"/>
        </w:rPr>
        <w:t xml:space="preserve">, in relation to a facility—see regulation 534.</w:t>
      </w:r>
    </w:p>
    <w:p>
      <w:pPr>
        <w:spacing w:before="116" w:after="0" w:line="276" w:lineRule="exact"/>
        <w:ind w:right="216"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musculoskeletal disorder </w:t>
      </w:r>
      <w:r>
        <w:rPr>
          <w:rFonts w:ascii="Times New Roman" w:hAnsi="Times New Roman" w:eastAsia="Times New Roman"/>
          <w:color w:val="000000"/>
          <w:spacing w:val="0"/>
          <w:w w:val="100"/>
          <w:sz w:val="24"/>
          <w:vertAlign w:val="baseline"/>
          <w:lang w:val="en-US"/>
        </w:rPr>
        <w:t xml:space="preserve">means an injury to, or disease of, the musculoskeletal system, whether occurring suddenly or over time, but does not include an injury caused by crushing, entrapment or cutting resulting principally from the mechanical operation of plant.</w:t>
      </w:r>
    </w:p>
    <w:p>
      <w:pPr>
        <w:spacing w:before="120" w:after="0" w:line="276" w:lineRule="exact"/>
        <w:ind w:right="648"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NATA </w:t>
      </w:r>
      <w:r>
        <w:rPr>
          <w:rFonts w:ascii="Times New Roman" w:hAnsi="Times New Roman" w:eastAsia="Times New Roman"/>
          <w:color w:val="000000"/>
          <w:spacing w:val="0"/>
          <w:w w:val="100"/>
          <w:sz w:val="24"/>
          <w:vertAlign w:val="baseline"/>
          <w:lang w:val="en-US"/>
        </w:rPr>
        <w:t xml:space="preserve">means the National Association of Testing Authorities, Australia.</w:t>
      </w:r>
    </w:p>
    <w:p>
      <w:pPr>
        <w:spacing w:before="122" w:after="0" w:line="276" w:lineRule="exact"/>
        <w:ind w:right="144"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NATA-accredited laboratory </w:t>
      </w:r>
      <w:r>
        <w:rPr>
          <w:rFonts w:ascii="Times New Roman" w:hAnsi="Times New Roman" w:eastAsia="Times New Roman"/>
          <w:color w:val="000000"/>
          <w:spacing w:val="0"/>
          <w:w w:val="100"/>
          <w:sz w:val="24"/>
          <w:vertAlign w:val="baseline"/>
          <w:lang w:val="en-US"/>
        </w:rPr>
        <w:t xml:space="preserve">means a testing laboratory accredited by NATA, or recognised by NATA either solely or with someone else.</w:t>
      </w:r>
    </w:p>
    <w:p>
      <w:pPr>
        <w:spacing w:before="118" w:after="0" w:line="276" w:lineRule="exact"/>
        <w:ind w:right="576"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naturally occurring asbestos </w:t>
      </w:r>
      <w:r>
        <w:rPr>
          <w:rFonts w:ascii="Times New Roman" w:hAnsi="Times New Roman" w:eastAsia="Times New Roman"/>
          <w:color w:val="000000"/>
          <w:spacing w:val="0"/>
          <w:w w:val="100"/>
          <w:sz w:val="24"/>
          <w:vertAlign w:val="baseline"/>
          <w:lang w:val="en-US"/>
        </w:rPr>
        <w:t xml:space="preserve">means the natural geological occurrence of asbestos minerals found in association with geological deposits including rock, sediment or soil.</w:t>
      </w:r>
    </w:p>
    <w:p>
      <w:pPr>
        <w:spacing w:before="122" w:after="0" w:line="276" w:lineRule="exact"/>
        <w:ind w:right="144"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non-friable asbestos </w:t>
      </w:r>
      <w:r>
        <w:rPr>
          <w:rFonts w:ascii="Times New Roman" w:hAnsi="Times New Roman" w:eastAsia="Times New Roman"/>
          <w:color w:val="000000"/>
          <w:spacing w:val="0"/>
          <w:w w:val="100"/>
          <w:sz w:val="24"/>
          <w:vertAlign w:val="baseline"/>
          <w:lang w:val="en-US"/>
        </w:rPr>
        <w:t xml:space="preserve">means material containing asbestos that is not friable asbestos, including material containing asbestos fibres reinforced with a bonding compound.</w:t>
      </w:r>
    </w:p>
    <w:p>
      <w:pPr>
        <w:spacing w:before="125" w:after="827"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Note</w:t>
      </w:r>
    </w:p>
    <w:p>
      <w:pPr>
        <w:spacing w:before="125" w:after="827" w:line="225"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22</w:t>
      </w:r>
    </w:p>
    <w:p>
      <w:pPr>
        <w:sectPr>
          <w:type w:val="continuous"/>
          <w:pgSz w:w="11909" w:h="16838" w:orient="portrait"/>
          <w:pgMar w:bottom="1082" w:top="1140" w:right="5853" w:left="1976"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	</w:t>
      </w:r>
      <w:r>
        <w:rPr>
          <w:rFonts w:ascii="Times New Roman" w:hAnsi="Times New Roman" w:eastAsia="Times New Roman"/>
          <w:color w:val="000000"/>
          <w:spacing w:val="0"/>
          <w:w w:val="100"/>
          <w:sz w:val="20"/>
          <w:vertAlign w:val="baseline"/>
          <w:lang w:val="en-US"/>
        </w:rPr>
        <w:t xml:space="preserve">Introductory Matters</w:t>
      </w:r>
    </w:p>
    <w:p>
      <w:pPr>
        <w:spacing w:before="256" w:after="0" w:line="230" w:lineRule="exact"/>
        <w:ind w:right="288" w:left="1872"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Non-friable asbestos may become friable asbestos through deterioration (see definition of </w:t>
      </w:r>
      <w:r>
        <w:rPr>
          <w:rFonts w:ascii="Times New Roman" w:hAnsi="Times New Roman" w:eastAsia="Times New Roman"/>
          <w:b w:val="true"/>
          <w:i w:val="true"/>
          <w:color w:val="000000"/>
          <w:spacing w:val="0"/>
          <w:w w:val="100"/>
          <w:sz w:val="21"/>
          <w:vertAlign w:val="baseline"/>
          <w:lang w:val="en-US"/>
        </w:rPr>
        <w:t xml:space="preserve">friable asbestos</w:t>
      </w:r>
      <w:r>
        <w:rPr>
          <w:rFonts w:ascii="Times New Roman" w:hAnsi="Times New Roman" w:eastAsia="Times New Roman"/>
          <w:color w:val="000000"/>
          <w:spacing w:val="0"/>
          <w:w w:val="100"/>
          <w:sz w:val="20"/>
          <w:vertAlign w:val="baseline"/>
          <w:lang w:val="en-US"/>
        </w:rPr>
        <w:t xml:space="preserve">).</w:t>
      </w:r>
    </w:p>
    <w:p>
      <w:pPr>
        <w:spacing w:before="114" w:after="0" w:line="274" w:lineRule="exact"/>
        <w:ind w:right="360"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non-slewing mobile crane </w:t>
      </w:r>
      <w:r>
        <w:rPr>
          <w:rFonts w:ascii="Times New Roman" w:hAnsi="Times New Roman" w:eastAsia="Times New Roman"/>
          <w:color w:val="000000"/>
          <w:spacing w:val="0"/>
          <w:w w:val="100"/>
          <w:sz w:val="24"/>
          <w:vertAlign w:val="baseline"/>
          <w:lang w:val="en-US"/>
        </w:rPr>
        <w:t xml:space="preserve">means a mobile crane incorporating a boom or jib that cannot be slewed, and includes:</w:t>
      </w:r>
    </w:p>
    <w:p>
      <w:pPr>
        <w:numPr>
          <w:ilvl w:val="0"/>
          <w:numId w:val="53"/>
        </w:numPr>
        <w:tabs>
          <w:tab w:val="clear" w:pos="360"/>
          <w:tab w:val="left" w:pos="2376"/>
        </w:tabs>
        <w:spacing w:before="126" w:after="0" w:line="272"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articulated mobile crane; or</w:t>
      </w:r>
    </w:p>
    <w:p>
      <w:pPr>
        <w:numPr>
          <w:ilvl w:val="0"/>
          <w:numId w:val="53"/>
        </w:numPr>
        <w:tabs>
          <w:tab w:val="clear" w:pos="360"/>
          <w:tab w:val="left" w:pos="2376"/>
        </w:tabs>
        <w:spacing w:before="122" w:after="0" w:line="272"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locomotive crane,</w:t>
      </w:r>
    </w:p>
    <w:p>
      <w:pPr>
        <w:spacing w:before="126"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but does not include vehicle tow trucks.</w:t>
      </w:r>
    </w:p>
    <w:p>
      <w:pPr>
        <w:spacing w:before="118" w:after="0" w:line="276" w:lineRule="exact"/>
        <w:ind w:right="432"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notice of satisfactory assessment </w:t>
      </w:r>
      <w:r>
        <w:rPr>
          <w:rFonts w:ascii="Times New Roman" w:hAnsi="Times New Roman" w:eastAsia="Times New Roman"/>
          <w:color w:val="000000"/>
          <w:spacing w:val="0"/>
          <w:w w:val="100"/>
          <w:sz w:val="24"/>
          <w:vertAlign w:val="baseline"/>
          <w:lang w:val="en-US"/>
        </w:rPr>
        <w:t xml:space="preserve">means a notice stating that the person to whom it is issued has successfully completed a specified VET course.</w:t>
      </w:r>
    </w:p>
    <w:p>
      <w:pPr>
        <w:spacing w:before="124" w:after="0" w:line="274" w:lineRule="exact"/>
        <w:ind w:right="864"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operator</w:t>
      </w:r>
      <w:r>
        <w:rPr>
          <w:rFonts w:ascii="Times New Roman" w:hAnsi="Times New Roman" w:eastAsia="Times New Roman"/>
          <w:color w:val="000000"/>
          <w:spacing w:val="0"/>
          <w:w w:val="100"/>
          <w:sz w:val="24"/>
          <w:vertAlign w:val="baseline"/>
          <w:lang w:val="en-US"/>
        </w:rPr>
        <w:t xml:space="preserve">, in relation to a facility or a proposed facility—see regulation 533.</w:t>
      </w:r>
    </w:p>
    <w:p>
      <w:pPr>
        <w:spacing w:before="122" w:after="0" w:line="276" w:lineRule="exact"/>
        <w:ind w:right="144"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operator protective device</w:t>
      </w:r>
      <w:r>
        <w:rPr>
          <w:rFonts w:ascii="Times New Roman" w:hAnsi="Times New Roman" w:eastAsia="Times New Roman"/>
          <w:color w:val="000000"/>
          <w:spacing w:val="0"/>
          <w:w w:val="100"/>
          <w:sz w:val="24"/>
          <w:vertAlign w:val="baseline"/>
          <w:lang w:val="en-US"/>
        </w:rPr>
        <w:t xml:space="preserve">, includes a roll-over protective structure, falling object protective structure, operator restraining device and seat belt.</w:t>
      </w:r>
    </w:p>
    <w:p>
      <w:pPr>
        <w:spacing w:before="118" w:after="0" w:line="276" w:lineRule="exact"/>
        <w:ind w:right="216"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order-picking forklift truck</w:t>
      </w:r>
      <w:r>
        <w:rPr>
          <w:rFonts w:ascii="Times New Roman" w:hAnsi="Times New Roman" w:eastAsia="Times New Roman"/>
          <w:color w:val="000000"/>
          <w:spacing w:val="0"/>
          <w:w w:val="100"/>
          <w:sz w:val="24"/>
          <w:vertAlign w:val="baseline"/>
          <w:lang w:val="en-US"/>
        </w:rPr>
        <w:t xml:space="preserve">, in Schedules 3 and 4, means a forklift truck where the operator's controls are incorporated with the lifting media and elevate with the lifting media.</w:t>
      </w:r>
    </w:p>
    <w:p>
      <w:pPr>
        <w:spacing w:before="124" w:after="0" w:line="274" w:lineRule="exact"/>
        <w:ind w:right="576" w:left="1872" w:hanging="504"/>
        <w:jc w:val="both"/>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packaged hazardous chemicals </w:t>
      </w:r>
      <w:r>
        <w:rPr>
          <w:rFonts w:ascii="Times New Roman" w:hAnsi="Times New Roman" w:eastAsia="Times New Roman"/>
          <w:color w:val="000000"/>
          <w:spacing w:val="0"/>
          <w:w w:val="100"/>
          <w:sz w:val="24"/>
          <w:vertAlign w:val="baseline"/>
          <w:lang w:val="en-US"/>
        </w:rPr>
        <w:t xml:space="preserve">means Schedule 11 hazardous chemicals in a container with:</w:t>
      </w:r>
    </w:p>
    <w:p>
      <w:pPr>
        <w:numPr>
          <w:ilvl w:val="0"/>
          <w:numId w:val="54"/>
        </w:numPr>
        <w:tabs>
          <w:tab w:val="clear" w:pos="360"/>
          <w:tab w:val="left" w:pos="2376"/>
        </w:tabs>
        <w:spacing w:before="126" w:after="0" w:line="272"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capacity not exceeding 500 litres; or</w:t>
      </w:r>
    </w:p>
    <w:p>
      <w:pPr>
        <w:numPr>
          <w:ilvl w:val="0"/>
          <w:numId w:val="54"/>
        </w:numPr>
        <w:tabs>
          <w:tab w:val="clear" w:pos="360"/>
          <w:tab w:val="left" w:pos="2376"/>
        </w:tabs>
        <w:spacing w:before="122" w:after="0" w:line="272"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net mass not exceeding 500 kilograms.</w:t>
      </w:r>
    </w:p>
    <w:p>
      <w:pPr>
        <w:spacing w:before="122" w:after="0" w:line="276" w:lineRule="exact"/>
        <w:ind w:right="576"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passenger ropeway </w:t>
      </w:r>
      <w:r>
        <w:rPr>
          <w:rFonts w:ascii="Times New Roman" w:hAnsi="Times New Roman" w:eastAsia="Times New Roman"/>
          <w:color w:val="000000"/>
          <w:spacing w:val="0"/>
          <w:w w:val="100"/>
          <w:sz w:val="24"/>
          <w:vertAlign w:val="baseline"/>
          <w:lang w:val="en-US"/>
        </w:rPr>
        <w:t xml:space="preserve">means a powered ropeway used for transporting, in a horizontal or inclined plane, passengers moved by a carrier that is:</w:t>
      </w:r>
    </w:p>
    <w:p>
      <w:pPr>
        <w:numPr>
          <w:ilvl w:val="0"/>
          <w:numId w:val="55"/>
        </w:numPr>
        <w:tabs>
          <w:tab w:val="clear" w:pos="360"/>
          <w:tab w:val="left" w:pos="2376"/>
        </w:tabs>
        <w:spacing w:before="122" w:after="0" w:line="272"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attached to or supported by a moving rope; or</w:t>
      </w:r>
    </w:p>
    <w:p>
      <w:pPr>
        <w:numPr>
          <w:ilvl w:val="0"/>
          <w:numId w:val="55"/>
        </w:numPr>
        <w:tabs>
          <w:tab w:val="clear" w:pos="360"/>
          <w:tab w:val="left" w:pos="2376"/>
        </w:tabs>
        <w:spacing w:before="124" w:after="0" w:line="274" w:lineRule="exact"/>
        <w:ind w:right="36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attached to a moving rope but supported by a standing rope or other overhead structure,</w:t>
      </w:r>
    </w:p>
    <w:p>
      <w:pPr>
        <w:spacing w:before="124" w:after="0" w:line="275" w:lineRule="exact"/>
        <w:ind w:right="216"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including, in relation to the powered ropeway, the prime mover, any associated transmission machinery and any supporting structure and equipment, but does not include any of the following:</w:t>
      </w:r>
    </w:p>
    <w:p>
      <w:pPr>
        <w:numPr>
          <w:ilvl w:val="0"/>
          <w:numId w:val="55"/>
        </w:numPr>
        <w:tabs>
          <w:tab w:val="clear" w:pos="360"/>
          <w:tab w:val="left" w:pos="2376"/>
        </w:tabs>
        <w:spacing w:before="126" w:after="0" w:line="272"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cog railway;</w:t>
      </w:r>
    </w:p>
    <w:p>
      <w:pPr>
        <w:numPr>
          <w:ilvl w:val="0"/>
          <w:numId w:val="55"/>
        </w:numPr>
        <w:tabs>
          <w:tab w:val="clear" w:pos="360"/>
          <w:tab w:val="left" w:pos="2376"/>
        </w:tabs>
        <w:spacing w:before="122" w:after="0" w:line="272"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cable car running on rails;</w:t>
      </w:r>
    </w:p>
    <w:p>
      <w:pPr>
        <w:numPr>
          <w:ilvl w:val="0"/>
          <w:numId w:val="55"/>
        </w:numPr>
        <w:tabs>
          <w:tab w:val="clear" w:pos="360"/>
          <w:tab w:val="left" w:pos="2376"/>
        </w:tabs>
        <w:spacing w:before="126" w:after="1100" w:line="272"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flying fox or similar device;</w:t>
      </w:r>
    </w:p>
    <w:p>
      <w:pPr>
        <w:spacing w:before="126" w:after="1100" w:line="272"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23</w:t>
      </w:r>
    </w:p>
    <w:p>
      <w:pPr>
        <w:sectPr>
          <w:type w:val="continuous"/>
          <w:pgSz w:w="11909" w:h="16838" w:orient="portrait"/>
          <w:pgMar w:bottom="1082" w:top="1140" w:right="5858" w:left="1971"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	</w:t>
      </w:r>
      <w:r>
        <w:rPr>
          <w:rFonts w:ascii="Times New Roman" w:hAnsi="Times New Roman" w:eastAsia="Times New Roman"/>
          <w:color w:val="000000"/>
          <w:spacing w:val="0"/>
          <w:w w:val="100"/>
          <w:sz w:val="20"/>
          <w:vertAlign w:val="baseline"/>
          <w:lang w:val="en-US"/>
        </w:rPr>
        <w:t xml:space="preserve">Introductory Matters</w:t>
      </w:r>
    </w:p>
    <w:p>
      <w:pPr>
        <w:spacing w:before="252" w:after="0" w:line="275" w:lineRule="exact"/>
        <w:ind w:right="432" w:left="2376" w:hanging="288"/>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(f) an elevating system for vehicles or boat style carriers associated with amusement devices.</w:t>
      </w:r>
    </w:p>
    <w:p>
      <w:pPr>
        <w:spacing w:before="125" w:after="0" w:line="225" w:lineRule="exact"/>
        <w:ind w:right="0" w:left="2376"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Examples</w:t>
      </w:r>
    </w:p>
    <w:p>
      <w:pPr>
        <w:spacing w:before="125" w:after="0" w:line="230" w:lineRule="exact"/>
        <w:ind w:right="0" w:left="237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An elevating system for a log ride or boat flume ride.</w:t>
      </w:r>
    </w:p>
    <w:p>
      <w:pPr>
        <w:spacing w:before="113" w:after="0" w:line="275" w:lineRule="exact"/>
        <w:ind w:right="360"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person with management or control of plant at a workplace </w:t>
      </w:r>
      <w:r>
        <w:rPr>
          <w:rFonts w:ascii="Times New Roman" w:hAnsi="Times New Roman" w:eastAsia="Times New Roman"/>
          <w:color w:val="000000"/>
          <w:spacing w:val="0"/>
          <w:w w:val="100"/>
          <w:sz w:val="24"/>
          <w:vertAlign w:val="baseline"/>
          <w:lang w:val="en-US"/>
        </w:rPr>
        <w:t xml:space="preserve">has the same meaning as it has in section 21 of the Act.</w:t>
      </w:r>
    </w:p>
    <w:p>
      <w:pPr>
        <w:spacing w:before="134" w:after="0" w:line="275" w:lineRule="exact"/>
        <w:ind w:right="288" w:left="1872" w:hanging="504"/>
        <w:jc w:val="both"/>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person with management or control of a workplace </w:t>
      </w:r>
      <w:r>
        <w:rPr>
          <w:rFonts w:ascii="Times New Roman" w:hAnsi="Times New Roman" w:eastAsia="Times New Roman"/>
          <w:color w:val="000000"/>
          <w:spacing w:val="0"/>
          <w:w w:val="100"/>
          <w:sz w:val="24"/>
          <w:vertAlign w:val="baseline"/>
          <w:lang w:val="en-US"/>
        </w:rPr>
        <w:t xml:space="preserve">has the same meaning as it has in section 20 of the Act</w:t>
      </w:r>
      <w:r>
        <w:rPr>
          <w:rFonts w:ascii="Times New Roman" w:hAnsi="Times New Roman" w:eastAsia="Times New Roman"/>
          <w:i w:val="true"/>
          <w:color w:val="000000"/>
          <w:spacing w:val="0"/>
          <w:w w:val="100"/>
          <w:sz w:val="28"/>
          <w:vertAlign w:val="baseline"/>
          <w:lang w:val="en-US"/>
        </w:rPr>
        <w:t xml:space="preserve">.</w:t>
      </w:r>
    </w:p>
    <w:p>
      <w:pPr>
        <w:spacing w:before="110" w:after="0" w:line="275" w:lineRule="exact"/>
        <w:ind w:right="288" w:left="1872" w:hanging="504"/>
        <w:jc w:val="both"/>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personal protective equipment </w:t>
      </w:r>
      <w:r>
        <w:rPr>
          <w:rFonts w:ascii="Times New Roman" w:hAnsi="Times New Roman" w:eastAsia="Times New Roman"/>
          <w:color w:val="000000"/>
          <w:spacing w:val="0"/>
          <w:w w:val="100"/>
          <w:sz w:val="24"/>
          <w:vertAlign w:val="baseline"/>
          <w:lang w:val="en-US"/>
        </w:rPr>
        <w:t xml:space="preserve">means anything used or worn by a person to minimise risk to the person's health and safety,</w:t>
      </w:r>
    </w:p>
    <w:p>
      <w:pPr>
        <w:spacing w:before="3" w:after="0" w:line="275"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including air supplied respiratory equipment.</w:t>
      </w:r>
    </w:p>
    <w:p>
      <w:pPr>
        <w:spacing w:before="121" w:after="0" w:line="275"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personnel and materials hoist </w:t>
      </w:r>
      <w:r>
        <w:rPr>
          <w:rFonts w:ascii="Times New Roman" w:hAnsi="Times New Roman" w:eastAsia="Times New Roman"/>
          <w:color w:val="000000"/>
          <w:spacing w:val="0"/>
          <w:w w:val="100"/>
          <w:sz w:val="24"/>
          <w:vertAlign w:val="baseline"/>
          <w:lang w:val="en-US"/>
        </w:rPr>
        <w:t xml:space="preserve">means a hoist:</w:t>
      </w:r>
    </w:p>
    <w:p>
      <w:pPr>
        <w:numPr>
          <w:ilvl w:val="0"/>
          <w:numId w:val="56"/>
        </w:numPr>
        <w:tabs>
          <w:tab w:val="clear" w:pos="288"/>
          <w:tab w:val="left" w:pos="2376"/>
        </w:tabs>
        <w:spacing w:before="120" w:after="0" w:line="275" w:lineRule="exact"/>
        <w:ind w:right="72"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is a cantilever hoist, a tower hoist or several winches configured to operate as a hoist; and</w:t>
      </w:r>
    </w:p>
    <w:p>
      <w:pPr>
        <w:numPr>
          <w:ilvl w:val="0"/>
          <w:numId w:val="56"/>
        </w:numPr>
        <w:tabs>
          <w:tab w:val="clear" w:pos="288"/>
          <w:tab w:val="left" w:pos="2376"/>
        </w:tabs>
        <w:spacing w:before="123" w:after="0" w:line="275" w:lineRule="exact"/>
        <w:ind w:right="0"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is intended to carry goods, materials or people.</w:t>
      </w:r>
    </w:p>
    <w:p>
      <w:pPr>
        <w:spacing w:before="121" w:after="0" w:line="275" w:lineRule="exact"/>
        <w:ind w:right="144"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pipeline </w:t>
      </w:r>
      <w:r>
        <w:rPr>
          <w:rFonts w:ascii="Times New Roman" w:hAnsi="Times New Roman" w:eastAsia="Times New Roman"/>
          <w:color w:val="000000"/>
          <w:spacing w:val="0"/>
          <w:w w:val="100"/>
          <w:sz w:val="24"/>
          <w:vertAlign w:val="baseline"/>
          <w:lang w:val="en-US"/>
        </w:rPr>
        <w:t xml:space="preserve">means pipe work that crosses a boundary of a workplace, beginning or ending at the nearest fluid or slurry control point (along the axis of the pipeline) to the boundary.</w:t>
      </w:r>
    </w:p>
    <w:p>
      <w:pPr>
        <w:spacing w:before="122" w:after="0" w:line="275" w:lineRule="exact"/>
        <w:ind w:right="288" w:left="1872" w:hanging="504"/>
        <w:jc w:val="both"/>
        <w:textAlignment w:val="baseline"/>
        <w:rPr>
          <w:rFonts w:ascii="Times New Roman" w:hAnsi="Times New Roman" w:eastAsia="Times New Roman"/>
          <w:b w:val="true"/>
          <w:i w:val="true"/>
          <w:color w:val="000000"/>
          <w:spacing w:val="-1"/>
          <w:w w:val="100"/>
          <w:sz w:val="24"/>
          <w:vertAlign w:val="baseline"/>
          <w:lang w:val="en-US"/>
        </w:rPr>
      </w:pPr>
      <w:r>
        <w:rPr>
          <w:rFonts w:ascii="Times New Roman" w:hAnsi="Times New Roman" w:eastAsia="Times New Roman"/>
          <w:b w:val="true"/>
          <w:i w:val="true"/>
          <w:color w:val="000000"/>
          <w:spacing w:val="-1"/>
          <w:w w:val="100"/>
          <w:sz w:val="24"/>
          <w:vertAlign w:val="baseline"/>
          <w:lang w:val="en-US"/>
        </w:rPr>
        <w:t xml:space="preserve">pipe work </w:t>
      </w:r>
      <w:r>
        <w:rPr>
          <w:rFonts w:ascii="Times New Roman" w:hAnsi="Times New Roman" w:eastAsia="Times New Roman"/>
          <w:color w:val="000000"/>
          <w:spacing w:val="-1"/>
          <w:w w:val="100"/>
          <w:sz w:val="24"/>
          <w:vertAlign w:val="baseline"/>
          <w:lang w:val="en-US"/>
        </w:rPr>
        <w:t xml:space="preserve">means a pipe or assembly of pipes, pipe fittings, valves and pipe accessories used to convey a hazardous chemical.</w:t>
      </w:r>
    </w:p>
    <w:p>
      <w:pPr>
        <w:spacing w:before="125" w:after="0" w:line="275"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placard </w:t>
      </w:r>
      <w:r>
        <w:rPr>
          <w:rFonts w:ascii="Times New Roman" w:hAnsi="Times New Roman" w:eastAsia="Times New Roman"/>
          <w:color w:val="000000"/>
          <w:spacing w:val="0"/>
          <w:w w:val="100"/>
          <w:sz w:val="24"/>
          <w:vertAlign w:val="baseline"/>
          <w:lang w:val="en-US"/>
        </w:rPr>
        <w:t xml:space="preserve">means a sign or notice:</w:t>
      </w:r>
    </w:p>
    <w:p>
      <w:pPr>
        <w:numPr>
          <w:ilvl w:val="0"/>
          <w:numId w:val="57"/>
        </w:numPr>
        <w:tabs>
          <w:tab w:val="clear" w:pos="288"/>
          <w:tab w:val="left" w:pos="2376"/>
        </w:tabs>
        <w:spacing w:before="119" w:after="0" w:line="275" w:lineRule="exact"/>
        <w:ind w:right="72"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displayed or intended for display in a prominent place, or next to a container or storage area for hazardous chemicals at a workplace; and</w:t>
      </w:r>
    </w:p>
    <w:p>
      <w:pPr>
        <w:numPr>
          <w:ilvl w:val="0"/>
          <w:numId w:val="57"/>
        </w:numPr>
        <w:tabs>
          <w:tab w:val="clear" w:pos="288"/>
          <w:tab w:val="left" w:pos="2376"/>
        </w:tabs>
        <w:spacing w:before="122" w:after="0" w:line="275" w:lineRule="exact"/>
        <w:ind w:right="288"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contains information about the hazardous chemical stored in the container or storage area.</w:t>
      </w:r>
    </w:p>
    <w:p>
      <w:pPr>
        <w:spacing w:before="125" w:after="0" w:line="275"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placard quantity</w:t>
      </w:r>
      <w:r>
        <w:rPr>
          <w:rFonts w:ascii="Times New Roman" w:hAnsi="Times New Roman" w:eastAsia="Times New Roman"/>
          <w:color w:val="000000"/>
          <w:spacing w:val="0"/>
          <w:w w:val="100"/>
          <w:sz w:val="24"/>
          <w:vertAlign w:val="baseline"/>
          <w:lang w:val="en-US"/>
        </w:rPr>
        <w:t xml:space="preserve">, in relation to a Schedule 11 hazardous chemical,</w:t>
      </w:r>
    </w:p>
    <w:p>
      <w:pPr>
        <w:spacing w:before="0"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means the placard quantity referred to in Schedule 11,</w:t>
      </w:r>
    </w:p>
    <w:p>
      <w:pPr>
        <w:spacing w:before="3" w:after="0" w:line="275"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table 11.1 column 4 for the Schedule 11 hazardous chemical.</w:t>
      </w:r>
    </w:p>
    <w:p>
      <w:pPr>
        <w:spacing w:before="121" w:after="0" w:line="275"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plant</w:t>
      </w:r>
      <w:r>
        <w:rPr>
          <w:rFonts w:ascii="Times New Roman" w:hAnsi="Times New Roman" w:eastAsia="Times New Roman"/>
          <w:color w:val="000000"/>
          <w:spacing w:val="0"/>
          <w:w w:val="100"/>
          <w:sz w:val="24"/>
          <w:vertAlign w:val="baseline"/>
          <w:lang w:val="en-US"/>
        </w:rPr>
        <w:t xml:space="preserve">, in Parts 5.2 and 5.3, includes a structure.</w:t>
      </w:r>
    </w:p>
    <w:p>
      <w:pPr>
        <w:spacing w:before="124" w:after="1066" w:line="275" w:lineRule="exact"/>
        <w:ind w:right="360" w:left="1872" w:hanging="504"/>
        <w:jc w:val="left"/>
        <w:textAlignment w:val="baseline"/>
        <w:rPr>
          <w:rFonts w:ascii="Times New Roman" w:hAnsi="Times New Roman" w:eastAsia="Times New Roman"/>
          <w:b w:val="true"/>
          <w:i w:val="true"/>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b w:val="true"/>
          <w:i w:val="true"/>
          <w:color w:val="000000"/>
          <w:spacing w:val="0"/>
          <w:w w:val="100"/>
          <w:sz w:val="24"/>
          <w:vertAlign w:val="baseline"/>
          <w:lang w:val="en-US"/>
        </w:rPr>
        <w:t xml:space="preserve">platform height</w:t>
      </w:r>
      <w:r>
        <w:rPr>
          <w:rFonts w:ascii="Times New Roman" w:hAnsi="Times New Roman" w:eastAsia="Times New Roman"/>
          <w:color w:val="000000"/>
          <w:spacing w:val="0"/>
          <w:w w:val="100"/>
          <w:sz w:val="24"/>
          <w:vertAlign w:val="baseline"/>
          <w:lang w:val="en-US"/>
        </w:rPr>
        <w:t xml:space="preserve">, in relation to an inflatable device (continuously blown), means the height of the highest part of the device designed to support persons using it (the </w:t>
      </w:r>
      <w:r>
        <w:rPr>
          <w:rFonts w:ascii="Times New Roman" w:hAnsi="Times New Roman" w:eastAsia="Times New Roman"/>
          <w:b w:val="true"/>
          <w:i w:val="true"/>
          <w:color w:val="000000"/>
          <w:spacing w:val="0"/>
          <w:w w:val="100"/>
          <w:sz w:val="24"/>
          <w:vertAlign w:val="baseline"/>
          <w:lang w:val="en-US"/>
        </w:rPr>
        <w:t xml:space="preserve">platform</w:t>
      </w:r>
      <w:r>
        <w:rPr>
          <w:rFonts w:ascii="Times New Roman" w:hAnsi="Times New Roman" w:eastAsia="Times New Roman"/>
          <w:color w:val="000000"/>
          <w:spacing w:val="0"/>
          <w:w w:val="100"/>
          <w:sz w:val="24"/>
          <w:vertAlign w:val="baseline"/>
          <w:lang w:val="en-US"/>
        </w:rPr>
        <w:t xml:space="preserve">), as measured from the surface supporting the device to the top surface of the platform when the device is inflated but unloaded.</w:t>
      </w:r>
    </w:p>
    <w:p>
      <w:pPr>
        <w:spacing w:before="124" w:after="1066" w:line="275"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24</w:t>
      </w:r>
    </w:p>
    <w:p>
      <w:pPr>
        <w:sectPr>
          <w:type w:val="continuous"/>
          <w:pgSz w:w="11909" w:h="16838" w:orient="portrait"/>
          <w:pgMar w:bottom="1082" w:top="1140" w:right="5853" w:left="1976"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	</w:t>
      </w:r>
      <w:r>
        <w:rPr>
          <w:rFonts w:ascii="Times New Roman" w:hAnsi="Times New Roman" w:eastAsia="Times New Roman"/>
          <w:color w:val="000000"/>
          <w:spacing w:val="0"/>
          <w:w w:val="100"/>
          <w:sz w:val="20"/>
          <w:vertAlign w:val="baseline"/>
          <w:lang w:val="en-US"/>
        </w:rPr>
        <w:t xml:space="preserve">Introductory Matters</w:t>
      </w:r>
    </w:p>
    <w:p>
      <w:pPr>
        <w:spacing w:before="248" w:after="0" w:line="276" w:lineRule="exact"/>
        <w:ind w:right="792" w:left="1872" w:hanging="504"/>
        <w:jc w:val="both"/>
        <w:textAlignment w:val="baseline"/>
        <w:rPr>
          <w:rFonts w:ascii="Times New Roman" w:hAnsi="Times New Roman" w:eastAsia="Times New Roman"/>
          <w:b w:val="true"/>
          <w:i w:val="true"/>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i w:val="true"/>
          <w:color w:val="000000"/>
          <w:spacing w:val="0"/>
          <w:w w:val="100"/>
          <w:sz w:val="24"/>
          <w:vertAlign w:val="baseline"/>
          <w:lang w:val="en-US"/>
        </w:rPr>
        <w:t xml:space="preserve">portal boom crane </w:t>
      </w:r>
      <w:r>
        <w:rPr>
          <w:rFonts w:ascii="Times New Roman" w:hAnsi="Times New Roman" w:eastAsia="Times New Roman"/>
          <w:color w:val="000000"/>
          <w:spacing w:val="0"/>
          <w:w w:val="100"/>
          <w:sz w:val="24"/>
          <w:vertAlign w:val="baseline"/>
          <w:lang w:val="en-US"/>
        </w:rPr>
        <w:t xml:space="preserve">means a boom crane or a jib crane that is mounted on a portal frame that, in turn, is supported on runways along which the crane travels.</w:t>
      </w:r>
    </w:p>
    <w:p>
      <w:pPr>
        <w:spacing w:before="123" w:after="0" w:line="276" w:lineRule="exact"/>
        <w:ind w:right="144" w:left="1872" w:hanging="504"/>
        <w:jc w:val="both"/>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powered mobile plant </w:t>
      </w:r>
      <w:r>
        <w:rPr>
          <w:rFonts w:ascii="Times New Roman" w:hAnsi="Times New Roman" w:eastAsia="Times New Roman"/>
          <w:color w:val="000000"/>
          <w:spacing w:val="0"/>
          <w:w w:val="100"/>
          <w:sz w:val="24"/>
          <w:vertAlign w:val="baseline"/>
          <w:lang w:val="en-US"/>
        </w:rPr>
        <w:t xml:space="preserve">means plant that is provided with some form of self-propulsion that is ordinarily under the direct control of an operator.</w:t>
      </w:r>
    </w:p>
    <w:p>
      <w:pPr>
        <w:spacing w:before="117" w:after="0" w:line="276" w:lineRule="exact"/>
        <w:ind w:right="288"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precautionary statement </w:t>
      </w:r>
      <w:r>
        <w:rPr>
          <w:rFonts w:ascii="Times New Roman" w:hAnsi="Times New Roman" w:eastAsia="Times New Roman"/>
          <w:color w:val="000000"/>
          <w:spacing w:val="0"/>
          <w:w w:val="100"/>
          <w:sz w:val="24"/>
          <w:vertAlign w:val="baseline"/>
          <w:lang w:val="en-US"/>
        </w:rPr>
        <w:t xml:space="preserve">means a phrase prescribed by the GHS that describes measures that are recommended to be taken to prevent or minimise:</w:t>
      </w:r>
    </w:p>
    <w:p>
      <w:pPr>
        <w:numPr>
          <w:ilvl w:val="0"/>
          <w:numId w:val="58"/>
        </w:numPr>
        <w:tabs>
          <w:tab w:val="clear" w:pos="360"/>
          <w:tab w:val="left" w:pos="2376"/>
        </w:tabs>
        <w:spacing w:before="126" w:after="0" w:line="273" w:lineRule="exact"/>
        <w:ind w:right="14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adverse effects of exposure to a hazardous chemical; or</w:t>
      </w:r>
    </w:p>
    <w:p>
      <w:pPr>
        <w:numPr>
          <w:ilvl w:val="0"/>
          <w:numId w:val="58"/>
        </w:numPr>
        <w:tabs>
          <w:tab w:val="clear" w:pos="360"/>
          <w:tab w:val="left" w:pos="2376"/>
        </w:tabs>
        <w:spacing w:before="7" w:after="0" w:line="393" w:lineRule="exact"/>
        <w:ind w:right="1368" w:left="1368" w:firstLine="64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improper handling of a hazardous chemical. </w:t>
      </w:r>
      <w:r>
        <w:rPr>
          <w:rFonts w:ascii="Times New Roman" w:hAnsi="Times New Roman" w:eastAsia="Times New Roman"/>
          <w:b w:val="true"/>
          <w:i w:val="true"/>
          <w:color w:val="000000"/>
          <w:spacing w:val="0"/>
          <w:w w:val="100"/>
          <w:sz w:val="24"/>
          <w:vertAlign w:val="baseline"/>
          <w:lang w:val="en-US"/>
        </w:rPr>
        <w:t xml:space="preserve">presence-sensing safeguarding system </w:t>
      </w:r>
      <w:r>
        <w:rPr>
          <w:rFonts w:ascii="Times New Roman" w:hAnsi="Times New Roman" w:eastAsia="Times New Roman"/>
          <w:color w:val="000000"/>
          <w:spacing w:val="0"/>
          <w:w w:val="100"/>
          <w:sz w:val="24"/>
          <w:vertAlign w:val="baseline"/>
          <w:lang w:val="en-US"/>
        </w:rPr>
        <w:t xml:space="preserve">includes:</w:t>
      </w:r>
    </w:p>
    <w:p>
      <w:pPr>
        <w:numPr>
          <w:ilvl w:val="0"/>
          <w:numId w:val="59"/>
        </w:numPr>
        <w:tabs>
          <w:tab w:val="clear" w:pos="360"/>
          <w:tab w:val="left" w:pos="2376"/>
        </w:tabs>
        <w:spacing w:before="117" w:after="0" w:line="276" w:lineRule="exact"/>
        <w:ind w:right="14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sensing system that uses 1 or more forms of radiation either self-generated or otherwise generated by pressure; and</w:t>
      </w:r>
    </w:p>
    <w:p>
      <w:pPr>
        <w:numPr>
          <w:ilvl w:val="0"/>
          <w:numId w:val="59"/>
        </w:numPr>
        <w:tabs>
          <w:tab w:val="clear" w:pos="360"/>
          <w:tab w:val="left" w:pos="2376"/>
        </w:tabs>
        <w:spacing w:before="122" w:after="0" w:line="276" w:lineRule="exact"/>
        <w:ind w:right="288"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interface between the final switching devices of the sensing system and the machine primary control elements; and</w:t>
      </w:r>
    </w:p>
    <w:p>
      <w:pPr>
        <w:numPr>
          <w:ilvl w:val="0"/>
          <w:numId w:val="59"/>
        </w:numPr>
        <w:tabs>
          <w:tab w:val="clear" w:pos="360"/>
          <w:tab w:val="left" w:pos="2376"/>
        </w:tabs>
        <w:spacing w:before="120" w:after="0" w:line="276" w:lineRule="exact"/>
        <w:ind w:right="7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machine stopping capabilities, by which the presence of a person or part of a person within the sensing field will cause the dangerous parts of a machine to be brought to a safe state.</w:t>
      </w:r>
    </w:p>
    <w:p>
      <w:pPr>
        <w:spacing w:before="116" w:after="0" w:line="278" w:lineRule="exact"/>
        <w:ind w:right="360"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pressure equipment </w:t>
      </w:r>
      <w:r>
        <w:rPr>
          <w:rFonts w:ascii="Times New Roman" w:hAnsi="Times New Roman" w:eastAsia="Times New Roman"/>
          <w:color w:val="000000"/>
          <w:spacing w:val="0"/>
          <w:w w:val="100"/>
          <w:sz w:val="24"/>
          <w:vertAlign w:val="baseline"/>
          <w:lang w:val="en-US"/>
        </w:rPr>
        <w:t xml:space="preserve">means boilers, pressure vessels and pressure piping.</w:t>
      </w:r>
    </w:p>
    <w:p>
      <w:pPr>
        <w:spacing w:before="121" w:after="0" w:line="274"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pressure piping</w:t>
      </w:r>
      <w:r>
        <w:rPr>
          <w:rFonts w:ascii="Times New Roman" w:hAnsi="Times New Roman" w:eastAsia="Times New Roman"/>
          <w:color w:val="000000"/>
          <w:spacing w:val="0"/>
          <w:w w:val="100"/>
          <w:sz w:val="24"/>
          <w:vertAlign w:val="baseline"/>
          <w:lang w:val="en-US"/>
        </w:rPr>
        <w:t xml:space="preserve">:</w:t>
      </w:r>
    </w:p>
    <w:p>
      <w:pPr>
        <w:numPr>
          <w:ilvl w:val="0"/>
          <w:numId w:val="60"/>
        </w:numPr>
        <w:tabs>
          <w:tab w:val="clear" w:pos="360"/>
          <w:tab w:val="left" w:pos="2376"/>
        </w:tabs>
        <w:spacing w:before="123" w:after="0" w:line="275" w:lineRule="exact"/>
        <w:ind w:right="288"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means an assembly of pipes, pipe fittings, valves and pipe accessories subject to internal or external pressure and used to contain or convey fluid or to transmit fluid pressure; and</w:t>
      </w:r>
    </w:p>
    <w:p>
      <w:pPr>
        <w:numPr>
          <w:ilvl w:val="0"/>
          <w:numId w:val="60"/>
        </w:numPr>
        <w:tabs>
          <w:tab w:val="clear" w:pos="360"/>
          <w:tab w:val="left" w:pos="2376"/>
        </w:tabs>
        <w:spacing w:before="124" w:after="0" w:line="274" w:lineRule="exact"/>
        <w:ind w:right="648"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includes distribution headers, bolting, gaskets, pipe supports and pressure containing accessories; but</w:t>
      </w:r>
    </w:p>
    <w:p>
      <w:pPr>
        <w:numPr>
          <w:ilvl w:val="0"/>
          <w:numId w:val="60"/>
        </w:numPr>
        <w:tabs>
          <w:tab w:val="clear" w:pos="360"/>
          <w:tab w:val="left" w:pos="2376"/>
        </w:tabs>
        <w:spacing w:before="125" w:after="0" w:line="273"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does not include:</w:t>
      </w:r>
    </w:p>
    <w:p>
      <w:pPr>
        <w:numPr>
          <w:ilvl w:val="0"/>
          <w:numId w:val="61"/>
        </w:numPr>
        <w:tabs>
          <w:tab w:val="clear" w:pos="432"/>
          <w:tab w:val="left" w:pos="2952"/>
        </w:tabs>
        <w:spacing w:before="121" w:after="0" w:line="273" w:lineRule="exact"/>
        <w:ind w:right="0" w:left="2376" w:firstLine="14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boiler or pressure vessel; or</w:t>
      </w:r>
    </w:p>
    <w:p>
      <w:pPr>
        <w:numPr>
          <w:ilvl w:val="0"/>
          <w:numId w:val="61"/>
        </w:numPr>
        <w:tabs>
          <w:tab w:val="clear" w:pos="432"/>
          <w:tab w:val="left" w:pos="2952"/>
          <w:tab w:val="left" w:leader="none" w:pos="7128"/>
        </w:tabs>
        <w:spacing w:before="27" w:after="1019" w:line="360" w:lineRule="exact"/>
        <w:ind w:right="792" w:left="2376" w:firstLine="144"/>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any piping that is regulated under [	</w:t>
      </w:r>
      <w:r>
        <w:rPr>
          <w:rFonts w:ascii="Times New Roman" w:hAnsi="Times New Roman" w:eastAsia="Times New Roman"/>
          <w:color w:val="000000"/>
          <w:spacing w:val="0"/>
          <w:w w:val="100"/>
          <w:sz w:val="25"/>
          <w:u w:val="single"/>
          <w:vertAlign w:val="baseline"/>
          <w:lang w:val="en-US"/>
        </w:rPr>
        <w:t xml:space="preserve">].</w:t>
      </w:r>
      <w:r>
        <w:rPr>
          <w:rFonts w:ascii="Times New Roman" w:hAnsi="Times New Roman" w:eastAsia="Times New Roman"/>
          <w:color w:val="000000"/>
          <w:spacing w:val="0"/>
          <w:w w:val="100"/>
          <w:sz w:val="24"/>
          <w:vertAlign w:val="baseline"/>
          <w:lang w:val="en-US"/>
        </w:rPr>
        <w:t xml:space="preserve"> </w:t>
      </w:r>
      <w:r>
        <w:rPr>
          <w:rFonts w:ascii="Times New Roman" w:hAnsi="Times New Roman" w:eastAsia="Times New Roman"/>
          <w:b w:val="true"/>
          <w:color w:val="000000"/>
          <w:spacing w:val="0"/>
          <w:w w:val="100"/>
          <w:sz w:val="20"/>
          <w:vertAlign w:val="baseline"/>
          <w:lang w:val="en-US"/>
        </w:rPr>
        <w:t xml:space="preserve">Note</w:t>
      </w:r>
    </w:p>
    <w:p>
      <w:pPr>
        <w:spacing w:before="27" w:after="1019" w:line="360"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25</w:t>
      </w:r>
    </w:p>
    <w:p>
      <w:pPr>
        <w:sectPr>
          <w:type w:val="continuous"/>
          <w:pgSz w:w="11909" w:h="16838" w:orient="portrait"/>
          <w:pgMar w:bottom="1082" w:top="1140" w:right="5856" w:left="1973"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	</w:t>
      </w:r>
      <w:r>
        <w:rPr>
          <w:rFonts w:ascii="Times New Roman" w:hAnsi="Times New Roman" w:eastAsia="Times New Roman"/>
          <w:color w:val="000000"/>
          <w:spacing w:val="0"/>
          <w:w w:val="100"/>
          <w:sz w:val="20"/>
          <w:vertAlign w:val="baseline"/>
          <w:lang w:val="en-US"/>
        </w:rPr>
        <w:t xml:space="preserve">Introductory Matters</w:t>
      </w:r>
    </w:p>
    <w:p>
      <w:pPr>
        <w:spacing w:before="255" w:after="0" w:line="228" w:lineRule="exact"/>
        <w:ind w:right="0" w:left="2448"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See jurisdictional note in the Appendix.</w:t>
      </w:r>
    </w:p>
    <w:p>
      <w:pPr>
        <w:spacing w:before="119" w:after="0" w:line="273"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pressure vessel</w:t>
      </w:r>
      <w:r>
        <w:rPr>
          <w:rFonts w:ascii="Times New Roman" w:hAnsi="Times New Roman" w:eastAsia="Times New Roman"/>
          <w:color w:val="000000"/>
          <w:spacing w:val="0"/>
          <w:w w:val="100"/>
          <w:sz w:val="24"/>
          <w:vertAlign w:val="baseline"/>
          <w:lang w:val="en-US"/>
        </w:rPr>
        <w:t xml:space="preserve">:</w:t>
      </w:r>
    </w:p>
    <w:p>
      <w:pPr>
        <w:spacing w:before="113" w:after="0" w:line="279" w:lineRule="exact"/>
        <w:ind w:right="360" w:left="2448"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means a vessel subject to internal or external pressure; and</w:t>
      </w:r>
    </w:p>
    <w:p>
      <w:pPr>
        <w:spacing w:before="121" w:after="0" w:line="272" w:lineRule="exact"/>
        <w:ind w:right="0" w:left="2016"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includes:</w:t>
      </w:r>
    </w:p>
    <w:p>
      <w:pPr>
        <w:numPr>
          <w:ilvl w:val="0"/>
          <w:numId w:val="62"/>
        </w:numPr>
        <w:tabs>
          <w:tab w:val="clear" w:pos="504"/>
          <w:tab w:val="left" w:pos="2952"/>
        </w:tabs>
        <w:spacing w:before="123" w:after="0" w:line="276" w:lineRule="exact"/>
        <w:ind w:right="504" w:left="2952"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interconnected parts and components, valves, gauges and other fittings up to the first point of connection to connecting piping; and</w:t>
      </w:r>
    </w:p>
    <w:p>
      <w:pPr>
        <w:numPr>
          <w:ilvl w:val="0"/>
          <w:numId w:val="62"/>
        </w:numPr>
        <w:tabs>
          <w:tab w:val="clear" w:pos="504"/>
          <w:tab w:val="left" w:pos="2952"/>
        </w:tabs>
        <w:spacing w:before="121" w:after="0" w:line="272" w:lineRule="exact"/>
        <w:ind w:right="0" w:left="2952"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fired heaters; and</w:t>
      </w:r>
    </w:p>
    <w:p>
      <w:pPr>
        <w:numPr>
          <w:ilvl w:val="0"/>
          <w:numId w:val="62"/>
        </w:numPr>
        <w:tabs>
          <w:tab w:val="clear" w:pos="504"/>
          <w:tab w:val="left" w:pos="2952"/>
        </w:tabs>
        <w:spacing w:before="127" w:after="0" w:line="272" w:lineRule="exact"/>
        <w:ind w:right="0" w:left="2952" w:hanging="504"/>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gas cylinders; but</w:t>
      </w:r>
    </w:p>
    <w:p>
      <w:pPr>
        <w:spacing w:before="121" w:after="0" w:line="272" w:lineRule="exact"/>
        <w:ind w:right="0" w:left="2016"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does not include a boiler or pressure piping.</w:t>
      </w:r>
    </w:p>
    <w:p>
      <w:pPr>
        <w:tabs>
          <w:tab w:val="left" w:leader="dot" w:pos="6984"/>
        </w:tabs>
        <w:spacing w:before="127" w:after="0" w:line="273"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primary emergency service organisation </w:t>
      </w:r>
      <w:r>
        <w:rPr>
          <w:rFonts w:ascii="Times New Roman" w:hAnsi="Times New Roman" w:eastAsia="Times New Roman"/>
          <w:color w:val="000000"/>
          <w:spacing w:val="0"/>
          <w:w w:val="100"/>
          <w:sz w:val="24"/>
          <w:vertAlign w:val="baseline"/>
          <w:lang w:val="en-US"/>
        </w:rPr>
        <w:t xml:space="preserve">means [	</w:t>
      </w:r>
      <w:r>
        <w:rPr>
          <w:rFonts w:ascii="Times New Roman" w:hAnsi="Times New Roman" w:eastAsia="Times New Roman"/>
          <w:color w:val="000000"/>
          <w:spacing w:val="0"/>
          <w:w w:val="100"/>
          <w:sz w:val="24"/>
          <w:vertAlign w:val="baseline"/>
          <w:lang w:val="en-US"/>
        </w:rPr>
        <w:t xml:space="preserve">].</w:t>
      </w:r>
    </w:p>
    <w:p>
      <w:pPr>
        <w:spacing w:before="124"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8"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12" w:after="0" w:line="279" w:lineRule="exact"/>
        <w:ind w:right="576"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principal contractor</w:t>
      </w:r>
      <w:r>
        <w:rPr>
          <w:rFonts w:ascii="Times New Roman" w:hAnsi="Times New Roman" w:eastAsia="Times New Roman"/>
          <w:color w:val="000000"/>
          <w:spacing w:val="0"/>
          <w:w w:val="100"/>
          <w:sz w:val="24"/>
          <w:vertAlign w:val="baseline"/>
          <w:lang w:val="en-US"/>
        </w:rPr>
        <w:t xml:space="preserve">, in relation to a construction project—see regulation 293.</w:t>
      </w:r>
    </w:p>
    <w:p>
      <w:pPr>
        <w:spacing w:before="121" w:after="0" w:line="273"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product identifier </w:t>
      </w:r>
      <w:r>
        <w:rPr>
          <w:rFonts w:ascii="Times New Roman" w:hAnsi="Times New Roman" w:eastAsia="Times New Roman"/>
          <w:color w:val="000000"/>
          <w:spacing w:val="0"/>
          <w:w w:val="100"/>
          <w:sz w:val="24"/>
          <w:vertAlign w:val="baseline"/>
          <w:lang w:val="en-US"/>
        </w:rPr>
        <w:t xml:space="preserve">means the name or number used to identify a</w:t>
      </w:r>
    </w:p>
    <w:p>
      <w:pPr>
        <w:spacing w:before="6" w:after="0" w:line="272"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product on a label or in a safety data sheet.</w:t>
      </w:r>
    </w:p>
    <w:p>
      <w:pPr>
        <w:spacing w:before="121" w:after="0" w:line="273"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prohibited carcinogen </w:t>
      </w:r>
      <w:r>
        <w:rPr>
          <w:rFonts w:ascii="Times New Roman" w:hAnsi="Times New Roman" w:eastAsia="Times New Roman"/>
          <w:color w:val="000000"/>
          <w:spacing w:val="0"/>
          <w:w w:val="100"/>
          <w:sz w:val="24"/>
          <w:vertAlign w:val="baseline"/>
          <w:lang w:val="en-US"/>
        </w:rPr>
        <w:t xml:space="preserve">means a substance:</w:t>
      </w:r>
    </w:p>
    <w:p>
      <w:pPr>
        <w:numPr>
          <w:ilvl w:val="0"/>
          <w:numId w:val="63"/>
        </w:numPr>
        <w:tabs>
          <w:tab w:val="clear" w:pos="432"/>
          <w:tab w:val="left" w:pos="2448"/>
        </w:tabs>
        <w:spacing w:before="126" w:after="0" w:line="272" w:lineRule="exact"/>
        <w:ind w:right="0" w:left="2016"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listed in Schedule 10, table 10.1, column 2; and</w:t>
      </w:r>
    </w:p>
    <w:p>
      <w:pPr>
        <w:numPr>
          <w:ilvl w:val="0"/>
          <w:numId w:val="63"/>
        </w:numPr>
        <w:tabs>
          <w:tab w:val="clear" w:pos="432"/>
          <w:tab w:val="left" w:pos="2448"/>
        </w:tabs>
        <w:spacing w:before="121" w:after="0" w:line="272" w:lineRule="exact"/>
        <w:ind w:right="0" w:left="2016"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present in a concentration of:</w:t>
      </w:r>
    </w:p>
    <w:p>
      <w:pPr>
        <w:numPr>
          <w:ilvl w:val="0"/>
          <w:numId w:val="64"/>
        </w:numPr>
        <w:tabs>
          <w:tab w:val="clear" w:pos="504"/>
          <w:tab w:val="left" w:pos="2952"/>
        </w:tabs>
        <w:spacing w:before="126" w:after="0" w:line="273" w:lineRule="exact"/>
        <w:ind w:right="144" w:left="2952"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a solid or liquid—0·1% or more, determined as a weight/weight (w/w) concentration; and</w:t>
      </w:r>
    </w:p>
    <w:p>
      <w:pPr>
        <w:numPr>
          <w:ilvl w:val="0"/>
          <w:numId w:val="64"/>
        </w:numPr>
        <w:tabs>
          <w:tab w:val="clear" w:pos="504"/>
          <w:tab w:val="left" w:pos="2952"/>
        </w:tabs>
        <w:spacing w:before="126" w:after="0" w:line="273" w:lineRule="exact"/>
        <w:ind w:right="1008" w:left="2952"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a gas—0·1% or more, determined as a volume/volume (v/v) concentration.</w:t>
      </w:r>
    </w:p>
    <w:p>
      <w:pPr>
        <w:spacing w:before="127" w:after="0" w:line="273"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proposed facility </w:t>
      </w:r>
      <w:r>
        <w:rPr>
          <w:rFonts w:ascii="Times New Roman" w:hAnsi="Times New Roman" w:eastAsia="Times New Roman"/>
          <w:color w:val="000000"/>
          <w:spacing w:val="0"/>
          <w:w w:val="100"/>
          <w:sz w:val="24"/>
          <w:vertAlign w:val="baseline"/>
          <w:lang w:val="en-US"/>
        </w:rPr>
        <w:t xml:space="preserve">means:</w:t>
      </w:r>
    </w:p>
    <w:p>
      <w:pPr>
        <w:numPr>
          <w:ilvl w:val="0"/>
          <w:numId w:val="65"/>
        </w:numPr>
        <w:tabs>
          <w:tab w:val="clear" w:pos="432"/>
          <w:tab w:val="left" w:pos="2448"/>
        </w:tabs>
        <w:spacing w:before="113" w:after="0" w:line="279" w:lineRule="exact"/>
        <w:ind w:right="216" w:left="2448"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existing workplace that is to become a facility due to the introduction of Schedule 15 chemicals; or</w:t>
      </w:r>
    </w:p>
    <w:p>
      <w:pPr>
        <w:numPr>
          <w:ilvl w:val="0"/>
          <w:numId w:val="65"/>
        </w:numPr>
        <w:tabs>
          <w:tab w:val="clear" w:pos="432"/>
          <w:tab w:val="left" w:pos="2448"/>
        </w:tabs>
        <w:spacing w:before="0" w:after="0" w:line="396" w:lineRule="exact"/>
        <w:ind w:right="1152" w:left="1368" w:firstLine="648"/>
        <w:jc w:val="left"/>
        <w:textAlignment w:val="baseline"/>
        <w:rPr>
          <w:rFonts w:ascii="Times New Roman" w:hAnsi="Times New Roman" w:eastAsia="Times New Roman"/>
          <w:color w:val="000000"/>
          <w:spacing w:val="-2"/>
          <w:w w:val="100"/>
          <w:sz w:val="24"/>
          <w:vertAlign w:val="baseline"/>
          <w:lang w:val="en-US"/>
        </w:rPr>
      </w:pPr>
      <w:r>
        <w:rPr>
          <w:rFonts w:ascii="Times New Roman" w:hAnsi="Times New Roman" w:eastAsia="Times New Roman"/>
          <w:color w:val="000000"/>
          <w:spacing w:val="-2"/>
          <w:w w:val="100"/>
          <w:sz w:val="24"/>
          <w:vertAlign w:val="baseline"/>
          <w:lang w:val="en-US"/>
        </w:rPr>
        <w:t xml:space="preserve">a facility that is being designed or constructed. </w:t>
      </w:r>
      <w:r>
        <w:rPr>
          <w:rFonts w:ascii="Times New Roman" w:hAnsi="Times New Roman" w:eastAsia="Times New Roman"/>
          <w:b w:val="true"/>
          <w:i w:val="true"/>
          <w:color w:val="000000"/>
          <w:spacing w:val="-2"/>
          <w:w w:val="100"/>
          <w:sz w:val="24"/>
          <w:vertAlign w:val="baseline"/>
          <w:lang w:val="en-US"/>
        </w:rPr>
        <w:t xml:space="preserve">proposed major hazard facility </w:t>
      </w:r>
      <w:r>
        <w:rPr>
          <w:rFonts w:ascii="Times New Roman" w:hAnsi="Times New Roman" w:eastAsia="Times New Roman"/>
          <w:color w:val="000000"/>
          <w:spacing w:val="-2"/>
          <w:w w:val="100"/>
          <w:sz w:val="24"/>
          <w:vertAlign w:val="baseline"/>
          <w:lang w:val="en-US"/>
        </w:rPr>
        <w:t xml:space="preserve">means:</w:t>
      </w:r>
    </w:p>
    <w:p>
      <w:pPr>
        <w:spacing w:before="115" w:after="941" w:line="277" w:lineRule="exact"/>
        <w:ind w:right="72" w:left="2448" w:hanging="432"/>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an existing facility or other workplace that is to become a major hazard facility due to the introduction of Schedule 15 chemicals or the addition of further Schedule 15 chemicals; or</w:t>
      </w:r>
    </w:p>
    <w:p>
      <w:pPr>
        <w:spacing w:before="115" w:after="941" w:line="277"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26</w:t>
      </w:r>
    </w:p>
    <w:p>
      <w:pPr>
        <w:sectPr>
          <w:type w:val="continuous"/>
          <w:pgSz w:w="11909" w:h="16838" w:orient="portrait"/>
          <w:pgMar w:bottom="1082" w:top="1140" w:right="5853" w:left="1976"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	</w:t>
      </w:r>
      <w:r>
        <w:rPr>
          <w:rFonts w:ascii="Times New Roman" w:hAnsi="Times New Roman" w:eastAsia="Times New Roman"/>
          <w:color w:val="000000"/>
          <w:spacing w:val="0"/>
          <w:w w:val="100"/>
          <w:sz w:val="20"/>
          <w:vertAlign w:val="baseline"/>
          <w:lang w:val="en-US"/>
        </w:rPr>
        <w:t xml:space="preserve">Introductory Matters</w:t>
      </w:r>
    </w:p>
    <w:p>
      <w:pPr>
        <w:spacing w:before="252" w:after="0" w:line="276" w:lineRule="exact"/>
        <w:ind w:right="1008" w:left="2376"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(b) a major hazard facility that is being designed or constructed.</w:t>
      </w:r>
    </w:p>
    <w:p>
      <w:pPr>
        <w:spacing w:before="0" w:after="0" w:line="395"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psychosocial hazard</w:t>
      </w:r>
      <w:r>
        <w:rPr>
          <w:rFonts w:ascii="Times New Roman" w:hAnsi="Times New Roman" w:eastAsia="Times New Roman"/>
          <w:color w:val="000000"/>
          <w:spacing w:val="0"/>
          <w:w w:val="100"/>
          <w:sz w:val="24"/>
          <w:vertAlign w:val="baseline"/>
          <w:lang w:val="en-US"/>
        </w:rPr>
        <w:t xml:space="preserve">—see regulation 55A.</w:t>
        <w:br/>
      </w:r>
      <w:r>
        <w:rPr>
          <w:rFonts w:ascii="Times New Roman" w:hAnsi="Times New Roman" w:eastAsia="Times New Roman"/>
          <w:b w:val="true"/>
          <w:i w:val="true"/>
          <w:color w:val="000000"/>
          <w:spacing w:val="0"/>
          <w:w w:val="100"/>
          <w:sz w:val="24"/>
          <w:vertAlign w:val="baseline"/>
          <w:lang w:val="en-US"/>
        </w:rPr>
        <w:t xml:space="preserve">psychosocial risk</w:t>
      </w:r>
      <w:r>
        <w:rPr>
          <w:rFonts w:ascii="Times New Roman" w:hAnsi="Times New Roman" w:eastAsia="Times New Roman"/>
          <w:color w:val="000000"/>
          <w:spacing w:val="0"/>
          <w:w w:val="100"/>
          <w:sz w:val="24"/>
          <w:vertAlign w:val="baseline"/>
          <w:lang w:val="en-US"/>
        </w:rPr>
        <w:t xml:space="preserve">—see regulation 55B.</w:t>
        <w:br/>
      </w:r>
      <w:r>
        <w:rPr>
          <w:rFonts w:ascii="Times New Roman" w:hAnsi="Times New Roman" w:eastAsia="Times New Roman"/>
          <w:b w:val="true"/>
          <w:i w:val="true"/>
          <w:color w:val="000000"/>
          <w:spacing w:val="0"/>
          <w:w w:val="100"/>
          <w:sz w:val="24"/>
          <w:vertAlign w:val="baseline"/>
          <w:lang w:val="en-US"/>
        </w:rPr>
        <w:t xml:space="preserve">quantity</w:t>
      </w:r>
      <w:r>
        <w:rPr>
          <w:rFonts w:ascii="Times New Roman" w:hAnsi="Times New Roman" w:eastAsia="Times New Roman"/>
          <w:color w:val="000000"/>
          <w:spacing w:val="0"/>
          <w:w w:val="100"/>
          <w:sz w:val="24"/>
          <w:vertAlign w:val="baseline"/>
          <w:lang w:val="en-US"/>
        </w:rPr>
        <w:t xml:space="preserve">, in Chapter 7, means:</w:t>
      </w:r>
    </w:p>
    <w:p>
      <w:pPr>
        <w:numPr>
          <w:ilvl w:val="0"/>
          <w:numId w:val="66"/>
        </w:numPr>
        <w:tabs>
          <w:tab w:val="clear" w:pos="360"/>
          <w:tab w:val="left" w:pos="2376"/>
        </w:tabs>
        <w:spacing w:before="123" w:after="0" w:line="276" w:lineRule="exact"/>
        <w:ind w:right="7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a hazardous chemical that is not a liquid or a gas or a gas under pressure and is in a container or storage or handling system—the mass in kilograms of the hazardous chemical in the container or storage or handling system; and</w:t>
      </w:r>
    </w:p>
    <w:p>
      <w:pPr>
        <w:numPr>
          <w:ilvl w:val="0"/>
          <w:numId w:val="66"/>
        </w:numPr>
        <w:tabs>
          <w:tab w:val="clear" w:pos="360"/>
          <w:tab w:val="left" w:pos="2376"/>
        </w:tabs>
        <w:spacing w:before="115" w:after="0" w:line="276" w:lineRule="exact"/>
        <w:ind w:right="216"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a hazardous chemical that is a liquid and is not a gas under pressure and is in a container or storage or handling system—the net capacity in litres of the container or storage or handling system; and</w:t>
      </w:r>
    </w:p>
    <w:p>
      <w:pPr>
        <w:numPr>
          <w:ilvl w:val="0"/>
          <w:numId w:val="66"/>
        </w:numPr>
        <w:tabs>
          <w:tab w:val="clear" w:pos="360"/>
          <w:tab w:val="left" w:pos="2376"/>
        </w:tabs>
        <w:spacing w:before="120" w:after="0" w:line="276" w:lineRule="exact"/>
        <w:ind w:right="216"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a hazardous chemical that is a gas or gas under pressure in a container or storage or handling system— the water capacity in litres of the container or storage or handling system; and</w:t>
      </w:r>
    </w:p>
    <w:p>
      <w:pPr>
        <w:numPr>
          <w:ilvl w:val="0"/>
          <w:numId w:val="66"/>
        </w:numPr>
        <w:tabs>
          <w:tab w:val="clear" w:pos="360"/>
          <w:tab w:val="left" w:pos="2376"/>
        </w:tabs>
        <w:spacing w:before="122" w:after="0" w:line="276" w:lineRule="exact"/>
        <w:ind w:right="50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a hazardous chemical that is not a liquid and is in bulk and not in a container—the undivided mass in kilograms; and</w:t>
      </w:r>
    </w:p>
    <w:p>
      <w:pPr>
        <w:numPr>
          <w:ilvl w:val="0"/>
          <w:numId w:val="66"/>
        </w:numPr>
        <w:tabs>
          <w:tab w:val="clear" w:pos="360"/>
          <w:tab w:val="left" w:pos="2376"/>
        </w:tabs>
        <w:spacing w:before="118" w:after="0" w:line="276" w:lineRule="exact"/>
        <w:ind w:right="7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a hazardous chemical that is a thing and is not a gas— the net capacity of the part of the thing that comprises a hazardous chemical.</w:t>
      </w:r>
    </w:p>
    <w:p>
      <w:pPr>
        <w:spacing w:before="120" w:after="0" w:line="276" w:lineRule="exact"/>
        <w:ind w:right="288" w:left="1872" w:hanging="504"/>
        <w:jc w:val="both"/>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reach stacker </w:t>
      </w:r>
      <w:r>
        <w:rPr>
          <w:rFonts w:ascii="Times New Roman" w:hAnsi="Times New Roman" w:eastAsia="Times New Roman"/>
          <w:color w:val="000000"/>
          <w:spacing w:val="0"/>
          <w:w w:val="100"/>
          <w:sz w:val="24"/>
          <w:vertAlign w:val="baseline"/>
          <w:lang w:val="en-US"/>
        </w:rPr>
        <w:t xml:space="preserve">means a powered reach stacker that incorporates an attachment for lifting and lowering a shipping container.</w:t>
      </w:r>
    </w:p>
    <w:p>
      <w:pPr>
        <w:spacing w:before="122" w:after="0" w:line="276" w:lineRule="exact"/>
        <w:ind w:right="504"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reciprocating steam engine </w:t>
      </w:r>
      <w:r>
        <w:rPr>
          <w:rFonts w:ascii="Times New Roman" w:hAnsi="Times New Roman" w:eastAsia="Times New Roman"/>
          <w:color w:val="000000"/>
          <w:spacing w:val="0"/>
          <w:w w:val="100"/>
          <w:sz w:val="24"/>
          <w:vertAlign w:val="baseline"/>
          <w:lang w:val="en-US"/>
        </w:rPr>
        <w:t xml:space="preserve">means equipment that is driven by steam acting on a piston causing the piston to move, and includes an expanding (steam) reciprocating engine.</w:t>
      </w:r>
    </w:p>
    <w:p>
      <w:pPr>
        <w:spacing w:before="120" w:after="0" w:line="276" w:lineRule="exact"/>
        <w:ind w:right="72" w:left="1872" w:hanging="504"/>
        <w:jc w:val="left"/>
        <w:textAlignment w:val="baseline"/>
        <w:rPr>
          <w:rFonts w:ascii="Times New Roman" w:hAnsi="Times New Roman" w:eastAsia="Times New Roman"/>
          <w:b w:val="true"/>
          <w:i w:val="true"/>
          <w:color w:val="000000"/>
          <w:spacing w:val="-1"/>
          <w:w w:val="100"/>
          <w:sz w:val="24"/>
          <w:vertAlign w:val="baseline"/>
          <w:lang w:val="en-US"/>
        </w:rPr>
      </w:pPr>
      <w:r>
        <w:rPr>
          <w:rFonts w:ascii="Times New Roman" w:hAnsi="Times New Roman" w:eastAsia="Times New Roman"/>
          <w:b w:val="true"/>
          <w:i w:val="true"/>
          <w:color w:val="000000"/>
          <w:spacing w:val="-1"/>
          <w:w w:val="100"/>
          <w:sz w:val="24"/>
          <w:vertAlign w:val="baseline"/>
          <w:lang w:val="en-US"/>
        </w:rPr>
        <w:t xml:space="preserve">registered medical practitioner </w:t>
      </w:r>
      <w:r>
        <w:rPr>
          <w:rFonts w:ascii="Times New Roman" w:hAnsi="Times New Roman" w:eastAsia="Times New Roman"/>
          <w:color w:val="000000"/>
          <w:spacing w:val="-1"/>
          <w:w w:val="100"/>
          <w:sz w:val="24"/>
          <w:vertAlign w:val="baseline"/>
          <w:lang w:val="en-US"/>
        </w:rPr>
        <w:t xml:space="preserve">means a person registered under the Health Practitioner Regulation National Law to practise in the</w:t>
      </w:r>
    </w:p>
    <w:p>
      <w:pPr>
        <w:spacing w:before="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medical profession (other than as a student).</w:t>
      </w:r>
    </w:p>
    <w:p>
      <w:pPr>
        <w:spacing w:before="122" w:after="0" w:line="276" w:lineRule="exact"/>
        <w:ind w:right="216"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registered training organisation (RTO) </w:t>
      </w:r>
      <w:r>
        <w:rPr>
          <w:rFonts w:ascii="Times New Roman" w:hAnsi="Times New Roman" w:eastAsia="Times New Roman"/>
          <w:color w:val="000000"/>
          <w:spacing w:val="0"/>
          <w:w w:val="100"/>
          <w:sz w:val="24"/>
          <w:vertAlign w:val="baseline"/>
          <w:lang w:val="en-US"/>
        </w:rPr>
        <w:t xml:space="preserve">means a training organisation listed as a registered training organisation on the National Register established under the </w:t>
      </w:r>
      <w:r>
        <w:rPr>
          <w:rFonts w:ascii="Times New Roman" w:hAnsi="Times New Roman" w:eastAsia="Times New Roman"/>
          <w:i w:val="true"/>
          <w:color w:val="000000"/>
          <w:spacing w:val="0"/>
          <w:w w:val="100"/>
          <w:sz w:val="24"/>
          <w:vertAlign w:val="baseline"/>
          <w:lang w:val="en-US"/>
        </w:rPr>
        <w:t xml:space="preserve">National Vocational Education and Training Regulator Act 2011 </w:t>
      </w:r>
      <w:r>
        <w:rPr>
          <w:rFonts w:ascii="Times New Roman" w:hAnsi="Times New Roman" w:eastAsia="Times New Roman"/>
          <w:color w:val="000000"/>
          <w:spacing w:val="0"/>
          <w:w w:val="100"/>
          <w:sz w:val="24"/>
          <w:vertAlign w:val="baseline"/>
          <w:lang w:val="en-US"/>
        </w:rPr>
        <w:t xml:space="preserve">of the Commonwealth.</w:t>
      </w:r>
    </w:p>
    <w:p>
      <w:pPr>
        <w:spacing w:before="123" w:after="827"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Note</w:t>
      </w:r>
    </w:p>
    <w:p>
      <w:pPr>
        <w:spacing w:before="123" w:after="827" w:line="225"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27</w:t>
      </w:r>
    </w:p>
    <w:p>
      <w:pPr>
        <w:sectPr>
          <w:type w:val="continuous"/>
          <w:pgSz w:w="11909" w:h="16838" w:orient="portrait"/>
          <w:pgMar w:bottom="1082" w:top="1140" w:right="5853" w:left="1976"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	</w:t>
      </w:r>
      <w:r>
        <w:rPr>
          <w:rFonts w:ascii="Times New Roman" w:hAnsi="Times New Roman" w:eastAsia="Times New Roman"/>
          <w:color w:val="000000"/>
          <w:spacing w:val="0"/>
          <w:w w:val="100"/>
          <w:sz w:val="20"/>
          <w:vertAlign w:val="baseline"/>
          <w:lang w:val="en-US"/>
        </w:rPr>
        <w:t xml:space="preserve">Introductory Matters</w:t>
      </w:r>
    </w:p>
    <w:p>
      <w:pPr>
        <w:spacing w:before="255" w:after="0" w:line="228"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18" w:after="0" w:line="273" w:lineRule="exact"/>
        <w:ind w:right="648" w:left="1872" w:hanging="504"/>
        <w:jc w:val="both"/>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relevant fee</w:t>
      </w:r>
      <w:r>
        <w:rPr>
          <w:rFonts w:ascii="Times New Roman" w:hAnsi="Times New Roman" w:eastAsia="Times New Roman"/>
          <w:color w:val="000000"/>
          <w:spacing w:val="0"/>
          <w:w w:val="100"/>
          <w:sz w:val="24"/>
          <w:vertAlign w:val="baseline"/>
          <w:lang w:val="en-US"/>
        </w:rPr>
        <w:t xml:space="preserve">, in relation to a matter, means the fee specified in Schedule 2 for that matter.</w:t>
      </w:r>
    </w:p>
    <w:p>
      <w:pPr>
        <w:spacing w:before="130"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8"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notes in the Appendix.</w:t>
      </w:r>
    </w:p>
    <w:p>
      <w:pPr>
        <w:spacing w:before="119" w:after="0" w:line="273" w:lineRule="exact"/>
        <w:ind w:right="0" w:left="0" w:firstLine="0"/>
        <w:jc w:val="center"/>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research chemical </w:t>
      </w:r>
      <w:r>
        <w:rPr>
          <w:rFonts w:ascii="Times New Roman" w:hAnsi="Times New Roman" w:eastAsia="Times New Roman"/>
          <w:color w:val="000000"/>
          <w:spacing w:val="0"/>
          <w:w w:val="100"/>
          <w:sz w:val="24"/>
          <w:vertAlign w:val="baseline"/>
          <w:lang w:val="en-US"/>
        </w:rPr>
        <w:t xml:space="preserve">means a substance or mixture that:</w:t>
      </w:r>
    </w:p>
    <w:p>
      <w:pPr>
        <w:numPr>
          <w:ilvl w:val="0"/>
          <w:numId w:val="67"/>
        </w:numPr>
        <w:tabs>
          <w:tab w:val="clear" w:pos="360"/>
          <w:tab w:val="left" w:pos="2376"/>
        </w:tabs>
        <w:spacing w:before="120" w:after="0" w:line="272"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manufactured in a laboratory for genuine research; and</w:t>
      </w:r>
    </w:p>
    <w:p>
      <w:pPr>
        <w:numPr>
          <w:ilvl w:val="0"/>
          <w:numId w:val="67"/>
        </w:numPr>
        <w:tabs>
          <w:tab w:val="clear" w:pos="360"/>
          <w:tab w:val="left" w:pos="2376"/>
        </w:tabs>
        <w:spacing w:before="126" w:after="0" w:line="273" w:lineRule="exact"/>
        <w:ind w:right="216" w:left="2376"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not for use or supply for a purpose other than analysis or genuine research.</w:t>
      </w:r>
    </w:p>
    <w:p>
      <w:pPr>
        <w:spacing w:before="127" w:after="0" w:line="273" w:lineRule="exact"/>
        <w:ind w:right="0" w:left="0" w:firstLine="0"/>
        <w:jc w:val="center"/>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respirable asbestos fibre </w:t>
      </w:r>
      <w:r>
        <w:rPr>
          <w:rFonts w:ascii="Times New Roman" w:hAnsi="Times New Roman" w:eastAsia="Times New Roman"/>
          <w:color w:val="000000"/>
          <w:spacing w:val="0"/>
          <w:w w:val="100"/>
          <w:sz w:val="24"/>
          <w:vertAlign w:val="baseline"/>
          <w:lang w:val="en-US"/>
        </w:rPr>
        <w:t xml:space="preserve">means an asbestos fibre that:</w:t>
      </w:r>
    </w:p>
    <w:p>
      <w:pPr>
        <w:numPr>
          <w:ilvl w:val="0"/>
          <w:numId w:val="68"/>
        </w:numPr>
        <w:tabs>
          <w:tab w:val="clear" w:pos="360"/>
          <w:tab w:val="left" w:pos="2376"/>
        </w:tabs>
        <w:spacing w:before="120" w:after="0" w:line="272" w:lineRule="exact"/>
        <w:ind w:right="0" w:left="1368" w:firstLine="64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less than 3 micrometres wide; and</w:t>
      </w:r>
    </w:p>
    <w:p>
      <w:pPr>
        <w:numPr>
          <w:ilvl w:val="0"/>
          <w:numId w:val="68"/>
        </w:numPr>
        <w:tabs>
          <w:tab w:val="clear" w:pos="360"/>
          <w:tab w:val="left" w:pos="2376"/>
        </w:tabs>
        <w:spacing w:before="127" w:after="0" w:line="272" w:lineRule="exact"/>
        <w:ind w:right="0" w:left="2016"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more than 5 micrometres long; and</w:t>
      </w:r>
    </w:p>
    <w:p>
      <w:pPr>
        <w:numPr>
          <w:ilvl w:val="0"/>
          <w:numId w:val="68"/>
        </w:numPr>
        <w:tabs>
          <w:tab w:val="clear" w:pos="360"/>
          <w:tab w:val="left" w:pos="2376"/>
        </w:tabs>
        <w:spacing w:before="0" w:after="0" w:line="396" w:lineRule="exact"/>
        <w:ind w:right="1440" w:left="1368" w:firstLine="64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has a length to width ratio of more than 3:1. </w:t>
      </w:r>
      <w:r>
        <w:rPr>
          <w:rFonts w:ascii="Times New Roman" w:hAnsi="Times New Roman" w:eastAsia="Times New Roman"/>
          <w:b w:val="true"/>
          <w:i w:val="true"/>
          <w:color w:val="000000"/>
          <w:spacing w:val="0"/>
          <w:w w:val="100"/>
          <w:sz w:val="24"/>
          <w:vertAlign w:val="baseline"/>
          <w:lang w:val="en-US"/>
        </w:rPr>
        <w:t xml:space="preserve">restricted carcinogen </w:t>
      </w:r>
      <w:r>
        <w:rPr>
          <w:rFonts w:ascii="Times New Roman" w:hAnsi="Times New Roman" w:eastAsia="Times New Roman"/>
          <w:color w:val="000000"/>
          <w:spacing w:val="0"/>
          <w:w w:val="100"/>
          <w:sz w:val="24"/>
          <w:vertAlign w:val="baseline"/>
          <w:lang w:val="en-US"/>
        </w:rPr>
        <w:t xml:space="preserve">means a substance:</w:t>
      </w:r>
    </w:p>
    <w:p>
      <w:pPr>
        <w:numPr>
          <w:ilvl w:val="0"/>
          <w:numId w:val="69"/>
        </w:numPr>
        <w:tabs>
          <w:tab w:val="clear" w:pos="360"/>
          <w:tab w:val="left" w:pos="2376"/>
        </w:tabs>
        <w:spacing w:before="113" w:after="0" w:line="279" w:lineRule="exact"/>
        <w:ind w:right="648" w:left="2376"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listed in Schedule 10, table 10.2, column 2 for a use listed in column 3; and</w:t>
      </w:r>
    </w:p>
    <w:p>
      <w:pPr>
        <w:numPr>
          <w:ilvl w:val="0"/>
          <w:numId w:val="69"/>
        </w:numPr>
        <w:tabs>
          <w:tab w:val="clear" w:pos="360"/>
          <w:tab w:val="left" w:pos="2376"/>
        </w:tabs>
        <w:spacing w:before="121" w:after="0" w:line="272" w:lineRule="exact"/>
        <w:ind w:right="0" w:left="2376"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present in a concentration of:</w:t>
      </w:r>
    </w:p>
    <w:p>
      <w:pPr>
        <w:numPr>
          <w:ilvl w:val="0"/>
          <w:numId w:val="70"/>
        </w:numPr>
        <w:tabs>
          <w:tab w:val="clear" w:pos="432"/>
          <w:tab w:val="left" w:pos="2952"/>
        </w:tabs>
        <w:spacing w:before="126" w:after="0" w:line="273" w:lineRule="exact"/>
        <w:ind w:right="144" w:left="2952"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a solid or liquid—0·1% or more, determined as a weight/weight (w/w) concentration; and</w:t>
      </w:r>
    </w:p>
    <w:p>
      <w:pPr>
        <w:numPr>
          <w:ilvl w:val="0"/>
          <w:numId w:val="70"/>
        </w:numPr>
        <w:tabs>
          <w:tab w:val="clear" w:pos="432"/>
          <w:tab w:val="left" w:pos="2952"/>
        </w:tabs>
        <w:spacing w:before="126" w:after="0" w:line="273" w:lineRule="exact"/>
        <w:ind w:right="1008" w:left="2952"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a gas—0·1% or more, determined as a volume/volume (v/v) concentration.</w:t>
      </w:r>
    </w:p>
    <w:p>
      <w:pPr>
        <w:spacing w:before="123" w:after="0" w:line="276" w:lineRule="exact"/>
        <w:ind w:right="648"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retailer </w:t>
      </w:r>
      <w:r>
        <w:rPr>
          <w:rFonts w:ascii="Times New Roman" w:hAnsi="Times New Roman" w:eastAsia="Times New Roman"/>
          <w:color w:val="000000"/>
          <w:spacing w:val="0"/>
          <w:w w:val="100"/>
          <w:sz w:val="24"/>
          <w:vertAlign w:val="baseline"/>
          <w:lang w:val="en-US"/>
        </w:rPr>
        <w:t xml:space="preserve">means a person whose principal business is supplying consumer products to members of the public who are not engaged in the further supply of those products.</w:t>
      </w:r>
    </w:p>
    <w:p>
      <w:pPr>
        <w:spacing w:before="121" w:after="0" w:line="273" w:lineRule="exact"/>
        <w:ind w:right="0" w:left="1368" w:firstLine="0"/>
        <w:jc w:val="left"/>
        <w:textAlignment w:val="baseline"/>
        <w:rPr>
          <w:rFonts w:ascii="Times New Roman" w:hAnsi="Times New Roman" w:eastAsia="Times New Roman"/>
          <w:b w:val="true"/>
          <w:i w:val="true"/>
          <w:color w:val="000000"/>
          <w:spacing w:val="-1"/>
          <w:w w:val="100"/>
          <w:sz w:val="24"/>
          <w:vertAlign w:val="baseline"/>
          <w:lang w:val="en-US"/>
        </w:rPr>
      </w:pPr>
      <w:r>
        <w:rPr>
          <w:rFonts w:ascii="Times New Roman" w:hAnsi="Times New Roman" w:eastAsia="Times New Roman"/>
          <w:b w:val="true"/>
          <w:i w:val="true"/>
          <w:color w:val="000000"/>
          <w:spacing w:val="-1"/>
          <w:w w:val="100"/>
          <w:sz w:val="24"/>
          <w:vertAlign w:val="baseline"/>
          <w:lang w:val="en-US"/>
        </w:rPr>
        <w:t xml:space="preserve">rigging work </w:t>
      </w:r>
      <w:r>
        <w:rPr>
          <w:rFonts w:ascii="Times New Roman" w:hAnsi="Times New Roman" w:eastAsia="Times New Roman"/>
          <w:color w:val="000000"/>
          <w:spacing w:val="-1"/>
          <w:w w:val="100"/>
          <w:sz w:val="24"/>
          <w:vertAlign w:val="baseline"/>
          <w:lang w:val="en-US"/>
        </w:rPr>
        <w:t xml:space="preserve">means:</w:t>
      </w:r>
    </w:p>
    <w:p>
      <w:pPr>
        <w:numPr>
          <w:ilvl w:val="0"/>
          <w:numId w:val="71"/>
        </w:numPr>
        <w:tabs>
          <w:tab w:val="clear" w:pos="360"/>
          <w:tab w:val="left" w:pos="2376"/>
        </w:tabs>
        <w:spacing w:before="123" w:after="0" w:line="275" w:lineRule="exact"/>
        <w:ind w:right="14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use of mechanical load shifting equipment and associated gear to move, place or secure a load using plant, equipment or members of a structure to ensure the stability of those members; or</w:t>
      </w:r>
    </w:p>
    <w:p>
      <w:pPr>
        <w:numPr>
          <w:ilvl w:val="0"/>
          <w:numId w:val="71"/>
        </w:numPr>
        <w:tabs>
          <w:tab w:val="clear" w:pos="360"/>
          <w:tab w:val="left" w:pos="2376"/>
        </w:tabs>
        <w:spacing w:before="127" w:after="0" w:line="272"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setting up or dismantling of cranes or hoists.</w:t>
      </w:r>
    </w:p>
    <w:p>
      <w:pPr>
        <w:spacing w:before="116" w:after="1181" w:line="277" w:lineRule="exact"/>
        <w:ind w:right="360" w:left="1872" w:hanging="504"/>
        <w:jc w:val="left"/>
        <w:textAlignment w:val="baseline"/>
        <w:rPr>
          <w:rFonts w:ascii="Times New Roman" w:hAnsi="Times New Roman" w:eastAsia="Times New Roman"/>
          <w:b w:val="true"/>
          <w:i w:val="true"/>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b w:val="true"/>
          <w:i w:val="true"/>
          <w:color w:val="000000"/>
          <w:spacing w:val="0"/>
          <w:w w:val="100"/>
          <w:sz w:val="24"/>
          <w:vertAlign w:val="baseline"/>
          <w:lang w:val="en-US"/>
        </w:rPr>
        <w:t xml:space="preserve">safe oxygen level </w:t>
      </w:r>
      <w:r>
        <w:rPr>
          <w:rFonts w:ascii="Times New Roman" w:hAnsi="Times New Roman" w:eastAsia="Times New Roman"/>
          <w:color w:val="000000"/>
          <w:spacing w:val="0"/>
          <w:w w:val="100"/>
          <w:sz w:val="24"/>
          <w:vertAlign w:val="baseline"/>
          <w:lang w:val="en-US"/>
        </w:rPr>
        <w:t xml:space="preserve">means a minimum oxygen content of air of 19·5% by volume under normal atmospheric pressure and a maximum oxygen content of air of 23·5% by volume under normal atmospheric pressure.</w:t>
      </w:r>
    </w:p>
    <w:p>
      <w:pPr>
        <w:spacing w:before="116" w:after="1181" w:line="277"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28</w:t>
      </w:r>
    </w:p>
    <w:p>
      <w:pPr>
        <w:sectPr>
          <w:type w:val="continuous"/>
          <w:pgSz w:w="11909" w:h="16838" w:orient="portrait"/>
          <w:pgMar w:bottom="1082" w:top="1140" w:right="5856" w:left="1973"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	</w:t>
      </w:r>
      <w:r>
        <w:rPr>
          <w:rFonts w:ascii="Times New Roman" w:hAnsi="Times New Roman" w:eastAsia="Times New Roman"/>
          <w:color w:val="000000"/>
          <w:spacing w:val="0"/>
          <w:w w:val="100"/>
          <w:sz w:val="20"/>
          <w:vertAlign w:val="baseline"/>
          <w:lang w:val="en-US"/>
        </w:rPr>
        <w:t xml:space="preserve">Introductory Matters</w:t>
      </w:r>
    </w:p>
    <w:p>
      <w:pPr>
        <w:spacing w:before="248" w:after="0" w:line="276" w:lineRule="exact"/>
        <w:ind w:right="504" w:left="1872" w:hanging="504"/>
        <w:jc w:val="left"/>
        <w:textAlignment w:val="baseline"/>
        <w:rPr>
          <w:rFonts w:ascii="Times New Roman" w:hAnsi="Times New Roman" w:eastAsia="Times New Roman"/>
          <w:b w:val="true"/>
          <w:i w:val="true"/>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i w:val="true"/>
          <w:color w:val="000000"/>
          <w:spacing w:val="0"/>
          <w:w w:val="100"/>
          <w:sz w:val="24"/>
          <w:vertAlign w:val="baseline"/>
          <w:lang w:val="en-US"/>
        </w:rPr>
        <w:t xml:space="preserve">Safe Work Australia </w:t>
      </w:r>
      <w:r>
        <w:rPr>
          <w:rFonts w:ascii="Times New Roman" w:hAnsi="Times New Roman" w:eastAsia="Times New Roman"/>
          <w:color w:val="000000"/>
          <w:spacing w:val="0"/>
          <w:w w:val="100"/>
          <w:sz w:val="24"/>
          <w:vertAlign w:val="baseline"/>
          <w:lang w:val="en-US"/>
        </w:rPr>
        <w:t xml:space="preserve">means Safe Work Australia as established under section 5 of the </w:t>
      </w:r>
      <w:r>
        <w:rPr>
          <w:rFonts w:ascii="Times New Roman" w:hAnsi="Times New Roman" w:eastAsia="Times New Roman"/>
          <w:i w:val="true"/>
          <w:color w:val="000000"/>
          <w:spacing w:val="0"/>
          <w:w w:val="100"/>
          <w:sz w:val="24"/>
          <w:vertAlign w:val="baseline"/>
          <w:lang w:val="en-US"/>
        </w:rPr>
        <w:t xml:space="preserve">Safe Work Australia Act 2008 </w:t>
      </w:r>
      <w:r>
        <w:rPr>
          <w:rFonts w:ascii="Times New Roman" w:hAnsi="Times New Roman" w:eastAsia="Times New Roman"/>
          <w:color w:val="000000"/>
          <w:spacing w:val="0"/>
          <w:w w:val="100"/>
          <w:sz w:val="24"/>
          <w:vertAlign w:val="baseline"/>
          <w:lang w:val="en-US"/>
        </w:rPr>
        <w:t xml:space="preserve">of the Commonwealth.</w:t>
      </w:r>
    </w:p>
    <w:p>
      <w:pPr>
        <w:spacing w:before="126" w:after="0" w:line="274"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safe work method statement </w:t>
      </w:r>
      <w:r>
        <w:rPr>
          <w:rFonts w:ascii="Times New Roman" w:hAnsi="Times New Roman" w:eastAsia="Times New Roman"/>
          <w:color w:val="000000"/>
          <w:spacing w:val="0"/>
          <w:w w:val="100"/>
          <w:sz w:val="24"/>
          <w:vertAlign w:val="baseline"/>
          <w:lang w:val="en-US"/>
        </w:rPr>
        <w:t xml:space="preserve">means:</w:t>
      </w:r>
    </w:p>
    <w:p>
      <w:pPr>
        <w:numPr>
          <w:ilvl w:val="0"/>
          <w:numId w:val="72"/>
        </w:numPr>
        <w:tabs>
          <w:tab w:val="clear" w:pos="360"/>
          <w:tab w:val="left" w:pos="2376"/>
        </w:tabs>
        <w:spacing w:before="116" w:after="0" w:line="276" w:lineRule="exact"/>
        <w:ind w:right="576"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relation to electrical work on energised electrical equipment—a safe work method statement prepared under regulation 161;</w:t>
      </w:r>
    </w:p>
    <w:p>
      <w:pPr>
        <w:numPr>
          <w:ilvl w:val="0"/>
          <w:numId w:val="72"/>
        </w:numPr>
        <w:tabs>
          <w:tab w:val="clear" w:pos="360"/>
          <w:tab w:val="left" w:pos="2376"/>
        </w:tabs>
        <w:spacing w:before="126" w:after="0" w:line="273"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relation to high risk construction work—a safe work</w:t>
      </w:r>
    </w:p>
    <w:p>
      <w:pPr>
        <w:spacing w:before="0" w:after="0" w:line="273" w:lineRule="exact"/>
        <w:ind w:right="0" w:left="2376"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method statement referred to in regulation 299</w:t>
      </w:r>
    </w:p>
    <w:p>
      <w:pPr>
        <w:spacing w:before="6"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(as revised under regulation 302).</w:t>
      </w:r>
    </w:p>
    <w:p>
      <w:pPr>
        <w:spacing w:before="114" w:after="0" w:line="279" w:lineRule="exact"/>
        <w:ind w:right="936"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safety data sheet </w:t>
      </w:r>
      <w:r>
        <w:rPr>
          <w:rFonts w:ascii="Times New Roman" w:hAnsi="Times New Roman" w:eastAsia="Times New Roman"/>
          <w:color w:val="000000"/>
          <w:spacing w:val="0"/>
          <w:w w:val="100"/>
          <w:sz w:val="24"/>
          <w:vertAlign w:val="baseline"/>
          <w:lang w:val="en-US"/>
        </w:rPr>
        <w:t xml:space="preserve">means a safety data sheet prepared under regulation 330 or 331.</w:t>
      </w:r>
    </w:p>
    <w:p>
      <w:pPr>
        <w:spacing w:before="119" w:after="0" w:line="274" w:lineRule="exact"/>
        <w:ind w:right="72"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scaffold </w:t>
      </w:r>
      <w:r>
        <w:rPr>
          <w:rFonts w:ascii="Times New Roman" w:hAnsi="Times New Roman" w:eastAsia="Times New Roman"/>
          <w:color w:val="000000"/>
          <w:spacing w:val="0"/>
          <w:w w:val="100"/>
          <w:sz w:val="24"/>
          <w:vertAlign w:val="baseline"/>
          <w:lang w:val="en-US"/>
        </w:rPr>
        <w:t xml:space="preserve">means a temporary structure specifically erected to support access or working platforms.</w:t>
      </w:r>
    </w:p>
    <w:p>
      <w:pPr>
        <w:spacing w:before="124" w:after="0" w:line="275" w:lineRule="exact"/>
        <w:ind w:right="360"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scaffolding work </w:t>
      </w:r>
      <w:r>
        <w:rPr>
          <w:rFonts w:ascii="Times New Roman" w:hAnsi="Times New Roman" w:eastAsia="Times New Roman"/>
          <w:color w:val="000000"/>
          <w:spacing w:val="0"/>
          <w:w w:val="100"/>
          <w:sz w:val="24"/>
          <w:vertAlign w:val="baseline"/>
          <w:lang w:val="en-US"/>
        </w:rPr>
        <w:t xml:space="preserve">means erecting, altering or dismantling a temporary structure that is or has been erected to support a platform and from which a person or object could fall more than 4 metres from the platform or the structure.</w:t>
      </w:r>
    </w:p>
    <w:p>
      <w:pPr>
        <w:spacing w:before="122" w:after="0" w:line="276" w:lineRule="exact"/>
        <w:ind w:right="72"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Schedule 11 hazardous chemical </w:t>
      </w:r>
      <w:r>
        <w:rPr>
          <w:rFonts w:ascii="Times New Roman" w:hAnsi="Times New Roman" w:eastAsia="Times New Roman"/>
          <w:color w:val="000000"/>
          <w:spacing w:val="0"/>
          <w:w w:val="100"/>
          <w:sz w:val="24"/>
          <w:vertAlign w:val="baseline"/>
          <w:lang w:val="en-US"/>
        </w:rPr>
        <w:t xml:space="preserve">means a hazardous chemical or combination of hazardous chemicals specified in Schedule 11, table 11.1.</w:t>
      </w:r>
    </w:p>
    <w:p>
      <w:pPr>
        <w:spacing w:before="121" w:after="0" w:line="274"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Schedule 15 chemical </w:t>
      </w:r>
      <w:r>
        <w:rPr>
          <w:rFonts w:ascii="Times New Roman" w:hAnsi="Times New Roman" w:eastAsia="Times New Roman"/>
          <w:color w:val="000000"/>
          <w:spacing w:val="0"/>
          <w:w w:val="100"/>
          <w:sz w:val="24"/>
          <w:vertAlign w:val="baseline"/>
          <w:lang w:val="en-US"/>
        </w:rPr>
        <w:t xml:space="preserve">means a hazardous chemical that:</w:t>
      </w:r>
    </w:p>
    <w:p>
      <w:pPr>
        <w:numPr>
          <w:ilvl w:val="0"/>
          <w:numId w:val="73"/>
        </w:numPr>
        <w:tabs>
          <w:tab w:val="clear" w:pos="360"/>
          <w:tab w:val="left" w:pos="2376"/>
        </w:tabs>
        <w:spacing w:before="124" w:after="0" w:line="273"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specified in Schedule 15, table 15.1; or</w:t>
      </w:r>
    </w:p>
    <w:p>
      <w:pPr>
        <w:numPr>
          <w:ilvl w:val="0"/>
          <w:numId w:val="73"/>
        </w:numPr>
        <w:tabs>
          <w:tab w:val="clear" w:pos="360"/>
          <w:tab w:val="left" w:pos="2376"/>
        </w:tabs>
        <w:spacing w:before="116" w:after="0" w:line="278" w:lineRule="exact"/>
        <w:ind w:right="936"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belongs to a class, type or category of hazardous chemicals specified in Schedule 15, table 15.2.</w:t>
      </w:r>
    </w:p>
    <w:p>
      <w:pPr>
        <w:spacing w:before="121" w:after="0" w:line="274"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self-erecting tower crane </w:t>
      </w:r>
      <w:r>
        <w:rPr>
          <w:rFonts w:ascii="Times New Roman" w:hAnsi="Times New Roman" w:eastAsia="Times New Roman"/>
          <w:color w:val="000000"/>
          <w:spacing w:val="0"/>
          <w:w w:val="100"/>
          <w:sz w:val="24"/>
          <w:vertAlign w:val="baseline"/>
          <w:lang w:val="en-US"/>
        </w:rPr>
        <w:t xml:space="preserve">means a crane:</w:t>
      </w:r>
    </w:p>
    <w:p>
      <w:pPr>
        <w:numPr>
          <w:ilvl w:val="0"/>
          <w:numId w:val="74"/>
        </w:numPr>
        <w:tabs>
          <w:tab w:val="clear" w:pos="360"/>
          <w:tab w:val="left" w:pos="2376"/>
        </w:tabs>
        <w:spacing w:before="123" w:after="0" w:line="274" w:lineRule="exact"/>
        <w:ind w:right="7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is not disassembled into a tower element and a boom or jib element in the normal course of use; and</w:t>
      </w:r>
    </w:p>
    <w:p>
      <w:pPr>
        <w:numPr>
          <w:ilvl w:val="0"/>
          <w:numId w:val="74"/>
        </w:numPr>
        <w:tabs>
          <w:tab w:val="clear" w:pos="360"/>
          <w:tab w:val="left" w:pos="2376"/>
        </w:tabs>
        <w:spacing w:before="124" w:after="0" w:line="274" w:lineRule="exact"/>
        <w:ind w:right="576"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where the erection and dismantling processes are an inherent part of the crane's function.</w:t>
      </w:r>
    </w:p>
    <w:p>
      <w:pPr>
        <w:spacing w:before="122" w:after="0" w:line="276" w:lineRule="exact"/>
        <w:ind w:right="72"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shaft </w:t>
      </w:r>
      <w:r>
        <w:rPr>
          <w:rFonts w:ascii="Times New Roman" w:hAnsi="Times New Roman" w:eastAsia="Times New Roman"/>
          <w:color w:val="000000"/>
          <w:spacing w:val="0"/>
          <w:w w:val="100"/>
          <w:sz w:val="24"/>
          <w:vertAlign w:val="baseline"/>
          <w:lang w:val="en-US"/>
        </w:rPr>
        <w:t xml:space="preserve">means a vertical or inclined way or opening, from the surface downwards or from any underground working, the dimensions of which (apart from the perimeter) are less than its depth.</w:t>
      </w:r>
    </w:p>
    <w:p>
      <w:pPr>
        <w:spacing w:before="120" w:after="816" w:line="276" w:lineRule="exact"/>
        <w:ind w:right="144" w:left="1872" w:hanging="504"/>
        <w:jc w:val="left"/>
        <w:textAlignment w:val="baseline"/>
        <w:rPr>
          <w:rFonts w:ascii="Times New Roman" w:hAnsi="Times New Roman" w:eastAsia="Times New Roman"/>
          <w:b w:val="true"/>
          <w:i w:val="true"/>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b w:val="true"/>
          <w:i w:val="true"/>
          <w:color w:val="000000"/>
          <w:spacing w:val="0"/>
          <w:w w:val="100"/>
          <w:sz w:val="24"/>
          <w:vertAlign w:val="baseline"/>
          <w:lang w:val="en-US"/>
        </w:rPr>
        <w:t xml:space="preserve">signal word </w:t>
      </w:r>
      <w:r>
        <w:rPr>
          <w:rFonts w:ascii="Times New Roman" w:hAnsi="Times New Roman" w:eastAsia="Times New Roman"/>
          <w:color w:val="000000"/>
          <w:spacing w:val="0"/>
          <w:w w:val="100"/>
          <w:sz w:val="24"/>
          <w:vertAlign w:val="baseline"/>
          <w:lang w:val="en-US"/>
        </w:rPr>
        <w:t xml:space="preserve">means the word "danger" or "warning" used on a label to indicate to a label reader the relative severity level of a hazard, and to alert the reader to a potential hazard, under the GHS.</w:t>
      </w:r>
    </w:p>
    <w:p>
      <w:pPr>
        <w:spacing w:before="120" w:after="816" w:line="276"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29</w:t>
      </w:r>
    </w:p>
    <w:p>
      <w:pPr>
        <w:sectPr>
          <w:type w:val="continuous"/>
          <w:pgSz w:w="11909" w:h="16838" w:orient="portrait"/>
          <w:pgMar w:bottom="1082" w:top="1140" w:right="5853" w:left="1976"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	</w:t>
      </w:r>
      <w:r>
        <w:rPr>
          <w:rFonts w:ascii="Times New Roman" w:hAnsi="Times New Roman" w:eastAsia="Times New Roman"/>
          <w:color w:val="000000"/>
          <w:spacing w:val="0"/>
          <w:w w:val="100"/>
          <w:sz w:val="20"/>
          <w:vertAlign w:val="baseline"/>
          <w:lang w:val="en-US"/>
        </w:rPr>
        <w:t xml:space="preserve">Introductory Matters</w:t>
      </w:r>
    </w:p>
    <w:p>
      <w:pPr>
        <w:spacing w:before="244" w:after="0" w:line="279" w:lineRule="exact"/>
        <w:ind w:right="216" w:left="1872" w:hanging="504"/>
        <w:jc w:val="left"/>
        <w:textAlignment w:val="baseline"/>
        <w:rPr>
          <w:rFonts w:ascii="Times New Roman" w:hAnsi="Times New Roman" w:eastAsia="Times New Roman"/>
          <w:b w:val="true"/>
          <w:i w:val="true"/>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i w:val="true"/>
          <w:color w:val="000000"/>
          <w:spacing w:val="0"/>
          <w:w w:val="100"/>
          <w:sz w:val="24"/>
          <w:vertAlign w:val="baseline"/>
          <w:lang w:val="en-US"/>
        </w:rPr>
        <w:t xml:space="preserve">slewing mobile crane </w:t>
      </w:r>
      <w:r>
        <w:rPr>
          <w:rFonts w:ascii="Times New Roman" w:hAnsi="Times New Roman" w:eastAsia="Times New Roman"/>
          <w:color w:val="000000"/>
          <w:spacing w:val="0"/>
          <w:w w:val="100"/>
          <w:sz w:val="24"/>
          <w:vertAlign w:val="baseline"/>
          <w:lang w:val="en-US"/>
        </w:rPr>
        <w:t xml:space="preserve">means a mobile crane incorporating a boom or jib that can be slewed, but does not include:</w:t>
      </w:r>
    </w:p>
    <w:p>
      <w:pPr>
        <w:numPr>
          <w:ilvl w:val="0"/>
          <w:numId w:val="75"/>
        </w:numPr>
        <w:tabs>
          <w:tab w:val="clear" w:pos="288"/>
          <w:tab w:val="left" w:pos="2376"/>
        </w:tabs>
        <w:spacing w:before="121" w:after="0" w:line="272" w:lineRule="exact"/>
        <w:ind w:right="0" w:left="1872" w:firstLine="216"/>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front-end loader; or</w:t>
      </w:r>
    </w:p>
    <w:p>
      <w:pPr>
        <w:numPr>
          <w:ilvl w:val="0"/>
          <w:numId w:val="75"/>
        </w:numPr>
        <w:tabs>
          <w:tab w:val="clear" w:pos="288"/>
          <w:tab w:val="left" w:pos="2376"/>
        </w:tabs>
        <w:spacing w:before="127" w:after="0" w:line="272" w:lineRule="exact"/>
        <w:ind w:right="0" w:left="208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backhoe; or</w:t>
      </w:r>
    </w:p>
    <w:p>
      <w:pPr>
        <w:numPr>
          <w:ilvl w:val="0"/>
          <w:numId w:val="75"/>
        </w:numPr>
        <w:tabs>
          <w:tab w:val="clear" w:pos="288"/>
          <w:tab w:val="left" w:pos="2376"/>
        </w:tabs>
        <w:spacing w:before="121" w:after="0" w:line="272" w:lineRule="exact"/>
        <w:ind w:right="0" w:left="208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excavator; or</w:t>
      </w:r>
    </w:p>
    <w:p>
      <w:pPr>
        <w:numPr>
          <w:ilvl w:val="0"/>
          <w:numId w:val="75"/>
        </w:numPr>
        <w:tabs>
          <w:tab w:val="clear" w:pos="288"/>
          <w:tab w:val="left" w:pos="2376"/>
        </w:tabs>
        <w:spacing w:before="6" w:after="0" w:line="393" w:lineRule="exact"/>
        <w:ind w:right="0" w:left="1872" w:firstLine="216"/>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other earth moving equipment,</w:t>
        <w:br/>
      </w:r>
      <w:r>
        <w:rPr>
          <w:rFonts w:ascii="Times New Roman" w:hAnsi="Times New Roman" w:eastAsia="Times New Roman"/>
          <w:color w:val="000000"/>
          <w:spacing w:val="0"/>
          <w:w w:val="100"/>
          <w:sz w:val="24"/>
          <w:vertAlign w:val="baseline"/>
          <w:lang w:val="en-US"/>
        </w:rPr>
        <w:t xml:space="preserve">when configured for crane operation.</w:t>
      </w:r>
    </w:p>
    <w:p>
      <w:pPr>
        <w:spacing w:before="124" w:after="0" w:line="275" w:lineRule="exact"/>
        <w:ind w:right="144"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slinging techniques </w:t>
      </w:r>
      <w:r>
        <w:rPr>
          <w:rFonts w:ascii="Times New Roman" w:hAnsi="Times New Roman" w:eastAsia="Times New Roman"/>
          <w:color w:val="000000"/>
          <w:spacing w:val="0"/>
          <w:w w:val="100"/>
          <w:sz w:val="24"/>
          <w:vertAlign w:val="baseline"/>
          <w:lang w:val="en-US"/>
        </w:rPr>
        <w:t xml:space="preserve">means the exercising of judgement in relation to the suitability and condition of lifting gear and the method of slinging, by consideration of the nature of the load, its mass and its centre of gravity.</w:t>
      </w:r>
    </w:p>
    <w:p>
      <w:pPr>
        <w:spacing w:before="127" w:after="0" w:line="274"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specified VET course </w:t>
      </w:r>
      <w:r>
        <w:rPr>
          <w:rFonts w:ascii="Times New Roman" w:hAnsi="Times New Roman" w:eastAsia="Times New Roman"/>
          <w:color w:val="000000"/>
          <w:spacing w:val="0"/>
          <w:w w:val="100"/>
          <w:sz w:val="24"/>
          <w:vertAlign w:val="baseline"/>
          <w:lang w:val="en-US"/>
        </w:rPr>
        <w:t xml:space="preserve">means:</w:t>
      </w:r>
    </w:p>
    <w:p>
      <w:pPr>
        <w:numPr>
          <w:ilvl w:val="0"/>
          <w:numId w:val="76"/>
        </w:numPr>
        <w:tabs>
          <w:tab w:val="clear" w:pos="288"/>
          <w:tab w:val="left" w:pos="2376"/>
        </w:tabs>
        <w:spacing w:before="115" w:after="0" w:line="276" w:lineRule="exact"/>
        <w:ind w:right="72" w:left="2376" w:hanging="288"/>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in relation to general construction induction training—the VET course </w:t>
      </w:r>
      <w:r>
        <w:rPr>
          <w:rFonts w:ascii="Times New Roman" w:hAnsi="Times New Roman" w:eastAsia="Times New Roman"/>
          <w:i w:val="true"/>
          <w:color w:val="000000"/>
          <w:spacing w:val="-1"/>
          <w:w w:val="100"/>
          <w:sz w:val="24"/>
          <w:vertAlign w:val="baseline"/>
          <w:lang w:val="en-US"/>
        </w:rPr>
        <w:t xml:space="preserve">Work Safely in the Construction Industry </w:t>
      </w:r>
      <w:r>
        <w:rPr>
          <w:rFonts w:ascii="Times New Roman" w:hAnsi="Times New Roman" w:eastAsia="Times New Roman"/>
          <w:color w:val="000000"/>
          <w:spacing w:val="-1"/>
          <w:w w:val="100"/>
          <w:sz w:val="24"/>
          <w:vertAlign w:val="baseline"/>
          <w:lang w:val="en-US"/>
        </w:rPr>
        <w:t xml:space="preserve">or a corresponding subsequent VET accredited course; or</w:t>
      </w:r>
    </w:p>
    <w:p>
      <w:pPr>
        <w:numPr>
          <w:ilvl w:val="0"/>
          <w:numId w:val="76"/>
        </w:numPr>
        <w:tabs>
          <w:tab w:val="clear" w:pos="288"/>
          <w:tab w:val="left" w:pos="2376"/>
        </w:tabs>
        <w:spacing w:before="118" w:after="0" w:line="278" w:lineRule="exact"/>
        <w:ind w:right="216" w:left="2376"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relation to Class A asbestos removal work—the VET course </w:t>
      </w:r>
      <w:r>
        <w:rPr>
          <w:rFonts w:ascii="Times New Roman" w:hAnsi="Times New Roman" w:eastAsia="Times New Roman"/>
          <w:i w:val="true"/>
          <w:color w:val="000000"/>
          <w:spacing w:val="0"/>
          <w:w w:val="100"/>
          <w:sz w:val="24"/>
          <w:vertAlign w:val="baseline"/>
          <w:lang w:val="en-US"/>
        </w:rPr>
        <w:t xml:space="preserve">Remove friable asbestos</w:t>
      </w:r>
      <w:r>
        <w:rPr>
          <w:rFonts w:ascii="Times New Roman" w:hAnsi="Times New Roman" w:eastAsia="Times New Roman"/>
          <w:color w:val="000000"/>
          <w:spacing w:val="0"/>
          <w:w w:val="100"/>
          <w:sz w:val="24"/>
          <w:vertAlign w:val="baseline"/>
          <w:lang w:val="en-US"/>
        </w:rPr>
        <w:t xml:space="preserve">; or</w:t>
      </w:r>
    </w:p>
    <w:p>
      <w:pPr>
        <w:numPr>
          <w:ilvl w:val="0"/>
          <w:numId w:val="76"/>
        </w:numPr>
        <w:tabs>
          <w:tab w:val="clear" w:pos="288"/>
          <w:tab w:val="left" w:pos="2376"/>
        </w:tabs>
        <w:spacing w:before="116" w:after="0" w:line="278" w:lineRule="exact"/>
        <w:ind w:right="288"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relation to Class B asbestos removal work—the VET course </w:t>
      </w:r>
      <w:r>
        <w:rPr>
          <w:rFonts w:ascii="Times New Roman" w:hAnsi="Times New Roman" w:eastAsia="Times New Roman"/>
          <w:i w:val="true"/>
          <w:color w:val="000000"/>
          <w:spacing w:val="0"/>
          <w:w w:val="100"/>
          <w:sz w:val="24"/>
          <w:vertAlign w:val="baseline"/>
          <w:lang w:val="en-US"/>
        </w:rPr>
        <w:t xml:space="preserve">Remove non friable asbestos</w:t>
      </w:r>
      <w:r>
        <w:rPr>
          <w:rFonts w:ascii="Times New Roman" w:hAnsi="Times New Roman" w:eastAsia="Times New Roman"/>
          <w:color w:val="000000"/>
          <w:spacing w:val="0"/>
          <w:w w:val="100"/>
          <w:sz w:val="24"/>
          <w:vertAlign w:val="baseline"/>
          <w:lang w:val="en-US"/>
        </w:rPr>
        <w:t xml:space="preserve">; or</w:t>
      </w:r>
    </w:p>
    <w:p>
      <w:pPr>
        <w:numPr>
          <w:ilvl w:val="0"/>
          <w:numId w:val="76"/>
        </w:numPr>
        <w:tabs>
          <w:tab w:val="clear" w:pos="288"/>
          <w:tab w:val="left" w:pos="2376"/>
        </w:tabs>
        <w:spacing w:before="116" w:after="0" w:line="278" w:lineRule="exact"/>
        <w:ind w:right="72" w:left="2376"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relation to the supervision of asbestos removal work— the VET course </w:t>
      </w:r>
      <w:r>
        <w:rPr>
          <w:rFonts w:ascii="Times New Roman" w:hAnsi="Times New Roman" w:eastAsia="Times New Roman"/>
          <w:i w:val="true"/>
          <w:color w:val="000000"/>
          <w:spacing w:val="0"/>
          <w:w w:val="100"/>
          <w:sz w:val="24"/>
          <w:vertAlign w:val="baseline"/>
          <w:lang w:val="en-US"/>
        </w:rPr>
        <w:t xml:space="preserve">Supervise asbestos removal</w:t>
      </w:r>
      <w:r>
        <w:rPr>
          <w:rFonts w:ascii="Times New Roman" w:hAnsi="Times New Roman" w:eastAsia="Times New Roman"/>
          <w:color w:val="000000"/>
          <w:spacing w:val="0"/>
          <w:w w:val="100"/>
          <w:sz w:val="24"/>
          <w:vertAlign w:val="baseline"/>
          <w:lang w:val="en-US"/>
        </w:rPr>
        <w:t xml:space="preserve">; or</w:t>
      </w:r>
    </w:p>
    <w:p>
      <w:pPr>
        <w:numPr>
          <w:ilvl w:val="0"/>
          <w:numId w:val="76"/>
        </w:numPr>
        <w:tabs>
          <w:tab w:val="clear" w:pos="288"/>
          <w:tab w:val="left" w:pos="2376"/>
        </w:tabs>
        <w:spacing w:before="116" w:after="0" w:line="278" w:lineRule="exact"/>
        <w:ind w:right="72" w:left="2376" w:hanging="288"/>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in relation to asbestos assessor work—the VET course </w:t>
      </w:r>
      <w:r>
        <w:rPr>
          <w:rFonts w:ascii="Times New Roman" w:hAnsi="Times New Roman" w:eastAsia="Times New Roman"/>
          <w:i w:val="true"/>
          <w:color w:val="000000"/>
          <w:spacing w:val="-1"/>
          <w:w w:val="100"/>
          <w:sz w:val="24"/>
          <w:vertAlign w:val="baseline"/>
          <w:lang w:val="en-US"/>
        </w:rPr>
        <w:t xml:space="preserve">Conduct asbestos assessment associated with removal</w:t>
      </w:r>
      <w:r>
        <w:rPr>
          <w:rFonts w:ascii="Times New Roman" w:hAnsi="Times New Roman" w:eastAsia="Times New Roman"/>
          <w:color w:val="000000"/>
          <w:spacing w:val="-1"/>
          <w:w w:val="100"/>
          <w:sz w:val="24"/>
          <w:vertAlign w:val="baseline"/>
          <w:lang w:val="en-US"/>
        </w:rPr>
        <w:t xml:space="preserve">; or</w:t>
      </w:r>
    </w:p>
    <w:p>
      <w:pPr>
        <w:numPr>
          <w:ilvl w:val="0"/>
          <w:numId w:val="76"/>
        </w:numPr>
        <w:tabs>
          <w:tab w:val="clear" w:pos="288"/>
          <w:tab w:val="left" w:pos="2376"/>
        </w:tabs>
        <w:spacing w:before="114" w:after="0" w:line="278" w:lineRule="exact"/>
        <w:ind w:right="360"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relation to high risk work—the relevant VET course specified in Schedule 4.</w:t>
      </w:r>
    </w:p>
    <w:p>
      <w:pPr>
        <w:spacing w:before="125"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8"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13" w:after="0" w:line="278" w:lineRule="exact"/>
        <w:ind w:right="144"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steam turbine </w:t>
      </w:r>
      <w:r>
        <w:rPr>
          <w:rFonts w:ascii="Times New Roman" w:hAnsi="Times New Roman" w:eastAsia="Times New Roman"/>
          <w:color w:val="000000"/>
          <w:spacing w:val="0"/>
          <w:w w:val="100"/>
          <w:sz w:val="24"/>
          <w:vertAlign w:val="baseline"/>
          <w:lang w:val="en-US"/>
        </w:rPr>
        <w:t xml:space="preserve">means equipment that is driven by steam acting on a turbine or rotor to cause a rotary motion.</w:t>
      </w:r>
    </w:p>
    <w:p>
      <w:pPr>
        <w:spacing w:before="122" w:after="0" w:line="274"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structure</w:t>
      </w:r>
      <w:r>
        <w:rPr>
          <w:rFonts w:ascii="Times New Roman" w:hAnsi="Times New Roman" w:eastAsia="Times New Roman"/>
          <w:color w:val="000000"/>
          <w:spacing w:val="0"/>
          <w:w w:val="100"/>
          <w:sz w:val="24"/>
          <w:vertAlign w:val="baseline"/>
          <w:lang w:val="en-US"/>
        </w:rPr>
        <w:t xml:space="preserve">, in Chapter 6—see regulation 290.</w:t>
      </w:r>
    </w:p>
    <w:p>
      <w:pPr>
        <w:spacing w:before="122" w:after="0" w:line="274" w:lineRule="exact"/>
        <w:ind w:right="288"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substance</w:t>
      </w:r>
      <w:r>
        <w:rPr>
          <w:rFonts w:ascii="Times New Roman" w:hAnsi="Times New Roman" w:eastAsia="Times New Roman"/>
          <w:color w:val="000000"/>
          <w:spacing w:val="0"/>
          <w:w w:val="100"/>
          <w:sz w:val="24"/>
          <w:vertAlign w:val="baseline"/>
          <w:lang w:val="en-US"/>
        </w:rPr>
        <w:t xml:space="preserve">, in Part 7.1, means a chemical element or compound in its natural state or obtained or generated by a process:</w:t>
      </w:r>
    </w:p>
    <w:p>
      <w:pPr>
        <w:spacing w:before="122" w:after="980" w:line="276" w:lineRule="exact"/>
        <w:ind w:right="144" w:left="2376" w:hanging="288"/>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including any additive necessary to preserve the stability of the element or compound and any impurities deriving from the process; but</w:t>
      </w:r>
    </w:p>
    <w:p>
      <w:pPr>
        <w:spacing w:before="122" w:after="980" w:line="276"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30</w:t>
      </w:r>
    </w:p>
    <w:p>
      <w:pPr>
        <w:sectPr>
          <w:type w:val="continuous"/>
          <w:pgSz w:w="11909" w:h="16838" w:orient="portrait"/>
          <w:pgMar w:bottom="1082" w:top="1140" w:right="5853" w:left="1976"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	</w:t>
      </w:r>
      <w:r>
        <w:rPr>
          <w:rFonts w:ascii="Times New Roman" w:hAnsi="Times New Roman" w:eastAsia="Times New Roman"/>
          <w:color w:val="000000"/>
          <w:spacing w:val="0"/>
          <w:w w:val="100"/>
          <w:sz w:val="20"/>
          <w:vertAlign w:val="baseline"/>
          <w:lang w:val="en-US"/>
        </w:rPr>
        <w:t xml:space="preserve">Introductory Matters</w:t>
      </w:r>
    </w:p>
    <w:p>
      <w:pPr>
        <w:spacing w:before="247" w:after="0" w:line="276" w:lineRule="exact"/>
        <w:ind w:right="504" w:left="2376" w:hanging="288"/>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(b) excluding any solvent that may be separated without affecting the stability of the element or compound, or changing its composition.</w:t>
      </w:r>
    </w:p>
    <w:p>
      <w:pPr>
        <w:spacing w:before="126" w:after="0" w:line="273" w:lineRule="exact"/>
        <w:ind w:right="576"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supplier</w:t>
      </w:r>
      <w:r>
        <w:rPr>
          <w:rFonts w:ascii="Times New Roman" w:hAnsi="Times New Roman" w:eastAsia="Times New Roman"/>
          <w:color w:val="000000"/>
          <w:spacing w:val="0"/>
          <w:w w:val="100"/>
          <w:sz w:val="24"/>
          <w:vertAlign w:val="baseline"/>
          <w:lang w:val="en-US"/>
        </w:rPr>
        <w:t xml:space="preserve">, in relation to plant, a substance or a structure, has the same meaning as it has in section 25 of the Act.</w:t>
      </w:r>
    </w:p>
    <w:p>
      <w:pPr>
        <w:spacing w:before="124" w:after="0" w:line="275" w:lineRule="exact"/>
        <w:ind w:right="504"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surrounding area</w:t>
      </w:r>
      <w:r>
        <w:rPr>
          <w:rFonts w:ascii="Times New Roman" w:hAnsi="Times New Roman" w:eastAsia="Times New Roman"/>
          <w:color w:val="000000"/>
          <w:spacing w:val="0"/>
          <w:w w:val="100"/>
          <w:sz w:val="24"/>
          <w:vertAlign w:val="baseline"/>
          <w:lang w:val="en-US"/>
        </w:rPr>
        <w:t xml:space="preserve">, in relation to a facility, means the area surrounding the facility in which the health and safety of persons could potentially be adversely affected by a major incident occurring.</w:t>
      </w:r>
    </w:p>
    <w:p>
      <w:pPr>
        <w:spacing w:before="123" w:after="0" w:line="276" w:lineRule="exact"/>
        <w:ind w:right="432"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suspended scaffold </w:t>
      </w:r>
      <w:r>
        <w:rPr>
          <w:rFonts w:ascii="Times New Roman" w:hAnsi="Times New Roman" w:eastAsia="Times New Roman"/>
          <w:color w:val="000000"/>
          <w:spacing w:val="0"/>
          <w:w w:val="100"/>
          <w:sz w:val="24"/>
          <w:vertAlign w:val="baseline"/>
          <w:lang w:val="en-US"/>
        </w:rPr>
        <w:t xml:space="preserve">means a scaffold incorporating a suspended platform that is capable of being raised or lowered when in use.</w:t>
      </w:r>
    </w:p>
    <w:p>
      <w:pPr>
        <w:spacing w:before="119" w:after="0" w:line="274" w:lineRule="exact"/>
        <w:ind w:right="504" w:left="1872" w:hanging="504"/>
        <w:jc w:val="both"/>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technical name</w:t>
      </w:r>
      <w:r>
        <w:rPr>
          <w:rFonts w:ascii="Times New Roman" w:hAnsi="Times New Roman" w:eastAsia="Times New Roman"/>
          <w:color w:val="000000"/>
          <w:spacing w:val="0"/>
          <w:w w:val="100"/>
          <w:sz w:val="24"/>
          <w:vertAlign w:val="baseline"/>
          <w:lang w:val="en-US"/>
        </w:rPr>
        <w:t xml:space="preserve">, in the definition of </w:t>
      </w:r>
      <w:r>
        <w:rPr>
          <w:rFonts w:ascii="Times New Roman" w:hAnsi="Times New Roman" w:eastAsia="Times New Roman"/>
          <w:b w:val="true"/>
          <w:i w:val="true"/>
          <w:color w:val="000000"/>
          <w:spacing w:val="0"/>
          <w:w w:val="100"/>
          <w:sz w:val="24"/>
          <w:vertAlign w:val="baseline"/>
          <w:lang w:val="en-US"/>
        </w:rPr>
        <w:t xml:space="preserve">chemical identity</w:t>
      </w:r>
      <w:r>
        <w:rPr>
          <w:rFonts w:ascii="Times New Roman" w:hAnsi="Times New Roman" w:eastAsia="Times New Roman"/>
          <w:color w:val="000000"/>
          <w:spacing w:val="0"/>
          <w:w w:val="100"/>
          <w:sz w:val="24"/>
          <w:vertAlign w:val="baseline"/>
          <w:lang w:val="en-US"/>
        </w:rPr>
        <w:t xml:space="preserve">, means a name that is:</w:t>
      </w:r>
    </w:p>
    <w:p>
      <w:pPr>
        <w:numPr>
          <w:ilvl w:val="0"/>
          <w:numId w:val="77"/>
        </w:numPr>
        <w:tabs>
          <w:tab w:val="clear" w:pos="288"/>
          <w:tab w:val="left" w:pos="2376"/>
        </w:tabs>
        <w:spacing w:before="124" w:after="0" w:line="275" w:lineRule="exact"/>
        <w:ind w:right="360"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ordinarily used in commerce, regulations and codes to identify a substance or mixture, other than an International Union of Pure and Applied Chemistry or Chemical Abstracts Service name; and</w:t>
      </w:r>
    </w:p>
    <w:p>
      <w:pPr>
        <w:numPr>
          <w:ilvl w:val="0"/>
          <w:numId w:val="77"/>
        </w:numPr>
        <w:tabs>
          <w:tab w:val="clear" w:pos="288"/>
          <w:tab w:val="left" w:pos="2376"/>
        </w:tabs>
        <w:spacing w:before="6" w:after="0" w:line="394" w:lineRule="exact"/>
        <w:ind w:right="1728" w:left="1368" w:firstLine="72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recognised by the scientific community. </w:t>
      </w:r>
      <w:r>
        <w:rPr>
          <w:rFonts w:ascii="Times New Roman" w:hAnsi="Times New Roman" w:eastAsia="Times New Roman"/>
          <w:b w:val="true"/>
          <w:i w:val="true"/>
          <w:color w:val="000000"/>
          <w:spacing w:val="0"/>
          <w:w w:val="100"/>
          <w:sz w:val="24"/>
          <w:vertAlign w:val="baseline"/>
          <w:lang w:val="en-US"/>
        </w:rPr>
        <w:t xml:space="preserve">temporary work platform </w:t>
      </w:r>
      <w:r>
        <w:rPr>
          <w:rFonts w:ascii="Times New Roman" w:hAnsi="Times New Roman" w:eastAsia="Times New Roman"/>
          <w:color w:val="000000"/>
          <w:spacing w:val="0"/>
          <w:w w:val="100"/>
          <w:sz w:val="24"/>
          <w:vertAlign w:val="baseline"/>
          <w:lang w:val="en-US"/>
        </w:rPr>
        <w:t xml:space="preserve">means:</w:t>
      </w:r>
    </w:p>
    <w:p>
      <w:pPr>
        <w:numPr>
          <w:ilvl w:val="0"/>
          <w:numId w:val="78"/>
        </w:numPr>
        <w:tabs>
          <w:tab w:val="clear" w:pos="288"/>
          <w:tab w:val="left" w:pos="2376"/>
        </w:tabs>
        <w:spacing w:before="124" w:after="0" w:line="272" w:lineRule="exact"/>
        <w:ind w:right="0"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fixed, mobile or suspended scaffold; or</w:t>
      </w:r>
    </w:p>
    <w:p>
      <w:pPr>
        <w:numPr>
          <w:ilvl w:val="0"/>
          <w:numId w:val="78"/>
        </w:numPr>
        <w:tabs>
          <w:tab w:val="clear" w:pos="288"/>
          <w:tab w:val="left" w:pos="2376"/>
        </w:tabs>
        <w:spacing w:before="122" w:after="0" w:line="272" w:lineRule="exact"/>
        <w:ind w:right="0" w:left="208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elevating work platform; or</w:t>
      </w:r>
    </w:p>
    <w:p>
      <w:pPr>
        <w:numPr>
          <w:ilvl w:val="0"/>
          <w:numId w:val="78"/>
        </w:numPr>
        <w:tabs>
          <w:tab w:val="clear" w:pos="288"/>
          <w:tab w:val="left" w:pos="2376"/>
        </w:tabs>
        <w:spacing w:before="126" w:after="0" w:line="272" w:lineRule="exact"/>
        <w:ind w:right="0" w:left="208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mast climbing work platform; or</w:t>
      </w:r>
    </w:p>
    <w:p>
      <w:pPr>
        <w:numPr>
          <w:ilvl w:val="0"/>
          <w:numId w:val="78"/>
        </w:numPr>
        <w:tabs>
          <w:tab w:val="clear" w:pos="288"/>
          <w:tab w:val="left" w:pos="2376"/>
        </w:tabs>
        <w:spacing w:before="116" w:after="0" w:line="278" w:lineRule="exact"/>
        <w:ind w:right="216"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work box supported by a crane, hoist, forklift truck or other form of mechanical plant; or</w:t>
      </w:r>
    </w:p>
    <w:p>
      <w:pPr>
        <w:numPr>
          <w:ilvl w:val="0"/>
          <w:numId w:val="78"/>
        </w:numPr>
        <w:tabs>
          <w:tab w:val="clear" w:pos="288"/>
          <w:tab w:val="left" w:pos="2376"/>
        </w:tabs>
        <w:spacing w:before="116" w:after="0" w:line="278" w:lineRule="exact"/>
        <w:ind w:right="360"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building maintenance equipment, including a building maintenance unit; or</w:t>
      </w:r>
    </w:p>
    <w:p>
      <w:pPr>
        <w:numPr>
          <w:ilvl w:val="0"/>
          <w:numId w:val="78"/>
        </w:numPr>
        <w:tabs>
          <w:tab w:val="clear" w:pos="288"/>
          <w:tab w:val="left" w:pos="2376"/>
        </w:tabs>
        <w:spacing w:before="122" w:after="0" w:line="272" w:lineRule="exact"/>
        <w:ind w:right="0"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portable or mobile fabricated platform; or</w:t>
      </w:r>
    </w:p>
    <w:p>
      <w:pPr>
        <w:numPr>
          <w:ilvl w:val="0"/>
          <w:numId w:val="78"/>
        </w:numPr>
        <w:tabs>
          <w:tab w:val="clear" w:pos="288"/>
          <w:tab w:val="left" w:pos="2376"/>
        </w:tabs>
        <w:spacing w:before="126" w:after="0" w:line="272" w:lineRule="exact"/>
        <w:ind w:right="0"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other temporary platform that:</w:t>
      </w:r>
    </w:p>
    <w:p>
      <w:pPr>
        <w:numPr>
          <w:ilvl w:val="0"/>
          <w:numId w:val="79"/>
        </w:numPr>
        <w:tabs>
          <w:tab w:val="clear" w:pos="360"/>
          <w:tab w:val="left" w:pos="2880"/>
        </w:tabs>
        <w:spacing w:before="122" w:after="0" w:line="272" w:lineRule="exact"/>
        <w:ind w:right="0" w:left="1368" w:firstLine="115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provides a working area; and</w:t>
      </w:r>
    </w:p>
    <w:p>
      <w:pPr>
        <w:numPr>
          <w:ilvl w:val="0"/>
          <w:numId w:val="79"/>
        </w:numPr>
        <w:tabs>
          <w:tab w:val="clear" w:pos="360"/>
          <w:tab w:val="left" w:pos="2880"/>
        </w:tabs>
        <w:spacing w:before="6" w:after="0" w:line="394" w:lineRule="exact"/>
        <w:ind w:right="1584" w:left="1368" w:firstLine="115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designed to prevent a fall. </w:t>
      </w:r>
      <w:r>
        <w:rPr>
          <w:rFonts w:ascii="Times New Roman" w:hAnsi="Times New Roman" w:eastAsia="Times New Roman"/>
          <w:b w:val="true"/>
          <w:i w:val="true"/>
          <w:color w:val="000000"/>
          <w:spacing w:val="0"/>
          <w:w w:val="100"/>
          <w:sz w:val="24"/>
          <w:vertAlign w:val="baseline"/>
          <w:lang w:val="en-US"/>
        </w:rPr>
        <w:t xml:space="preserve">the Act </w:t>
      </w:r>
      <w:r>
        <w:rPr>
          <w:rFonts w:ascii="Times New Roman" w:hAnsi="Times New Roman" w:eastAsia="Times New Roman"/>
          <w:color w:val="000000"/>
          <w:spacing w:val="0"/>
          <w:w w:val="100"/>
          <w:sz w:val="24"/>
          <w:vertAlign w:val="baseline"/>
          <w:lang w:val="en-US"/>
        </w:rPr>
        <w:t xml:space="preserve">means the </w:t>
      </w:r>
      <w:r>
        <w:rPr>
          <w:rFonts w:ascii="Times New Roman" w:hAnsi="Times New Roman" w:eastAsia="Times New Roman"/>
          <w:i w:val="true"/>
          <w:color w:val="000000"/>
          <w:spacing w:val="0"/>
          <w:w w:val="100"/>
          <w:sz w:val="24"/>
          <w:vertAlign w:val="baseline"/>
          <w:lang w:val="en-US"/>
        </w:rPr>
        <w:t xml:space="preserve">Work Health and Safety Act 2011.</w:t>
      </w:r>
    </w:p>
    <w:p>
      <w:pPr>
        <w:spacing w:before="120" w:after="1009" w:line="276" w:lineRule="exact"/>
        <w:ind w:right="72" w:left="1872" w:hanging="504"/>
        <w:jc w:val="left"/>
        <w:textAlignment w:val="baseline"/>
        <w:rPr>
          <w:rFonts w:ascii="Times New Roman" w:hAnsi="Times New Roman" w:eastAsia="Times New Roman"/>
          <w:b w:val="true"/>
          <w:i w:val="true"/>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b w:val="true"/>
          <w:i w:val="true"/>
          <w:color w:val="000000"/>
          <w:spacing w:val="0"/>
          <w:w w:val="100"/>
          <w:sz w:val="24"/>
          <w:vertAlign w:val="baseline"/>
          <w:lang w:val="en-US"/>
        </w:rPr>
        <w:t xml:space="preserve">theatrical performance </w:t>
      </w:r>
      <w:r>
        <w:rPr>
          <w:rFonts w:ascii="Times New Roman" w:hAnsi="Times New Roman" w:eastAsia="Times New Roman"/>
          <w:color w:val="000000"/>
          <w:spacing w:val="0"/>
          <w:w w:val="100"/>
          <w:sz w:val="24"/>
          <w:vertAlign w:val="baseline"/>
          <w:lang w:val="en-US"/>
        </w:rPr>
        <w:t xml:space="preserve">means acting, singing, playing a musical instrument, dancing or otherwise performing literary or artistic works or expressions of traditional custom or folklore.</w:t>
      </w:r>
    </w:p>
    <w:p>
      <w:pPr>
        <w:spacing w:before="120" w:after="1009" w:line="276"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31</w:t>
      </w:r>
    </w:p>
    <w:p>
      <w:pPr>
        <w:sectPr>
          <w:type w:val="continuous"/>
          <w:pgSz w:w="11909" w:h="16838" w:orient="portrait"/>
          <w:pgMar w:bottom="1082" w:top="1140" w:right="5861" w:left="1968"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	</w:t>
      </w:r>
      <w:r>
        <w:rPr>
          <w:rFonts w:ascii="Times New Roman" w:hAnsi="Times New Roman" w:eastAsia="Times New Roman"/>
          <w:color w:val="000000"/>
          <w:spacing w:val="0"/>
          <w:w w:val="100"/>
          <w:sz w:val="20"/>
          <w:vertAlign w:val="baseline"/>
          <w:lang w:val="en-US"/>
        </w:rPr>
        <w:t xml:space="preserve">Introductory Matters</w:t>
      </w:r>
    </w:p>
    <w:p>
      <w:pPr>
        <w:spacing w:before="251" w:after="0" w:line="274"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i w:val="true"/>
          <w:color w:val="000000"/>
          <w:spacing w:val="0"/>
          <w:w w:val="100"/>
          <w:sz w:val="24"/>
          <w:vertAlign w:val="baseline"/>
          <w:lang w:val="en-US"/>
        </w:rPr>
        <w:t xml:space="preserve">threshold quantity</w:t>
      </w:r>
      <w:r>
        <w:rPr>
          <w:rFonts w:ascii="Times New Roman" w:hAnsi="Times New Roman" w:eastAsia="Times New Roman"/>
          <w:color w:val="000000"/>
          <w:spacing w:val="0"/>
          <w:w w:val="100"/>
          <w:sz w:val="24"/>
          <w:vertAlign w:val="baseline"/>
          <w:lang w:val="en-US"/>
        </w:rPr>
        <w:t xml:space="preserve">, in relation to a Schedule 15 chemical, means:</w:t>
      </w:r>
    </w:p>
    <w:p>
      <w:pPr>
        <w:numPr>
          <w:ilvl w:val="0"/>
          <w:numId w:val="80"/>
        </w:numPr>
        <w:tabs>
          <w:tab w:val="clear" w:pos="360"/>
          <w:tab w:val="left" w:pos="2376"/>
        </w:tabs>
        <w:spacing w:before="125" w:after="0" w:line="273" w:lineRule="exact"/>
        <w:ind w:right="7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threshold quantity of a specific hazardous chemical as determined under clause 3 of Schedule 15; or</w:t>
      </w:r>
    </w:p>
    <w:p>
      <w:pPr>
        <w:numPr>
          <w:ilvl w:val="0"/>
          <w:numId w:val="80"/>
        </w:numPr>
        <w:tabs>
          <w:tab w:val="clear" w:pos="360"/>
          <w:tab w:val="left" w:pos="2376"/>
        </w:tabs>
        <w:spacing w:before="126" w:after="0" w:line="273" w:lineRule="exact"/>
        <w:ind w:right="216" w:left="2376"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aggregate threshold quantity of 2 or more hazardous chemicals as determined under clause 4 of Schedule 15.</w:t>
      </w:r>
    </w:p>
    <w:p>
      <w:pPr>
        <w:spacing w:before="126" w:after="0" w:line="274" w:lineRule="exact"/>
        <w:ind w:right="0" w:left="1368" w:firstLine="0"/>
        <w:jc w:val="left"/>
        <w:textAlignment w:val="baseline"/>
        <w:rPr>
          <w:rFonts w:ascii="Times New Roman" w:hAnsi="Times New Roman" w:eastAsia="Times New Roman"/>
          <w:b w:val="true"/>
          <w:i w:val="true"/>
          <w:color w:val="000000"/>
          <w:spacing w:val="-1"/>
          <w:w w:val="100"/>
          <w:sz w:val="24"/>
          <w:vertAlign w:val="baseline"/>
          <w:lang w:val="en-US"/>
        </w:rPr>
      </w:pPr>
      <w:r>
        <w:rPr>
          <w:rFonts w:ascii="Times New Roman" w:hAnsi="Times New Roman" w:eastAsia="Times New Roman"/>
          <w:b w:val="true"/>
          <w:i w:val="true"/>
          <w:color w:val="000000"/>
          <w:spacing w:val="-1"/>
          <w:w w:val="100"/>
          <w:sz w:val="24"/>
          <w:vertAlign w:val="baseline"/>
          <w:lang w:val="en-US"/>
        </w:rPr>
        <w:t xml:space="preserve">tower crane </w:t>
      </w:r>
      <w:r>
        <w:rPr>
          <w:rFonts w:ascii="Times New Roman" w:hAnsi="Times New Roman" w:eastAsia="Times New Roman"/>
          <w:color w:val="000000"/>
          <w:spacing w:val="-1"/>
          <w:w w:val="100"/>
          <w:sz w:val="24"/>
          <w:vertAlign w:val="baseline"/>
          <w:lang w:val="en-US"/>
        </w:rPr>
        <w:t xml:space="preserve">means:</w:t>
      </w:r>
    </w:p>
    <w:p>
      <w:pPr>
        <w:numPr>
          <w:ilvl w:val="0"/>
          <w:numId w:val="81"/>
        </w:numPr>
        <w:tabs>
          <w:tab w:val="clear" w:pos="360"/>
          <w:tab w:val="left" w:pos="2376"/>
        </w:tabs>
        <w:spacing w:before="113" w:after="0" w:line="279" w:lineRule="exact"/>
        <w:ind w:right="576" w:left="2376"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crane that has a boom or a jib mounted on a tower structure; and</w:t>
      </w:r>
    </w:p>
    <w:p>
      <w:pPr>
        <w:numPr>
          <w:ilvl w:val="0"/>
          <w:numId w:val="81"/>
        </w:numPr>
        <w:tabs>
          <w:tab w:val="clear" w:pos="360"/>
          <w:tab w:val="left" w:pos="2376"/>
        </w:tabs>
        <w:spacing w:before="120" w:after="0" w:line="273" w:lineRule="exact"/>
        <w:ind w:right="0" w:left="2376"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Schedule 3:</w:t>
      </w:r>
    </w:p>
    <w:p>
      <w:pPr>
        <w:numPr>
          <w:ilvl w:val="0"/>
          <w:numId w:val="82"/>
        </w:numPr>
        <w:tabs>
          <w:tab w:val="clear" w:pos="360"/>
          <w:tab w:val="left" w:pos="2880"/>
        </w:tabs>
        <w:spacing w:before="126" w:after="0" w:line="273" w:lineRule="exact"/>
        <w:ind w:right="576" w:left="2880"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crane, if a jib crane, may be a horizontal or luffing jib type; and</w:t>
      </w:r>
    </w:p>
    <w:p>
      <w:pPr>
        <w:numPr>
          <w:ilvl w:val="0"/>
          <w:numId w:val="82"/>
        </w:numPr>
        <w:tabs>
          <w:tab w:val="clear" w:pos="360"/>
          <w:tab w:val="left" w:pos="2880"/>
        </w:tabs>
        <w:spacing w:before="126" w:after="0" w:line="273" w:lineRule="exact"/>
        <w:ind w:right="936" w:left="2880"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tower structure may be demountable or permanent,</w:t>
      </w:r>
    </w:p>
    <w:p>
      <w:pPr>
        <w:spacing w:before="121" w:after="0" w:line="273" w:lineRule="exact"/>
        <w:ind w:right="0" w:left="2376"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but does not include a self-erecting tower crane.</w:t>
      </w:r>
    </w:p>
    <w:p>
      <w:pPr>
        <w:spacing w:before="124" w:after="0" w:line="275" w:lineRule="exact"/>
        <w:ind w:right="144"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tractor </w:t>
      </w:r>
      <w:r>
        <w:rPr>
          <w:rFonts w:ascii="Times New Roman" w:hAnsi="Times New Roman" w:eastAsia="Times New Roman"/>
          <w:color w:val="000000"/>
          <w:spacing w:val="0"/>
          <w:w w:val="100"/>
          <w:sz w:val="24"/>
          <w:vertAlign w:val="baseline"/>
          <w:lang w:val="en-US"/>
        </w:rPr>
        <w:t xml:space="preserve">means a motor vehicle, whether wheeled or track mounted, designed to provide power and movement to any attached machine or implement by a transmission shaft, belt or linkage system but does not include earthmoving machinery.</w:t>
      </w:r>
    </w:p>
    <w:p>
      <w:pPr>
        <w:spacing w:before="125" w:after="0" w:line="274" w:lineRule="exact"/>
        <w:ind w:right="0" w:left="0" w:firstLine="0"/>
        <w:jc w:val="center"/>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trench </w:t>
      </w:r>
      <w:r>
        <w:rPr>
          <w:rFonts w:ascii="Times New Roman" w:hAnsi="Times New Roman" w:eastAsia="Times New Roman"/>
          <w:color w:val="000000"/>
          <w:spacing w:val="0"/>
          <w:w w:val="100"/>
          <w:sz w:val="24"/>
          <w:vertAlign w:val="baseline"/>
          <w:lang w:val="en-US"/>
        </w:rPr>
        <w:t xml:space="preserve">means a horizontal or inclined way or opening:</w:t>
      </w:r>
    </w:p>
    <w:p>
      <w:pPr>
        <w:numPr>
          <w:ilvl w:val="0"/>
          <w:numId w:val="83"/>
        </w:numPr>
        <w:tabs>
          <w:tab w:val="clear" w:pos="360"/>
          <w:tab w:val="left" w:pos="2376"/>
        </w:tabs>
        <w:spacing w:before="115" w:after="0" w:line="278" w:lineRule="exact"/>
        <w:ind w:right="288"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length of which is greater than its width and greater than or equal to its depth; and</w:t>
      </w:r>
    </w:p>
    <w:p>
      <w:pPr>
        <w:numPr>
          <w:ilvl w:val="0"/>
          <w:numId w:val="83"/>
        </w:numPr>
        <w:tabs>
          <w:tab w:val="clear" w:pos="360"/>
          <w:tab w:val="left" w:pos="2376"/>
        </w:tabs>
        <w:spacing w:before="116" w:after="0" w:line="278" w:lineRule="exact"/>
        <w:ind w:right="216" w:left="2376"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commences at and extends below the surface of the ground; and</w:t>
      </w:r>
    </w:p>
    <w:p>
      <w:pPr>
        <w:numPr>
          <w:ilvl w:val="0"/>
          <w:numId w:val="83"/>
        </w:numPr>
        <w:tabs>
          <w:tab w:val="clear" w:pos="360"/>
          <w:tab w:val="left" w:pos="2376"/>
        </w:tabs>
        <w:spacing w:before="0" w:after="0" w:line="396" w:lineRule="exact"/>
        <w:ind w:right="1368" w:left="1368" w:firstLine="648"/>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that is open to the surface along its length. </w:t>
      </w:r>
      <w:r>
        <w:rPr>
          <w:rFonts w:ascii="Times New Roman" w:hAnsi="Times New Roman" w:eastAsia="Times New Roman"/>
          <w:b w:val="true"/>
          <w:i w:val="true"/>
          <w:color w:val="000000"/>
          <w:spacing w:val="-1"/>
          <w:w w:val="100"/>
          <w:sz w:val="24"/>
          <w:vertAlign w:val="baseline"/>
          <w:lang w:val="en-US"/>
        </w:rPr>
        <w:t xml:space="preserve">tunnel </w:t>
      </w:r>
      <w:r>
        <w:rPr>
          <w:rFonts w:ascii="Times New Roman" w:hAnsi="Times New Roman" w:eastAsia="Times New Roman"/>
          <w:color w:val="000000"/>
          <w:spacing w:val="-1"/>
          <w:w w:val="100"/>
          <w:sz w:val="24"/>
          <w:vertAlign w:val="baseline"/>
          <w:lang w:val="en-US"/>
        </w:rPr>
        <w:t xml:space="preserve">means an underground passage or opening that:</w:t>
      </w:r>
    </w:p>
    <w:p>
      <w:pPr>
        <w:numPr>
          <w:ilvl w:val="0"/>
          <w:numId w:val="84"/>
        </w:numPr>
        <w:tabs>
          <w:tab w:val="clear" w:pos="360"/>
          <w:tab w:val="left" w:pos="2376"/>
        </w:tabs>
        <w:spacing w:before="120" w:after="0" w:line="273"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approximately horizontal; and</w:t>
      </w:r>
    </w:p>
    <w:p>
      <w:pPr>
        <w:numPr>
          <w:ilvl w:val="0"/>
          <w:numId w:val="84"/>
        </w:numPr>
        <w:tabs>
          <w:tab w:val="clear" w:pos="360"/>
          <w:tab w:val="left" w:pos="2376"/>
        </w:tabs>
        <w:spacing w:before="124" w:after="0" w:line="274" w:lineRule="exact"/>
        <w:ind w:right="936"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commences at the surface of the ground or at an excavation.</w:t>
      </w:r>
    </w:p>
    <w:p>
      <w:pPr>
        <w:spacing w:before="124" w:after="0" w:line="274" w:lineRule="exact"/>
        <w:ind w:right="144"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UN number </w:t>
      </w:r>
      <w:r>
        <w:rPr>
          <w:rFonts w:ascii="Times New Roman" w:hAnsi="Times New Roman" w:eastAsia="Times New Roman"/>
          <w:color w:val="000000"/>
          <w:spacing w:val="0"/>
          <w:w w:val="100"/>
          <w:sz w:val="24"/>
          <w:vertAlign w:val="baseline"/>
          <w:lang w:val="en-US"/>
        </w:rPr>
        <w:t xml:space="preserve">has the same meaning as it has in Attachment 2 of the ADG Code.</w:t>
      </w:r>
    </w:p>
    <w:p>
      <w:pPr>
        <w:spacing w:before="124" w:after="0" w:line="274" w:lineRule="exact"/>
        <w:ind w:right="216" w:left="1872" w:hanging="504"/>
        <w:jc w:val="both"/>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vehicle hoist </w:t>
      </w:r>
      <w:r>
        <w:rPr>
          <w:rFonts w:ascii="Times New Roman" w:hAnsi="Times New Roman" w:eastAsia="Times New Roman"/>
          <w:color w:val="000000"/>
          <w:spacing w:val="0"/>
          <w:w w:val="100"/>
          <w:sz w:val="24"/>
          <w:vertAlign w:val="baseline"/>
          <w:lang w:val="en-US"/>
        </w:rPr>
        <w:t xml:space="preserve">means a device to hoist vehicles designed to provide access for under-chassis examination or service.</w:t>
      </w:r>
    </w:p>
    <w:p>
      <w:pPr>
        <w:spacing w:before="124" w:after="1166" w:line="274" w:lineRule="exact"/>
        <w:ind w:right="216" w:left="1872" w:hanging="504"/>
        <w:jc w:val="both"/>
        <w:textAlignment w:val="baseline"/>
        <w:rPr>
          <w:rFonts w:ascii="Times New Roman" w:hAnsi="Times New Roman" w:eastAsia="Times New Roman"/>
          <w:b w:val="true"/>
          <w:i w:val="true"/>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b w:val="true"/>
          <w:i w:val="true"/>
          <w:color w:val="000000"/>
          <w:spacing w:val="0"/>
          <w:w w:val="100"/>
          <w:sz w:val="24"/>
          <w:vertAlign w:val="baseline"/>
          <w:lang w:val="en-US"/>
        </w:rPr>
        <w:t xml:space="preserve">vehicle loading crane </w:t>
      </w:r>
      <w:r>
        <w:rPr>
          <w:rFonts w:ascii="Times New Roman" w:hAnsi="Times New Roman" w:eastAsia="Times New Roman"/>
          <w:color w:val="000000"/>
          <w:spacing w:val="0"/>
          <w:w w:val="100"/>
          <w:sz w:val="24"/>
          <w:vertAlign w:val="baseline"/>
          <w:lang w:val="en-US"/>
        </w:rPr>
        <w:t xml:space="preserve">means a crane mounted on a vehicle for the purpose of loading and unloading the vehicle.</w:t>
      </w:r>
    </w:p>
    <w:p>
      <w:pPr>
        <w:spacing w:before="124" w:after="1166" w:line="274"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32</w:t>
      </w:r>
    </w:p>
    <w:p>
      <w:pPr>
        <w:sectPr>
          <w:type w:val="continuous"/>
          <w:pgSz w:w="11909" w:h="16838" w:orient="portrait"/>
          <w:pgMar w:bottom="1082" w:top="1140" w:right="5853" w:left="1976"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	</w:t>
      </w:r>
      <w:r>
        <w:rPr>
          <w:rFonts w:ascii="Times New Roman" w:hAnsi="Times New Roman" w:eastAsia="Times New Roman"/>
          <w:color w:val="000000"/>
          <w:spacing w:val="0"/>
          <w:w w:val="100"/>
          <w:sz w:val="20"/>
          <w:vertAlign w:val="baseline"/>
          <w:lang w:val="en-US"/>
        </w:rPr>
        <w:t xml:space="preserve">Introductory Matters</w:t>
      </w:r>
    </w:p>
    <w:p>
      <w:pPr>
        <w:spacing w:before="248" w:after="0" w:line="276" w:lineRule="exact"/>
        <w:ind w:right="72" w:left="1872" w:hanging="504"/>
        <w:jc w:val="left"/>
        <w:textAlignment w:val="baseline"/>
        <w:rPr>
          <w:rFonts w:ascii="Times New Roman" w:hAnsi="Times New Roman" w:eastAsia="Times New Roman"/>
          <w:b w:val="true"/>
          <w:i w:val="true"/>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i w:val="true"/>
          <w:color w:val="000000"/>
          <w:spacing w:val="0"/>
          <w:w w:val="100"/>
          <w:sz w:val="24"/>
          <w:vertAlign w:val="baseline"/>
          <w:lang w:val="en-US"/>
        </w:rPr>
        <w:t xml:space="preserve">VET course </w:t>
      </w:r>
      <w:r>
        <w:rPr>
          <w:rFonts w:ascii="Times New Roman" w:hAnsi="Times New Roman" w:eastAsia="Times New Roman"/>
          <w:color w:val="000000"/>
          <w:spacing w:val="0"/>
          <w:w w:val="100"/>
          <w:sz w:val="24"/>
          <w:vertAlign w:val="baseline"/>
          <w:lang w:val="en-US"/>
        </w:rPr>
        <w:t xml:space="preserve">has the same meaning as it has in the </w:t>
      </w:r>
      <w:r>
        <w:rPr>
          <w:rFonts w:ascii="Times New Roman" w:hAnsi="Times New Roman" w:eastAsia="Times New Roman"/>
          <w:i w:val="true"/>
          <w:color w:val="000000"/>
          <w:spacing w:val="0"/>
          <w:w w:val="100"/>
          <w:sz w:val="24"/>
          <w:vertAlign w:val="baseline"/>
          <w:lang w:val="en-US"/>
        </w:rPr>
        <w:t xml:space="preserve">National Vocational Education and Training Regulator Act 2011 </w:t>
      </w:r>
      <w:r>
        <w:rPr>
          <w:rFonts w:ascii="Times New Roman" w:hAnsi="Times New Roman" w:eastAsia="Times New Roman"/>
          <w:color w:val="000000"/>
          <w:spacing w:val="0"/>
          <w:w w:val="100"/>
          <w:sz w:val="24"/>
          <w:vertAlign w:val="baseline"/>
          <w:lang w:val="en-US"/>
        </w:rPr>
        <w:t xml:space="preserve">of the Commonwealth.</w:t>
      </w:r>
    </w:p>
    <w:p>
      <w:pPr>
        <w:spacing w:before="120" w:after="0" w:line="276" w:lineRule="exact"/>
        <w:ind w:right="144"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WHS management plan</w:t>
      </w:r>
      <w:r>
        <w:rPr>
          <w:rFonts w:ascii="Times New Roman" w:hAnsi="Times New Roman" w:eastAsia="Times New Roman"/>
          <w:color w:val="000000"/>
          <w:spacing w:val="0"/>
          <w:w w:val="100"/>
          <w:sz w:val="24"/>
          <w:vertAlign w:val="baseline"/>
          <w:lang w:val="en-US"/>
        </w:rPr>
        <w:t xml:space="preserve">, in relation to a construction project, means a management plan prepared or revised under Part 6.4.</w:t>
      </w:r>
    </w:p>
    <w:p>
      <w:pPr>
        <w:spacing w:before="123" w:after="0" w:line="276" w:lineRule="exact"/>
        <w:ind w:right="0"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work box </w:t>
      </w:r>
      <w:r>
        <w:rPr>
          <w:rFonts w:ascii="Times New Roman" w:hAnsi="Times New Roman" w:eastAsia="Times New Roman"/>
          <w:color w:val="000000"/>
          <w:spacing w:val="0"/>
          <w:w w:val="100"/>
          <w:sz w:val="24"/>
          <w:vertAlign w:val="baseline"/>
          <w:lang w:val="en-US"/>
        </w:rPr>
        <w:t xml:space="preserve">means a personnel carrying device, designed to be suspended from a crane, to provide a working area for a person elevated by and working from the device.</w:t>
      </w:r>
    </w:p>
    <w:p>
      <w:pPr>
        <w:spacing w:before="120" w:after="0" w:line="276" w:lineRule="exact"/>
        <w:ind w:right="144"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work positioning system </w:t>
      </w:r>
      <w:r>
        <w:rPr>
          <w:rFonts w:ascii="Times New Roman" w:hAnsi="Times New Roman" w:eastAsia="Times New Roman"/>
          <w:color w:val="000000"/>
          <w:spacing w:val="0"/>
          <w:w w:val="100"/>
          <w:sz w:val="24"/>
          <w:vertAlign w:val="baseline"/>
          <w:lang w:val="en-US"/>
        </w:rPr>
        <w:t xml:space="preserve">means any plant or structure, other than a temporary work platform, that enables a person to be positioned and safely supported at a location for the duration of the relevant work being carried out.</w:t>
      </w:r>
    </w:p>
    <w:p>
      <w:pPr>
        <w:spacing w:before="117" w:after="0" w:line="276"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Unless the context otherwise requires:</w:t>
      </w:r>
    </w:p>
    <w:p>
      <w:pPr>
        <w:numPr>
          <w:ilvl w:val="0"/>
          <w:numId w:val="85"/>
        </w:numPr>
        <w:tabs>
          <w:tab w:val="clear" w:pos="360"/>
          <w:tab w:val="left" w:pos="1872"/>
        </w:tabs>
        <w:spacing w:before="118" w:after="0" w:line="276"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reference in these Regulations to a Chapter by a number must be construed as reference to the Chapter, designated by that number, of these Regulations;</w:t>
      </w:r>
    </w:p>
    <w:p>
      <w:pPr>
        <w:numPr>
          <w:ilvl w:val="0"/>
          <w:numId w:val="85"/>
        </w:numPr>
        <w:tabs>
          <w:tab w:val="clear" w:pos="360"/>
          <w:tab w:val="left" w:pos="1872"/>
        </w:tabs>
        <w:spacing w:before="122"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reference in these Regulations to a Part by a number must be construed as reference to the Part, designated by that number, of these Regulations.</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8"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notes in the Appendix.</w:t>
      </w:r>
    </w:p>
    <w:p>
      <w:pPr>
        <w:spacing w:before="119"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6 Determination of safety management system</w:t>
      </w:r>
    </w:p>
    <w:p>
      <w:pPr>
        <w:spacing w:before="120" w:after="0" w:line="276" w:lineRule="exact"/>
        <w:ind w:right="504"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may make a determination for the purposes of the definition of </w:t>
      </w:r>
      <w:r>
        <w:rPr>
          <w:rFonts w:ascii="Times New Roman" w:hAnsi="Times New Roman" w:eastAsia="Times New Roman"/>
          <w:b w:val="true"/>
          <w:i w:val="true"/>
          <w:color w:val="000000"/>
          <w:spacing w:val="0"/>
          <w:w w:val="100"/>
          <w:sz w:val="24"/>
          <w:vertAlign w:val="baseline"/>
          <w:lang w:val="en-US"/>
        </w:rPr>
        <w:t xml:space="preserve">certified safety management system</w:t>
      </w:r>
      <w:r>
        <w:rPr>
          <w:rFonts w:ascii="Times New Roman" w:hAnsi="Times New Roman" w:eastAsia="Times New Roman"/>
          <w:color w:val="000000"/>
          <w:spacing w:val="0"/>
          <w:w w:val="100"/>
          <w:sz w:val="24"/>
          <w:vertAlign w:val="baseline"/>
          <w:lang w:val="en-US"/>
        </w:rPr>
        <w:t xml:space="preserve">.</w:t>
      </w:r>
    </w:p>
    <w:p>
      <w:pPr>
        <w:spacing w:before="124" w:after="0" w:line="274" w:lineRule="exact"/>
        <w:ind w:right="504"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7 Meaning of person conducting a business or undertaking—persons excluded</w:t>
      </w:r>
    </w:p>
    <w:p>
      <w:pPr>
        <w:numPr>
          <w:ilvl w:val="0"/>
          <w:numId w:val="86"/>
        </w:numPr>
        <w:tabs>
          <w:tab w:val="clear" w:pos="360"/>
          <w:tab w:val="left" w:pos="1368"/>
        </w:tabs>
        <w:spacing w:before="119" w:after="0" w:line="276"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the purposes of section 5(6) of the Act, a strata title body corporate that is responsible for any common areas used only for residential purposes may be taken not to be a person conducting a business or undertaking in relation to those premises.</w:t>
      </w:r>
    </w:p>
    <w:p>
      <w:pPr>
        <w:numPr>
          <w:ilvl w:val="0"/>
          <w:numId w:val="86"/>
        </w:numPr>
        <w:tabs>
          <w:tab w:val="clear" w:pos="360"/>
          <w:tab w:val="left" w:pos="1368"/>
        </w:tabs>
        <w:spacing w:before="120" w:after="0" w:line="276"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Subregulation (1) does not apply if the strata title body corporate engages any worker as an employee.</w:t>
      </w:r>
    </w:p>
    <w:p>
      <w:pPr>
        <w:numPr>
          <w:ilvl w:val="0"/>
          <w:numId w:val="86"/>
        </w:numPr>
        <w:tabs>
          <w:tab w:val="clear" w:pos="360"/>
          <w:tab w:val="left" w:pos="1368"/>
        </w:tabs>
        <w:spacing w:before="122" w:after="1027"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For the purposes of section 5(6) of the Act, an incorporated association may be taken not to be a person conducting a business or undertaking if the incorporated association consists of a group of volunteers working together for 1 or more community purposes where:</w:t>
      </w:r>
    </w:p>
    <w:p>
      <w:pPr>
        <w:spacing w:before="122" w:after="1027" w:line="276"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33</w:t>
      </w:r>
    </w:p>
    <w:p>
      <w:pPr>
        <w:sectPr>
          <w:type w:val="continuous"/>
          <w:pgSz w:w="11909" w:h="16838" w:orient="portrait"/>
          <w:pgMar w:bottom="1082" w:top="1140" w:right="5858" w:left="1971"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	</w:t>
      </w:r>
      <w:r>
        <w:rPr>
          <w:rFonts w:ascii="Times New Roman" w:hAnsi="Times New Roman" w:eastAsia="Times New Roman"/>
          <w:color w:val="000000"/>
          <w:spacing w:val="0"/>
          <w:w w:val="100"/>
          <w:sz w:val="20"/>
          <w:vertAlign w:val="baseline"/>
          <w:lang w:val="en-US"/>
        </w:rPr>
        <w:t xml:space="preserve">Introductory Matters</w:t>
      </w:r>
    </w:p>
    <w:p>
      <w:pPr>
        <w:numPr>
          <w:ilvl w:val="0"/>
          <w:numId w:val="87"/>
        </w:numPr>
        <w:tabs>
          <w:tab w:val="clear" w:pos="360"/>
          <w:tab w:val="left" w:pos="1872"/>
        </w:tabs>
        <w:spacing w:before="248" w:after="0" w:line="276"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incorporated association, either alone or jointly with any other similar incorporated association, does not employ any person to carry out work for the incorporated association; and</w:t>
      </w:r>
    </w:p>
    <w:p>
      <w:pPr>
        <w:numPr>
          <w:ilvl w:val="0"/>
          <w:numId w:val="87"/>
        </w:numPr>
        <w:tabs>
          <w:tab w:val="clear" w:pos="360"/>
          <w:tab w:val="left" w:pos="1872"/>
        </w:tabs>
        <w:spacing w:before="123"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none of the volunteers, whether alone or jointly with any other volunteers, employs any person to carry out work for the incorporated association.</w:t>
      </w:r>
    </w:p>
    <w:p>
      <w:pPr>
        <w:tabs>
          <w:tab w:val="right" w:leader="none" w:pos="7848"/>
        </w:tabs>
        <w:spacing w:before="119" w:after="0" w:line="276"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In this regulation, </w:t>
      </w:r>
      <w:r>
        <w:rPr>
          <w:rFonts w:ascii="Times New Roman" w:hAnsi="Times New Roman" w:eastAsia="Times New Roman"/>
          <w:b w:val="true"/>
          <w:i w:val="true"/>
          <w:color w:val="000000"/>
          <w:spacing w:val="0"/>
          <w:w w:val="100"/>
          <w:sz w:val="24"/>
          <w:vertAlign w:val="baseline"/>
          <w:lang w:val="en-US"/>
        </w:rPr>
        <w:t xml:space="preserve">strata title body corporate </w:t>
      </w:r>
      <w:r>
        <w:rPr>
          <w:rFonts w:ascii="Times New Roman" w:hAnsi="Times New Roman" w:eastAsia="Times New Roman"/>
          <w:color w:val="000000"/>
          <w:spacing w:val="0"/>
          <w:w w:val="100"/>
          <w:sz w:val="24"/>
          <w:vertAlign w:val="baseline"/>
          <w:lang w:val="en-US"/>
        </w:rPr>
        <w:t xml:space="preserve">means [	</w:t>
      </w:r>
      <w:r>
        <w:rPr>
          <w:rFonts w:ascii="Times New Roman" w:hAnsi="Times New Roman" w:eastAsia="Times New Roman"/>
          <w:color w:val="000000"/>
          <w:spacing w:val="0"/>
          <w:w w:val="100"/>
          <w:sz w:val="25"/>
          <w:u w:val="single"/>
          <w:vertAlign w:val="baseline"/>
          <w:lang w:val="en-US"/>
        </w:rPr>
        <w:t xml:space="preserve">].</w:t>
      </w:r>
      <w:r>
        <w:rPr>
          <w:rFonts w:ascii="Times New Roman" w:hAnsi="Times New Roman" w:eastAsia="Times New Roman"/>
          <w:color w:val="000000"/>
          <w:spacing w:val="0"/>
          <w:w w:val="100"/>
          <w:sz w:val="24"/>
          <w:vertAlign w:val="baseline"/>
          <w:lang w:val="en-US"/>
        </w:rPr>
        <w:t xml:space="preserve">
</w:t>
      </w:r>
    </w:p>
    <w:p>
      <w:pPr>
        <w:spacing w:before="122"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8"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notes in the Appendix.</w:t>
      </w:r>
    </w:p>
    <w:p>
      <w:pPr>
        <w:spacing w:before="119"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8 Meaning of </w:t>
      </w:r>
      <w:r>
        <w:rPr>
          <w:rFonts w:ascii="Times New Roman" w:hAnsi="Times New Roman" w:eastAsia="Times New Roman"/>
          <w:b w:val="true"/>
          <w:i w:val="true"/>
          <w:color w:val="000000"/>
          <w:spacing w:val="0"/>
          <w:w w:val="100"/>
          <w:sz w:val="24"/>
          <w:vertAlign w:val="baseline"/>
          <w:lang w:val="en-US"/>
        </w:rPr>
        <w:t xml:space="preserve">supply</w:t>
      </w:r>
    </w:p>
    <w:p>
      <w:pPr>
        <w:spacing w:before="119" w:after="0" w:line="276" w:lineRule="exact"/>
        <w:ind w:right="144"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the purposes of section 6(3)(b) of the Act, a supply of a thing does not include the supply of a thing by a person who does not control the supply and has no authority to make decisions about the supply.</w:t>
      </w:r>
    </w:p>
    <w:p>
      <w:pPr>
        <w:spacing w:before="129"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Examples</w:t>
      </w:r>
    </w:p>
    <w:p>
      <w:pPr>
        <w:tabs>
          <w:tab w:val="left" w:leader="none" w:pos="1800"/>
        </w:tabs>
        <w:spacing w:before="125" w:after="0" w:line="228"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An auctioneer who auctions a thing without having possession of the thing.</w:t>
      </w:r>
    </w:p>
    <w:p>
      <w:pPr>
        <w:tabs>
          <w:tab w:val="left" w:leader="none" w:pos="1800"/>
        </w:tabs>
        <w:spacing w:before="0" w:after="0" w:line="371" w:lineRule="exact"/>
        <w:ind w:right="720" w:left="288" w:firstLine="108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A real estate agent acting in his or her capacity as a real estate agent. </w:t>
      </w:r>
      <w:r>
        <w:rPr>
          <w:rFonts w:ascii="Times New Roman" w:hAnsi="Times New Roman" w:eastAsia="Times New Roman"/>
          <w:b w:val="true"/>
          <w:color w:val="000000"/>
          <w:spacing w:val="0"/>
          <w:w w:val="100"/>
          <w:sz w:val="24"/>
          <w:vertAlign w:val="baseline"/>
          <w:lang w:val="en-US"/>
        </w:rPr>
        <w:t xml:space="preserve">9 Provisions linked to health and safety duties in Act</w:t>
      </w:r>
    </w:p>
    <w:p>
      <w:pPr>
        <w:spacing w:before="117" w:after="0" w:line="276" w:lineRule="exact"/>
        <w:ind w:right="72" w:left="1368"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If a note at the foot of a provision of these Regulations states "WHS Act" followed by a reference to a section number, the regulation provision sets out the way in which a person's duty or obligation under that section of the Act is to be performed in relation to the matters and to the extent set out in the regulation provision.</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8"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failure to comply with a duty or obligation under a section of the Act referred</w:t>
      </w:r>
    </w:p>
    <w:p>
      <w:pPr>
        <w:spacing w:before="3" w:after="0" w:line="228"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to in a "WHS Act" note is an offence to which a penalty applies.</w:t>
      </w:r>
    </w:p>
    <w:p>
      <w:pPr>
        <w:spacing w:before="122"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3152" w:line="228"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334"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1.05pt,0.3pt" style="position:absolute;mso-position-horizontal-relative:text;mso-position-vertical-relative:text;">
            <v:stroke dashstyle="solid"/>
          </v:line>
        </w:pict>
      </w:r>
    </w:p>
    <w:p>
      <w:pPr>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34</w:t>
      </w:r>
    </w:p>
    <w:p>
      <w:pPr>
        <w:sectPr>
          <w:type w:val="continuous"/>
          <w:pgSz w:w="11909" w:h="16838" w:orient="portrait"/>
          <w:pgMar w:bottom="1082" w:top="1140" w:right="5853" w:left="1976"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1.2	</w:t>
      </w:r>
      <w:r>
        <w:rPr>
          <w:rFonts w:ascii="Times New Roman" w:hAnsi="Times New Roman" w:eastAsia="Times New Roman"/>
          <w:color w:val="000000"/>
          <w:spacing w:val="0"/>
          <w:w w:val="100"/>
          <w:sz w:val="20"/>
          <w:vertAlign w:val="baseline"/>
          <w:lang w:val="en-US"/>
        </w:rPr>
        <w:t xml:space="preserve">Application</w:t>
      </w:r>
    </w:p>
    <w:p>
      <w:pPr>
        <w:spacing w:before="258" w:after="0" w:line="317" w:lineRule="exact"/>
        <w:ind w:right="0" w:left="0" w:firstLine="0"/>
        <w:jc w:val="left"/>
        <w:textAlignment w:val="baseline"/>
        <w:rPr>
          <w:rFonts w:ascii="Times New Roman" w:hAnsi="Times New Roman" w:eastAsia="Times New Roman"/>
          <w:b w:val="true"/>
          <w:color w:val="000000"/>
          <w:spacing w:val="11"/>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11"/>
          <w:w w:val="100"/>
          <w:sz w:val="28"/>
          <w:vertAlign w:val="baseline"/>
          <w:lang w:val="en-US"/>
        </w:rPr>
        <w:t xml:space="preserve">Part 1.2 Application</w:t>
      </w:r>
    </w:p>
    <w:p>
      <w:pPr>
        <w:spacing w:before="118" w:after="0" w:line="271"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10 Application of the Act to dangerous goods and high risk plant</w:t>
      </w:r>
    </w:p>
    <w:p>
      <w:pPr>
        <w:spacing w:before="125" w:after="0" w:line="274"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following provisions of the Act are excluded from the operation of Schedule 1 to the Act:</w:t>
      </w:r>
    </w:p>
    <w:p>
      <w:pPr>
        <w:numPr>
          <w:ilvl w:val="0"/>
          <w:numId w:val="88"/>
        </w:numPr>
        <w:tabs>
          <w:tab w:val="clear" w:pos="360"/>
          <w:tab w:val="left" w:pos="1872"/>
        </w:tabs>
        <w:spacing w:before="126"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Divisions 2 to 8 of Part 5;</w:t>
      </w:r>
    </w:p>
    <w:p>
      <w:pPr>
        <w:numPr>
          <w:ilvl w:val="0"/>
          <w:numId w:val="88"/>
        </w:numPr>
        <w:tabs>
          <w:tab w:val="clear" w:pos="360"/>
          <w:tab w:val="left" w:pos="1872"/>
        </w:tabs>
        <w:spacing w:before="122"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Part 6;</w:t>
      </w:r>
    </w:p>
    <w:p>
      <w:pPr>
        <w:numPr>
          <w:ilvl w:val="0"/>
          <w:numId w:val="88"/>
        </w:numPr>
        <w:tabs>
          <w:tab w:val="clear" w:pos="360"/>
          <w:tab w:val="left" w:pos="1872"/>
        </w:tabs>
        <w:spacing w:before="126"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Part 7.</w:t>
      </w:r>
    </w:p>
    <w:p>
      <w:pPr>
        <w:spacing w:before="125"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7"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20" w:after="0" w:line="271"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11 Application of these Regulations</w:t>
      </w:r>
    </w:p>
    <w:p>
      <w:pPr>
        <w:spacing w:before="117" w:after="0" w:line="277" w:lineRule="exact"/>
        <w:ind w:right="144"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duty imposed on a person under a provision of these Regulations in relation to health and safety does not limit or affect any duty the person has under the Act or, unless otherwise expressly provided, any other provision of these Regulations.</w:t>
      </w:r>
    </w:p>
    <w:p>
      <w:pPr>
        <w:spacing w:before="113" w:after="0" w:line="279" w:lineRule="exact"/>
        <w:ind w:right="72"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12 Assessment of risk in relation to a class of hazards, tasks, circumstances or things</w:t>
      </w:r>
    </w:p>
    <w:p>
      <w:pPr>
        <w:spacing w:before="117" w:after="0" w:line="277" w:lineRule="exact"/>
        <w:ind w:right="144"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these Regulations require an assessment of risks to health and safety associated with a hazard, task, thing or circumstance, an assessment of risks associated with a class of hazards, tasks, things or circumstances may be conducted if:</w:t>
      </w:r>
    </w:p>
    <w:p>
      <w:pPr>
        <w:numPr>
          <w:ilvl w:val="0"/>
          <w:numId w:val="89"/>
        </w:numPr>
        <w:tabs>
          <w:tab w:val="clear" w:pos="360"/>
          <w:tab w:val="left" w:pos="1872"/>
        </w:tabs>
        <w:spacing w:before="114" w:after="0" w:line="279"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all hazards, tasks, things or circumstances in the class are the same; and</w:t>
      </w:r>
    </w:p>
    <w:p>
      <w:pPr>
        <w:numPr>
          <w:ilvl w:val="0"/>
          <w:numId w:val="89"/>
        </w:numPr>
        <w:tabs>
          <w:tab w:val="clear" w:pos="360"/>
          <w:tab w:val="left" w:pos="1872"/>
        </w:tabs>
        <w:spacing w:before="117" w:after="3261"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spacing w:before="334"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1.05pt,0.3pt" style="position:absolute;mso-position-horizontal-relative:text;mso-position-vertical-relative:text;">
            <v:stroke dashstyle="solid"/>
          </v:line>
        </w:pict>
      </w:r>
    </w:p>
    <w:p>
      <w:pPr>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35</w:t>
      </w:r>
    </w:p>
    <w:p>
      <w:pPr>
        <w:sectPr>
          <w:type w:val="continuous"/>
          <w:pgSz w:w="11909" w:h="16838" w:orient="portrait"/>
          <w:pgMar w:bottom="1082" w:top="1140" w:right="5856" w:left="1973" w:header="720" w:footer="720"/>
          <w:titlePg w:val="false"/>
          <w:textDirection w:val="lrTb"/>
        </w:sectPr>
      </w:pPr>
    </w:p>
    <w:p>
      <w:pPr>
        <w:spacing w:before="1"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7"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1.3	</w:t>
      </w:r>
      <w:r>
        <w:rPr>
          <w:rFonts w:ascii="Times New Roman" w:hAnsi="Times New Roman" w:eastAsia="Times New Roman"/>
          <w:color w:val="000000"/>
          <w:spacing w:val="0"/>
          <w:w w:val="100"/>
          <w:sz w:val="20"/>
          <w:vertAlign w:val="baseline"/>
          <w:lang w:val="en-US"/>
        </w:rPr>
        <w:t xml:space="preserve">Incorporated documents</w:t>
      </w:r>
    </w:p>
    <w:p>
      <w:pPr>
        <w:spacing w:before="258" w:after="0" w:line="317" w:lineRule="exact"/>
        <w:ind w:right="0" w:left="0" w:firstLine="0"/>
        <w:jc w:val="left"/>
        <w:textAlignment w:val="baseline"/>
        <w:rPr>
          <w:rFonts w:ascii="Times New Roman" w:hAnsi="Times New Roman" w:eastAsia="Times New Roman"/>
          <w:b w:val="true"/>
          <w:color w:val="000000"/>
          <w:spacing w:val="7"/>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7"/>
          <w:w w:val="100"/>
          <w:sz w:val="28"/>
          <w:vertAlign w:val="baseline"/>
          <w:lang w:val="en-US"/>
        </w:rPr>
        <w:t xml:space="preserve">Part 1.3 Incorporated documents</w:t>
      </w:r>
    </w:p>
    <w:p>
      <w:pPr>
        <w:spacing w:before="118"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13 Documents incorporated as in force when incorporated</w:t>
      </w:r>
    </w:p>
    <w:p>
      <w:pPr>
        <w:spacing w:before="125" w:after="0" w:line="275" w:lineRule="exact"/>
        <w:ind w:right="288"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spacing w:before="122"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14 Inconsistencies between provisions</w:t>
      </w:r>
    </w:p>
    <w:p>
      <w:pPr>
        <w:spacing w:before="122" w:after="0" w:line="275" w:lineRule="exact"/>
        <w:ind w:right="72" w:left="1368"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If a provision of any document applied, adopted or incorporated by, or referred to in, these Regulations is inconsistent with any provision in these Regulations, the provision of these Regulations prevails.</w:t>
      </w:r>
    </w:p>
    <w:p>
      <w:pPr>
        <w:spacing w:before="126" w:after="0" w:line="274" w:lineRule="exact"/>
        <w:ind w:right="0" w:left="288" w:firstLine="0"/>
        <w:jc w:val="left"/>
        <w:textAlignment w:val="baseline"/>
        <w:rPr>
          <w:rFonts w:ascii="Times New Roman" w:hAnsi="Times New Roman" w:eastAsia="Times New Roman"/>
          <w:b w:val="true"/>
          <w:color w:val="000000"/>
          <w:spacing w:val="-1"/>
          <w:w w:val="100"/>
          <w:sz w:val="24"/>
          <w:vertAlign w:val="baseline"/>
          <w:lang w:val="en-US"/>
        </w:rPr>
      </w:pPr>
      <w:r>
        <w:rPr>
          <w:rFonts w:ascii="Times New Roman" w:hAnsi="Times New Roman" w:eastAsia="Times New Roman"/>
          <w:b w:val="true"/>
          <w:color w:val="000000"/>
          <w:spacing w:val="-1"/>
          <w:w w:val="100"/>
          <w:sz w:val="24"/>
          <w:vertAlign w:val="baseline"/>
          <w:lang w:val="en-US"/>
        </w:rPr>
        <w:t xml:space="preserve">15 References to standards</w:t>
      </w:r>
    </w:p>
    <w:p>
      <w:pPr>
        <w:numPr>
          <w:ilvl w:val="0"/>
          <w:numId w:val="90"/>
        </w:numPr>
        <w:tabs>
          <w:tab w:val="clear" w:pos="360"/>
          <w:tab w:val="left" w:pos="1368"/>
        </w:tabs>
        <w:spacing w:before="117" w:after="0" w:line="275"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these Regulations, a reference consisting of the words</w:t>
      </w:r>
    </w:p>
    <w:p>
      <w:pPr>
        <w:spacing w:before="4" w:after="0" w:line="275"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"Australian Standard" or the letters "AS" followed in either case by a number or a number accompanied by a reference to a calendar year is a reference to the standard so numbered published by or on behalf of Standards Australia.</w:t>
      </w:r>
    </w:p>
    <w:p>
      <w:pPr>
        <w:numPr>
          <w:ilvl w:val="0"/>
          <w:numId w:val="90"/>
        </w:numPr>
        <w:tabs>
          <w:tab w:val="clear" w:pos="360"/>
          <w:tab w:val="left" w:pos="1368"/>
        </w:tabs>
        <w:spacing w:before="126" w:after="0" w:line="275"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spacing w:before="125"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Notes</w:t>
      </w:r>
    </w:p>
    <w:p>
      <w:pPr>
        <w:tabs>
          <w:tab w:val="left" w:leader="none" w:pos="1296"/>
        </w:tabs>
        <w:spacing w:before="122" w:after="0" w:line="230" w:lineRule="exact"/>
        <w:ind w:right="72" w:left="1368" w:hanging="50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A person is only required to comply with an Australian Standard or Australian/New Zealand Standard that is applied, adopted or incorporated by, or otherwise referred to in, a regulation to the extent the regulation provides, whether expressly or by necessary implication.</w:t>
      </w:r>
    </w:p>
    <w:p>
      <w:pPr>
        <w:spacing w:before="1" w:after="0" w:line="230" w:lineRule="exact"/>
        <w:ind w:right="72"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For example, in regulation 5, definition </w:t>
      </w:r>
      <w:r>
        <w:rPr>
          <w:rFonts w:ascii="Times New Roman" w:hAnsi="Times New Roman" w:eastAsia="Times New Roman"/>
          <w:b w:val="true"/>
          <w:i w:val="true"/>
          <w:color w:val="000000"/>
          <w:spacing w:val="0"/>
          <w:w w:val="100"/>
          <w:sz w:val="20"/>
          <w:vertAlign w:val="baseline"/>
          <w:lang w:val="en-US"/>
        </w:rPr>
        <w:t xml:space="preserve">boiler</w:t>
      </w:r>
      <w:r>
        <w:rPr>
          <w:rFonts w:ascii="Times New Roman" w:hAnsi="Times New Roman" w:eastAsia="Times New Roman"/>
          <w:color w:val="000000"/>
          <w:spacing w:val="0"/>
          <w:w w:val="100"/>
          <w:sz w:val="20"/>
          <w:vertAlign w:val="baseline"/>
          <w:lang w:val="en-US"/>
        </w:rPr>
        <w:t xml:space="preserve">, there is an exception in paragraph (e)(iii). The definition does not require a person to comply with AS 2593:2004, but equipment must be certified in compliance with AS 2593:2004 in order to fall within that particular exception.</w:t>
      </w:r>
    </w:p>
    <w:p>
      <w:pPr>
        <w:spacing w:before="0" w:after="0" w:line="229" w:lineRule="exact"/>
        <w:ind w:right="288" w:left="1368" w:firstLine="0"/>
        <w:jc w:val="left"/>
        <w:textAlignment w:val="baseline"/>
        <w:rPr>
          <w:rFonts w:ascii="Times New Roman" w:hAnsi="Times New Roman" w:eastAsia="Times New Roman"/>
          <w:color w:val="000000"/>
          <w:spacing w:val="-2"/>
          <w:w w:val="100"/>
          <w:sz w:val="20"/>
          <w:vertAlign w:val="baseline"/>
          <w:lang w:val="en-US"/>
        </w:rPr>
      </w:pPr>
      <w:r>
        <w:rPr>
          <w:rFonts w:ascii="Times New Roman" w:hAnsi="Times New Roman" w:eastAsia="Times New Roman"/>
          <w:color w:val="000000"/>
          <w:spacing w:val="-2"/>
          <w:w w:val="100"/>
          <w:sz w:val="20"/>
          <w:vertAlign w:val="baseline"/>
          <w:lang w:val="en-US"/>
        </w:rPr>
        <w:t xml:space="preserve">The reference to an Australian Standard in this case is part of a description of equipment excluded from the definition </w:t>
      </w:r>
      <w:r>
        <w:rPr>
          <w:rFonts w:ascii="Times New Roman" w:hAnsi="Times New Roman" w:eastAsia="Times New Roman"/>
          <w:b w:val="true"/>
          <w:i w:val="true"/>
          <w:color w:val="000000"/>
          <w:spacing w:val="-2"/>
          <w:w w:val="100"/>
          <w:sz w:val="20"/>
          <w:vertAlign w:val="baseline"/>
          <w:lang w:val="en-US"/>
        </w:rPr>
        <w:t xml:space="preserve">boiler</w:t>
      </w:r>
      <w:r>
        <w:rPr>
          <w:rFonts w:ascii="Times New Roman" w:hAnsi="Times New Roman" w:eastAsia="Times New Roman"/>
          <w:color w:val="000000"/>
          <w:spacing w:val="-2"/>
          <w:w w:val="100"/>
          <w:sz w:val="20"/>
          <w:vertAlign w:val="baseline"/>
          <w:lang w:val="en-US"/>
        </w:rPr>
        <w:t xml:space="preserve">. As a result, the equipment is not covered by particular provisions of these Regulations relating to high risk work.</w:t>
      </w:r>
    </w:p>
    <w:p>
      <w:pPr>
        <w:tabs>
          <w:tab w:val="left" w:leader="none" w:pos="1296"/>
        </w:tabs>
        <w:spacing w:before="120" w:after="1365" w:line="230"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pict>
          <v:line strokeweight="0.7pt" strokecolor="#000000" from="243.6pt,678pt" to="352.15pt,678pt" style="position:absolute;mso-position-horizontal-relative:page;mso-position-vertical-relative:page;">
            <v:stroke dashstyle="solid"/>
          </v:line>
        </w:pict>
      </w: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322" w:after="0" w:line="288" w:lineRule="exact"/>
        <w:ind w:right="0" w:left="0" w:firstLine="0"/>
        <w:jc w:val="left"/>
        <w:textAlignment w:val="baseline"/>
        <w:rPr>
          <w:rFonts w:ascii="Times New Roman" w:hAnsi="Times New Roman" w:eastAsia="Times New Roman"/>
          <w:color w:val="000000"/>
          <w:w w:val="100"/>
          <w:sz w:val="24"/>
          <w:vertAlign w:val="baseline"/>
          <w:lang w:val="en-US"/>
        </w:rPr>
      </w:pPr>
    </w:p>
    <w:p>
      <w:pPr>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36</w:t>
      </w:r>
    </w:p>
    <w:p>
      <w:pPr>
        <w:sectPr>
          <w:type w:val="continuous"/>
          <w:pgSz w:w="11909" w:h="16838" w:orient="portrait"/>
          <w:pgMar w:bottom="1082" w:top="1140" w:right="5853" w:left="1976" w:header="720" w:footer="720"/>
          <w:titlePg w:val="false"/>
          <w:textDirection w:val="lrTb"/>
        </w:sectPr>
      </w:pPr>
    </w:p>
    <w:p>
      <w:pPr>
        <w:spacing w:before="6" w:after="0" w:line="225"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6" w:after="227" w:line="225"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2.1	</w:t>
      </w:r>
      <w:r>
        <w:rPr>
          <w:rFonts w:ascii="Times New Roman" w:hAnsi="Times New Roman" w:eastAsia="Times New Roman"/>
          <w:color w:val="000000"/>
          <w:spacing w:val="0"/>
          <w:w w:val="100"/>
          <w:sz w:val="20"/>
          <w:vertAlign w:val="baseline"/>
          <w:lang w:val="en-US"/>
        </w:rPr>
        <w:t xml:space="preserve">Representation</w:t>
      </w:r>
    </w:p>
    <w:p>
      <w:pPr>
        <w:spacing w:before="19" w:after="0" w:line="547" w:lineRule="exact"/>
        <w:ind w:right="1080" w:left="0" w:firstLine="0"/>
        <w:jc w:val="left"/>
        <w:textAlignment w:val="baseline"/>
        <w:rPr>
          <w:rFonts w:ascii="Times New Roman" w:hAnsi="Times New Roman" w:eastAsia="Times New Roman"/>
          <w:b w:val="true"/>
          <w:color w:val="000000"/>
          <w:spacing w:val="0"/>
          <w:w w:val="100"/>
          <w:sz w:val="25"/>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5"/>
          <w:vertAlign w:val="baseline"/>
          <w:lang w:val="en-US"/>
        </w:rPr>
        <w:t xml:space="preserve">CHAPTER 2 REPRESENTATION AND PARTICIPATION </w:t>
      </w:r>
      <w:r>
        <w:rPr>
          <w:rFonts w:ascii="Times New Roman" w:hAnsi="Times New Roman" w:eastAsia="Times New Roman"/>
          <w:b w:val="true"/>
          <w:color w:val="000000"/>
          <w:spacing w:val="0"/>
          <w:w w:val="100"/>
          <w:sz w:val="28"/>
          <w:vertAlign w:val="baseline"/>
          <w:lang w:val="en-US"/>
        </w:rPr>
        <w:t xml:space="preserve">Part 2.1 Representation</w:t>
      </w:r>
    </w:p>
    <w:p>
      <w:pPr>
        <w:tabs>
          <w:tab w:val="left" w:leader="none" w:pos="1584"/>
        </w:tabs>
        <w:spacing w:before="242" w:after="0" w:line="274" w:lineRule="exact"/>
        <w:ind w:right="0" w:left="0" w:firstLine="0"/>
        <w:jc w:val="left"/>
        <w:textAlignment w:val="baseline"/>
        <w:rPr>
          <w:rFonts w:ascii="Times New Roman" w:hAnsi="Times New Roman" w:eastAsia="Times New Roman"/>
          <w:b w:val="true"/>
          <w:color w:val="000000"/>
          <w:spacing w:val="-1"/>
          <w:w w:val="100"/>
          <w:sz w:val="24"/>
          <w:vertAlign w:val="baseline"/>
          <w:lang w:val="en-US"/>
        </w:rPr>
      </w:pPr>
      <w:r>
        <w:rPr>
          <w:rFonts w:ascii="Times New Roman" w:hAnsi="Times New Roman" w:eastAsia="Times New Roman"/>
          <w:b w:val="true"/>
          <w:color w:val="000000"/>
          <w:spacing w:val="-1"/>
          <w:w w:val="100"/>
          <w:sz w:val="24"/>
          <w:vertAlign w:val="baseline"/>
          <w:lang w:val="en-US"/>
        </w:rPr>
        <w:t xml:space="preserve">Division 1	</w:t>
      </w:r>
      <w:r>
        <w:rPr>
          <w:rFonts w:ascii="Times New Roman" w:hAnsi="Times New Roman" w:eastAsia="Times New Roman"/>
          <w:b w:val="true"/>
          <w:color w:val="000000"/>
          <w:spacing w:val="-1"/>
          <w:w w:val="100"/>
          <w:sz w:val="24"/>
          <w:vertAlign w:val="baseline"/>
          <w:lang w:val="en-US"/>
        </w:rPr>
        <w:t xml:space="preserve">Work groups</w:t>
      </w:r>
    </w:p>
    <w:p>
      <w:pPr>
        <w:spacing w:before="120"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16 Negotiations for and determination of work groups</w:t>
      </w:r>
    </w:p>
    <w:p>
      <w:pPr>
        <w:spacing w:before="116" w:after="0" w:line="276"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Negotiations for and determination of work groups and variations of work groups must be directed at ensuring that the workers are grouped in a way that:</w:t>
      </w:r>
    </w:p>
    <w:p>
      <w:pPr>
        <w:numPr>
          <w:ilvl w:val="0"/>
          <w:numId w:val="91"/>
        </w:numPr>
        <w:tabs>
          <w:tab w:val="clear" w:pos="288"/>
          <w:tab w:val="left" w:pos="1872"/>
        </w:tabs>
        <w:spacing w:before="122" w:after="0" w:line="276" w:lineRule="exact"/>
        <w:ind w:right="216"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most effectively and conveniently enables the interests of the workers, in relation to work health and safety, to be represented; and</w:t>
      </w:r>
    </w:p>
    <w:p>
      <w:pPr>
        <w:numPr>
          <w:ilvl w:val="0"/>
          <w:numId w:val="91"/>
        </w:numPr>
        <w:tabs>
          <w:tab w:val="clear" w:pos="288"/>
          <w:tab w:val="left" w:pos="1872"/>
        </w:tabs>
        <w:spacing w:before="118" w:after="0" w:line="276"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has regard to the need for a health and safety representative for the work group to be readily accessible to each worker in the work group.</w:t>
      </w:r>
    </w:p>
    <w:p>
      <w:pPr>
        <w:spacing w:before="129"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8" w:lineRule="exact"/>
        <w:ind w:right="72"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Under the Act, a work group may be determined for workers at more than 1 workplace (section 51(3)) or for workers carrying out work for 2 or more persons conducting businesses or undertakings at 1 or more workplaces (Subdivision 3 of Division 3 of Part 5 of the Act).</w:t>
      </w:r>
    </w:p>
    <w:p>
      <w:pPr>
        <w:spacing w:before="122"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17 Matters to be taken into account in negotiations</w:t>
      </w:r>
    </w:p>
    <w:p>
      <w:pPr>
        <w:spacing w:before="122" w:after="0" w:line="275"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the purposes of sections 52(6) and 56(4) of the Act, negotiations for and determination of work groups and variation of agreements concerning work groups must take into account all relevant matters, including the following:</w:t>
      </w:r>
    </w:p>
    <w:p>
      <w:pPr>
        <w:numPr>
          <w:ilvl w:val="0"/>
          <w:numId w:val="92"/>
        </w:numPr>
        <w:tabs>
          <w:tab w:val="clear" w:pos="288"/>
          <w:tab w:val="left" w:pos="1872"/>
        </w:tabs>
        <w:spacing w:before="127" w:after="0" w:line="272"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number of workers;</w:t>
      </w:r>
    </w:p>
    <w:p>
      <w:pPr>
        <w:numPr>
          <w:ilvl w:val="0"/>
          <w:numId w:val="92"/>
        </w:numPr>
        <w:tabs>
          <w:tab w:val="clear" w:pos="288"/>
          <w:tab w:val="left" w:pos="1872"/>
        </w:tabs>
        <w:spacing w:before="114" w:after="0" w:line="279" w:lineRule="exact"/>
        <w:ind w:right="648"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views of workers in relation to the determination and variation of work groups;</w:t>
      </w:r>
    </w:p>
    <w:p>
      <w:pPr>
        <w:numPr>
          <w:ilvl w:val="0"/>
          <w:numId w:val="92"/>
        </w:numPr>
        <w:tabs>
          <w:tab w:val="clear" w:pos="288"/>
          <w:tab w:val="left" w:pos="1872"/>
        </w:tabs>
        <w:spacing w:before="121" w:after="0" w:line="272"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nature of each type of work carried out by the workers;</w:t>
      </w:r>
    </w:p>
    <w:p>
      <w:pPr>
        <w:numPr>
          <w:ilvl w:val="0"/>
          <w:numId w:val="92"/>
        </w:numPr>
        <w:tabs>
          <w:tab w:val="clear" w:pos="288"/>
          <w:tab w:val="left" w:pos="1872"/>
        </w:tabs>
        <w:spacing w:before="126" w:after="0" w:line="273" w:lineRule="exact"/>
        <w:ind w:right="288"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number and grouping of workers who carry out the same or similar types of work;</w:t>
      </w:r>
    </w:p>
    <w:p>
      <w:pPr>
        <w:numPr>
          <w:ilvl w:val="0"/>
          <w:numId w:val="92"/>
        </w:numPr>
        <w:tabs>
          <w:tab w:val="clear" w:pos="288"/>
          <w:tab w:val="left" w:pos="1872"/>
        </w:tabs>
        <w:spacing w:before="127" w:after="0" w:line="272"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areas or places where each type of work is carried out;</w:t>
      </w:r>
    </w:p>
    <w:p>
      <w:pPr>
        <w:numPr>
          <w:ilvl w:val="0"/>
          <w:numId w:val="92"/>
        </w:numPr>
        <w:tabs>
          <w:tab w:val="clear" w:pos="288"/>
          <w:tab w:val="left" w:pos="1872"/>
        </w:tabs>
        <w:spacing w:before="114" w:after="0" w:line="279" w:lineRule="exact"/>
        <w:ind w:right="72"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extent to which any worker must move from place to place while at work;</w:t>
      </w:r>
    </w:p>
    <w:p>
      <w:pPr>
        <w:numPr>
          <w:ilvl w:val="0"/>
          <w:numId w:val="92"/>
        </w:numPr>
        <w:tabs>
          <w:tab w:val="clear" w:pos="288"/>
          <w:tab w:val="left" w:pos="1872"/>
        </w:tabs>
        <w:spacing w:before="121" w:after="0" w:line="272"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diversity of workers and their work;</w:t>
      </w:r>
    </w:p>
    <w:p>
      <w:pPr>
        <w:numPr>
          <w:ilvl w:val="0"/>
          <w:numId w:val="92"/>
        </w:numPr>
        <w:tabs>
          <w:tab w:val="clear" w:pos="288"/>
          <w:tab w:val="left" w:pos="1872"/>
        </w:tabs>
        <w:spacing w:before="127" w:after="1205" w:line="272"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nature of any hazards at the workplace or workplaces;</w:t>
      </w:r>
    </w:p>
    <w:p>
      <w:pPr>
        <w:spacing w:before="127" w:after="1205" w:line="272"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37</w:t>
      </w:r>
    </w:p>
    <w:p>
      <w:pPr>
        <w:sectPr>
          <w:type w:val="continuous"/>
          <w:pgSz w:w="11909" w:h="16838" w:orient="portrait"/>
          <w:pgMar w:bottom="1082" w:top="1140" w:right="5853" w:left="1976"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2.1	</w:t>
      </w:r>
      <w:r>
        <w:rPr>
          <w:rFonts w:ascii="Times New Roman" w:hAnsi="Times New Roman" w:eastAsia="Times New Roman"/>
          <w:color w:val="000000"/>
          <w:spacing w:val="0"/>
          <w:w w:val="100"/>
          <w:sz w:val="20"/>
          <w:vertAlign w:val="baseline"/>
          <w:lang w:val="en-US"/>
        </w:rPr>
        <w:t xml:space="preserve">Representation</w:t>
      </w:r>
    </w:p>
    <w:p>
      <w:pPr>
        <w:numPr>
          <w:ilvl w:val="0"/>
          <w:numId w:val="92"/>
        </w:numPr>
        <w:tabs>
          <w:tab w:val="clear" w:pos="288"/>
          <w:tab w:val="left" w:pos="1872"/>
        </w:tabs>
        <w:spacing w:before="245" w:after="0" w:line="279" w:lineRule="exact"/>
        <w:ind w:right="72" w:left="1872" w:hanging="288"/>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nature of any risks to health and safety at the workplace or workplaces;</w:t>
      </w:r>
    </w:p>
    <w:p>
      <w:pPr>
        <w:numPr>
          <w:ilvl w:val="0"/>
          <w:numId w:val="92"/>
        </w:numPr>
        <w:tabs>
          <w:tab w:val="clear" w:pos="288"/>
          <w:tab w:val="left" w:pos="1872"/>
        </w:tabs>
        <w:spacing w:before="114" w:after="0" w:line="279" w:lineRule="exact"/>
        <w:ind w:right="288"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nature of the engagement of each worker, for example as an employee or as a contractor;</w:t>
      </w:r>
    </w:p>
    <w:p>
      <w:pPr>
        <w:numPr>
          <w:ilvl w:val="0"/>
          <w:numId w:val="92"/>
        </w:numPr>
        <w:tabs>
          <w:tab w:val="clear" w:pos="288"/>
          <w:tab w:val="left" w:pos="1872"/>
        </w:tabs>
        <w:spacing w:before="114" w:after="0" w:line="279" w:lineRule="exact"/>
        <w:ind w:right="216" w:left="1872" w:hanging="288"/>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the pattern of work carried out by workers, for example whether the work is full-time, part-time, casual or short-term;</w:t>
      </w:r>
    </w:p>
    <w:p>
      <w:pPr>
        <w:numPr>
          <w:ilvl w:val="0"/>
          <w:numId w:val="92"/>
        </w:numPr>
        <w:tabs>
          <w:tab w:val="clear" w:pos="288"/>
          <w:tab w:val="left" w:pos="1872"/>
        </w:tabs>
        <w:spacing w:before="120"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times at which work is carried out;</w:t>
      </w:r>
    </w:p>
    <w:p>
      <w:pPr>
        <w:numPr>
          <w:ilvl w:val="0"/>
          <w:numId w:val="92"/>
        </w:numPr>
        <w:tabs>
          <w:tab w:val="clear" w:pos="288"/>
          <w:tab w:val="left" w:pos="1872"/>
        </w:tabs>
        <w:spacing w:before="126" w:after="0" w:line="273" w:lineRule="exact"/>
        <w:ind w:right="288"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arrangements at the workplace or workplaces relating to overtime or shift work.</w:t>
      </w:r>
    </w:p>
    <w:p>
      <w:pPr>
        <w:tabs>
          <w:tab w:val="left" w:leader="none" w:pos="1584"/>
        </w:tabs>
        <w:spacing w:before="251" w:after="0" w:line="273"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2	</w:t>
      </w:r>
      <w:r>
        <w:rPr>
          <w:rFonts w:ascii="Times New Roman" w:hAnsi="Times New Roman" w:eastAsia="Times New Roman"/>
          <w:b w:val="true"/>
          <w:color w:val="000000"/>
          <w:spacing w:val="0"/>
          <w:w w:val="100"/>
          <w:sz w:val="24"/>
          <w:vertAlign w:val="baseline"/>
          <w:lang w:val="en-US"/>
        </w:rPr>
        <w:t xml:space="preserve">Health and safety representatives</w:t>
      </w:r>
    </w:p>
    <w:p>
      <w:pPr>
        <w:spacing w:before="115" w:after="0" w:line="273"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18 Procedures for election of health and safety representatives</w:t>
      </w:r>
    </w:p>
    <w:p>
      <w:pPr>
        <w:numPr>
          <w:ilvl w:val="0"/>
          <w:numId w:val="93"/>
        </w:numPr>
        <w:tabs>
          <w:tab w:val="clear" w:pos="360"/>
          <w:tab w:val="left" w:pos="1368"/>
        </w:tabs>
        <w:spacing w:before="127" w:after="0" w:line="273" w:lineRule="exact"/>
        <w:ind w:right="288"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regulation sets out minimum procedural requirements for the election of a health and safety representative for a work group for the purposes of section 61(2) of the Act.</w:t>
      </w:r>
    </w:p>
    <w:p>
      <w:pPr>
        <w:numPr>
          <w:ilvl w:val="0"/>
          <w:numId w:val="93"/>
        </w:numPr>
        <w:tabs>
          <w:tab w:val="clear" w:pos="360"/>
          <w:tab w:val="left" w:pos="1368"/>
        </w:tabs>
        <w:spacing w:before="124" w:after="0" w:line="274" w:lineRule="exact"/>
        <w:ind w:right="72"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conducting the election must take all reasonable steps to ensure that the following procedures are complied with:</w:t>
      </w:r>
    </w:p>
    <w:p>
      <w:pPr>
        <w:spacing w:before="124" w:after="0" w:line="275" w:lineRule="exact"/>
        <w:ind w:right="72"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each person conducting a business or undertaking in which a worker in the work group works is informed of the date on which the election is to be held as soon as practicable after the date is determined;</w:t>
      </w:r>
    </w:p>
    <w:p>
      <w:pPr>
        <w:spacing w:before="125" w:after="0" w:line="273" w:lineRule="exact"/>
        <w:ind w:right="0" w:left="1584"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all workers in the work group are given an opportunity to:</w:t>
      </w:r>
    </w:p>
    <w:p>
      <w:pPr>
        <w:numPr>
          <w:ilvl w:val="0"/>
          <w:numId w:val="94"/>
        </w:numPr>
        <w:tabs>
          <w:tab w:val="clear" w:pos="360"/>
          <w:tab w:val="left" w:pos="2376"/>
        </w:tabs>
        <w:spacing w:before="116" w:after="0" w:line="278" w:lineRule="exact"/>
        <w:ind w:right="122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nominate for the position of health and safety representative; and</w:t>
      </w:r>
    </w:p>
    <w:p>
      <w:pPr>
        <w:numPr>
          <w:ilvl w:val="0"/>
          <w:numId w:val="94"/>
        </w:numPr>
        <w:tabs>
          <w:tab w:val="clear" w:pos="360"/>
          <w:tab w:val="left" w:pos="2376"/>
        </w:tabs>
        <w:spacing w:before="121" w:after="0" w:line="273"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vote in the election;</w:t>
      </w:r>
    </w:p>
    <w:p>
      <w:pPr>
        <w:spacing w:before="122" w:after="0" w:line="276" w:lineRule="exact"/>
        <w:ind w:right="648"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all workers in the work group and all relevant persons conducting a business or undertaking are informed of the outcome of the election.</w:t>
      </w:r>
    </w:p>
    <w:p>
      <w:pPr>
        <w:spacing w:before="121" w:after="0" w:line="273" w:lineRule="exact"/>
        <w:ind w:right="0" w:left="0" w:firstLine="0"/>
        <w:jc w:val="center"/>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19 Person conducting business or undertaking must not delay election</w:t>
      </w:r>
    </w:p>
    <w:p>
      <w:pPr>
        <w:spacing w:before="122" w:after="0" w:line="276"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must not unreasonably delay the election of a health and safety representative.</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1" w:after="1166"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corporate—$18 000.</w:t>
      </w:r>
    </w:p>
    <w:p>
      <w:pPr>
        <w:spacing w:before="121" w:after="1166" w:line="273"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38</w:t>
      </w:r>
    </w:p>
    <w:p>
      <w:pPr>
        <w:sectPr>
          <w:type w:val="continuous"/>
          <w:pgSz w:w="11909" w:h="16838" w:orient="portrait"/>
          <w:pgMar w:bottom="1082" w:top="1140" w:right="5856" w:left="1973"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2.1	</w:t>
      </w:r>
      <w:r>
        <w:rPr>
          <w:rFonts w:ascii="Times New Roman" w:hAnsi="Times New Roman" w:eastAsia="Times New Roman"/>
          <w:color w:val="000000"/>
          <w:spacing w:val="0"/>
          <w:w w:val="100"/>
          <w:sz w:val="20"/>
          <w:vertAlign w:val="baseline"/>
          <w:lang w:val="en-US"/>
        </w:rPr>
        <w:t xml:space="preserve">Representation</w:t>
      </w:r>
    </w:p>
    <w:p>
      <w:pPr>
        <w:spacing w:before="251"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4"/>
          <w:vertAlign w:val="baseline"/>
          <w:lang w:val="en-US"/>
        </w:rPr>
        <w:t xml:space="preserve">20 Removal of health and safety representatives</w:t>
      </w:r>
    </w:p>
    <w:p>
      <w:pPr>
        <w:spacing w:before="122"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spacing w:before="114" w:after="0" w:line="279" w:lineRule="exact"/>
        <w:ind w:right="64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 member of the work group nominated by the members who signed the declaration must, as soon as practicable:</w:t>
      </w:r>
    </w:p>
    <w:p>
      <w:pPr>
        <w:spacing w:before="114" w:after="0" w:line="279"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inform the following persons of the removal of the health and safety representative:</w:t>
      </w:r>
    </w:p>
    <w:p>
      <w:pPr>
        <w:numPr>
          <w:ilvl w:val="0"/>
          <w:numId w:val="95"/>
        </w:numPr>
        <w:tabs>
          <w:tab w:val="clear" w:pos="360"/>
          <w:tab w:val="left" w:pos="2376"/>
        </w:tabs>
        <w:spacing w:before="114" w:after="0" w:line="279" w:lineRule="exact"/>
        <w:ind w:right="86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health and safety representative who has been removed;</w:t>
      </w:r>
    </w:p>
    <w:p>
      <w:pPr>
        <w:numPr>
          <w:ilvl w:val="0"/>
          <w:numId w:val="95"/>
        </w:numPr>
        <w:tabs>
          <w:tab w:val="clear" w:pos="360"/>
          <w:tab w:val="left" w:pos="2376"/>
        </w:tabs>
        <w:spacing w:before="119" w:after="0" w:line="274" w:lineRule="exact"/>
        <w:ind w:right="576" w:left="2376"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each person conducting a business or undertaking in which a worker in the work group works; and</w:t>
      </w:r>
    </w:p>
    <w:p>
      <w:pPr>
        <w:spacing w:before="124" w:after="0" w:line="274"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take all reasonable steps to inform all members of the work group of the removal.</w:t>
      </w:r>
    </w:p>
    <w:p>
      <w:pPr>
        <w:spacing w:before="124" w:after="0" w:line="275"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removal of the health and safety representative takes effect when the persons referred to in subregulation (2)(a) and the majority of members of the work group have been informed of the removal.</w:t>
      </w:r>
    </w:p>
    <w:p>
      <w:pPr>
        <w:spacing w:before="125" w:after="0" w:line="274" w:lineRule="exact"/>
        <w:ind w:right="0" w:left="0" w:firstLine="0"/>
        <w:jc w:val="center"/>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20A Notice of entry for person assisting health and safety representative</w:t>
      </w:r>
    </w:p>
    <w:p>
      <w:pPr>
        <w:spacing w:before="120"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notice of entry given under section 68(3A) of the Act must:</w:t>
      </w:r>
    </w:p>
    <w:p>
      <w:pPr>
        <w:numPr>
          <w:ilvl w:val="0"/>
          <w:numId w:val="96"/>
        </w:numPr>
        <w:tabs>
          <w:tab w:val="clear" w:pos="360"/>
          <w:tab w:val="left" w:pos="1872"/>
        </w:tabs>
        <w:spacing w:before="125"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be written; and</w:t>
      </w:r>
    </w:p>
    <w:p>
      <w:pPr>
        <w:numPr>
          <w:ilvl w:val="0"/>
          <w:numId w:val="96"/>
        </w:numPr>
        <w:tabs>
          <w:tab w:val="clear" w:pos="360"/>
          <w:tab w:val="left" w:pos="1872"/>
        </w:tabs>
        <w:spacing w:before="121"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include the following:</w:t>
      </w:r>
    </w:p>
    <w:p>
      <w:pPr>
        <w:numPr>
          <w:ilvl w:val="0"/>
          <w:numId w:val="97"/>
        </w:numPr>
        <w:tabs>
          <w:tab w:val="clear" w:pos="360"/>
          <w:tab w:val="left" w:pos="2376"/>
        </w:tabs>
        <w:spacing w:before="124" w:after="0" w:line="274" w:lineRule="exact"/>
        <w:ind w:right="648"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full name of the health and safety representative giving the notice;</w:t>
      </w:r>
    </w:p>
    <w:p>
      <w:pPr>
        <w:numPr>
          <w:ilvl w:val="0"/>
          <w:numId w:val="97"/>
        </w:numPr>
        <w:tabs>
          <w:tab w:val="clear" w:pos="360"/>
          <w:tab w:val="left" w:pos="2376"/>
        </w:tabs>
        <w:spacing w:before="125" w:after="0" w:line="273"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full name of the assistant whose entry is proposed;</w:t>
      </w:r>
    </w:p>
    <w:p>
      <w:pPr>
        <w:numPr>
          <w:ilvl w:val="0"/>
          <w:numId w:val="97"/>
        </w:numPr>
        <w:tabs>
          <w:tab w:val="clear" w:pos="360"/>
          <w:tab w:val="left" w:pos="2376"/>
        </w:tabs>
        <w:spacing w:before="116" w:after="0" w:line="278" w:lineRule="exact"/>
        <w:ind w:right="36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and address of the workplace proposed to be entered;</w:t>
      </w:r>
    </w:p>
    <w:p>
      <w:pPr>
        <w:numPr>
          <w:ilvl w:val="0"/>
          <w:numId w:val="97"/>
        </w:numPr>
        <w:tabs>
          <w:tab w:val="clear" w:pos="360"/>
          <w:tab w:val="left" w:pos="2376"/>
        </w:tabs>
        <w:spacing w:before="121" w:after="0" w:line="273"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date of proposed entry;</w:t>
      </w:r>
    </w:p>
    <w:p>
      <w:pPr>
        <w:numPr>
          <w:ilvl w:val="0"/>
          <w:numId w:val="97"/>
        </w:numPr>
        <w:tabs>
          <w:tab w:val="clear" w:pos="360"/>
          <w:tab w:val="left" w:pos="2376"/>
        </w:tabs>
        <w:spacing w:before="122" w:after="0" w:line="276" w:lineRule="exact"/>
        <w:ind w:right="7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statement of the reasons why the health and safety representative considers it is necessary for the assistant to enter the workplace to assist.</w:t>
      </w:r>
    </w:p>
    <w:p>
      <w:pPr>
        <w:spacing w:before="118" w:after="854"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(2) If the assistant is or has been a WHS entry permit holder under the Act or a corresponding WHS law, the notice must also include the following:</w:t>
      </w:r>
    </w:p>
    <w:p>
      <w:pPr>
        <w:spacing w:before="118" w:after="854" w:line="276"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39</w:t>
      </w:r>
    </w:p>
    <w:p>
      <w:pPr>
        <w:sectPr>
          <w:type w:val="continuous"/>
          <w:pgSz w:w="11909" w:h="16838" w:orient="portrait"/>
          <w:pgMar w:bottom="1082" w:top="1140" w:right="5853" w:left="1976" w:header="720" w:footer="720"/>
          <w:titlePg w:val="false"/>
          <w:textDirection w:val="lrTb"/>
        </w:sectPr>
      </w:pPr>
    </w:p>
    <w:p>
      <w:pPr>
        <w:spacing w:before="6"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5" w:after="226"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2.1	</w:t>
      </w:r>
      <w:r>
        <w:rPr>
          <w:rFonts w:ascii="Times New Roman" w:hAnsi="Times New Roman" w:eastAsia="Times New Roman"/>
          <w:color w:val="000000"/>
          <w:spacing w:val="0"/>
          <w:w w:val="100"/>
          <w:sz w:val="20"/>
          <w:vertAlign w:val="baseline"/>
          <w:lang w:val="en-US"/>
        </w:rPr>
        <w:t xml:space="preserve">Representation</w:t>
      </w:r>
    </w:p>
    <w:p>
      <w:pPr>
        <w:numPr>
          <w:ilvl w:val="0"/>
          <w:numId w:val="98"/>
        </w:numPr>
        <w:tabs>
          <w:tab w:val="clear" w:pos="360"/>
          <w:tab w:val="left" w:pos="1872"/>
        </w:tabs>
        <w:spacing w:before="251"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name of the union the assistant represents or represented;</w:t>
      </w:r>
    </w:p>
    <w:p>
      <w:pPr>
        <w:numPr>
          <w:ilvl w:val="0"/>
          <w:numId w:val="98"/>
        </w:numPr>
        <w:tabs>
          <w:tab w:val="clear" w:pos="360"/>
          <w:tab w:val="left" w:pos="1872"/>
        </w:tabs>
        <w:spacing w:before="127"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declaration by the assistant stating that—</w:t>
      </w:r>
    </w:p>
    <w:p>
      <w:pPr>
        <w:numPr>
          <w:ilvl w:val="0"/>
          <w:numId w:val="99"/>
        </w:numPr>
        <w:tabs>
          <w:tab w:val="clear" w:pos="504"/>
          <w:tab w:val="left" w:pos="2376"/>
        </w:tabs>
        <w:spacing w:before="114" w:after="0" w:line="279" w:lineRule="exact"/>
        <w:ind w:right="432"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WHS entry permit held by the assistant has not been revoked; and</w:t>
      </w:r>
    </w:p>
    <w:p>
      <w:pPr>
        <w:numPr>
          <w:ilvl w:val="0"/>
          <w:numId w:val="99"/>
        </w:numPr>
        <w:tabs>
          <w:tab w:val="clear" w:pos="504"/>
          <w:tab w:val="left" w:pos="2376"/>
        </w:tabs>
        <w:spacing w:before="114" w:after="0" w:line="279" w:lineRule="exact"/>
        <w:ind w:right="288"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relation to a current WHS entry permit, the permit is not suspended; and</w:t>
      </w:r>
    </w:p>
    <w:p>
      <w:pPr>
        <w:numPr>
          <w:ilvl w:val="0"/>
          <w:numId w:val="99"/>
        </w:numPr>
        <w:tabs>
          <w:tab w:val="clear" w:pos="504"/>
          <w:tab w:val="left" w:pos="2376"/>
        </w:tabs>
        <w:spacing w:before="114" w:after="0" w:line="279" w:lineRule="exact"/>
        <w:ind w:right="576"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assistant is not disqualified from holding a WHS entry permit.</w:t>
      </w:r>
    </w:p>
    <w:p>
      <w:pPr>
        <w:spacing w:before="121"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21 Training for health and safety representatives</w:t>
      </w:r>
    </w:p>
    <w:p>
      <w:pPr>
        <w:spacing w:before="121"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For the purposes of section 72(1) of the Act, a health and safety representative is entitled to attend the following courses of training in work health and safety:</w:t>
      </w:r>
    </w:p>
    <w:p>
      <w:pPr>
        <w:numPr>
          <w:ilvl w:val="0"/>
          <w:numId w:val="100"/>
        </w:numPr>
        <w:tabs>
          <w:tab w:val="clear" w:pos="360"/>
          <w:tab w:val="left" w:pos="1872"/>
        </w:tabs>
        <w:spacing w:before="121"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initial course of training of up to 5 days;</w:t>
      </w:r>
    </w:p>
    <w:p>
      <w:pPr>
        <w:numPr>
          <w:ilvl w:val="0"/>
          <w:numId w:val="100"/>
        </w:numPr>
        <w:tabs>
          <w:tab w:val="clear" w:pos="360"/>
          <w:tab w:val="left" w:pos="1872"/>
        </w:tabs>
        <w:spacing w:before="118"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up to 1 day's refresher training each year, with the entitlement to the first refresher training commencing 1 year after the initial training.</w:t>
      </w:r>
    </w:p>
    <w:p>
      <w:pPr>
        <w:spacing w:before="122"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In approving a course of training in work health and safety for the purposes of section 72(1) of the Act, the regulator may have regard to any relevant matters, including:</w:t>
      </w:r>
    </w:p>
    <w:p>
      <w:pPr>
        <w:numPr>
          <w:ilvl w:val="0"/>
          <w:numId w:val="101"/>
        </w:numPr>
        <w:tabs>
          <w:tab w:val="clear" w:pos="360"/>
          <w:tab w:val="left" w:pos="1872"/>
        </w:tabs>
        <w:spacing w:before="118" w:after="0" w:line="276"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content and quality of the curriculum, including its relevance to the powers and functions of a health and safety representative; and</w:t>
      </w:r>
    </w:p>
    <w:p>
      <w:pPr>
        <w:numPr>
          <w:ilvl w:val="0"/>
          <w:numId w:val="101"/>
        </w:numPr>
        <w:tabs>
          <w:tab w:val="clear" w:pos="360"/>
          <w:tab w:val="left" w:pos="1872"/>
        </w:tabs>
        <w:spacing w:before="124" w:after="0" w:line="274"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qualifications, knowledge and experience of the person who is to provide the course.</w:t>
      </w:r>
    </w:p>
    <w:p>
      <w:pPr>
        <w:spacing w:before="130"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Notes</w:t>
      </w:r>
    </w:p>
    <w:p>
      <w:pPr>
        <w:tabs>
          <w:tab w:val="left" w:leader="none" w:pos="1296"/>
        </w:tabs>
        <w:spacing w:before="122" w:after="0" w:line="230" w:lineRule="exact"/>
        <w:ind w:right="360" w:left="1296" w:hanging="432"/>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This regulation prescribes courses of training to which a health and safety representative is entitled. In addition to these courses, the health and safety representative and the person conducting the business or undertaking may agree that the representative will attend or receive further training.</w:t>
      </w:r>
    </w:p>
    <w:p>
      <w:pPr>
        <w:tabs>
          <w:tab w:val="left" w:leader="none" w:pos="1296"/>
        </w:tabs>
        <w:spacing w:before="116" w:after="0" w:line="230" w:lineRule="exact"/>
        <w:ind w:right="648" w:left="1296" w:hanging="432"/>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Under [interpretation legislation], the power to approve a course of training includes a power to revoke or vary the approval.</w:t>
      </w:r>
    </w:p>
    <w:p>
      <w:pPr>
        <w:tabs>
          <w:tab w:val="left" w:leader="none" w:pos="1296"/>
        </w:tabs>
        <w:spacing w:before="125" w:after="2563" w:line="226"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3	</w:t>
      </w:r>
      <w:r>
        <w:rPr>
          <w:rFonts w:ascii="Times New Roman" w:hAnsi="Times New Roman" w:eastAsia="Times New Roman"/>
          <w:color w:val="000000"/>
          <w:spacing w:val="0"/>
          <w:w w:val="100"/>
          <w:sz w:val="20"/>
          <w:vertAlign w:val="baseline"/>
          <w:lang w:val="en-US"/>
        </w:rPr>
        <w:t xml:space="preserve">See the jurisdictional notes in the Appendix.</w:t>
      </w:r>
    </w:p>
    <w:p>
      <w:pPr>
        <w:spacing w:before="125" w:after="2563" w:line="226"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40</w:t>
      </w:r>
    </w:p>
    <w:p>
      <w:pPr>
        <w:sectPr>
          <w:type w:val="continuous"/>
          <w:pgSz w:w="11909" w:h="16838" w:orient="portrait"/>
          <w:pgMar w:bottom="1082" w:top="1140" w:right="5853" w:left="1976"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2.2	</w:t>
      </w:r>
      <w:r>
        <w:rPr>
          <w:rFonts w:ascii="Times New Roman" w:hAnsi="Times New Roman" w:eastAsia="Times New Roman"/>
          <w:color w:val="000000"/>
          <w:spacing w:val="0"/>
          <w:w w:val="100"/>
          <w:sz w:val="20"/>
          <w:vertAlign w:val="baseline"/>
          <w:lang w:val="en-US"/>
        </w:rPr>
        <w:t xml:space="preserve">Issue Resolution</w:t>
      </w:r>
    </w:p>
    <w:p>
      <w:pPr>
        <w:spacing w:before="258" w:after="0" w:line="316" w:lineRule="exact"/>
        <w:ind w:right="0" w:left="0" w:firstLine="0"/>
        <w:jc w:val="left"/>
        <w:textAlignment w:val="baseline"/>
        <w:rPr>
          <w:rFonts w:ascii="Times New Roman" w:hAnsi="Times New Roman" w:eastAsia="Times New Roman"/>
          <w:b w:val="true"/>
          <w:color w:val="000000"/>
          <w:spacing w:val="9"/>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9"/>
          <w:w w:val="100"/>
          <w:sz w:val="28"/>
          <w:vertAlign w:val="baseline"/>
          <w:lang w:val="en-US"/>
        </w:rPr>
        <w:t xml:space="preserve">Part 2.2 Issue Resolution</w:t>
      </w:r>
    </w:p>
    <w:p>
      <w:pPr>
        <w:spacing w:before="119"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22 Agreed procedure—minimum requirements</w:t>
      </w:r>
    </w:p>
    <w:p>
      <w:pPr>
        <w:numPr>
          <w:ilvl w:val="0"/>
          <w:numId w:val="102"/>
        </w:numPr>
        <w:tabs>
          <w:tab w:val="clear" w:pos="360"/>
          <w:tab w:val="left" w:pos="1368"/>
        </w:tabs>
        <w:spacing w:before="123" w:after="0" w:line="274" w:lineRule="exact"/>
        <w:ind w:right="72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regulation sets out minimum requirements for an agreed procedure for issue resolution at a workplace.</w:t>
      </w:r>
    </w:p>
    <w:p>
      <w:pPr>
        <w:numPr>
          <w:ilvl w:val="0"/>
          <w:numId w:val="102"/>
        </w:numPr>
        <w:tabs>
          <w:tab w:val="clear" w:pos="360"/>
          <w:tab w:val="left" w:pos="1368"/>
        </w:tabs>
        <w:spacing w:before="124" w:after="0" w:line="274" w:lineRule="exact"/>
        <w:ind w:right="64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agreed procedure for issue resolution at a workplace must include the steps set out in regulation 23.</w:t>
      </w:r>
    </w:p>
    <w:p>
      <w:pPr>
        <w:numPr>
          <w:ilvl w:val="0"/>
          <w:numId w:val="102"/>
        </w:numPr>
        <w:tabs>
          <w:tab w:val="clear" w:pos="360"/>
          <w:tab w:val="left" w:pos="1368"/>
        </w:tabs>
        <w:spacing w:before="122"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must ensure that the agreed procedure for issue resolution at the workplace:</w:t>
      </w:r>
    </w:p>
    <w:p>
      <w:pPr>
        <w:numPr>
          <w:ilvl w:val="0"/>
          <w:numId w:val="103"/>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complies with subregulation (2); and</w:t>
      </w:r>
    </w:p>
    <w:p>
      <w:pPr>
        <w:numPr>
          <w:ilvl w:val="0"/>
          <w:numId w:val="103"/>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set out in writing; and</w:t>
      </w:r>
    </w:p>
    <w:p>
      <w:pPr>
        <w:numPr>
          <w:ilvl w:val="0"/>
          <w:numId w:val="103"/>
        </w:numPr>
        <w:tabs>
          <w:tab w:val="clear" w:pos="360"/>
          <w:tab w:val="left" w:pos="1872"/>
        </w:tabs>
        <w:spacing w:before="116" w:after="0" w:line="278" w:lineRule="exact"/>
        <w:ind w:right="7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communicated to all workers to whom the agreed procedure applies.</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5"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23 Default procedure</w:t>
      </w:r>
    </w:p>
    <w:p>
      <w:pPr>
        <w:spacing w:before="115" w:after="0" w:line="278"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regulation sets out the default procedure for issue resolution for the purposes of section 81(2) of the Act.</w:t>
      </w:r>
    </w:p>
    <w:p>
      <w:pPr>
        <w:spacing w:before="116" w:after="0" w:line="278"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Any party to the issue may commence the procedure by informing each other party:</w:t>
      </w:r>
    </w:p>
    <w:p>
      <w:pPr>
        <w:numPr>
          <w:ilvl w:val="0"/>
          <w:numId w:val="104"/>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there is an issue to be resolved; and</w:t>
      </w:r>
    </w:p>
    <w:p>
      <w:pPr>
        <w:numPr>
          <w:ilvl w:val="0"/>
          <w:numId w:val="104"/>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nature and scope of the issue.</w:t>
      </w:r>
    </w:p>
    <w:p>
      <w:pPr>
        <w:spacing w:before="116" w:after="0" w:line="278"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As soon as parties are informed of the issue, all parties must meet or communicate with each other to attempt to resolve the issue.</w:t>
      </w:r>
    </w:p>
    <w:p>
      <w:pPr>
        <w:spacing w:before="116" w:after="0" w:line="278"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The parties must have regard to all relevant matters, including the following:</w:t>
      </w:r>
    </w:p>
    <w:p>
      <w:pPr>
        <w:numPr>
          <w:ilvl w:val="0"/>
          <w:numId w:val="105"/>
        </w:numPr>
        <w:tabs>
          <w:tab w:val="clear" w:pos="360"/>
          <w:tab w:val="left" w:pos="1872"/>
        </w:tabs>
        <w:spacing w:before="116" w:after="0" w:line="278"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degree and immediacy of risk to workers or other persons affected by the issue;</w:t>
      </w:r>
    </w:p>
    <w:p>
      <w:pPr>
        <w:numPr>
          <w:ilvl w:val="0"/>
          <w:numId w:val="105"/>
        </w:numPr>
        <w:tabs>
          <w:tab w:val="clear" w:pos="360"/>
          <w:tab w:val="left" w:pos="1872"/>
        </w:tabs>
        <w:spacing w:before="120" w:after="0" w:line="274" w:lineRule="exact"/>
        <w:ind w:right="7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number and location of workers and other persons affected by the issue;</w:t>
      </w:r>
    </w:p>
    <w:p>
      <w:pPr>
        <w:numPr>
          <w:ilvl w:val="0"/>
          <w:numId w:val="105"/>
        </w:numPr>
        <w:tabs>
          <w:tab w:val="clear" w:pos="360"/>
          <w:tab w:val="left" w:pos="1872"/>
        </w:tabs>
        <w:spacing w:before="124" w:after="1276" w:line="274"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measures (both temporary and permanent) that must be implemented to resolve the issue;</w:t>
      </w:r>
    </w:p>
    <w:p>
      <w:pPr>
        <w:spacing w:before="124" w:after="1276" w:line="274"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41</w:t>
      </w:r>
    </w:p>
    <w:p>
      <w:pPr>
        <w:sectPr>
          <w:type w:val="continuous"/>
          <w:pgSz w:w="11909" w:h="16838" w:orient="portrait"/>
          <w:pgMar w:bottom="1082" w:top="1140" w:right="5861" w:left="1968" w:header="720" w:footer="720"/>
          <w:titlePg w:val="false"/>
          <w:textDirection w:val="lrTb"/>
        </w:sectPr>
      </w:pPr>
    </w:p>
    <w:p>
      <w:pPr>
        <w:spacing w:before="6"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5" w:after="226"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2.2	</w:t>
      </w:r>
      <w:r>
        <w:rPr>
          <w:rFonts w:ascii="Times New Roman" w:hAnsi="Times New Roman" w:eastAsia="Times New Roman"/>
          <w:color w:val="000000"/>
          <w:spacing w:val="0"/>
          <w:w w:val="100"/>
          <w:sz w:val="20"/>
          <w:vertAlign w:val="baseline"/>
          <w:lang w:val="en-US"/>
        </w:rPr>
        <w:t xml:space="preserve">Issue Resolution</w:t>
      </w:r>
    </w:p>
    <w:p>
      <w:pPr>
        <w:spacing w:before="245" w:after="0" w:line="279" w:lineRule="exact"/>
        <w:ind w:right="648"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(d) who will be responsible for implementing the resolution measures.</w:t>
      </w:r>
    </w:p>
    <w:p>
      <w:pPr>
        <w:spacing w:before="114" w:after="0" w:line="279" w:lineRule="exact"/>
        <w:ind w:right="144"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A party may, in resolving the issue, be assisted or represented by a person nominated by the party.</w:t>
      </w:r>
    </w:p>
    <w:p>
      <w:pPr>
        <w:spacing w:before="114" w:after="0" w:line="279" w:lineRule="exact"/>
        <w:ind w:right="0"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(6) If the issue is resolved, details of the issue and its resolution must be set out in a written agreement if any party to the issue requests this.</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2" w:after="0" w:line="230"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Under the Act, </w:t>
      </w:r>
      <w:r>
        <w:rPr>
          <w:rFonts w:ascii="Times New Roman" w:hAnsi="Times New Roman" w:eastAsia="Times New Roman"/>
          <w:b w:val="true"/>
          <w:i w:val="true"/>
          <w:color w:val="000000"/>
          <w:spacing w:val="0"/>
          <w:w w:val="100"/>
          <w:sz w:val="21"/>
          <w:vertAlign w:val="baseline"/>
          <w:lang w:val="en-US"/>
        </w:rPr>
        <w:t xml:space="preserve">parties </w:t>
      </w:r>
      <w:r>
        <w:rPr>
          <w:rFonts w:ascii="Times New Roman" w:hAnsi="Times New Roman" w:eastAsia="Times New Roman"/>
          <w:color w:val="000000"/>
          <w:spacing w:val="0"/>
          <w:w w:val="100"/>
          <w:sz w:val="20"/>
          <w:vertAlign w:val="baseline"/>
          <w:lang w:val="en-US"/>
        </w:rPr>
        <w:t xml:space="preserve">to an issue include not only a person conducting a business or undertaking, a worker and a health and safety representative, but also representatives of these persons (see section 80 of the Act).</w:t>
      </w:r>
    </w:p>
    <w:p>
      <w:pPr>
        <w:spacing w:before="120" w:after="0" w:line="274" w:lineRule="exact"/>
        <w:ind w:right="432"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(7) If a written agreement is prepared all parties to the issue must be satisfied that the agreement reflects the resolution of the issue.</w:t>
      </w:r>
    </w:p>
    <w:p>
      <w:pPr>
        <w:spacing w:before="125"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(8) A copy of the written agreement must be given to:</w:t>
      </w:r>
    </w:p>
    <w:p>
      <w:pPr>
        <w:numPr>
          <w:ilvl w:val="0"/>
          <w:numId w:val="106"/>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all parties to the issue; and</w:t>
      </w:r>
    </w:p>
    <w:p>
      <w:pPr>
        <w:numPr>
          <w:ilvl w:val="0"/>
          <w:numId w:val="106"/>
        </w:numPr>
        <w:tabs>
          <w:tab w:val="clear" w:pos="360"/>
          <w:tab w:val="left" w:pos="1872"/>
        </w:tabs>
        <w:spacing w:before="124" w:after="0" w:line="274" w:lineRule="exact"/>
        <w:ind w:right="86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requested, to the health and safety committee for the workplace.</w:t>
      </w:r>
    </w:p>
    <w:p>
      <w:pPr>
        <w:spacing w:before="122" w:after="6082" w:line="276"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(9) To avoid doubt, nothing in this procedure prevents a worker from bringing a work health and safety issue to the attention of the worker's health and safety representative.</w:t>
      </w:r>
    </w:p>
    <w:p>
      <w:pPr>
        <w:spacing w:before="334"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1.05pt,0.3pt" style="position:absolute;mso-position-horizontal-relative:text;mso-position-vertical-relative:text;">
            <v:stroke dashstyle="solid"/>
          </v:line>
        </w:pict>
      </w:r>
    </w:p>
    <w:p>
      <w:pPr>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42</w:t>
      </w:r>
    </w:p>
    <w:p>
      <w:pPr>
        <w:sectPr>
          <w:type w:val="continuous"/>
          <w:pgSz w:w="11909" w:h="16838" w:orient="portrait"/>
          <w:pgMar w:bottom="1082" w:top="1140" w:right="5853" w:left="1976"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2.3	</w:t>
      </w:r>
      <w:r>
        <w:rPr>
          <w:rFonts w:ascii="Times New Roman" w:hAnsi="Times New Roman" w:eastAsia="Times New Roman"/>
          <w:color w:val="000000"/>
          <w:spacing w:val="0"/>
          <w:w w:val="100"/>
          <w:sz w:val="20"/>
          <w:vertAlign w:val="baseline"/>
          <w:lang w:val="en-US"/>
        </w:rPr>
        <w:t xml:space="preserve">Cessation of Unsafe Work</w:t>
      </w:r>
    </w:p>
    <w:p>
      <w:pPr>
        <w:spacing w:before="258" w:after="0" w:line="316" w:lineRule="exact"/>
        <w:ind w:right="0" w:left="0" w:firstLine="0"/>
        <w:jc w:val="left"/>
        <w:textAlignment w:val="baseline"/>
        <w:rPr>
          <w:rFonts w:ascii="Times New Roman" w:hAnsi="Times New Roman" w:eastAsia="Times New Roman"/>
          <w:b w:val="true"/>
          <w:color w:val="000000"/>
          <w:spacing w:val="7"/>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7"/>
          <w:w w:val="100"/>
          <w:sz w:val="28"/>
          <w:vertAlign w:val="baseline"/>
          <w:lang w:val="en-US"/>
        </w:rPr>
        <w:t xml:space="preserve">Part 2.3 Cessation of Unsafe Work</w:t>
      </w:r>
    </w:p>
    <w:p>
      <w:pPr>
        <w:spacing w:before="119"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24 Continuity of engagement of worker</w:t>
      </w:r>
    </w:p>
    <w:p>
      <w:pPr>
        <w:spacing w:before="121" w:after="0" w:line="275" w:lineRule="exact"/>
        <w:ind w:right="288"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the purposes of section 88 of the Act, the prescribed purposes are the assessment of eligibility for, or the calculation of benefits for, any benefit or entitlement associated with the worker's engagement, including 1 or more of the following:</w:t>
      </w:r>
    </w:p>
    <w:p>
      <w:pPr>
        <w:numPr>
          <w:ilvl w:val="0"/>
          <w:numId w:val="107"/>
        </w:numPr>
        <w:tabs>
          <w:tab w:val="clear" w:pos="360"/>
          <w:tab w:val="left" w:pos="1872"/>
        </w:tabs>
        <w:spacing w:before="127" w:after="0" w:line="271"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remuneration and promotion, as affected by seniority;</w:t>
      </w:r>
    </w:p>
    <w:p>
      <w:pPr>
        <w:numPr>
          <w:ilvl w:val="0"/>
          <w:numId w:val="107"/>
        </w:numPr>
        <w:tabs>
          <w:tab w:val="clear" w:pos="360"/>
          <w:tab w:val="left" w:pos="1872"/>
        </w:tabs>
        <w:spacing w:before="123" w:after="0" w:line="271"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superannuation benefits;</w:t>
      </w:r>
    </w:p>
    <w:p>
      <w:pPr>
        <w:numPr>
          <w:ilvl w:val="0"/>
          <w:numId w:val="107"/>
        </w:numPr>
        <w:tabs>
          <w:tab w:val="clear" w:pos="360"/>
          <w:tab w:val="left" w:pos="1872"/>
        </w:tabs>
        <w:spacing w:before="127" w:after="0" w:line="271"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leave entitlements;</w:t>
      </w:r>
    </w:p>
    <w:p>
      <w:pPr>
        <w:numPr>
          <w:ilvl w:val="0"/>
          <w:numId w:val="107"/>
        </w:numPr>
        <w:tabs>
          <w:tab w:val="clear" w:pos="360"/>
          <w:tab w:val="left" w:pos="1872"/>
        </w:tabs>
        <w:spacing w:before="123" w:after="8700" w:line="271"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entitlement to notice of termination of the engagement.</w:t>
      </w:r>
    </w:p>
    <w:p>
      <w:pPr>
        <w:spacing w:before="334"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1.05pt,0.3pt" style="position:absolute;mso-position-horizontal-relative:text;mso-position-vertical-relative:text;">
            <v:stroke dashstyle="solid"/>
          </v:line>
        </w:pict>
      </w:r>
    </w:p>
    <w:p>
      <w:pPr>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43</w:t>
      </w:r>
    </w:p>
    <w:p>
      <w:pPr>
        <w:sectPr>
          <w:type w:val="continuous"/>
          <w:pgSz w:w="11909" w:h="16838" w:orient="portrait"/>
          <w:pgMar w:bottom="1082" w:top="1140" w:right="5858" w:left="1971"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2.4	</w:t>
      </w:r>
      <w:r>
        <w:rPr>
          <w:rFonts w:ascii="Times New Roman" w:hAnsi="Times New Roman" w:eastAsia="Times New Roman"/>
          <w:color w:val="000000"/>
          <w:spacing w:val="0"/>
          <w:w w:val="100"/>
          <w:sz w:val="20"/>
          <w:vertAlign w:val="baseline"/>
          <w:lang w:val="en-US"/>
        </w:rPr>
        <w:t xml:space="preserve">Workplace Entry by WHS Entry Permit Holders</w:t>
      </w:r>
    </w:p>
    <w:p>
      <w:pPr>
        <w:spacing w:before="258" w:after="0" w:line="317" w:lineRule="exact"/>
        <w:ind w:right="0" w:left="0" w:firstLine="0"/>
        <w:jc w:val="left"/>
        <w:textAlignment w:val="baseline"/>
        <w:rPr>
          <w:rFonts w:ascii="Times New Roman" w:hAnsi="Times New Roman" w:eastAsia="Times New Roman"/>
          <w:b w:val="true"/>
          <w:color w:val="000000"/>
          <w:spacing w:val="4"/>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4"/>
          <w:w w:val="100"/>
          <w:sz w:val="28"/>
          <w:vertAlign w:val="baseline"/>
          <w:lang w:val="en-US"/>
        </w:rPr>
        <w:t xml:space="preserve">Part 2.4 Workplace Entry by WHS Entry Permit Holders</w:t>
      </w:r>
    </w:p>
    <w:p>
      <w:pPr>
        <w:spacing w:before="118"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25 Training requirements for WHS entry permits</w:t>
      </w:r>
    </w:p>
    <w:p>
      <w:pPr>
        <w:spacing w:before="120"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prescribed training for the purposes of sections 131 and 133 of the Act is training, that is provided or approved by the regulator, in relation to the following:</w:t>
      </w:r>
    </w:p>
    <w:p>
      <w:pPr>
        <w:numPr>
          <w:ilvl w:val="0"/>
          <w:numId w:val="108"/>
        </w:numPr>
        <w:tabs>
          <w:tab w:val="clear" w:pos="288"/>
          <w:tab w:val="left" w:pos="1872"/>
        </w:tabs>
        <w:spacing w:before="122" w:after="0" w:line="272"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right of entry requirements under Part 7 of the Act;</w:t>
      </w:r>
    </w:p>
    <w:p>
      <w:pPr>
        <w:numPr>
          <w:ilvl w:val="0"/>
          <w:numId w:val="108"/>
        </w:numPr>
        <w:tabs>
          <w:tab w:val="clear" w:pos="288"/>
          <w:tab w:val="left" w:pos="1872"/>
        </w:tabs>
        <w:spacing w:before="124" w:after="0" w:line="274" w:lineRule="exact"/>
        <w:ind w:right="576"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issue resolution requirements under the Act and these Regulations;</w:t>
      </w:r>
    </w:p>
    <w:p>
      <w:pPr>
        <w:numPr>
          <w:ilvl w:val="0"/>
          <w:numId w:val="108"/>
        </w:numPr>
        <w:tabs>
          <w:tab w:val="clear" w:pos="288"/>
          <w:tab w:val="left" w:pos="1872"/>
        </w:tabs>
        <w:spacing w:before="124" w:after="0" w:line="274" w:lineRule="exact"/>
        <w:ind w:right="576"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duties under, and the framework of, the Act and these Regulations;</w:t>
      </w:r>
    </w:p>
    <w:p>
      <w:pPr>
        <w:numPr>
          <w:ilvl w:val="0"/>
          <w:numId w:val="108"/>
        </w:numPr>
        <w:tabs>
          <w:tab w:val="clear" w:pos="288"/>
          <w:tab w:val="left" w:pos="1872"/>
        </w:tabs>
        <w:spacing w:before="124" w:after="0" w:line="274" w:lineRule="exact"/>
        <w:ind w:right="144"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requirements for the management of risks under section 17 of the Act;</w:t>
      </w:r>
    </w:p>
    <w:p>
      <w:pPr>
        <w:numPr>
          <w:ilvl w:val="0"/>
          <w:numId w:val="108"/>
        </w:numPr>
        <w:tabs>
          <w:tab w:val="clear" w:pos="288"/>
          <w:tab w:val="left" w:pos="1872"/>
        </w:tabs>
        <w:spacing w:before="124" w:after="0" w:line="274" w:lineRule="exact"/>
        <w:ind w:right="144"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meaning of </w:t>
      </w:r>
      <w:r>
        <w:rPr>
          <w:rFonts w:ascii="Times New Roman" w:hAnsi="Times New Roman" w:eastAsia="Times New Roman"/>
          <w:b w:val="true"/>
          <w:i w:val="true"/>
          <w:color w:val="000000"/>
          <w:spacing w:val="0"/>
          <w:w w:val="100"/>
          <w:sz w:val="24"/>
          <w:vertAlign w:val="baseline"/>
          <w:lang w:val="en-US"/>
        </w:rPr>
        <w:t xml:space="preserve">reasonably practicable </w:t>
      </w:r>
      <w:r>
        <w:rPr>
          <w:rFonts w:ascii="Times New Roman" w:hAnsi="Times New Roman" w:eastAsia="Times New Roman"/>
          <w:color w:val="000000"/>
          <w:spacing w:val="0"/>
          <w:w w:val="100"/>
          <w:sz w:val="24"/>
          <w:vertAlign w:val="baseline"/>
          <w:lang w:val="en-US"/>
        </w:rPr>
        <w:t xml:space="preserve">as set out in section 18 of the Act;</w:t>
      </w:r>
    </w:p>
    <w:p>
      <w:pPr>
        <w:numPr>
          <w:ilvl w:val="0"/>
          <w:numId w:val="108"/>
        </w:numPr>
        <w:tabs>
          <w:tab w:val="clear" w:pos="288"/>
          <w:tab w:val="left" w:pos="1872"/>
        </w:tabs>
        <w:spacing w:before="122" w:after="0" w:line="276" w:lineRule="exact"/>
        <w:ind w:right="72"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relationship between the Act and these Regulations and the Fair Work Act [or any relevant State or Territory industrial laws].</w:t>
      </w:r>
    </w:p>
    <w:p>
      <w:pPr>
        <w:spacing w:before="120" w:after="0" w:line="276" w:lineRule="exact"/>
        <w:ind w:right="93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training must include providing the participant with information about the availability of any guidance material published by the regulator in relation to the Act and these Regulations.</w:t>
      </w:r>
    </w:p>
    <w:p>
      <w:pPr>
        <w:spacing w:before="116" w:after="0" w:line="278" w:lineRule="exact"/>
        <w:ind w:right="64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For the purpose of approving training, the regulator may have regard to any relevant matters, including:</w:t>
      </w:r>
    </w:p>
    <w:p>
      <w:pPr>
        <w:numPr>
          <w:ilvl w:val="0"/>
          <w:numId w:val="109"/>
        </w:numPr>
        <w:tabs>
          <w:tab w:val="clear" w:pos="288"/>
          <w:tab w:val="left" w:pos="1872"/>
        </w:tabs>
        <w:spacing w:before="118" w:after="0" w:line="276" w:lineRule="exact"/>
        <w:ind w:right="72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content and quality of the curriculum, including its relevance to the powers and functions of a WHS permit holder; and</w:t>
      </w:r>
    </w:p>
    <w:p>
      <w:pPr>
        <w:numPr>
          <w:ilvl w:val="0"/>
          <w:numId w:val="109"/>
        </w:numPr>
        <w:tabs>
          <w:tab w:val="clear" w:pos="288"/>
          <w:tab w:val="left" w:pos="1872"/>
        </w:tabs>
        <w:spacing w:before="124" w:after="0" w:line="274" w:lineRule="exact"/>
        <w:ind w:right="432"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qualifications, knowledge and experience of the person who is to provide the training.</w:t>
      </w:r>
    </w:p>
    <w:p>
      <w:pPr>
        <w:spacing w:before="125"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Notes</w:t>
      </w:r>
    </w:p>
    <w:p>
      <w:pPr>
        <w:tabs>
          <w:tab w:val="left" w:leader="none" w:pos="1800"/>
        </w:tabs>
        <w:spacing w:before="121" w:after="0" w:line="231" w:lineRule="exact"/>
        <w:ind w:right="216" w:left="1872" w:hanging="50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Under [interpretation legislation], the power to approve training includes a power to revoke or vary the approval.</w:t>
      </w:r>
    </w:p>
    <w:p>
      <w:pPr>
        <w:tabs>
          <w:tab w:val="left" w:leader="none" w:pos="1800"/>
        </w:tabs>
        <w:spacing w:before="123" w:after="0" w:line="227"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See the jurisdictional notes in the Appendix.</w:t>
      </w:r>
    </w:p>
    <w:p>
      <w:pPr>
        <w:spacing w:before="120"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26 Form of WHS entry permit</w:t>
      </w:r>
    </w:p>
    <w:p>
      <w:pPr>
        <w:spacing w:before="125" w:after="0" w:line="272"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WHS entry permit must include the following:</w:t>
      </w:r>
    </w:p>
    <w:p>
      <w:pPr>
        <w:spacing w:before="114" w:after="869" w:line="279" w:lineRule="exact"/>
        <w:ind w:right="432" w:left="1872" w:hanging="288"/>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the section of the Act under which the WHS entry permit is issued;</w:t>
      </w:r>
    </w:p>
    <w:p>
      <w:pPr>
        <w:spacing w:before="114" w:after="869" w:line="279"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44</w:t>
      </w:r>
    </w:p>
    <w:p>
      <w:pPr>
        <w:sectPr>
          <w:type w:val="continuous"/>
          <w:pgSz w:w="11909" w:h="16838" w:orient="portrait"/>
          <w:pgMar w:bottom="1082" w:top="1140" w:right="5853" w:left="1976" w:header="720" w:footer="720"/>
          <w:titlePg w:val="false"/>
          <w:textDirection w:val="lrTb"/>
        </w:sectPr>
      </w:pPr>
    </w:p>
    <w:p>
      <w:pPr>
        <w:spacing w:before="6"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2" w:after="223"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2.4	</w:t>
      </w:r>
      <w:r>
        <w:rPr>
          <w:rFonts w:ascii="Times New Roman" w:hAnsi="Times New Roman" w:eastAsia="Times New Roman"/>
          <w:color w:val="000000"/>
          <w:spacing w:val="0"/>
          <w:w w:val="100"/>
          <w:sz w:val="20"/>
          <w:vertAlign w:val="baseline"/>
          <w:lang w:val="en-US"/>
        </w:rPr>
        <w:t xml:space="preserve">Workplace Entry by WHS Entry Permit Holders</w:t>
      </w:r>
    </w:p>
    <w:p>
      <w:pPr>
        <w:spacing w:before="251" w:after="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(b) the full name of the WHS entry permit holder;</w:t>
      </w:r>
    </w:p>
    <w:p>
      <w:pPr>
        <w:spacing w:before="126" w:after="0" w:line="273" w:lineRule="exact"/>
        <w:ind w:right="720" w:left="1944"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the name of the union that the WHS entry permit holder represents;</w:t>
      </w:r>
    </w:p>
    <w:p>
      <w:pPr>
        <w:spacing w:before="123" w:after="0" w:line="276" w:lineRule="exact"/>
        <w:ind w:right="72" w:left="1944"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a statement that the WHS entry permit holder is entitled, while the WHS entry permit is in force, to exercise the rights given to the WHS entry permit holder under the Act;</w:t>
      </w:r>
    </w:p>
    <w:p>
      <w:pPr>
        <w:spacing w:before="121" w:after="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 the date of issue of the WHS entry permit;</w:t>
      </w:r>
    </w:p>
    <w:p>
      <w:pPr>
        <w:spacing w:before="127" w:after="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 the expiry date for the WHS entry permit;</w:t>
      </w:r>
    </w:p>
    <w:p>
      <w:pPr>
        <w:spacing w:before="121" w:after="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 the signature of the WHS entry permit holder;</w:t>
      </w:r>
    </w:p>
    <w:p>
      <w:pPr>
        <w:spacing w:before="127" w:after="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 any conditions on the WHS entry permit.</w:t>
      </w:r>
    </w:p>
    <w:p>
      <w:pPr>
        <w:spacing w:before="121" w:after="0" w:line="272"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27 Notice of entry—general</w:t>
      </w:r>
    </w:p>
    <w:p>
      <w:pPr>
        <w:spacing w:before="127" w:after="0" w:line="272"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notice of entry under Part 7 of the Act must:</w:t>
      </w:r>
    </w:p>
    <w:p>
      <w:pPr>
        <w:numPr>
          <w:ilvl w:val="0"/>
          <w:numId w:val="110"/>
        </w:numPr>
        <w:tabs>
          <w:tab w:val="clear" w:pos="432"/>
          <w:tab w:val="left" w:pos="1944"/>
        </w:tabs>
        <w:spacing w:before="121" w:after="0" w:line="272" w:lineRule="exact"/>
        <w:ind w:right="0" w:left="1944" w:hanging="432"/>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be written; and</w:t>
      </w:r>
    </w:p>
    <w:p>
      <w:pPr>
        <w:numPr>
          <w:ilvl w:val="0"/>
          <w:numId w:val="110"/>
        </w:numPr>
        <w:tabs>
          <w:tab w:val="clear" w:pos="432"/>
          <w:tab w:val="left" w:pos="1944"/>
        </w:tabs>
        <w:spacing w:before="122" w:after="0" w:line="272" w:lineRule="exact"/>
        <w:ind w:right="0" w:left="1944" w:hanging="432"/>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include the following:</w:t>
      </w:r>
    </w:p>
    <w:p>
      <w:pPr>
        <w:spacing w:before="126" w:after="0" w:line="272" w:lineRule="exact"/>
        <w:ind w:right="0" w:left="208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 the full name of the WHS entry permit holder;</w:t>
      </w:r>
    </w:p>
    <w:p>
      <w:pPr>
        <w:numPr>
          <w:ilvl w:val="0"/>
          <w:numId w:val="111"/>
        </w:numPr>
        <w:tabs>
          <w:tab w:val="clear" w:pos="432"/>
          <w:tab w:val="left" w:pos="2376"/>
        </w:tabs>
        <w:spacing w:before="116" w:after="0" w:line="278" w:lineRule="exact"/>
        <w:ind w:right="216"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of the union that the WHS entry permit holder represents;</w:t>
      </w:r>
    </w:p>
    <w:p>
      <w:pPr>
        <w:numPr>
          <w:ilvl w:val="0"/>
          <w:numId w:val="111"/>
        </w:numPr>
        <w:tabs>
          <w:tab w:val="clear" w:pos="432"/>
          <w:tab w:val="left" w:pos="2376"/>
        </w:tabs>
        <w:spacing w:before="116" w:after="0" w:line="278" w:lineRule="exact"/>
        <w:ind w:right="144" w:left="2376" w:hanging="432"/>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the section of the Act under which the WHS entry permit holder is entering or proposing to enter the workplace;</w:t>
      </w:r>
    </w:p>
    <w:p>
      <w:pPr>
        <w:numPr>
          <w:ilvl w:val="0"/>
          <w:numId w:val="111"/>
        </w:numPr>
        <w:tabs>
          <w:tab w:val="clear" w:pos="432"/>
          <w:tab w:val="left" w:pos="2376"/>
        </w:tabs>
        <w:spacing w:before="116" w:after="0" w:line="278" w:lineRule="exact"/>
        <w:ind w:right="792"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and address of the workplace entered or proposed to be entered;</w:t>
      </w:r>
    </w:p>
    <w:p>
      <w:pPr>
        <w:numPr>
          <w:ilvl w:val="0"/>
          <w:numId w:val="111"/>
        </w:numPr>
        <w:tabs>
          <w:tab w:val="clear" w:pos="432"/>
          <w:tab w:val="left" w:pos="2376"/>
        </w:tabs>
        <w:spacing w:before="122" w:after="0" w:line="272"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date of entry or proposed entry;</w:t>
      </w:r>
    </w:p>
    <w:p>
      <w:pPr>
        <w:numPr>
          <w:ilvl w:val="0"/>
          <w:numId w:val="111"/>
        </w:numPr>
        <w:tabs>
          <w:tab w:val="clear" w:pos="432"/>
          <w:tab w:val="left" w:pos="2376"/>
        </w:tabs>
        <w:spacing w:before="124" w:after="0" w:line="274" w:lineRule="exact"/>
        <w:ind w:right="504"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additional information and other matters required under regulation 28, 29 or 30 (as applicable).</w:t>
      </w:r>
    </w:p>
    <w:p>
      <w:pPr>
        <w:spacing w:before="126" w:after="0" w:line="272"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28 Additional requirements—entry under Part 7, Division 2</w:t>
      </w:r>
    </w:p>
    <w:p>
      <w:pPr>
        <w:spacing w:before="116" w:after="0" w:line="278" w:lineRule="exact"/>
        <w:ind w:right="72" w:left="1368"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A notice of entry under section 119 of the Act in relation to an entry under Part 7, Division 2 of the Act must also include the following:</w:t>
      </w:r>
    </w:p>
    <w:p>
      <w:pPr>
        <w:numPr>
          <w:ilvl w:val="0"/>
          <w:numId w:val="112"/>
        </w:numPr>
        <w:tabs>
          <w:tab w:val="clear" w:pos="432"/>
          <w:tab w:val="left" w:pos="1944"/>
        </w:tabs>
        <w:spacing w:before="116" w:after="0" w:line="278" w:lineRule="exact"/>
        <w:ind w:right="864" w:left="1944"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so far as is practicable, the particulars of the suspected contravention to which the notice relates;</w:t>
      </w:r>
    </w:p>
    <w:p>
      <w:pPr>
        <w:numPr>
          <w:ilvl w:val="0"/>
          <w:numId w:val="112"/>
        </w:numPr>
        <w:tabs>
          <w:tab w:val="clear" w:pos="432"/>
          <w:tab w:val="left" w:pos="1944"/>
        </w:tabs>
        <w:spacing w:before="122" w:after="0" w:line="272" w:lineRule="exact"/>
        <w:ind w:right="0" w:left="1944" w:hanging="432"/>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a declaration stating:</w:t>
      </w:r>
    </w:p>
    <w:p>
      <w:pPr>
        <w:spacing w:before="124" w:after="927" w:line="275" w:lineRule="exact"/>
        <w:ind w:right="360" w:left="2376" w:hanging="288"/>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 that the union is entitled to represent the industrial interests of a worker who carries out work at the workplace entered and is a member, or eligible to be a member, of that union; and</w:t>
      </w:r>
    </w:p>
    <w:p>
      <w:pPr>
        <w:spacing w:before="124" w:after="927" w:line="275"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45</w:t>
      </w:r>
    </w:p>
    <w:p>
      <w:pPr>
        <w:sectPr>
          <w:type w:val="continuous"/>
          <w:pgSz w:w="11909" w:h="16838" w:orient="portrait"/>
          <w:pgMar w:bottom="1082" w:top="1140" w:right="5856" w:left="1973" w:header="720" w:footer="720"/>
          <w:titlePg w:val="false"/>
          <w:textDirection w:val="lrTb"/>
        </w:sectPr>
      </w:pPr>
    </w:p>
    <w:p>
      <w:pPr>
        <w:spacing w:before="3"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5"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2.4	</w:t>
      </w:r>
      <w:r>
        <w:rPr>
          <w:rFonts w:ascii="Times New Roman" w:hAnsi="Times New Roman" w:eastAsia="Times New Roman"/>
          <w:color w:val="000000"/>
          <w:spacing w:val="0"/>
          <w:w w:val="100"/>
          <w:sz w:val="20"/>
          <w:vertAlign w:val="baseline"/>
          <w:lang w:val="en-US"/>
        </w:rPr>
        <w:t xml:space="preserve">Workplace Entry by WHS Entry Permit Holders</w:t>
      </w:r>
    </w:p>
    <w:p>
      <w:pPr>
        <w:numPr>
          <w:ilvl w:val="0"/>
          <w:numId w:val="113"/>
        </w:numPr>
        <w:tabs>
          <w:tab w:val="clear" w:pos="504"/>
          <w:tab w:val="left" w:pos="2376"/>
        </w:tabs>
        <w:spacing w:before="243" w:after="0" w:line="279" w:lineRule="exact"/>
        <w:ind w:right="72" w:left="2376" w:hanging="504"/>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provision in the union's rules that entitles the union to represent the industrial interests of that worker; and</w:t>
      </w:r>
    </w:p>
    <w:p>
      <w:pPr>
        <w:numPr>
          <w:ilvl w:val="0"/>
          <w:numId w:val="113"/>
        </w:numPr>
        <w:tabs>
          <w:tab w:val="clear" w:pos="504"/>
          <w:tab w:val="left" w:pos="2376"/>
        </w:tabs>
        <w:spacing w:before="114" w:after="0" w:line="279" w:lineRule="exact"/>
        <w:ind w:right="72" w:left="2376" w:hanging="504"/>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the suspected contravention relates to, or affects, that worker.</w:t>
      </w:r>
    </w:p>
    <w:p>
      <w:pPr>
        <w:spacing w:before="126"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3" w:after="0" w:line="230" w:lineRule="exact"/>
        <w:ind w:right="216"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Section 130 of the Act provides that a WHS entry permit holder is not required to disclose the name of any worker to the person conducting the business or undertaking, and may do so only with the consent of the worker.</w:t>
      </w:r>
    </w:p>
    <w:p>
      <w:pPr>
        <w:spacing w:before="120"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28A (Repealed)</w:t>
      </w:r>
    </w:p>
    <w:p>
      <w:pPr>
        <w:spacing w:before="120"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29 Additional requirements—entry under section 120</w:t>
      </w:r>
    </w:p>
    <w:p>
      <w:pPr>
        <w:spacing w:before="121"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notice of entry under section 120 of the Act in relation to an entry under that section must also include the following:</w:t>
      </w:r>
    </w:p>
    <w:p>
      <w:pPr>
        <w:numPr>
          <w:ilvl w:val="0"/>
          <w:numId w:val="114"/>
        </w:numPr>
        <w:tabs>
          <w:tab w:val="clear" w:pos="288"/>
          <w:tab w:val="left" w:pos="1872"/>
        </w:tabs>
        <w:spacing w:before="124" w:after="0" w:line="274" w:lineRule="exact"/>
        <w:ind w:right="864"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so far as is practicable, the particulars of the suspected contravention to which the notice relates;</w:t>
      </w:r>
    </w:p>
    <w:p>
      <w:pPr>
        <w:numPr>
          <w:ilvl w:val="0"/>
          <w:numId w:val="114"/>
        </w:numPr>
        <w:tabs>
          <w:tab w:val="clear" w:pos="288"/>
          <w:tab w:val="left" w:pos="1872"/>
        </w:tabs>
        <w:spacing w:before="122" w:after="0" w:line="276" w:lineRule="exact"/>
        <w:ind w:right="72"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description of the employee records and other documents, or of the classes of records and documents, directly relevant to the suspected contravention, that are proposed to be inspected;</w:t>
      </w:r>
    </w:p>
    <w:p>
      <w:pPr>
        <w:numPr>
          <w:ilvl w:val="0"/>
          <w:numId w:val="114"/>
        </w:numPr>
        <w:tabs>
          <w:tab w:val="clear" w:pos="288"/>
          <w:tab w:val="left" w:pos="1872"/>
        </w:tabs>
        <w:spacing w:before="123" w:after="0" w:line="271"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declaration stating:</w:t>
      </w:r>
    </w:p>
    <w:p>
      <w:pPr>
        <w:numPr>
          <w:ilvl w:val="0"/>
          <w:numId w:val="115"/>
        </w:numPr>
        <w:tabs>
          <w:tab w:val="clear" w:pos="504"/>
          <w:tab w:val="left" w:pos="2376"/>
        </w:tabs>
        <w:spacing w:before="122" w:after="0" w:line="276" w:lineRule="exact"/>
        <w:ind w:right="72"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the union is entitled to represent the industrial interests of a worker who is a member, or eligible to be a member, of that union; and</w:t>
      </w:r>
    </w:p>
    <w:p>
      <w:pPr>
        <w:numPr>
          <w:ilvl w:val="0"/>
          <w:numId w:val="115"/>
        </w:numPr>
        <w:tabs>
          <w:tab w:val="clear" w:pos="504"/>
          <w:tab w:val="left" w:pos="2376"/>
        </w:tabs>
        <w:spacing w:before="116" w:after="0" w:line="278" w:lineRule="exact"/>
        <w:ind w:right="72" w:left="2376" w:hanging="504"/>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provision in the union's rules that entitles the union to represent the industrial interests of that worker; and</w:t>
      </w:r>
    </w:p>
    <w:p>
      <w:pPr>
        <w:numPr>
          <w:ilvl w:val="0"/>
          <w:numId w:val="115"/>
        </w:numPr>
        <w:tabs>
          <w:tab w:val="clear" w:pos="504"/>
          <w:tab w:val="left" w:pos="2376"/>
        </w:tabs>
        <w:spacing w:before="116" w:after="0" w:line="278" w:lineRule="exact"/>
        <w:ind w:right="72" w:left="2376" w:hanging="504"/>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the suspected contravention relates to, or affects, that worker; and</w:t>
      </w:r>
    </w:p>
    <w:p>
      <w:pPr>
        <w:numPr>
          <w:ilvl w:val="0"/>
          <w:numId w:val="115"/>
        </w:numPr>
        <w:tabs>
          <w:tab w:val="clear" w:pos="504"/>
          <w:tab w:val="left" w:pos="2376"/>
        </w:tabs>
        <w:spacing w:before="116" w:after="0" w:line="278" w:lineRule="exact"/>
        <w:ind w:right="144"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the records and documents proposed to be inspected relate to that contravention.</w:t>
      </w:r>
    </w:p>
    <w:p>
      <w:pPr>
        <w:spacing w:before="126"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4" w:after="0" w:line="230" w:lineRule="exact"/>
        <w:ind w:right="216"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Section 130 of the Act provides that a WHS entry permit holder is not required to disclose the name of any worker to the person conducting the business or undertaking, and may do so only with the consent of the worker.</w:t>
      </w:r>
    </w:p>
    <w:p>
      <w:pPr>
        <w:spacing w:before="120"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30 Additional requirements—entry under section 121</w:t>
      </w:r>
    </w:p>
    <w:p>
      <w:pPr>
        <w:spacing w:before="113" w:after="1312" w:line="278"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notice of entry under section 122 of the Act in relation to an entry under section 121 must also include a declaration stating:</w:t>
      </w:r>
    </w:p>
    <w:p>
      <w:pPr>
        <w:spacing w:before="113" w:after="1312" w:line="278"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46</w:t>
      </w:r>
    </w:p>
    <w:p>
      <w:pPr>
        <w:sectPr>
          <w:type w:val="continuous"/>
          <w:pgSz w:w="11909" w:h="16838" w:orient="portrait"/>
          <w:pgMar w:bottom="1082" w:top="1140" w:right="5853" w:left="1976"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2.4	</w:t>
      </w:r>
      <w:r>
        <w:rPr>
          <w:rFonts w:ascii="Times New Roman" w:hAnsi="Times New Roman" w:eastAsia="Times New Roman"/>
          <w:color w:val="000000"/>
          <w:spacing w:val="0"/>
          <w:w w:val="100"/>
          <w:sz w:val="20"/>
          <w:vertAlign w:val="baseline"/>
          <w:lang w:val="en-US"/>
        </w:rPr>
        <w:t xml:space="preserve">Workplace Entry by WHS Entry Permit Holders</w:t>
      </w:r>
    </w:p>
    <w:p>
      <w:pPr>
        <w:numPr>
          <w:ilvl w:val="0"/>
          <w:numId w:val="116"/>
        </w:numPr>
        <w:tabs>
          <w:tab w:val="clear" w:pos="360"/>
          <w:tab w:val="left" w:pos="1872"/>
        </w:tabs>
        <w:spacing w:before="247" w:after="0" w:line="277"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that the union is entitled to represent the industrial interests of a worker who carries out work at the workplace proposed to be entered and is a member, or eligible to be a member, of that union; and</w:t>
      </w:r>
    </w:p>
    <w:p>
      <w:pPr>
        <w:numPr>
          <w:ilvl w:val="0"/>
          <w:numId w:val="116"/>
        </w:numPr>
        <w:tabs>
          <w:tab w:val="clear" w:pos="360"/>
          <w:tab w:val="left" w:pos="1872"/>
        </w:tabs>
        <w:spacing w:before="114" w:after="0" w:line="279"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provision in the union's rules that entitles the union to represent the industrial interests of that worker.</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2" w:after="0" w:line="231" w:lineRule="exact"/>
        <w:ind w:right="72" w:left="1368"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Section 130 of the Act provides that a WHS entry permit holder is not required to disclose the name of any worker to the person conducting the business or</w:t>
      </w:r>
    </w:p>
    <w:p>
      <w:pPr>
        <w:spacing w:before="2" w:after="0" w:line="228"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undertaking, and may do so only with the consent of the worker.</w:t>
      </w:r>
    </w:p>
    <w:p>
      <w:pPr>
        <w:spacing w:before="119"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31 Register of WHS entry permit holders</w:t>
      </w:r>
    </w:p>
    <w:p>
      <w:pPr>
        <w:spacing w:before="115" w:after="0" w:line="278" w:lineRule="exact"/>
        <w:ind w:right="72" w:left="1368" w:firstLine="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the purposes of section 151 of the Act, the authorising authority must publish on its website:</w:t>
      </w:r>
    </w:p>
    <w:p>
      <w:pPr>
        <w:numPr>
          <w:ilvl w:val="0"/>
          <w:numId w:val="117"/>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up-to-date register of WHS entry permit holders; and</w:t>
      </w:r>
    </w:p>
    <w:p>
      <w:pPr>
        <w:numPr>
          <w:ilvl w:val="0"/>
          <w:numId w:val="117"/>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date on which the register was last updated.</w:t>
      </w:r>
    </w:p>
    <w:p>
      <w:pPr>
        <w:spacing w:before="124"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6724" w:line="228"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pict>
          <v:line strokeweight="0.7pt" strokecolor="#000000" from="243.6pt,409.9pt" to="352.15pt,409.9pt" style="position:absolute;mso-position-horizontal-relative:page;mso-position-vertical-relative:page;">
            <v:stroke dashstyle="solid"/>
          </v:line>
        </w:pict>
      </w: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322" w:after="0" w:line="288" w:lineRule="exact"/>
        <w:ind w:right="0" w:left="0" w:firstLine="0"/>
        <w:jc w:val="left"/>
        <w:textAlignment w:val="baseline"/>
        <w:rPr>
          <w:rFonts w:ascii="Times New Roman" w:hAnsi="Times New Roman" w:eastAsia="Times New Roman"/>
          <w:color w:val="000000"/>
          <w:w w:val="100"/>
          <w:sz w:val="24"/>
          <w:vertAlign w:val="baseline"/>
          <w:lang w:val="en-US"/>
        </w:rPr>
      </w:pPr>
    </w:p>
    <w:p>
      <w:pPr>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47</w:t>
      </w:r>
    </w:p>
    <w:p>
      <w:pPr>
        <w:sectPr>
          <w:type w:val="continuous"/>
          <w:pgSz w:w="11909" w:h="16838" w:orient="portrait"/>
          <w:pgMar w:bottom="1082" w:top="1140" w:right="5853" w:left="1976" w:header="720" w:footer="720"/>
          <w:titlePg w:val="false"/>
          <w:textDirection w:val="lrTb"/>
        </w:sectPr>
      </w:pPr>
    </w:p>
    <w:p>
      <w:pPr>
        <w:spacing w:before="6"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2" w:after="223"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3.1	</w:t>
      </w:r>
      <w:r>
        <w:rPr>
          <w:rFonts w:ascii="Times New Roman" w:hAnsi="Times New Roman" w:eastAsia="Times New Roman"/>
          <w:color w:val="000000"/>
          <w:spacing w:val="0"/>
          <w:w w:val="100"/>
          <w:sz w:val="20"/>
          <w:vertAlign w:val="baseline"/>
          <w:lang w:val="en-US"/>
        </w:rPr>
        <w:t xml:space="preserve">Managing Risks to Health and Safety</w:t>
      </w:r>
    </w:p>
    <w:p>
      <w:pPr>
        <w:spacing w:before="245" w:after="0" w:line="302" w:lineRule="exact"/>
        <w:ind w:right="1872" w:left="1728" w:hanging="1728"/>
        <w:jc w:val="left"/>
        <w:textAlignment w:val="baseline"/>
        <w:rPr>
          <w:rFonts w:ascii="Times New Roman" w:hAnsi="Times New Roman" w:eastAsia="Times New Roman"/>
          <w:b w:val="true"/>
          <w:color w:val="000000"/>
          <w:spacing w:val="0"/>
          <w:w w:val="100"/>
          <w:sz w:val="25"/>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5"/>
          <w:vertAlign w:val="baseline"/>
          <w:lang w:val="en-US"/>
        </w:rPr>
        <w:t xml:space="preserve">CHAPTER 3 GENERAL RISK AND WORKPLACE MANAGEMENT</w:t>
      </w:r>
    </w:p>
    <w:p>
      <w:pPr>
        <w:spacing w:before="249" w:after="0" w:line="317" w:lineRule="exact"/>
        <w:ind w:right="0" w:left="0" w:firstLine="0"/>
        <w:jc w:val="left"/>
        <w:textAlignment w:val="baseline"/>
        <w:rPr>
          <w:rFonts w:ascii="Times New Roman" w:hAnsi="Times New Roman" w:eastAsia="Times New Roman"/>
          <w:b w:val="true"/>
          <w:color w:val="000000"/>
          <w:spacing w:val="5"/>
          <w:w w:val="100"/>
          <w:sz w:val="28"/>
          <w:vertAlign w:val="baseline"/>
          <w:lang w:val="en-US"/>
        </w:rPr>
      </w:pPr>
      <w:r>
        <w:rPr>
          <w:rFonts w:ascii="Times New Roman" w:hAnsi="Times New Roman" w:eastAsia="Times New Roman"/>
          <w:b w:val="true"/>
          <w:color w:val="000000"/>
          <w:spacing w:val="5"/>
          <w:w w:val="100"/>
          <w:sz w:val="28"/>
          <w:vertAlign w:val="baseline"/>
          <w:lang w:val="en-US"/>
        </w:rPr>
        <w:t xml:space="preserve">Part 3.1 Managing Risks to Health and Safety</w:t>
      </w:r>
    </w:p>
    <w:p>
      <w:pPr>
        <w:spacing w:before="118"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32 Application of Part 3.1</w:t>
      </w:r>
    </w:p>
    <w:p>
      <w:pPr>
        <w:spacing w:before="117" w:after="0" w:line="276" w:lineRule="exact"/>
        <w:ind w:right="216"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Part applies to a person conducting a business or undertaking who has a duty under these Regulations to manage risks to health and safety.</w:t>
      </w:r>
    </w:p>
    <w:p>
      <w:pPr>
        <w:spacing w:before="125"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33 Specific requirements must be complied with</w:t>
      </w:r>
    </w:p>
    <w:p>
      <w:pPr>
        <w:spacing w:before="117" w:after="0" w:line="276"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specific requirements under these Regulations for the management of risk must be complied with when implementing the requirements of this Part.</w:t>
      </w:r>
    </w:p>
    <w:p>
      <w:pPr>
        <w:spacing w:before="128" w:after="0" w:line="226"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Examples</w:t>
      </w:r>
    </w:p>
    <w:p>
      <w:pPr>
        <w:tabs>
          <w:tab w:val="left" w:leader="none" w:pos="1296"/>
        </w:tabs>
        <w:spacing w:before="120" w:after="0" w:line="229"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A requirement not to exceed an exposure standard.</w:t>
      </w:r>
    </w:p>
    <w:p>
      <w:pPr>
        <w:tabs>
          <w:tab w:val="left" w:leader="none" w:pos="1296"/>
        </w:tabs>
        <w:spacing w:before="121" w:after="0" w:line="229"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A duty to implement a specific control measure.</w:t>
      </w:r>
    </w:p>
    <w:p>
      <w:pPr>
        <w:tabs>
          <w:tab w:val="left" w:leader="none" w:pos="1296"/>
        </w:tabs>
        <w:spacing w:before="122" w:after="0" w:line="229" w:lineRule="exact"/>
        <w:ind w:right="0" w:left="864"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3	</w:t>
      </w:r>
      <w:r>
        <w:rPr>
          <w:rFonts w:ascii="Times New Roman" w:hAnsi="Times New Roman" w:eastAsia="Times New Roman"/>
          <w:color w:val="000000"/>
          <w:spacing w:val="-1"/>
          <w:w w:val="100"/>
          <w:sz w:val="20"/>
          <w:vertAlign w:val="baseline"/>
          <w:lang w:val="en-US"/>
        </w:rPr>
        <w:t xml:space="preserve">A duty to assess risk.</w:t>
      </w:r>
    </w:p>
    <w:p>
      <w:pPr>
        <w:spacing w:before="118"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34 Duty to identify hazards</w:t>
      </w:r>
    </w:p>
    <w:p>
      <w:pPr>
        <w:spacing w:before="121" w:after="0" w:line="276" w:lineRule="exact"/>
        <w:ind w:right="72" w:left="1368" w:firstLine="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duty holder, in managing risks to health and safety, must identify reasonably foreseeable hazards that could give rise to risks to health and safety.</w:t>
      </w:r>
    </w:p>
    <w:p>
      <w:pPr>
        <w:spacing w:before="121"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35 Managing risks to health and safety</w:t>
      </w:r>
    </w:p>
    <w:p>
      <w:pPr>
        <w:spacing w:before="124"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duty holder, in managing risks to health and safety, must:</w:t>
      </w:r>
    </w:p>
    <w:p>
      <w:pPr>
        <w:numPr>
          <w:ilvl w:val="0"/>
          <w:numId w:val="118"/>
        </w:numPr>
        <w:tabs>
          <w:tab w:val="clear" w:pos="360"/>
          <w:tab w:val="left" w:pos="1872"/>
        </w:tabs>
        <w:spacing w:before="116" w:after="0" w:line="278"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eliminate risks to health and safety so far as is reasonably practicable; and</w:t>
      </w:r>
    </w:p>
    <w:p>
      <w:pPr>
        <w:numPr>
          <w:ilvl w:val="0"/>
          <w:numId w:val="118"/>
        </w:numPr>
        <w:tabs>
          <w:tab w:val="clear" w:pos="360"/>
          <w:tab w:val="left" w:pos="1872"/>
        </w:tabs>
        <w:spacing w:before="118" w:after="0" w:line="276"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it is not reasonably practicable to eliminate risks to health and safety—minimise those risks so far as is reasonably practicable.</w:t>
      </w:r>
    </w:p>
    <w:p>
      <w:pPr>
        <w:spacing w:before="125"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36 Hierarchy of control measures</w:t>
      </w:r>
    </w:p>
    <w:p>
      <w:pPr>
        <w:numPr>
          <w:ilvl w:val="0"/>
          <w:numId w:val="119"/>
        </w:numPr>
        <w:tabs>
          <w:tab w:val="clear" w:pos="360"/>
          <w:tab w:val="left" w:pos="1368"/>
        </w:tabs>
        <w:spacing w:before="115" w:after="0" w:line="278" w:lineRule="exact"/>
        <w:ind w:right="216"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regulation applies if it is not reasonably practicable for a duty holder to eliminate risks to health and safety.</w:t>
      </w:r>
    </w:p>
    <w:p>
      <w:pPr>
        <w:numPr>
          <w:ilvl w:val="0"/>
          <w:numId w:val="119"/>
        </w:numPr>
        <w:tabs>
          <w:tab w:val="clear" w:pos="360"/>
          <w:tab w:val="left" w:pos="1368"/>
        </w:tabs>
        <w:spacing w:before="116" w:after="0" w:line="278"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duty holder, in minimising risks to health and safety, must implement risk control measures in accordance with this regulation.</w:t>
      </w:r>
    </w:p>
    <w:p>
      <w:pPr>
        <w:numPr>
          <w:ilvl w:val="0"/>
          <w:numId w:val="119"/>
        </w:numPr>
        <w:tabs>
          <w:tab w:val="clear" w:pos="360"/>
          <w:tab w:val="left" w:pos="1368"/>
        </w:tabs>
        <w:spacing w:before="116" w:after="0" w:line="278" w:lineRule="exact"/>
        <w:ind w:right="864"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The duty holder must minimise risks, so far as is reasonably practicable, by doing 1 or more of the following:</w:t>
      </w:r>
    </w:p>
    <w:p>
      <w:pPr>
        <w:spacing w:before="116" w:after="739" w:line="278"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substituting (wholly or partly) the hazard giving rise to the risk with something that gives rise to a lesser risk;</w:t>
      </w:r>
    </w:p>
    <w:p>
      <w:pPr>
        <w:spacing w:before="116" w:after="739" w:line="278"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48</w:t>
      </w:r>
    </w:p>
    <w:p>
      <w:pPr>
        <w:sectPr>
          <w:type w:val="continuous"/>
          <w:pgSz w:w="11909" w:h="16838" w:orient="portrait"/>
          <w:pgMar w:bottom="1082" w:top="1140" w:right="5856" w:left="1973"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3.1	</w:t>
      </w:r>
      <w:r>
        <w:rPr>
          <w:rFonts w:ascii="Times New Roman" w:hAnsi="Times New Roman" w:eastAsia="Times New Roman"/>
          <w:color w:val="000000"/>
          <w:spacing w:val="0"/>
          <w:w w:val="100"/>
          <w:sz w:val="20"/>
          <w:vertAlign w:val="baseline"/>
          <w:lang w:val="en-US"/>
        </w:rPr>
        <w:t xml:space="preserve">Managing Risks to Health and Safety</w:t>
      </w:r>
    </w:p>
    <w:p>
      <w:pPr>
        <w:numPr>
          <w:ilvl w:val="0"/>
          <w:numId w:val="120"/>
        </w:numPr>
        <w:tabs>
          <w:tab w:val="clear" w:pos="360"/>
          <w:tab w:val="left" w:pos="1872"/>
        </w:tabs>
        <w:spacing w:before="251" w:after="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isolating the hazard from any person exposed to it;</w:t>
      </w:r>
    </w:p>
    <w:p>
      <w:pPr>
        <w:numPr>
          <w:ilvl w:val="0"/>
          <w:numId w:val="120"/>
        </w:numPr>
        <w:tabs>
          <w:tab w:val="clear" w:pos="360"/>
          <w:tab w:val="left" w:pos="1872"/>
        </w:tabs>
        <w:spacing w:before="127" w:after="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implementing engineering controls.</w:t>
      </w:r>
    </w:p>
    <w:p>
      <w:pPr>
        <w:numPr>
          <w:ilvl w:val="0"/>
          <w:numId w:val="121"/>
        </w:numPr>
        <w:tabs>
          <w:tab w:val="clear" w:pos="360"/>
          <w:tab w:val="left" w:pos="1368"/>
        </w:tabs>
        <w:spacing w:before="117"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a risk then remains, the duty holder must minimise the remaining risk, so far as is reasonably practicable, by implementing administrative controls.</w:t>
      </w:r>
    </w:p>
    <w:p>
      <w:pPr>
        <w:numPr>
          <w:ilvl w:val="0"/>
          <w:numId w:val="121"/>
        </w:numPr>
        <w:tabs>
          <w:tab w:val="clear" w:pos="360"/>
          <w:tab w:val="left" w:pos="1368"/>
        </w:tabs>
        <w:spacing w:before="123"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a risk then remains, the duty holder must minimise the remaining risk, so far as is reasonably practicable, by ensuring the provision and use of suitable personal protective equipment.</w:t>
      </w:r>
    </w:p>
    <w:p>
      <w:pPr>
        <w:spacing w:before="125"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2" w:after="0" w:line="231" w:lineRule="exact"/>
        <w:ind w:right="216" w:left="864"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A combination of the controls set out in this regulation may be used to minimise risks, so far as is reasonably practicable, if a single control is not sufficient for the purpose.</w:t>
      </w:r>
    </w:p>
    <w:p>
      <w:pPr>
        <w:spacing w:before="119" w:after="0" w:line="273"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37 Maintenance of control measures</w:t>
      </w:r>
    </w:p>
    <w:p>
      <w:pPr>
        <w:spacing w:before="115" w:after="0" w:line="277"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duty holder who implements a control measure to eliminate or minimise risks to health and safety must ensure that the control measure is, and is maintained so that it remains, effective, including by ensuring that the control measure is and remains:</w:t>
      </w:r>
    </w:p>
    <w:p>
      <w:pPr>
        <w:numPr>
          <w:ilvl w:val="0"/>
          <w:numId w:val="122"/>
        </w:numPr>
        <w:tabs>
          <w:tab w:val="clear" w:pos="360"/>
          <w:tab w:val="left" w:pos="1872"/>
        </w:tabs>
        <w:spacing w:before="121" w:after="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fit for purpose; and</w:t>
      </w:r>
    </w:p>
    <w:p>
      <w:pPr>
        <w:numPr>
          <w:ilvl w:val="0"/>
          <w:numId w:val="122"/>
        </w:numPr>
        <w:tabs>
          <w:tab w:val="clear" w:pos="360"/>
          <w:tab w:val="left" w:pos="1872"/>
        </w:tabs>
        <w:spacing w:before="127" w:after="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suitable for the nature and duration of the work; and</w:t>
      </w:r>
    </w:p>
    <w:p>
      <w:pPr>
        <w:numPr>
          <w:ilvl w:val="0"/>
          <w:numId w:val="122"/>
        </w:numPr>
        <w:tabs>
          <w:tab w:val="clear" w:pos="360"/>
          <w:tab w:val="left" w:pos="1872"/>
        </w:tabs>
        <w:spacing w:before="121" w:after="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installed, set up and used correctly.</w:t>
      </w:r>
    </w:p>
    <w:p>
      <w:pPr>
        <w:spacing w:before="127" w:after="0" w:line="273"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38 Review of control measures</w:t>
      </w:r>
    </w:p>
    <w:p>
      <w:pPr>
        <w:numPr>
          <w:ilvl w:val="0"/>
          <w:numId w:val="123"/>
        </w:numPr>
        <w:tabs>
          <w:tab w:val="clear" w:pos="360"/>
          <w:tab w:val="left" w:pos="1368"/>
        </w:tabs>
        <w:spacing w:before="115" w:after="0" w:line="277"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duty holder must review and as necessary revise control measures implemented under these Regulations so as to maintain, so far as is reasonably practicable, a work environment that is without risks to health or safety.</w:t>
      </w:r>
    </w:p>
    <w:p>
      <w:pPr>
        <w:numPr>
          <w:ilvl w:val="0"/>
          <w:numId w:val="123"/>
        </w:numPr>
        <w:tabs>
          <w:tab w:val="clear" w:pos="360"/>
          <w:tab w:val="left" w:pos="1368"/>
        </w:tabs>
        <w:spacing w:before="117"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Without limiting subregulation (1), the duty holder must review and as necessary revise a control measure in the following circumstances:</w:t>
      </w:r>
    </w:p>
    <w:p>
      <w:pPr>
        <w:spacing w:before="126" w:after="0" w:line="273"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the control measure does not control the risk it was implemented to control so far as is reasonably practicable;</w:t>
      </w:r>
    </w:p>
    <w:p>
      <w:pPr>
        <w:spacing w:before="130"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Examples</w:t>
      </w:r>
    </w:p>
    <w:p>
      <w:pPr>
        <w:tabs>
          <w:tab w:val="left" w:leader="none" w:pos="2304"/>
        </w:tabs>
        <w:spacing w:before="119" w:after="0" w:line="230" w:lineRule="exact"/>
        <w:ind w:right="504" w:left="2304" w:hanging="432"/>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The results of monitoring show that the control measure does not control the risk.</w:t>
      </w:r>
    </w:p>
    <w:p>
      <w:pPr>
        <w:tabs>
          <w:tab w:val="left" w:leader="none" w:pos="2304"/>
        </w:tabs>
        <w:spacing w:before="122" w:after="0" w:line="228"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A notifiable incident occurs because of the risk.</w:t>
      </w:r>
    </w:p>
    <w:p>
      <w:pPr>
        <w:spacing w:before="115" w:after="1057"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(b) before a change at the workplace that is likely to give rise to a new or different risk to health or safety that the measure may not effectively control;</w:t>
      </w:r>
    </w:p>
    <w:p>
      <w:pPr>
        <w:spacing w:before="115" w:after="1057" w:line="276"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49</w:t>
      </w:r>
    </w:p>
    <w:p>
      <w:pPr>
        <w:sectPr>
          <w:type w:val="continuous"/>
          <w:pgSz w:w="11909" w:h="16838" w:orient="portrait"/>
          <w:pgMar w:bottom="1082" w:top="1140" w:right="5853" w:left="1976"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3.1	</w:t>
      </w:r>
      <w:r>
        <w:rPr>
          <w:rFonts w:ascii="Times New Roman" w:hAnsi="Times New Roman" w:eastAsia="Times New Roman"/>
          <w:color w:val="000000"/>
          <w:spacing w:val="0"/>
          <w:w w:val="100"/>
          <w:sz w:val="20"/>
          <w:vertAlign w:val="baseline"/>
          <w:lang w:val="en-US"/>
        </w:rPr>
        <w:t xml:space="preserve">Managing Risks to Health and Safety</w:t>
      </w:r>
    </w:p>
    <w:p>
      <w:pPr>
        <w:numPr>
          <w:ilvl w:val="0"/>
          <w:numId w:val="124"/>
        </w:numPr>
        <w:tabs>
          <w:tab w:val="clear" w:pos="360"/>
          <w:tab w:val="left" w:pos="1872"/>
        </w:tabs>
        <w:spacing w:before="25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new relevant hazard or risk is identified;</w:t>
      </w:r>
    </w:p>
    <w:p>
      <w:pPr>
        <w:numPr>
          <w:ilvl w:val="0"/>
          <w:numId w:val="124"/>
        </w:numPr>
        <w:tabs>
          <w:tab w:val="clear" w:pos="360"/>
          <w:tab w:val="left" w:pos="1872"/>
        </w:tabs>
        <w:spacing w:before="126" w:after="0" w:line="273"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results of consultation by the duty holder under the Act or these Regulations indicate that a review is necessary;</w:t>
      </w:r>
    </w:p>
    <w:p>
      <w:pPr>
        <w:numPr>
          <w:ilvl w:val="0"/>
          <w:numId w:val="124"/>
        </w:numPr>
        <w:tabs>
          <w:tab w:val="clear" w:pos="360"/>
          <w:tab w:val="left" w:pos="1872"/>
        </w:tabs>
        <w:spacing w:before="126" w:after="0" w:line="273" w:lineRule="exact"/>
        <w:ind w:right="50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health and safety representative requests a review under subregulation (4).</w:t>
      </w:r>
    </w:p>
    <w:p>
      <w:pPr>
        <w:spacing w:before="126" w:after="0" w:line="273"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Without limiting subregulation (2)(b), a change at the workplace includes:</w:t>
      </w:r>
    </w:p>
    <w:p>
      <w:pPr>
        <w:numPr>
          <w:ilvl w:val="0"/>
          <w:numId w:val="125"/>
        </w:numPr>
        <w:tabs>
          <w:tab w:val="clear" w:pos="360"/>
          <w:tab w:val="left" w:pos="1872"/>
        </w:tabs>
        <w:spacing w:before="126" w:after="0" w:line="273" w:lineRule="exact"/>
        <w:ind w:right="50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change to the workplace itself or any aspect of the work environment; or</w:t>
      </w:r>
    </w:p>
    <w:p>
      <w:pPr>
        <w:numPr>
          <w:ilvl w:val="0"/>
          <w:numId w:val="125"/>
        </w:numPr>
        <w:tabs>
          <w:tab w:val="clear" w:pos="360"/>
          <w:tab w:val="left" w:pos="1872"/>
        </w:tabs>
        <w:spacing w:before="126" w:after="0" w:line="273" w:lineRule="exact"/>
        <w:ind w:right="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change to a system of work, a process or a procedure.</w:t>
      </w:r>
    </w:p>
    <w:p>
      <w:pPr>
        <w:spacing w:before="117"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A health and safety representative for workers at a workplace may request a review of a control measure if the representative reasonably believes that:</w:t>
      </w:r>
    </w:p>
    <w:p>
      <w:pPr>
        <w:numPr>
          <w:ilvl w:val="0"/>
          <w:numId w:val="126"/>
        </w:numPr>
        <w:tabs>
          <w:tab w:val="clear" w:pos="360"/>
          <w:tab w:val="left" w:pos="1872"/>
        </w:tabs>
        <w:spacing w:before="120" w:after="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circumstance referred to in subregulation (2)(a), (b), (c) or (d) affects or may affect the health and safety of a member of the work group represented by the health and safety representative; and</w:t>
      </w:r>
    </w:p>
    <w:p>
      <w:pPr>
        <w:numPr>
          <w:ilvl w:val="0"/>
          <w:numId w:val="126"/>
        </w:numPr>
        <w:tabs>
          <w:tab w:val="clear" w:pos="360"/>
          <w:tab w:val="left" w:pos="1872"/>
        </w:tabs>
        <w:spacing w:before="116" w:after="6020" w:line="278" w:lineRule="exact"/>
        <w:ind w:right="79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duty holder has not adequately reviewed the control measure in response to the circumstance.</w:t>
      </w:r>
    </w:p>
    <w:p>
      <w:pPr>
        <w:spacing w:before="334"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1.05pt,0.3pt" style="position:absolute;mso-position-horizontal-relative:text;mso-position-vertical-relative:text;">
            <v:stroke dashstyle="solid"/>
          </v:line>
        </w:pict>
      </w:r>
    </w:p>
    <w:p>
      <w:pPr>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50</w:t>
      </w:r>
    </w:p>
    <w:p>
      <w:pPr>
        <w:sectPr>
          <w:type w:val="continuous"/>
          <w:pgSz w:w="11909" w:h="16838" w:orient="portrait"/>
          <w:pgMar w:bottom="1082" w:top="1140" w:right="5853" w:left="1976"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3.2	</w:t>
      </w:r>
      <w:r>
        <w:rPr>
          <w:rFonts w:ascii="Times New Roman" w:hAnsi="Times New Roman" w:eastAsia="Times New Roman"/>
          <w:color w:val="000000"/>
          <w:spacing w:val="0"/>
          <w:w w:val="100"/>
          <w:sz w:val="20"/>
          <w:vertAlign w:val="baseline"/>
          <w:lang w:val="en-US"/>
        </w:rPr>
        <w:t xml:space="preserve">General Workplace Management</w:t>
      </w:r>
    </w:p>
    <w:p>
      <w:pPr>
        <w:spacing w:before="258" w:after="0" w:line="317" w:lineRule="exact"/>
        <w:ind w:right="0" w:left="0" w:firstLine="0"/>
        <w:jc w:val="left"/>
        <w:textAlignment w:val="baseline"/>
        <w:rPr>
          <w:rFonts w:ascii="Times New Roman" w:hAnsi="Times New Roman" w:eastAsia="Times New Roman"/>
          <w:b w:val="true"/>
          <w:color w:val="000000"/>
          <w:spacing w:val="6"/>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6"/>
          <w:w w:val="100"/>
          <w:sz w:val="28"/>
          <w:vertAlign w:val="baseline"/>
          <w:lang w:val="en-US"/>
        </w:rPr>
        <w:t xml:space="preserve">Part 3.2 General Workplace Management</w:t>
      </w:r>
    </w:p>
    <w:p>
      <w:pPr>
        <w:tabs>
          <w:tab w:val="left" w:leader="none" w:pos="1584"/>
        </w:tabs>
        <w:spacing w:before="243" w:after="0" w:line="272"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1	</w:t>
      </w:r>
      <w:r>
        <w:rPr>
          <w:rFonts w:ascii="Times New Roman" w:hAnsi="Times New Roman" w:eastAsia="Times New Roman"/>
          <w:b w:val="true"/>
          <w:color w:val="000000"/>
          <w:spacing w:val="0"/>
          <w:w w:val="100"/>
          <w:sz w:val="24"/>
          <w:vertAlign w:val="baseline"/>
          <w:lang w:val="en-US"/>
        </w:rPr>
        <w:t xml:space="preserve">Information, training and instruction</w:t>
      </w:r>
    </w:p>
    <w:p>
      <w:pPr>
        <w:spacing w:before="121" w:after="0" w:line="272"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39 Provision of information, training and instruction</w:t>
      </w:r>
    </w:p>
    <w:p>
      <w:pPr>
        <w:spacing w:before="116" w:after="0" w:line="278"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regulation applies for the purposes of section 19 of the Act to a person conducting a business or undertaking.</w:t>
      </w:r>
    </w:p>
    <w:p>
      <w:pPr>
        <w:spacing w:before="116" w:after="0" w:line="278" w:lineRule="exact"/>
        <w:ind w:right="360"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(2) The person must ensure that information, training and instruction provided to a worker is suitable and adequate having regard to:</w:t>
      </w:r>
    </w:p>
    <w:p>
      <w:pPr>
        <w:numPr>
          <w:ilvl w:val="0"/>
          <w:numId w:val="127"/>
        </w:numPr>
        <w:tabs>
          <w:tab w:val="clear" w:pos="360"/>
          <w:tab w:val="left" w:pos="1872"/>
        </w:tabs>
        <w:spacing w:before="122"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nature of the work carried out by the worker; and</w:t>
      </w:r>
    </w:p>
    <w:p>
      <w:pPr>
        <w:numPr>
          <w:ilvl w:val="0"/>
          <w:numId w:val="127"/>
        </w:numPr>
        <w:tabs>
          <w:tab w:val="clear" w:pos="360"/>
          <w:tab w:val="left" w:pos="1872"/>
        </w:tabs>
        <w:spacing w:before="124" w:after="0" w:line="274"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nature of the risks associated with the work at the time the information, training or instruction is provided; and</w:t>
      </w:r>
    </w:p>
    <w:p>
      <w:pPr>
        <w:numPr>
          <w:ilvl w:val="0"/>
          <w:numId w:val="127"/>
        </w:numPr>
        <w:tabs>
          <w:tab w:val="clear" w:pos="360"/>
          <w:tab w:val="left" w:pos="1872"/>
        </w:tabs>
        <w:spacing w:before="126" w:after="0" w:line="272" w:lineRule="exact"/>
        <w:ind w:right="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control measures implemented.</w:t>
      </w:r>
    </w:p>
    <w:p>
      <w:pPr>
        <w:spacing w:before="122" w:after="0" w:line="272"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2"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75" w:lineRule="exact"/>
        <w:ind w:right="144"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person must ensure, so far as is reasonably practicable, that the information, training and instruction provided under this regulation is provided in a way that is readily understandable by any person to whom it is provided.</w:t>
      </w:r>
    </w:p>
    <w:p>
      <w:pPr>
        <w:spacing w:before="126" w:after="0" w:line="272"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2"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6"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tabs>
          <w:tab w:val="left" w:leader="none" w:pos="1584"/>
        </w:tabs>
        <w:spacing w:before="247" w:after="0" w:line="272"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2	</w:t>
      </w:r>
      <w:r>
        <w:rPr>
          <w:rFonts w:ascii="Times New Roman" w:hAnsi="Times New Roman" w:eastAsia="Times New Roman"/>
          <w:b w:val="true"/>
          <w:color w:val="000000"/>
          <w:spacing w:val="0"/>
          <w:w w:val="100"/>
          <w:sz w:val="24"/>
          <w:vertAlign w:val="baseline"/>
          <w:lang w:val="en-US"/>
        </w:rPr>
        <w:t xml:space="preserve">General working environment</w:t>
      </w:r>
    </w:p>
    <w:p>
      <w:pPr>
        <w:spacing w:before="121" w:after="0" w:line="272"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40 Duty in relation to general workplace facilities</w:t>
      </w:r>
    </w:p>
    <w:p>
      <w:pPr>
        <w:spacing w:before="116" w:after="0" w:line="278" w:lineRule="exact"/>
        <w:ind w:right="144" w:left="1368" w:firstLine="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must ensure, so far as is reasonably practicable, the following:</w:t>
      </w:r>
    </w:p>
    <w:p>
      <w:pPr>
        <w:numPr>
          <w:ilvl w:val="0"/>
          <w:numId w:val="128"/>
        </w:numPr>
        <w:tabs>
          <w:tab w:val="clear" w:pos="360"/>
          <w:tab w:val="left" w:pos="1872"/>
        </w:tabs>
        <w:spacing w:before="120"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layout of the workplace allows, and the workplace is maintained so as to allow, for persons to enter and exit and to move about without risk to health and safety, both under normal working conditions and in an emergency;</w:t>
      </w:r>
    </w:p>
    <w:p>
      <w:pPr>
        <w:numPr>
          <w:ilvl w:val="0"/>
          <w:numId w:val="128"/>
        </w:numPr>
        <w:tabs>
          <w:tab w:val="clear" w:pos="360"/>
          <w:tab w:val="left" w:pos="1872"/>
        </w:tabs>
        <w:spacing w:before="120" w:after="0" w:line="274"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work areas have space for work to be carried out without risk to health and safety;</w:t>
      </w:r>
    </w:p>
    <w:p>
      <w:pPr>
        <w:numPr>
          <w:ilvl w:val="0"/>
          <w:numId w:val="128"/>
        </w:numPr>
        <w:tabs>
          <w:tab w:val="clear" w:pos="360"/>
          <w:tab w:val="left" w:pos="1872"/>
        </w:tabs>
        <w:spacing w:before="122" w:after="759" w:line="276"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floors and other surfaces are designed, installed and maintained to allow work to be carried out without risk to health and safety;</w:t>
      </w:r>
    </w:p>
    <w:p>
      <w:pPr>
        <w:spacing w:before="122" w:after="759" w:line="276"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51</w:t>
      </w:r>
    </w:p>
    <w:p>
      <w:pPr>
        <w:sectPr>
          <w:type w:val="continuous"/>
          <w:pgSz w:w="11909" w:h="16838" w:orient="portrait"/>
          <w:pgMar w:bottom="1082" w:top="1140" w:right="5861" w:left="1968"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3.2	</w:t>
      </w:r>
      <w:r>
        <w:rPr>
          <w:rFonts w:ascii="Times New Roman" w:hAnsi="Times New Roman" w:eastAsia="Times New Roman"/>
          <w:color w:val="000000"/>
          <w:spacing w:val="0"/>
          <w:w w:val="100"/>
          <w:sz w:val="20"/>
          <w:vertAlign w:val="baseline"/>
          <w:lang w:val="en-US"/>
        </w:rPr>
        <w:t xml:space="preserve">General Workplace Management</w:t>
      </w:r>
    </w:p>
    <w:p>
      <w:pPr>
        <w:spacing w:before="251"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(d) lighting enables:</w:t>
      </w:r>
    </w:p>
    <w:p>
      <w:pPr>
        <w:numPr>
          <w:ilvl w:val="0"/>
          <w:numId w:val="129"/>
        </w:numPr>
        <w:tabs>
          <w:tab w:val="clear" w:pos="432"/>
          <w:tab w:val="left" w:pos="2376"/>
        </w:tabs>
        <w:spacing w:before="126" w:after="0" w:line="273" w:lineRule="exact"/>
        <w:ind w:right="144"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each worker to carry out work without risk to health and safety; and</w:t>
      </w:r>
    </w:p>
    <w:p>
      <w:pPr>
        <w:numPr>
          <w:ilvl w:val="0"/>
          <w:numId w:val="129"/>
        </w:numPr>
        <w:tabs>
          <w:tab w:val="clear" w:pos="432"/>
          <w:tab w:val="left" w:pos="2376"/>
        </w:tabs>
        <w:spacing w:before="126" w:after="0" w:line="273" w:lineRule="exact"/>
        <w:ind w:right="432"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persons to move within the workplace without risk to health and safety; and</w:t>
      </w:r>
    </w:p>
    <w:p>
      <w:pPr>
        <w:numPr>
          <w:ilvl w:val="0"/>
          <w:numId w:val="129"/>
        </w:numPr>
        <w:tabs>
          <w:tab w:val="clear" w:pos="432"/>
          <w:tab w:val="left" w:pos="2376"/>
        </w:tabs>
        <w:spacing w:before="126" w:after="0" w:line="273"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safe evacuation in an emergency;</w:t>
      </w:r>
    </w:p>
    <w:p>
      <w:pPr>
        <w:spacing w:before="114" w:after="0" w:line="279" w:lineRule="exact"/>
        <w:ind w:right="288" w:left="1944" w:hanging="432"/>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 ventilation enables workers to carry out work without risk to health and safety;</w:t>
      </w:r>
    </w:p>
    <w:p>
      <w:pPr>
        <w:spacing w:before="114" w:after="0" w:line="279" w:lineRule="exact"/>
        <w:ind w:right="72" w:left="1944" w:hanging="432"/>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 workers carrying out work in extremes of heat or cold are able to carry out work without risk to health and safety;</w:t>
      </w:r>
    </w:p>
    <w:p>
      <w:pPr>
        <w:spacing w:before="114" w:after="0" w:line="279" w:lineRule="exact"/>
        <w:ind w:right="72" w:left="1944" w:hanging="432"/>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 work in relation to or near essential services does not give rise to a risk to the health and safety of persons at the workplace.</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944"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1"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41 Duty to provide and maintain adequate and accessible facilities</w:t>
      </w:r>
    </w:p>
    <w:p>
      <w:pPr>
        <w:spacing w:before="123" w:after="0"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at a workplace must ensure, so far as is reasonably practicable, the provision of adequate facilities for workers, including toilets, drinking water, washing facilities and eating facilities.</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944"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8" w:after="0" w:line="276"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person conducting a business or undertaking at a workplace must ensure, so far as is reasonably practicable, that the facilities provided under subregulation (1) are maintained so as to be:</w:t>
      </w:r>
    </w:p>
    <w:p>
      <w:pPr>
        <w:numPr>
          <w:ilvl w:val="0"/>
          <w:numId w:val="130"/>
        </w:numPr>
        <w:tabs>
          <w:tab w:val="clear" w:pos="432"/>
          <w:tab w:val="left" w:pos="1944"/>
        </w:tabs>
        <w:spacing w:before="125"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good working order; and</w:t>
      </w:r>
    </w:p>
    <w:p>
      <w:pPr>
        <w:numPr>
          <w:ilvl w:val="0"/>
          <w:numId w:val="130"/>
        </w:numPr>
        <w:tabs>
          <w:tab w:val="clear" w:pos="432"/>
          <w:tab w:val="left" w:pos="1944"/>
        </w:tabs>
        <w:spacing w:before="121" w:after="0" w:line="273" w:lineRule="exact"/>
        <w:ind w:right="0" w:left="1512"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clean, safe and accessible.</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944"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8" w:after="926"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(3) For the purposes of this regulation, a person conducting a business or undertaking must have regard to all relevant matters, including the following:</w:t>
      </w:r>
    </w:p>
    <w:p>
      <w:pPr>
        <w:spacing w:before="118" w:after="926" w:line="276"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52</w:t>
      </w:r>
    </w:p>
    <w:p>
      <w:pPr>
        <w:sectPr>
          <w:type w:val="continuous"/>
          <w:pgSz w:w="11909" w:h="16838" w:orient="portrait"/>
          <w:pgMar w:bottom="1082" w:top="1140" w:right="5853" w:left="1976"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3.2	</w:t>
      </w:r>
      <w:r>
        <w:rPr>
          <w:rFonts w:ascii="Times New Roman" w:hAnsi="Times New Roman" w:eastAsia="Times New Roman"/>
          <w:color w:val="000000"/>
          <w:spacing w:val="0"/>
          <w:w w:val="100"/>
          <w:sz w:val="20"/>
          <w:vertAlign w:val="baseline"/>
          <w:lang w:val="en-US"/>
        </w:rPr>
        <w:t xml:space="preserve">General Workplace Management</w:t>
      </w:r>
    </w:p>
    <w:p>
      <w:pPr>
        <w:numPr>
          <w:ilvl w:val="0"/>
          <w:numId w:val="131"/>
        </w:numPr>
        <w:tabs>
          <w:tab w:val="clear" w:pos="360"/>
          <w:tab w:val="left" w:pos="1872"/>
        </w:tabs>
        <w:spacing w:before="25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nature of the work being carried out at the workplace;</w:t>
      </w:r>
    </w:p>
    <w:p>
      <w:pPr>
        <w:numPr>
          <w:ilvl w:val="0"/>
          <w:numId w:val="131"/>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nature of the hazards at the workplace;</w:t>
      </w:r>
    </w:p>
    <w:p>
      <w:pPr>
        <w:numPr>
          <w:ilvl w:val="0"/>
          <w:numId w:val="131"/>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size, location and nature of the workplace;</w:t>
      </w:r>
    </w:p>
    <w:p>
      <w:pPr>
        <w:numPr>
          <w:ilvl w:val="0"/>
          <w:numId w:val="131"/>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number and composition of the workers at the workplace.</w:t>
      </w:r>
    </w:p>
    <w:p>
      <w:pPr>
        <w:tabs>
          <w:tab w:val="left" w:leader="none" w:pos="1584"/>
        </w:tabs>
        <w:spacing w:before="245"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3	</w:t>
      </w:r>
      <w:r>
        <w:rPr>
          <w:rFonts w:ascii="Times New Roman" w:hAnsi="Times New Roman" w:eastAsia="Times New Roman"/>
          <w:b w:val="true"/>
          <w:color w:val="000000"/>
          <w:spacing w:val="0"/>
          <w:w w:val="100"/>
          <w:sz w:val="24"/>
          <w:vertAlign w:val="baseline"/>
          <w:lang w:val="en-US"/>
        </w:rPr>
        <w:t xml:space="preserve">First aid</w:t>
      </w:r>
    </w:p>
    <w:p>
      <w:pPr>
        <w:spacing w:before="120"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42 Duty to provide first aid</w:t>
      </w:r>
    </w:p>
    <w:p>
      <w:pPr>
        <w:spacing w:before="113" w:after="0" w:line="279"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at a workplace must ensure:</w:t>
      </w:r>
    </w:p>
    <w:p>
      <w:pPr>
        <w:numPr>
          <w:ilvl w:val="0"/>
          <w:numId w:val="132"/>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provision of first aid equipment for the workplace; and</w:t>
      </w:r>
    </w:p>
    <w:p>
      <w:pPr>
        <w:numPr>
          <w:ilvl w:val="0"/>
          <w:numId w:val="132"/>
        </w:numPr>
        <w:tabs>
          <w:tab w:val="clear" w:pos="360"/>
          <w:tab w:val="left" w:pos="1872"/>
        </w:tabs>
        <w:spacing w:before="126" w:after="0" w:line="273" w:lineRule="exact"/>
        <w:ind w:right="7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each worker at the workplace has access to the equipment; and</w:t>
      </w:r>
    </w:p>
    <w:p>
      <w:pPr>
        <w:numPr>
          <w:ilvl w:val="0"/>
          <w:numId w:val="132"/>
        </w:numPr>
        <w:tabs>
          <w:tab w:val="clear" w:pos="360"/>
          <w:tab w:val="left" w:pos="1872"/>
        </w:tabs>
        <w:spacing w:before="126" w:after="0" w:line="273" w:lineRule="exact"/>
        <w:ind w:right="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access to facilities for the administration of first aid.</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6" w:after="0" w:line="278"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 person conducting a business or undertaking at a workplace must ensure that:</w:t>
      </w:r>
    </w:p>
    <w:p>
      <w:pPr>
        <w:numPr>
          <w:ilvl w:val="0"/>
          <w:numId w:val="133"/>
        </w:numPr>
        <w:tabs>
          <w:tab w:val="clear" w:pos="360"/>
          <w:tab w:val="left" w:pos="1872"/>
        </w:tabs>
        <w:spacing w:before="116" w:after="0" w:line="278"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adequate number of workers are trained to administer first aid at the workplace; or</w:t>
      </w:r>
    </w:p>
    <w:p>
      <w:pPr>
        <w:numPr>
          <w:ilvl w:val="0"/>
          <w:numId w:val="133"/>
        </w:numPr>
        <w:tabs>
          <w:tab w:val="clear" w:pos="360"/>
          <w:tab w:val="left" w:pos="1872"/>
        </w:tabs>
        <w:spacing w:before="116" w:after="0" w:line="278"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workers have access to an adequate number of other persons who have been trained to administer first aid.</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2" w:after="0" w:line="276"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For the purposes of this regulation, the person conducting the business or undertaking must have regard to all relevant matters, including the following:</w:t>
      </w:r>
    </w:p>
    <w:p>
      <w:pPr>
        <w:numPr>
          <w:ilvl w:val="0"/>
          <w:numId w:val="134"/>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nature of the work being carried out at the workplace;</w:t>
      </w:r>
    </w:p>
    <w:p>
      <w:pPr>
        <w:numPr>
          <w:ilvl w:val="0"/>
          <w:numId w:val="134"/>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nature of the hazards at the workplace;</w:t>
      </w:r>
    </w:p>
    <w:p>
      <w:pPr>
        <w:numPr>
          <w:ilvl w:val="0"/>
          <w:numId w:val="134"/>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size and location of the workplace;</w:t>
      </w:r>
    </w:p>
    <w:p>
      <w:pPr>
        <w:numPr>
          <w:ilvl w:val="0"/>
          <w:numId w:val="134"/>
        </w:numPr>
        <w:tabs>
          <w:tab w:val="clear" w:pos="360"/>
          <w:tab w:val="left" w:pos="1872"/>
        </w:tabs>
        <w:spacing w:before="124" w:after="1118" w:line="274"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number and composition of the workers and other persons at the workplace.</w:t>
      </w:r>
    </w:p>
    <w:p>
      <w:pPr>
        <w:spacing w:before="124" w:after="1118" w:line="274"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53</w:t>
      </w:r>
    </w:p>
    <w:p>
      <w:pPr>
        <w:sectPr>
          <w:type w:val="continuous"/>
          <w:pgSz w:w="11909" w:h="16838" w:orient="portrait"/>
          <w:pgMar w:bottom="1082" w:top="1140" w:right="5858" w:left="1971"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3.2	</w:t>
      </w:r>
      <w:r>
        <w:rPr>
          <w:rFonts w:ascii="Times New Roman" w:hAnsi="Times New Roman" w:eastAsia="Times New Roman"/>
          <w:color w:val="000000"/>
          <w:spacing w:val="0"/>
          <w:w w:val="100"/>
          <w:sz w:val="20"/>
          <w:vertAlign w:val="baseline"/>
          <w:lang w:val="en-US"/>
        </w:rPr>
        <w:t xml:space="preserve">General Workplace Management</w:t>
      </w:r>
    </w:p>
    <w:p>
      <w:pPr>
        <w:tabs>
          <w:tab w:val="left" w:leader="none" w:pos="1584"/>
        </w:tabs>
        <w:spacing w:before="256" w:after="0" w:line="273"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4"/>
          <w:vertAlign w:val="baseline"/>
          <w:lang w:val="en-US"/>
        </w:rPr>
        <w:t xml:space="preserve">Division 4	</w:t>
      </w:r>
      <w:r>
        <w:rPr>
          <w:rFonts w:ascii="Times New Roman" w:hAnsi="Times New Roman" w:eastAsia="Times New Roman"/>
          <w:b w:val="true"/>
          <w:color w:val="000000"/>
          <w:spacing w:val="0"/>
          <w:w w:val="100"/>
          <w:sz w:val="24"/>
          <w:vertAlign w:val="baseline"/>
          <w:lang w:val="en-US"/>
        </w:rPr>
        <w:t xml:space="preserve">Emergency plans</w:t>
      </w:r>
    </w:p>
    <w:p>
      <w:pPr>
        <w:spacing w:before="121" w:after="0" w:line="273"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43 Duty to prepare, maintain and implement emergency plan</w:t>
      </w:r>
    </w:p>
    <w:p>
      <w:pPr>
        <w:spacing w:before="116"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at a workplace must ensure that an emergency plan is prepared for the workplace, that provides for the following:</w:t>
      </w:r>
    </w:p>
    <w:p>
      <w:pPr>
        <w:spacing w:before="127" w:after="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emergency procedures, including:</w:t>
      </w:r>
    </w:p>
    <w:p>
      <w:pPr>
        <w:numPr>
          <w:ilvl w:val="0"/>
          <w:numId w:val="135"/>
        </w:numPr>
        <w:tabs>
          <w:tab w:val="clear" w:pos="432"/>
          <w:tab w:val="left" w:pos="2376"/>
        </w:tabs>
        <w:spacing w:before="121" w:after="0" w:line="272"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effective response to an emergency; and</w:t>
      </w:r>
    </w:p>
    <w:p>
      <w:pPr>
        <w:numPr>
          <w:ilvl w:val="0"/>
          <w:numId w:val="135"/>
        </w:numPr>
        <w:tabs>
          <w:tab w:val="clear" w:pos="432"/>
          <w:tab w:val="left" w:pos="2376"/>
        </w:tabs>
        <w:spacing w:before="127" w:after="0" w:line="272"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evacuation procedures; and</w:t>
      </w:r>
    </w:p>
    <w:p>
      <w:pPr>
        <w:numPr>
          <w:ilvl w:val="0"/>
          <w:numId w:val="135"/>
        </w:numPr>
        <w:tabs>
          <w:tab w:val="clear" w:pos="432"/>
          <w:tab w:val="left" w:pos="2376"/>
        </w:tabs>
        <w:spacing w:before="114" w:after="0" w:line="279" w:lineRule="exact"/>
        <w:ind w:right="216" w:left="2376" w:hanging="432"/>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notifying emergency service organisations at the earliest opportunity; and</w:t>
      </w:r>
    </w:p>
    <w:p>
      <w:pPr>
        <w:numPr>
          <w:ilvl w:val="0"/>
          <w:numId w:val="135"/>
        </w:numPr>
        <w:tabs>
          <w:tab w:val="clear" w:pos="432"/>
          <w:tab w:val="left" w:pos="2376"/>
        </w:tabs>
        <w:spacing w:before="121" w:after="0" w:line="272" w:lineRule="exact"/>
        <w:ind w:right="0" w:left="2376" w:hanging="432"/>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medical treatment and assistance; and</w:t>
      </w:r>
    </w:p>
    <w:p>
      <w:pPr>
        <w:numPr>
          <w:ilvl w:val="0"/>
          <w:numId w:val="135"/>
        </w:numPr>
        <w:tabs>
          <w:tab w:val="clear" w:pos="432"/>
          <w:tab w:val="left" w:pos="2376"/>
        </w:tabs>
        <w:spacing w:before="124" w:after="0" w:line="275" w:lineRule="exact"/>
        <w:ind w:right="72"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effective communication between the person authorised by the person conducting the business or undertaking to coordinate the emergency response and all persons at the workplace;</w:t>
      </w:r>
    </w:p>
    <w:p>
      <w:pPr>
        <w:spacing w:before="116" w:after="0" w:line="278" w:lineRule="exact"/>
        <w:ind w:right="216" w:left="1944" w:hanging="432"/>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testing of the emergency procedures, including the frequency of testing;</w:t>
      </w:r>
    </w:p>
    <w:p>
      <w:pPr>
        <w:spacing w:before="116" w:after="0" w:line="278" w:lineRule="exact"/>
        <w:ind w:right="432" w:left="1944"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information, training and instruction to relevant workers in relation to implementing the emergency procedures.</w:t>
      </w:r>
    </w:p>
    <w:p>
      <w:pPr>
        <w:spacing w:before="122" w:after="0" w:line="272"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2" w:lineRule="exact"/>
        <w:ind w:right="0" w:left="1944"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In the case of an individual—$6 000.</w:t>
      </w:r>
    </w:p>
    <w:p>
      <w:pPr>
        <w:spacing w:before="122" w:after="0" w:line="272"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2"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 person conducting a business or undertaking at a workplace must maintain the emergency plan for the workplace so that it remains effective.</w:t>
      </w:r>
    </w:p>
    <w:p>
      <w:pPr>
        <w:spacing w:before="122" w:after="0" w:line="272"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2" w:lineRule="exact"/>
        <w:ind w:right="0" w:left="1944"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In the case of an individual—$6 000.</w:t>
      </w:r>
    </w:p>
    <w:p>
      <w:pPr>
        <w:spacing w:before="122" w:after="0" w:line="272"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2" w:after="0" w:line="276" w:lineRule="exact"/>
        <w:ind w:right="57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For the purposes of subregulations (1) and (2), the person conducting the business or undertaking must have regard to all relevant matters, including the following:</w:t>
      </w:r>
    </w:p>
    <w:p>
      <w:pPr>
        <w:numPr>
          <w:ilvl w:val="0"/>
          <w:numId w:val="136"/>
        </w:numPr>
        <w:tabs>
          <w:tab w:val="clear" w:pos="432"/>
          <w:tab w:val="left" w:pos="1944"/>
        </w:tabs>
        <w:spacing w:before="122" w:after="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nature of the work being carried out at the workplace;</w:t>
      </w:r>
    </w:p>
    <w:p>
      <w:pPr>
        <w:numPr>
          <w:ilvl w:val="0"/>
          <w:numId w:val="136"/>
        </w:numPr>
        <w:tabs>
          <w:tab w:val="clear" w:pos="432"/>
          <w:tab w:val="left" w:pos="1944"/>
        </w:tabs>
        <w:spacing w:before="126" w:after="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nature of the hazards at the workplace;</w:t>
      </w:r>
    </w:p>
    <w:p>
      <w:pPr>
        <w:numPr>
          <w:ilvl w:val="0"/>
          <w:numId w:val="136"/>
        </w:numPr>
        <w:tabs>
          <w:tab w:val="clear" w:pos="432"/>
          <w:tab w:val="left" w:pos="1944"/>
        </w:tabs>
        <w:spacing w:before="122" w:after="927" w:line="272" w:lineRule="exact"/>
        <w:ind w:right="0" w:left="1512" w:firstLine="0"/>
        <w:jc w:val="left"/>
        <w:textAlignment w:val="baseline"/>
        <w:rPr>
          <w:rFonts w:ascii="Times New Roman" w:hAnsi="Times New Roman" w:eastAsia="Times New Roman"/>
          <w:color w:val="000000"/>
          <w:spacing w:val="-1"/>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1"/>
          <w:w w:val="100"/>
          <w:sz w:val="24"/>
          <w:vertAlign w:val="baseline"/>
          <w:lang w:val="en-US"/>
        </w:rPr>
        <w:t xml:space="preserve">the size and location of the workplace;</w:t>
      </w:r>
    </w:p>
    <w:p>
      <w:pPr>
        <w:spacing w:before="122" w:after="927" w:line="272"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54</w:t>
      </w:r>
    </w:p>
    <w:p>
      <w:pPr>
        <w:sectPr>
          <w:type w:val="continuous"/>
          <w:pgSz w:w="11909" w:h="16838" w:orient="portrait"/>
          <w:pgMar w:bottom="1082" w:top="1140" w:right="5853" w:left="1976"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3.2	</w:t>
      </w:r>
      <w:r>
        <w:rPr>
          <w:rFonts w:ascii="Times New Roman" w:hAnsi="Times New Roman" w:eastAsia="Times New Roman"/>
          <w:color w:val="000000"/>
          <w:spacing w:val="0"/>
          <w:w w:val="100"/>
          <w:sz w:val="20"/>
          <w:vertAlign w:val="baseline"/>
          <w:lang w:val="en-US"/>
        </w:rPr>
        <w:t xml:space="preserve">General Workplace Management</w:t>
      </w:r>
    </w:p>
    <w:p>
      <w:pPr>
        <w:spacing w:before="245" w:after="0" w:line="279"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(d) the number and composition of the workers and other persons at the workplace.</w:t>
      </w:r>
    </w:p>
    <w:p>
      <w:pPr>
        <w:spacing w:before="117"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A person conducting a business or undertaking at a workplace must implement the emergency plan for the workplace in the event of an emergency.</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6"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tabs>
          <w:tab w:val="left" w:leader="none" w:pos="1584"/>
        </w:tabs>
        <w:spacing w:before="245"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5	</w:t>
      </w:r>
      <w:r>
        <w:rPr>
          <w:rFonts w:ascii="Times New Roman" w:hAnsi="Times New Roman" w:eastAsia="Times New Roman"/>
          <w:b w:val="true"/>
          <w:color w:val="000000"/>
          <w:spacing w:val="0"/>
          <w:w w:val="100"/>
          <w:sz w:val="24"/>
          <w:vertAlign w:val="baseline"/>
          <w:lang w:val="en-US"/>
        </w:rPr>
        <w:t xml:space="preserve">Personal protective equipment</w:t>
      </w:r>
    </w:p>
    <w:p>
      <w:pPr>
        <w:spacing w:before="120"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44 Provision to workers and use of personal protective equipment</w:t>
      </w:r>
    </w:p>
    <w:p>
      <w:pPr>
        <w:spacing w:before="116"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regulation applies if personal protective equipment is to be used to minimise a risk to health and safety in relation to work at a workplace in accordance with regulation 36.</w:t>
      </w:r>
    </w:p>
    <w:p>
      <w:pPr>
        <w:spacing w:before="118" w:after="0" w:line="276"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26"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Example</w:t>
      </w:r>
    </w:p>
    <w:p>
      <w:pPr>
        <w:spacing w:before="125" w:after="0" w:line="227"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Equipment that has been provided by a labour hire company.</w:t>
      </w:r>
    </w:p>
    <w:p>
      <w:pPr>
        <w:spacing w:before="117"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person conducting the business or undertaking who directs the carrying out of work must ensure that personal protective equipment provided under subregulation (2) is:</w:t>
      </w:r>
    </w:p>
    <w:p>
      <w:pPr>
        <w:spacing w:before="124" w:after="0" w:line="274"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selected to minimise risk to health and safety, including by ensuring that the equipment is:</w:t>
      </w:r>
    </w:p>
    <w:p>
      <w:pPr>
        <w:numPr>
          <w:ilvl w:val="0"/>
          <w:numId w:val="137"/>
        </w:numPr>
        <w:tabs>
          <w:tab w:val="clear" w:pos="360"/>
          <w:tab w:val="left" w:pos="2376"/>
        </w:tabs>
        <w:spacing w:before="124" w:after="0" w:line="274" w:lineRule="exact"/>
        <w:ind w:right="216"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suitable having regard to the nature of the work and any hazard associated with the work; and</w:t>
      </w:r>
    </w:p>
    <w:p>
      <w:pPr>
        <w:numPr>
          <w:ilvl w:val="0"/>
          <w:numId w:val="137"/>
        </w:numPr>
        <w:tabs>
          <w:tab w:val="clear" w:pos="360"/>
          <w:tab w:val="left" w:pos="2376"/>
        </w:tabs>
        <w:spacing w:before="124" w:after="0" w:line="274" w:lineRule="exact"/>
        <w:ind w:right="14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suitable size and fit and reasonably comfortable for the worker who is to use or wear it; and</w:t>
      </w:r>
    </w:p>
    <w:p>
      <w:pPr>
        <w:spacing w:before="122" w:after="979"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(b) maintained, repaired or replaced so that it continues to minimise risk to the worker who uses it, including by ensuring that the equipment is:</w:t>
      </w:r>
    </w:p>
    <w:p>
      <w:pPr>
        <w:spacing w:before="122" w:after="979" w:line="276"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55</w:t>
      </w:r>
    </w:p>
    <w:p>
      <w:pPr>
        <w:sectPr>
          <w:type w:val="continuous"/>
          <w:pgSz w:w="11909" w:h="16838" w:orient="portrait"/>
          <w:pgMar w:bottom="1082" w:top="1140" w:right="5856" w:left="1973"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3.2	</w:t>
      </w:r>
      <w:r>
        <w:rPr>
          <w:rFonts w:ascii="Times New Roman" w:hAnsi="Times New Roman" w:eastAsia="Times New Roman"/>
          <w:color w:val="000000"/>
          <w:spacing w:val="0"/>
          <w:w w:val="100"/>
          <w:sz w:val="20"/>
          <w:vertAlign w:val="baseline"/>
          <w:lang w:val="en-US"/>
        </w:rPr>
        <w:t xml:space="preserve">General Workplace Management</w:t>
      </w:r>
    </w:p>
    <w:p>
      <w:pPr>
        <w:numPr>
          <w:ilvl w:val="0"/>
          <w:numId w:val="138"/>
        </w:numPr>
        <w:tabs>
          <w:tab w:val="clear" w:pos="360"/>
          <w:tab w:val="left" w:pos="2376"/>
        </w:tabs>
        <w:spacing w:before="251" w:after="0" w:line="273" w:lineRule="exact"/>
        <w:ind w:right="0" w:left="2016"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clean and hygienic; and</w:t>
      </w:r>
    </w:p>
    <w:p>
      <w:pPr>
        <w:numPr>
          <w:ilvl w:val="0"/>
          <w:numId w:val="138"/>
        </w:numPr>
        <w:tabs>
          <w:tab w:val="clear" w:pos="360"/>
          <w:tab w:val="left" w:pos="2376"/>
        </w:tabs>
        <w:spacing w:before="126" w:after="0" w:line="273" w:lineRule="exact"/>
        <w:ind w:right="0" w:left="2016"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good working order; and</w:t>
      </w:r>
    </w:p>
    <w:p>
      <w:pPr>
        <w:spacing w:before="120" w:after="0" w:line="273" w:lineRule="exact"/>
        <w:ind w:right="0" w:left="0" w:firstLine="0"/>
        <w:jc w:val="righ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used or worn by the worker, so far as is reasonably practicable.</w:t>
      </w:r>
    </w:p>
    <w:p>
      <w:pPr>
        <w:spacing w:before="123" w:after="0" w:line="276"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The person conducting a business or undertaking who directs the carrying out of work must provide the worker with information, training and instruction in the:</w:t>
      </w:r>
    </w:p>
    <w:p>
      <w:pPr>
        <w:numPr>
          <w:ilvl w:val="0"/>
          <w:numId w:val="139"/>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proper use and wearing of personal protective equipment; and</w:t>
      </w:r>
    </w:p>
    <w:p>
      <w:pPr>
        <w:numPr>
          <w:ilvl w:val="0"/>
          <w:numId w:val="139"/>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storage and maintenance of personal protective equipment.</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3" w:after="0" w:line="230" w:lineRule="exact"/>
        <w:ind w:right="144" w:left="864"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A person conducting a business or undertaking must not charge or impose a levy on a worker for the provision of personal protective equipment (see section 273 of the Act).</w:t>
      </w:r>
    </w:p>
    <w:p>
      <w:pPr>
        <w:spacing w:before="120"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45 Personal protective equipment used by other persons</w:t>
      </w:r>
    </w:p>
    <w:p>
      <w:pPr>
        <w:spacing w:before="122" w:after="0" w:line="276" w:lineRule="exact"/>
        <w:ind w:right="36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conducting a business or undertaking who directs the carrying out of work must ensure, so far as is reasonably practicable, that:</w:t>
      </w:r>
    </w:p>
    <w:p>
      <w:pPr>
        <w:numPr>
          <w:ilvl w:val="0"/>
          <w:numId w:val="140"/>
        </w:numPr>
        <w:tabs>
          <w:tab w:val="clear" w:pos="360"/>
          <w:tab w:val="left" w:pos="1872"/>
        </w:tabs>
        <w:spacing w:before="117" w:after="0" w:line="276"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personal protective equipment to be used or worn by any person other than a worker at the workplace is capable of minimising risk to the person's health and safety; and</w:t>
      </w:r>
    </w:p>
    <w:p>
      <w:pPr>
        <w:numPr>
          <w:ilvl w:val="0"/>
          <w:numId w:val="140"/>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uses or wears the equipment.</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6"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46 Duties of worker</w:t>
      </w:r>
    </w:p>
    <w:p>
      <w:pPr>
        <w:numPr>
          <w:ilvl w:val="0"/>
          <w:numId w:val="141"/>
        </w:numPr>
        <w:tabs>
          <w:tab w:val="clear" w:pos="360"/>
          <w:tab w:val="left" w:pos="1368"/>
        </w:tabs>
        <w:spacing w:before="113" w:after="0" w:line="279"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regulation applies if a person conducting a business or undertaking provides a worker with personal protective equipment.</w:t>
      </w:r>
    </w:p>
    <w:p>
      <w:pPr>
        <w:numPr>
          <w:ilvl w:val="0"/>
          <w:numId w:val="141"/>
        </w:numPr>
        <w:tabs>
          <w:tab w:val="clear" w:pos="360"/>
          <w:tab w:val="left" w:pos="1368"/>
        </w:tabs>
        <w:spacing w:before="116" w:after="0" w:line="277"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worker must, so far as the worker is reasonably able, use or wear the equipment in accordance with any information, training or reasonable instruction by the person conducting the business or undertaking.</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94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an individual—$3 600.</w:t>
      </w:r>
    </w:p>
    <w:p>
      <w:pPr>
        <w:spacing w:before="126" w:after="940" w:line="273"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56</w:t>
      </w:r>
    </w:p>
    <w:p>
      <w:pPr>
        <w:sectPr>
          <w:type w:val="continuous"/>
          <w:pgSz w:w="11909" w:h="16838" w:orient="portrait"/>
          <w:pgMar w:bottom="1082" w:top="1140" w:right="5853" w:left="1976"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3.2	</w:t>
      </w:r>
      <w:r>
        <w:rPr>
          <w:rFonts w:ascii="Times New Roman" w:hAnsi="Times New Roman" w:eastAsia="Times New Roman"/>
          <w:color w:val="000000"/>
          <w:spacing w:val="0"/>
          <w:w w:val="100"/>
          <w:sz w:val="20"/>
          <w:vertAlign w:val="baseline"/>
          <w:lang w:val="en-US"/>
        </w:rPr>
        <w:t xml:space="preserve">General Workplace Management</w:t>
      </w:r>
    </w:p>
    <w:p>
      <w:pPr>
        <w:spacing w:before="251"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corporate—$18 000.</w:t>
      </w:r>
    </w:p>
    <w:p>
      <w:pPr>
        <w:numPr>
          <w:ilvl w:val="0"/>
          <w:numId w:val="141"/>
        </w:numPr>
        <w:tabs>
          <w:tab w:val="clear" w:pos="360"/>
          <w:tab w:val="left" w:pos="1368"/>
        </w:tabs>
        <w:spacing w:before="125" w:after="0" w:line="274" w:lineRule="exact"/>
        <w:ind w:right="0"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The worker must not intentionally misuse or damage the equipment.</w:t>
      </w:r>
    </w:p>
    <w:p>
      <w:pPr>
        <w:spacing w:before="119"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19"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numPr>
          <w:ilvl w:val="0"/>
          <w:numId w:val="141"/>
        </w:numPr>
        <w:tabs>
          <w:tab w:val="clear" w:pos="360"/>
          <w:tab w:val="left" w:pos="1368"/>
        </w:tabs>
        <w:spacing w:before="124" w:after="0" w:line="275"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worker must inform the person conducting the business or undertaking of any damage to, defect in or need to clean or decontaminate any of the equipment of which the worker becomes aware.</w:t>
      </w:r>
    </w:p>
    <w:p>
      <w:pPr>
        <w:spacing w:before="125"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19"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5"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19"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47 Duty of person other than worker</w:t>
      </w:r>
    </w:p>
    <w:p>
      <w:pPr>
        <w:spacing w:before="120" w:after="0" w:line="276"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other than a worker must wear personal protective equipment at a workplace in accordance with any information, training or reasonable instruction provided by the person conducting the business or undertaking at the workplace.</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0"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tabs>
          <w:tab w:val="left" w:leader="none" w:pos="1584"/>
        </w:tabs>
        <w:spacing w:before="249"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6	</w:t>
      </w:r>
      <w:r>
        <w:rPr>
          <w:rFonts w:ascii="Times New Roman" w:hAnsi="Times New Roman" w:eastAsia="Times New Roman"/>
          <w:b w:val="true"/>
          <w:color w:val="000000"/>
          <w:spacing w:val="0"/>
          <w:w w:val="100"/>
          <w:sz w:val="24"/>
          <w:vertAlign w:val="baseline"/>
          <w:lang w:val="en-US"/>
        </w:rPr>
        <w:t xml:space="preserve">Remote or isolated work</w:t>
      </w:r>
    </w:p>
    <w:p>
      <w:pPr>
        <w:spacing w:before="115"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48 Remote or isolated work</w:t>
      </w:r>
    </w:p>
    <w:p>
      <w:pPr>
        <w:numPr>
          <w:ilvl w:val="0"/>
          <w:numId w:val="142"/>
        </w:numPr>
        <w:tabs>
          <w:tab w:val="clear" w:pos="360"/>
          <w:tab w:val="left" w:pos="1368"/>
        </w:tabs>
        <w:spacing w:before="122"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must manage risks to the health and safety of a worker associated with remote or isolated work, in accordance with Part 3.1.</w:t>
      </w:r>
    </w:p>
    <w:p>
      <w:pPr>
        <w:spacing w:before="123"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7"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WHS Act—section 19 (see regulation 9).</w:t>
      </w:r>
    </w:p>
    <w:p>
      <w:pPr>
        <w:numPr>
          <w:ilvl w:val="0"/>
          <w:numId w:val="142"/>
        </w:numPr>
        <w:tabs>
          <w:tab w:val="clear" w:pos="360"/>
          <w:tab w:val="left" w:pos="1368"/>
        </w:tabs>
        <w:spacing w:before="120"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minimising risks to the health and safety of a worker associated with remote or isolated work, a person conducting a business or undertaking must provide a system of work that includes effective communication with the worker.</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776"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corporate—$30 000.</w:t>
      </w:r>
    </w:p>
    <w:p>
      <w:pPr>
        <w:spacing w:before="120" w:after="776" w:line="274"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57</w:t>
      </w:r>
    </w:p>
    <w:p>
      <w:pPr>
        <w:sectPr>
          <w:type w:val="continuous"/>
          <w:pgSz w:w="11909" w:h="16838" w:orient="portrait"/>
          <w:pgMar w:bottom="1082" w:top="1140" w:right="5853" w:left="1976"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3.2	</w:t>
      </w:r>
      <w:r>
        <w:rPr>
          <w:rFonts w:ascii="Times New Roman" w:hAnsi="Times New Roman" w:eastAsia="Times New Roman"/>
          <w:color w:val="000000"/>
          <w:spacing w:val="0"/>
          <w:w w:val="100"/>
          <w:sz w:val="20"/>
          <w:vertAlign w:val="baseline"/>
          <w:lang w:val="en-US"/>
        </w:rPr>
        <w:t xml:space="preserve">General Workplace Management</w:t>
      </w:r>
    </w:p>
    <w:p>
      <w:pPr>
        <w:spacing w:before="251" w:after="0" w:line="274"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(3) In this regulation:</w:t>
      </w:r>
    </w:p>
    <w:p>
      <w:pPr>
        <w:spacing w:before="126" w:after="0" w:line="273" w:lineRule="exact"/>
        <w:ind w:right="72"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assistance </w:t>
      </w:r>
      <w:r>
        <w:rPr>
          <w:rFonts w:ascii="Times New Roman" w:hAnsi="Times New Roman" w:eastAsia="Times New Roman"/>
          <w:color w:val="000000"/>
          <w:spacing w:val="0"/>
          <w:w w:val="100"/>
          <w:sz w:val="24"/>
          <w:vertAlign w:val="baseline"/>
          <w:lang w:val="en-US"/>
        </w:rPr>
        <w:t xml:space="preserve">includes rescue, medical assistance and the attendance of emergency service workers.</w:t>
      </w:r>
    </w:p>
    <w:p>
      <w:pPr>
        <w:spacing w:before="123" w:after="0" w:line="276" w:lineRule="exact"/>
        <w:ind w:right="72"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remote or isolated work</w:t>
      </w:r>
      <w:r>
        <w:rPr>
          <w:rFonts w:ascii="Times New Roman" w:hAnsi="Times New Roman" w:eastAsia="Times New Roman"/>
          <w:color w:val="000000"/>
          <w:spacing w:val="0"/>
          <w:w w:val="100"/>
          <w:sz w:val="24"/>
          <w:vertAlign w:val="baseline"/>
          <w:lang w:val="en-US"/>
        </w:rPr>
        <w:t xml:space="preserve">, in relation to a worker, means work that is isolated from the assistance of other persons because of location, time or the nature of the work.</w:t>
      </w:r>
    </w:p>
    <w:p>
      <w:pPr>
        <w:tabs>
          <w:tab w:val="left" w:leader="none" w:pos="1584"/>
        </w:tabs>
        <w:spacing w:before="244"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7	</w:t>
      </w:r>
      <w:r>
        <w:rPr>
          <w:rFonts w:ascii="Times New Roman" w:hAnsi="Times New Roman" w:eastAsia="Times New Roman"/>
          <w:b w:val="true"/>
          <w:color w:val="000000"/>
          <w:spacing w:val="0"/>
          <w:w w:val="100"/>
          <w:sz w:val="24"/>
          <w:vertAlign w:val="baseline"/>
          <w:lang w:val="en-US"/>
        </w:rPr>
        <w:t xml:space="preserve">Managing risks from airborne contaminants</w:t>
      </w:r>
    </w:p>
    <w:p>
      <w:pPr>
        <w:spacing w:before="120" w:after="0" w:line="274" w:lineRule="exact"/>
        <w:ind w:right="0" w:left="0" w:firstLine="0"/>
        <w:jc w:val="center"/>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49 Ensuring exposure standards for substances and mixtures not exceeded</w:t>
      </w:r>
    </w:p>
    <w:p>
      <w:pPr>
        <w:spacing w:before="116" w:after="0" w:line="277"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must ensure that no person at the workplace is exposed to a substance or mixture in an airborne concentration that exceeds the exposure standard for the substance or mixture.</w:t>
      </w:r>
    </w:p>
    <w:p>
      <w:pPr>
        <w:spacing w:before="119"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4"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0"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50 Monitoring airborne contaminant levels</w:t>
      </w:r>
    </w:p>
    <w:p>
      <w:pPr>
        <w:spacing w:before="124" w:after="0"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at a workplace must ensure that air monitoring is carried out to determine the airborne concentration of a substance or mixture at the workplace to which an exposure standard applies if:</w:t>
      </w:r>
    </w:p>
    <w:p>
      <w:pPr>
        <w:numPr>
          <w:ilvl w:val="0"/>
          <w:numId w:val="143"/>
        </w:numPr>
        <w:tabs>
          <w:tab w:val="clear" w:pos="360"/>
          <w:tab w:val="left" w:pos="1872"/>
        </w:tabs>
        <w:spacing w:before="122"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is not certain on reasonable grounds whether or not the airborne concentration of the substance or mixture at the workplace exceeds the relevant exposure standard; or</w:t>
      </w:r>
    </w:p>
    <w:p>
      <w:pPr>
        <w:numPr>
          <w:ilvl w:val="0"/>
          <w:numId w:val="143"/>
        </w:numPr>
        <w:tabs>
          <w:tab w:val="clear" w:pos="360"/>
          <w:tab w:val="left" w:pos="1872"/>
        </w:tabs>
        <w:spacing w:before="116" w:after="0" w:line="278" w:lineRule="exact"/>
        <w:ind w:right="7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monitoring is necessary to determine whether there is a risk to health.</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 person conducting a business or undertaking at a workplace must ensure that the results of air monitoring carried out under subregulation (1) are recorded, and kept for 30 years after the date the record is made.</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4" w:after="767"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corporate—$6 000.</w:t>
      </w:r>
    </w:p>
    <w:p>
      <w:pPr>
        <w:spacing w:before="124" w:after="767" w:line="274"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58</w:t>
      </w:r>
    </w:p>
    <w:p>
      <w:pPr>
        <w:sectPr>
          <w:type w:val="continuous"/>
          <w:pgSz w:w="11909" w:h="16838" w:orient="portrait"/>
          <w:pgMar w:bottom="1082" w:top="1140" w:right="5856" w:left="1973"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3.2	</w:t>
      </w:r>
      <w:r>
        <w:rPr>
          <w:rFonts w:ascii="Times New Roman" w:hAnsi="Times New Roman" w:eastAsia="Times New Roman"/>
          <w:color w:val="000000"/>
          <w:spacing w:val="0"/>
          <w:w w:val="100"/>
          <w:sz w:val="20"/>
          <w:vertAlign w:val="baseline"/>
          <w:lang w:val="en-US"/>
        </w:rPr>
        <w:t xml:space="preserve">General Workplace Management</w:t>
      </w:r>
    </w:p>
    <w:p>
      <w:pPr>
        <w:numPr>
          <w:ilvl w:val="0"/>
          <w:numId w:val="144"/>
        </w:numPr>
        <w:tabs>
          <w:tab w:val="clear" w:pos="360"/>
          <w:tab w:val="left" w:pos="1368"/>
        </w:tabs>
        <w:spacing w:before="247" w:after="0" w:line="277"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person conducting a business or undertaking at a workplace must ensure that the results of air monitoring carried out under subregulation (1) are readily accessible to persons at the workplace who may be exposed to the substance or mixture.</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tabs>
          <w:tab w:val="left" w:leader="none" w:pos="1584"/>
        </w:tabs>
        <w:spacing w:before="251" w:after="0" w:line="273"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8	</w:t>
      </w:r>
      <w:r>
        <w:rPr>
          <w:rFonts w:ascii="Times New Roman" w:hAnsi="Times New Roman" w:eastAsia="Times New Roman"/>
          <w:b w:val="true"/>
          <w:color w:val="000000"/>
          <w:spacing w:val="0"/>
          <w:w w:val="100"/>
          <w:sz w:val="24"/>
          <w:vertAlign w:val="baseline"/>
          <w:lang w:val="en-US"/>
        </w:rPr>
        <w:t xml:space="preserve">Hazardous atmospheres</w:t>
      </w:r>
    </w:p>
    <w:p>
      <w:pPr>
        <w:spacing w:before="115" w:after="0" w:line="273"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51 Managing risks to health and safety</w:t>
      </w:r>
    </w:p>
    <w:p>
      <w:pPr>
        <w:numPr>
          <w:ilvl w:val="0"/>
          <w:numId w:val="145"/>
        </w:numPr>
        <w:tabs>
          <w:tab w:val="clear" w:pos="360"/>
          <w:tab w:val="left" w:pos="1368"/>
        </w:tabs>
        <w:spacing w:before="123"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must manage risks to health and safety associated with a hazardous atmosphere at the workplace, in accordance with Part 3.1.</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7"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WHS Act—section 19 (see regulation 9).</w:t>
      </w:r>
    </w:p>
    <w:p>
      <w:pPr>
        <w:numPr>
          <w:ilvl w:val="0"/>
          <w:numId w:val="145"/>
        </w:numPr>
        <w:tabs>
          <w:tab w:val="clear" w:pos="360"/>
          <w:tab w:val="left" w:pos="1368"/>
        </w:tabs>
        <w:spacing w:before="120" w:after="0" w:line="274"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atmosphere is a </w:t>
      </w:r>
      <w:r>
        <w:rPr>
          <w:rFonts w:ascii="Times New Roman" w:hAnsi="Times New Roman" w:eastAsia="Times New Roman"/>
          <w:b w:val="true"/>
          <w:i w:val="true"/>
          <w:color w:val="000000"/>
          <w:spacing w:val="0"/>
          <w:w w:val="100"/>
          <w:sz w:val="24"/>
          <w:vertAlign w:val="baseline"/>
          <w:lang w:val="en-US"/>
        </w:rPr>
        <w:t xml:space="preserve">hazardous atmosphere </w:t>
      </w:r>
      <w:r>
        <w:rPr>
          <w:rFonts w:ascii="Times New Roman" w:hAnsi="Times New Roman" w:eastAsia="Times New Roman"/>
          <w:color w:val="000000"/>
          <w:spacing w:val="0"/>
          <w:w w:val="100"/>
          <w:sz w:val="24"/>
          <w:vertAlign w:val="baseline"/>
          <w:lang w:val="en-US"/>
        </w:rPr>
        <w:t xml:space="preserve">if:</w:t>
      </w:r>
    </w:p>
    <w:p>
      <w:pPr>
        <w:numPr>
          <w:ilvl w:val="0"/>
          <w:numId w:val="146"/>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atmosphere does not have a safe oxygen level; or</w:t>
      </w:r>
    </w:p>
    <w:p>
      <w:pPr>
        <w:numPr>
          <w:ilvl w:val="0"/>
          <w:numId w:val="146"/>
        </w:numPr>
        <w:tabs>
          <w:tab w:val="clear" w:pos="360"/>
          <w:tab w:val="left" w:pos="1872"/>
        </w:tabs>
        <w:spacing w:before="124" w:after="0" w:line="274"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concentration of oxygen in the atmosphere increases the fire risk; or</w:t>
      </w:r>
    </w:p>
    <w:p>
      <w:pPr>
        <w:numPr>
          <w:ilvl w:val="0"/>
          <w:numId w:val="146"/>
        </w:numPr>
        <w:tabs>
          <w:tab w:val="clear" w:pos="360"/>
          <w:tab w:val="left" w:pos="1872"/>
        </w:tabs>
        <w:spacing w:before="124" w:after="0" w:line="274"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concentration of flammable gas, vapour, mist or fumes exceeds 5% of the LEL for the gas, vapour, mist or fumes; or</w:t>
      </w:r>
    </w:p>
    <w:p>
      <w:pPr>
        <w:numPr>
          <w:ilvl w:val="0"/>
          <w:numId w:val="146"/>
        </w:numPr>
        <w:tabs>
          <w:tab w:val="clear" w:pos="360"/>
          <w:tab w:val="left" w:pos="1872"/>
        </w:tabs>
        <w:spacing w:before="124" w:after="0" w:line="274"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combustible dust is present in a quantity and form that would result in a hazardous area.</w:t>
      </w:r>
    </w:p>
    <w:p>
      <w:pPr>
        <w:spacing w:before="125" w:after="0" w:line="273" w:lineRule="exact"/>
        <w:ind w:right="0" w:left="288" w:firstLine="0"/>
        <w:jc w:val="left"/>
        <w:textAlignment w:val="baseline"/>
        <w:rPr>
          <w:rFonts w:ascii="Times New Roman" w:hAnsi="Times New Roman" w:eastAsia="Times New Roman"/>
          <w:b w:val="true"/>
          <w:color w:val="000000"/>
          <w:spacing w:val="-1"/>
          <w:w w:val="100"/>
          <w:sz w:val="24"/>
          <w:vertAlign w:val="baseline"/>
          <w:lang w:val="en-US"/>
        </w:rPr>
      </w:pPr>
      <w:r>
        <w:rPr>
          <w:rFonts w:ascii="Times New Roman" w:hAnsi="Times New Roman" w:eastAsia="Times New Roman"/>
          <w:b w:val="true"/>
          <w:color w:val="000000"/>
          <w:spacing w:val="-1"/>
          <w:w w:val="100"/>
          <w:sz w:val="24"/>
          <w:vertAlign w:val="baseline"/>
          <w:lang w:val="en-US"/>
        </w:rPr>
        <w:t xml:space="preserve">52 Ignition sources</w:t>
      </w:r>
    </w:p>
    <w:p>
      <w:pPr>
        <w:numPr>
          <w:ilvl w:val="0"/>
          <w:numId w:val="147"/>
        </w:numPr>
        <w:tabs>
          <w:tab w:val="clear" w:pos="360"/>
          <w:tab w:val="left" w:pos="1368"/>
        </w:tabs>
        <w:spacing w:before="120"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must manage risks to health and safety associated with an ignition source in a hazardous atmosphere at the workplace, in accordance with Part 3.1.</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7"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WHS Act—section 19 (see regulation 9).</w:t>
      </w:r>
    </w:p>
    <w:p>
      <w:pPr>
        <w:numPr>
          <w:ilvl w:val="0"/>
          <w:numId w:val="147"/>
        </w:numPr>
        <w:tabs>
          <w:tab w:val="clear" w:pos="360"/>
          <w:tab w:val="left" w:pos="1368"/>
        </w:tabs>
        <w:spacing w:before="115" w:after="2174" w:line="278" w:lineRule="exact"/>
        <w:ind w:right="504"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This regulation does not apply if the ignition source is part of a deliberate process or activity at the workplace.</w:t>
      </w:r>
    </w:p>
    <w:p>
      <w:pPr>
        <w:spacing w:before="115" w:after="2174" w:line="278"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59</w:t>
      </w:r>
    </w:p>
    <w:p>
      <w:pPr>
        <w:sectPr>
          <w:type w:val="continuous"/>
          <w:pgSz w:w="11909" w:h="16838" w:orient="portrait"/>
          <w:pgMar w:bottom="1082" w:top="1140" w:right="5853" w:left="1976"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3.2	</w:t>
      </w:r>
      <w:r>
        <w:rPr>
          <w:rFonts w:ascii="Times New Roman" w:hAnsi="Times New Roman" w:eastAsia="Times New Roman"/>
          <w:color w:val="000000"/>
          <w:spacing w:val="0"/>
          <w:w w:val="100"/>
          <w:sz w:val="20"/>
          <w:vertAlign w:val="baseline"/>
          <w:lang w:val="en-US"/>
        </w:rPr>
        <w:t xml:space="preserve">General Workplace Management</w:t>
      </w:r>
    </w:p>
    <w:p>
      <w:pPr>
        <w:tabs>
          <w:tab w:val="left" w:leader="none" w:pos="1584"/>
        </w:tabs>
        <w:spacing w:before="256"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4"/>
          <w:vertAlign w:val="baseline"/>
          <w:lang w:val="en-US"/>
        </w:rPr>
        <w:t xml:space="preserve">Division 9	</w:t>
      </w:r>
      <w:r>
        <w:rPr>
          <w:rFonts w:ascii="Times New Roman" w:hAnsi="Times New Roman" w:eastAsia="Times New Roman"/>
          <w:b w:val="true"/>
          <w:color w:val="000000"/>
          <w:spacing w:val="0"/>
          <w:w w:val="100"/>
          <w:sz w:val="24"/>
          <w:vertAlign w:val="baseline"/>
          <w:lang w:val="en-US"/>
        </w:rPr>
        <w:t xml:space="preserve">Storage of flammable or combustible substances</w:t>
      </w:r>
    </w:p>
    <w:p>
      <w:pPr>
        <w:spacing w:before="120"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53 Flammable and combustible material not to be accumulated</w:t>
      </w:r>
    </w:p>
    <w:p>
      <w:pPr>
        <w:numPr>
          <w:ilvl w:val="0"/>
          <w:numId w:val="148"/>
        </w:numPr>
        <w:tabs>
          <w:tab w:val="clear" w:pos="360"/>
          <w:tab w:val="left" w:pos="1368"/>
        </w:tabs>
        <w:spacing w:before="115" w:after="0" w:line="277"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must ensure that, if flammable or combustible substances are kept at the workplace, the substances are kept at the lowest practicable quantity for the workplace.</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148"/>
        </w:numPr>
        <w:tabs>
          <w:tab w:val="clear" w:pos="360"/>
          <w:tab w:val="left" w:pos="1368"/>
        </w:tabs>
        <w:spacing w:before="126" w:after="0" w:line="274"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this regulation, </w:t>
      </w:r>
      <w:r>
        <w:rPr>
          <w:rFonts w:ascii="Times New Roman" w:hAnsi="Times New Roman" w:eastAsia="Times New Roman"/>
          <w:b w:val="true"/>
          <w:i w:val="true"/>
          <w:color w:val="000000"/>
          <w:spacing w:val="0"/>
          <w:w w:val="100"/>
          <w:sz w:val="24"/>
          <w:vertAlign w:val="baseline"/>
          <w:lang w:val="en-US"/>
        </w:rPr>
        <w:t xml:space="preserve">flammable or combustible substances </w:t>
      </w:r>
      <w:r>
        <w:rPr>
          <w:rFonts w:ascii="Times New Roman" w:hAnsi="Times New Roman" w:eastAsia="Times New Roman"/>
          <w:color w:val="000000"/>
          <w:spacing w:val="0"/>
          <w:w w:val="100"/>
          <w:sz w:val="24"/>
          <w:vertAlign w:val="baseline"/>
          <w:lang w:val="en-US"/>
        </w:rPr>
        <w:t xml:space="preserve">include:</w:t>
      </w:r>
    </w:p>
    <w:p>
      <w:pPr>
        <w:numPr>
          <w:ilvl w:val="0"/>
          <w:numId w:val="149"/>
        </w:numPr>
        <w:tabs>
          <w:tab w:val="clear" w:pos="360"/>
          <w:tab w:val="left" w:pos="1872"/>
        </w:tabs>
        <w:spacing w:before="113" w:after="0" w:line="279"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flammable and combustible liquids, including waste liquids, in containers, whether empty or full; and</w:t>
      </w:r>
    </w:p>
    <w:p>
      <w:pPr>
        <w:numPr>
          <w:ilvl w:val="0"/>
          <w:numId w:val="149"/>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gas cylinders, whether empty or full.</w:t>
      </w:r>
    </w:p>
    <w:p>
      <w:pPr>
        <w:tabs>
          <w:tab w:val="left" w:leader="none" w:pos="1584"/>
        </w:tabs>
        <w:spacing w:before="246"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10	</w:t>
      </w:r>
      <w:r>
        <w:rPr>
          <w:rFonts w:ascii="Times New Roman" w:hAnsi="Times New Roman" w:eastAsia="Times New Roman"/>
          <w:b w:val="true"/>
          <w:color w:val="000000"/>
          <w:spacing w:val="0"/>
          <w:w w:val="100"/>
          <w:sz w:val="24"/>
          <w:vertAlign w:val="baseline"/>
          <w:lang w:val="en-US"/>
        </w:rPr>
        <w:t xml:space="preserve">Falling objects</w:t>
      </w:r>
    </w:p>
    <w:p>
      <w:pPr>
        <w:spacing w:before="119"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54 Management of risk of falling objects</w:t>
      </w:r>
    </w:p>
    <w:p>
      <w:pPr>
        <w:spacing w:before="119" w:after="0" w:line="276"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must manage, in accordance with Part 3.1, risks to health and safety associated with an object falling on a person if the falling object is reasonably likely to injure the person.</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7"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WHS Act—section 19 (see regulation 9).</w:t>
      </w:r>
    </w:p>
    <w:p>
      <w:pPr>
        <w:spacing w:before="120"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55 Minimising risk associated with falling objects</w:t>
      </w:r>
    </w:p>
    <w:p>
      <w:pPr>
        <w:numPr>
          <w:ilvl w:val="0"/>
          <w:numId w:val="150"/>
        </w:numPr>
        <w:tabs>
          <w:tab w:val="clear" w:pos="360"/>
          <w:tab w:val="left" w:pos="1368"/>
        </w:tabs>
        <w:spacing w:before="123" w:after="0" w:line="274" w:lineRule="exact"/>
        <w:ind w:right="93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regulation applies if it is not reasonably practicable to eliminate the risk referred to in regulation 54.</w:t>
      </w:r>
    </w:p>
    <w:p>
      <w:pPr>
        <w:numPr>
          <w:ilvl w:val="0"/>
          <w:numId w:val="150"/>
        </w:numPr>
        <w:tabs>
          <w:tab w:val="clear" w:pos="360"/>
          <w:tab w:val="left" w:pos="1368"/>
        </w:tabs>
        <w:spacing w:before="124" w:after="0"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conducting the business or undertaking at a workplace must minimise the risk of an object falling on a person by providing adequate protection against the risk in accordance with this regulation.</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150"/>
        </w:numPr>
        <w:tabs>
          <w:tab w:val="clear" w:pos="360"/>
          <w:tab w:val="left" w:pos="1368"/>
        </w:tabs>
        <w:spacing w:before="116" w:after="1291" w:line="278" w:lineRule="exact"/>
        <w:ind w:right="432" w:left="1368" w:hanging="360"/>
        <w:jc w:val="left"/>
        <w:textAlignment w:val="baseline"/>
        <w:rPr>
          <w:rFonts w:ascii="Times New Roman" w:hAnsi="Times New Roman" w:eastAsia="Times New Roman"/>
          <w:color w:val="000000"/>
          <w:spacing w:val="-1"/>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1"/>
          <w:w w:val="100"/>
          <w:sz w:val="24"/>
          <w:vertAlign w:val="baseline"/>
          <w:lang w:val="en-US"/>
        </w:rPr>
        <w:t xml:space="preserve">The person provides adequate protection against the risk if the person provides and maintains a safe system of work, including:</w:t>
      </w:r>
    </w:p>
    <w:p>
      <w:pPr>
        <w:spacing w:before="116" w:after="1291" w:line="278"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60</w:t>
      </w:r>
    </w:p>
    <w:p>
      <w:pPr>
        <w:sectPr>
          <w:type w:val="continuous"/>
          <w:pgSz w:w="11909" w:h="16838" w:orient="portrait"/>
          <w:pgMar w:bottom="1082" w:top="1140" w:right="5853" w:left="1976" w:header="720" w:footer="720"/>
          <w:titlePg w:val="false"/>
          <w:textDirection w:val="lrTb"/>
        </w:sectPr>
      </w:pPr>
    </w:p>
    <w:p>
      <w:pPr>
        <w:spacing w:before="6"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2" w:after="223"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3.2	</w:t>
      </w:r>
      <w:r>
        <w:rPr>
          <w:rFonts w:ascii="Times New Roman" w:hAnsi="Times New Roman" w:eastAsia="Times New Roman"/>
          <w:color w:val="000000"/>
          <w:spacing w:val="0"/>
          <w:w w:val="100"/>
          <w:sz w:val="20"/>
          <w:vertAlign w:val="baseline"/>
          <w:lang w:val="en-US"/>
        </w:rPr>
        <w:t xml:space="preserve">General Workplace Management</w:t>
      </w:r>
    </w:p>
    <w:p>
      <w:pPr>
        <w:numPr>
          <w:ilvl w:val="0"/>
          <w:numId w:val="151"/>
        </w:numPr>
        <w:tabs>
          <w:tab w:val="clear" w:pos="360"/>
          <w:tab w:val="left" w:pos="1872"/>
        </w:tabs>
        <w:spacing w:before="244" w:after="0" w:line="279"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preventing an object from falling freely, so far as is reasonably practicable; or</w:t>
      </w:r>
    </w:p>
    <w:p>
      <w:pPr>
        <w:numPr>
          <w:ilvl w:val="0"/>
          <w:numId w:val="151"/>
        </w:numPr>
        <w:tabs>
          <w:tab w:val="clear" w:pos="360"/>
          <w:tab w:val="left" w:pos="1872"/>
        </w:tabs>
        <w:spacing w:before="117"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it is not reasonably practicable to prevent an object from falling freely—providing, so far as is reasonably practicable, a system to arrest the fall of a falling object.</w:t>
      </w:r>
    </w:p>
    <w:p>
      <w:pPr>
        <w:spacing w:before="125" w:after="0" w:line="226"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Examples</w:t>
      </w:r>
    </w:p>
    <w:p>
      <w:pPr>
        <w:tabs>
          <w:tab w:val="left" w:leader="none" w:pos="1296"/>
        </w:tabs>
        <w:spacing w:before="125" w:after="0" w:line="229" w:lineRule="exact"/>
        <w:ind w:right="0" w:left="864"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1	</w:t>
      </w:r>
      <w:r>
        <w:rPr>
          <w:rFonts w:ascii="Times New Roman" w:hAnsi="Times New Roman" w:eastAsia="Times New Roman"/>
          <w:color w:val="000000"/>
          <w:spacing w:val="-1"/>
          <w:w w:val="100"/>
          <w:sz w:val="20"/>
          <w:vertAlign w:val="baseline"/>
          <w:lang w:val="en-US"/>
        </w:rPr>
        <w:t xml:space="preserve">Providing a secure barrier.</w:t>
      </w:r>
    </w:p>
    <w:p>
      <w:pPr>
        <w:tabs>
          <w:tab w:val="left" w:leader="none" w:pos="1296"/>
        </w:tabs>
        <w:spacing w:before="121" w:after="0" w:line="229"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Providing a safe means of raising and lowering objects.</w:t>
      </w:r>
    </w:p>
    <w:p>
      <w:pPr>
        <w:tabs>
          <w:tab w:val="left" w:leader="none" w:pos="1296"/>
        </w:tabs>
        <w:spacing w:before="122" w:after="0" w:line="229"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	</w:t>
      </w:r>
      <w:r>
        <w:rPr>
          <w:rFonts w:ascii="Times New Roman" w:hAnsi="Times New Roman" w:eastAsia="Times New Roman"/>
          <w:color w:val="000000"/>
          <w:spacing w:val="0"/>
          <w:w w:val="100"/>
          <w:sz w:val="20"/>
          <w:vertAlign w:val="baseline"/>
          <w:lang w:val="en-US"/>
        </w:rPr>
        <w:t xml:space="preserve">Providing an exclusion zone persons are prohibited from entering.</w:t>
      </w:r>
    </w:p>
    <w:p>
      <w:pPr>
        <w:tabs>
          <w:tab w:val="left" w:leader="none" w:pos="1584"/>
        </w:tabs>
        <w:spacing w:before="242" w:after="0" w:line="273"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11	</w:t>
      </w:r>
      <w:r>
        <w:rPr>
          <w:rFonts w:ascii="Times New Roman" w:hAnsi="Times New Roman" w:eastAsia="Times New Roman"/>
          <w:b w:val="true"/>
          <w:color w:val="000000"/>
          <w:spacing w:val="0"/>
          <w:w w:val="100"/>
          <w:sz w:val="24"/>
          <w:vertAlign w:val="baseline"/>
          <w:lang w:val="en-US"/>
        </w:rPr>
        <w:t xml:space="preserve">Psychosocial risks</w:t>
      </w:r>
    </w:p>
    <w:p>
      <w:pPr>
        <w:spacing w:before="121" w:after="0" w:line="273"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55A Meaning of </w:t>
      </w:r>
      <w:r>
        <w:rPr>
          <w:rFonts w:ascii="Times New Roman" w:hAnsi="Times New Roman" w:eastAsia="Times New Roman"/>
          <w:b w:val="true"/>
          <w:i w:val="true"/>
          <w:color w:val="000000"/>
          <w:spacing w:val="0"/>
          <w:w w:val="100"/>
          <w:sz w:val="24"/>
          <w:vertAlign w:val="baseline"/>
          <w:lang w:val="en-US"/>
        </w:rPr>
        <w:t xml:space="preserve">psychosocial hazard</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w:t>
      </w:r>
      <w:r>
        <w:rPr>
          <w:rFonts w:ascii="Times New Roman" w:hAnsi="Times New Roman" w:eastAsia="Times New Roman"/>
          <w:b w:val="true"/>
          <w:i w:val="true"/>
          <w:color w:val="000000"/>
          <w:spacing w:val="0"/>
          <w:w w:val="100"/>
          <w:sz w:val="24"/>
          <w:vertAlign w:val="baseline"/>
          <w:lang w:val="en-US"/>
        </w:rPr>
        <w:t xml:space="preserve">psychosocial hazard </w:t>
      </w:r>
      <w:r>
        <w:rPr>
          <w:rFonts w:ascii="Times New Roman" w:hAnsi="Times New Roman" w:eastAsia="Times New Roman"/>
          <w:color w:val="000000"/>
          <w:spacing w:val="0"/>
          <w:w w:val="100"/>
          <w:sz w:val="24"/>
          <w:vertAlign w:val="baseline"/>
          <w:lang w:val="en-US"/>
        </w:rPr>
        <w:t xml:space="preserve">is a hazard that:</w:t>
      </w:r>
    </w:p>
    <w:p>
      <w:pPr>
        <w:spacing w:before="125" w:after="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arises from, or relates to:</w:t>
      </w:r>
    </w:p>
    <w:p>
      <w:pPr>
        <w:numPr>
          <w:ilvl w:val="0"/>
          <w:numId w:val="152"/>
        </w:numPr>
        <w:tabs>
          <w:tab w:val="clear" w:pos="360"/>
          <w:tab w:val="left" w:pos="2376"/>
        </w:tabs>
        <w:spacing w:before="122" w:after="0" w:line="272" w:lineRule="exact"/>
        <w:ind w:right="0" w:left="2016"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design or management of work; or</w:t>
      </w:r>
    </w:p>
    <w:p>
      <w:pPr>
        <w:numPr>
          <w:ilvl w:val="0"/>
          <w:numId w:val="152"/>
        </w:numPr>
        <w:tabs>
          <w:tab w:val="clear" w:pos="360"/>
          <w:tab w:val="left" w:pos="2376"/>
        </w:tabs>
        <w:spacing w:before="126" w:after="0" w:line="272" w:lineRule="exact"/>
        <w:ind w:right="0" w:left="2016"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work environment; or</w:t>
      </w:r>
    </w:p>
    <w:p>
      <w:pPr>
        <w:numPr>
          <w:ilvl w:val="0"/>
          <w:numId w:val="152"/>
        </w:numPr>
        <w:tabs>
          <w:tab w:val="clear" w:pos="360"/>
          <w:tab w:val="left" w:pos="2376"/>
        </w:tabs>
        <w:spacing w:before="122" w:after="0" w:line="272" w:lineRule="exact"/>
        <w:ind w:right="0" w:left="2016"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plant at a workplace; or</w:t>
      </w:r>
    </w:p>
    <w:p>
      <w:pPr>
        <w:numPr>
          <w:ilvl w:val="0"/>
          <w:numId w:val="152"/>
        </w:numPr>
        <w:tabs>
          <w:tab w:val="clear" w:pos="360"/>
          <w:tab w:val="left" w:pos="2376"/>
        </w:tabs>
        <w:spacing w:before="126" w:after="0" w:line="272" w:lineRule="exact"/>
        <w:ind w:right="0" w:left="2016"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workplace interactions or behaviours; and</w:t>
      </w:r>
    </w:p>
    <w:p>
      <w:pPr>
        <w:spacing w:before="116" w:after="0" w:line="278"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may cause psychological harm (whether or not it may also cause physical harm).</w:t>
      </w:r>
    </w:p>
    <w:p>
      <w:pPr>
        <w:tabs>
          <w:tab w:val="left" w:leader="none" w:pos="936"/>
        </w:tabs>
        <w:spacing w:before="122" w:after="0" w:line="273" w:lineRule="exact"/>
        <w:ind w:right="0" w:left="288" w:firstLine="0"/>
        <w:jc w:val="left"/>
        <w:textAlignment w:val="baseline"/>
        <w:rPr>
          <w:rFonts w:ascii="Times New Roman" w:hAnsi="Times New Roman" w:eastAsia="Times New Roman"/>
          <w:b w:val="true"/>
          <w:color w:val="000000"/>
          <w:spacing w:val="-1"/>
          <w:w w:val="100"/>
          <w:sz w:val="24"/>
          <w:vertAlign w:val="baseline"/>
          <w:lang w:val="en-US"/>
        </w:rPr>
      </w:pPr>
      <w:r>
        <w:rPr>
          <w:rFonts w:ascii="Times New Roman" w:hAnsi="Times New Roman" w:eastAsia="Times New Roman"/>
          <w:b w:val="true"/>
          <w:color w:val="000000"/>
          <w:spacing w:val="-1"/>
          <w:w w:val="100"/>
          <w:sz w:val="24"/>
          <w:vertAlign w:val="baseline"/>
          <w:lang w:val="en-US"/>
        </w:rPr>
        <w:t xml:space="preserve">55B	</w:t>
      </w:r>
      <w:r>
        <w:rPr>
          <w:rFonts w:ascii="Times New Roman" w:hAnsi="Times New Roman" w:eastAsia="Times New Roman"/>
          <w:b w:val="true"/>
          <w:color w:val="000000"/>
          <w:spacing w:val="-1"/>
          <w:w w:val="100"/>
          <w:sz w:val="24"/>
          <w:vertAlign w:val="baseline"/>
          <w:lang w:val="en-US"/>
        </w:rPr>
        <w:t xml:space="preserve">Meaning of </w:t>
      </w:r>
      <w:r>
        <w:rPr>
          <w:rFonts w:ascii="Times New Roman" w:hAnsi="Times New Roman" w:eastAsia="Times New Roman"/>
          <w:b w:val="true"/>
          <w:i w:val="true"/>
          <w:color w:val="000000"/>
          <w:spacing w:val="-1"/>
          <w:w w:val="100"/>
          <w:sz w:val="24"/>
          <w:vertAlign w:val="baseline"/>
          <w:lang w:val="en-US"/>
        </w:rPr>
        <w:t xml:space="preserve">psychosocial risk</w:t>
      </w:r>
    </w:p>
    <w:p>
      <w:pPr>
        <w:spacing w:before="123" w:after="0" w:line="274" w:lineRule="exact"/>
        <w:ind w:right="288"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w:t>
      </w:r>
      <w:r>
        <w:rPr>
          <w:rFonts w:ascii="Times New Roman" w:hAnsi="Times New Roman" w:eastAsia="Times New Roman"/>
          <w:b w:val="true"/>
          <w:i w:val="true"/>
          <w:color w:val="000000"/>
          <w:spacing w:val="0"/>
          <w:w w:val="100"/>
          <w:sz w:val="24"/>
          <w:vertAlign w:val="baseline"/>
          <w:lang w:val="en-US"/>
        </w:rPr>
        <w:t xml:space="preserve">psychosocial risk </w:t>
      </w:r>
      <w:r>
        <w:rPr>
          <w:rFonts w:ascii="Times New Roman" w:hAnsi="Times New Roman" w:eastAsia="Times New Roman"/>
          <w:color w:val="000000"/>
          <w:spacing w:val="0"/>
          <w:w w:val="100"/>
          <w:sz w:val="24"/>
          <w:vertAlign w:val="baseline"/>
          <w:lang w:val="en-US"/>
        </w:rPr>
        <w:t xml:space="preserve">is a risk to the health or safety of a worker or other person arising from a psychosocial hazard.</w:t>
      </w:r>
    </w:p>
    <w:p>
      <w:pPr>
        <w:spacing w:before="126" w:after="0" w:line="273"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55C Managing psychosocial risks</w:t>
      </w:r>
    </w:p>
    <w:p>
      <w:pPr>
        <w:spacing w:before="121" w:after="0" w:line="272"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must manage</w:t>
      </w:r>
    </w:p>
    <w:p>
      <w:pPr>
        <w:spacing w:before="4" w:after="0" w:line="274" w:lineRule="exact"/>
        <w:ind w:right="72" w:left="1368" w:firstLine="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psychosocial risks in accordance with Part 3.1 other than regulation 36.</w:t>
      </w:r>
    </w:p>
    <w:p>
      <w:pPr>
        <w:spacing w:before="126" w:after="0" w:line="273"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55D Control measures</w:t>
      </w:r>
    </w:p>
    <w:p>
      <w:pPr>
        <w:spacing w:before="115" w:after="0" w:line="278" w:lineRule="exact"/>
        <w:ind w:right="504"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must implement control measures:</w:t>
      </w:r>
    </w:p>
    <w:p>
      <w:pPr>
        <w:numPr>
          <w:ilvl w:val="0"/>
          <w:numId w:val="153"/>
        </w:numPr>
        <w:tabs>
          <w:tab w:val="clear" w:pos="360"/>
          <w:tab w:val="left" w:pos="1872"/>
        </w:tabs>
        <w:spacing w:before="116" w:after="0" w:line="278" w:lineRule="exact"/>
        <w:ind w:right="93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to eliminate psychosocial risks so far as is reasonably practicable; and</w:t>
      </w:r>
    </w:p>
    <w:p>
      <w:pPr>
        <w:numPr>
          <w:ilvl w:val="0"/>
          <w:numId w:val="153"/>
        </w:numPr>
        <w:tabs>
          <w:tab w:val="clear" w:pos="360"/>
          <w:tab w:val="left" w:pos="1872"/>
        </w:tabs>
        <w:spacing w:before="116" w:after="1143" w:line="278" w:lineRule="exact"/>
        <w:ind w:right="72" w:left="1872" w:hanging="360"/>
        <w:jc w:val="left"/>
        <w:textAlignment w:val="baseline"/>
        <w:rPr>
          <w:rFonts w:ascii="Times New Roman" w:hAnsi="Times New Roman" w:eastAsia="Times New Roman"/>
          <w:color w:val="000000"/>
          <w:spacing w:val="-1"/>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1"/>
          <w:w w:val="100"/>
          <w:sz w:val="24"/>
          <w:vertAlign w:val="baseline"/>
          <w:lang w:val="en-US"/>
        </w:rPr>
        <w:t xml:space="preserve">if it is not reasonably practicable to eliminate psychosocial risks—to minimise the risks so far as is reasonably practicable.</w:t>
      </w:r>
    </w:p>
    <w:p>
      <w:pPr>
        <w:spacing w:before="116" w:after="1143" w:line="278"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61</w:t>
      </w:r>
    </w:p>
    <w:p>
      <w:pPr>
        <w:sectPr>
          <w:type w:val="continuous"/>
          <w:pgSz w:w="11909" w:h="16838" w:orient="portrait"/>
          <w:pgMar w:bottom="1082" w:top="1140" w:right="5861" w:left="1968"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3.2	</w:t>
      </w:r>
      <w:r>
        <w:rPr>
          <w:rFonts w:ascii="Times New Roman" w:hAnsi="Times New Roman" w:eastAsia="Times New Roman"/>
          <w:color w:val="000000"/>
          <w:spacing w:val="0"/>
          <w:w w:val="100"/>
          <w:sz w:val="20"/>
          <w:vertAlign w:val="baseline"/>
          <w:lang w:val="en-US"/>
        </w:rPr>
        <w:t xml:space="preserve">General Workplace Management</w:t>
      </w:r>
    </w:p>
    <w:p>
      <w:pPr>
        <w:spacing w:before="243" w:after="0" w:line="279"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(2) In determining the control measures to implement, the person must have regard to all relevant matters, including:</w:t>
      </w:r>
    </w:p>
    <w:p>
      <w:pPr>
        <w:spacing w:before="114" w:after="0" w:line="279"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the duration, frequency and severity of the exposure of workers and other persons to the psychosocial hazards; and</w:t>
      </w:r>
    </w:p>
    <w:p>
      <w:pPr>
        <w:spacing w:before="122" w:after="0" w:line="271"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how the psychosocial hazards may interact or combine; and</w:t>
      </w:r>
    </w:p>
    <w:p>
      <w:pPr>
        <w:spacing w:before="128" w:after="0" w:line="271"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the design of work, including job demands and tasks; and</w:t>
      </w:r>
    </w:p>
    <w:p>
      <w:pPr>
        <w:spacing w:before="114" w:after="0" w:line="279" w:lineRule="exact"/>
        <w:ind w:right="93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the systems of work, including how work is managed, organised and supported; and</w:t>
      </w:r>
    </w:p>
    <w:p>
      <w:pPr>
        <w:spacing w:before="114" w:after="0" w:line="279" w:lineRule="exact"/>
        <w:ind w:right="36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 the design and layout, and environmental conditions, of the workplace, including the provision of:</w:t>
      </w:r>
    </w:p>
    <w:p>
      <w:pPr>
        <w:numPr>
          <w:ilvl w:val="0"/>
          <w:numId w:val="154"/>
        </w:numPr>
        <w:tabs>
          <w:tab w:val="clear" w:pos="360"/>
          <w:tab w:val="left" w:pos="2376"/>
        </w:tabs>
        <w:spacing w:before="122" w:after="0" w:line="271" w:lineRule="exact"/>
        <w:ind w:right="0" w:left="2016"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safe means of entering and exiting the workplace; and</w:t>
      </w:r>
    </w:p>
    <w:p>
      <w:pPr>
        <w:numPr>
          <w:ilvl w:val="0"/>
          <w:numId w:val="154"/>
        </w:numPr>
        <w:tabs>
          <w:tab w:val="clear" w:pos="360"/>
          <w:tab w:val="left" w:pos="2376"/>
        </w:tabs>
        <w:spacing w:before="128" w:after="0" w:line="271" w:lineRule="exact"/>
        <w:ind w:right="0" w:left="2016"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facilities for the welfare of workers; and</w:t>
      </w:r>
    </w:p>
    <w:p>
      <w:pPr>
        <w:spacing w:before="119" w:after="0" w:line="274" w:lineRule="exact"/>
        <w:ind w:right="72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 the design and layout, and environmental conditions, of workers’ accommodation; and</w:t>
      </w:r>
    </w:p>
    <w:p>
      <w:pPr>
        <w:spacing w:before="127" w:after="0" w:line="271"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 the plant, substances and structures at the workplace; and</w:t>
      </w:r>
    </w:p>
    <w:p>
      <w:pPr>
        <w:spacing w:before="123" w:after="0" w:line="271"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 workplace interactions or behaviours; and</w:t>
      </w:r>
    </w:p>
    <w:p>
      <w:pPr>
        <w:spacing w:before="124" w:after="0" w:line="274"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 the information, training, instruction and supervision provided to workers.</w:t>
      </w:r>
    </w:p>
    <w:p>
      <w:pPr>
        <w:spacing w:before="127" w:after="0" w:line="271"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In this regulation:</w:t>
      </w:r>
    </w:p>
    <w:p>
      <w:pPr>
        <w:spacing w:before="116" w:after="0" w:line="278" w:lineRule="exact"/>
        <w:ind w:right="0"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workers’ accommodation </w:t>
      </w:r>
      <w:r>
        <w:rPr>
          <w:rFonts w:ascii="Times New Roman" w:hAnsi="Times New Roman" w:eastAsia="Times New Roman"/>
          <w:color w:val="000000"/>
          <w:spacing w:val="0"/>
          <w:w w:val="100"/>
          <w:sz w:val="24"/>
          <w:vertAlign w:val="baseline"/>
          <w:lang w:val="en-US"/>
        </w:rPr>
        <w:t xml:space="preserve">means premises to which section 19(4) of the Act applies.</w:t>
      </w:r>
    </w:p>
    <w:p>
      <w:pPr>
        <w:spacing w:before="126"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4166" w:line="227"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pict>
          <v:line strokeweight="0.7pt" strokecolor="#000000" from="243.6pt,537.85pt" to="352.15pt,537.85pt" style="position:absolute;mso-position-horizontal-relative:page;mso-position-vertical-relative:page;">
            <v:stroke dashstyle="solid"/>
          </v:line>
        </w:pict>
      </w: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WHS Act—section 19 (see regulation 9).</w:t>
      </w:r>
    </w:p>
    <w:p>
      <w:pPr>
        <w:spacing w:before="322" w:after="0" w:line="288" w:lineRule="exact"/>
        <w:ind w:right="0" w:left="0" w:firstLine="0"/>
        <w:jc w:val="left"/>
        <w:textAlignment w:val="baseline"/>
        <w:rPr>
          <w:rFonts w:ascii="Times New Roman" w:hAnsi="Times New Roman" w:eastAsia="Times New Roman"/>
          <w:color w:val="000000"/>
          <w:w w:val="100"/>
          <w:sz w:val="24"/>
          <w:vertAlign w:val="baseline"/>
          <w:lang w:val="en-US"/>
        </w:rPr>
      </w:pPr>
    </w:p>
    <w:p>
      <w:pPr>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62</w:t>
      </w:r>
    </w:p>
    <w:p>
      <w:pPr>
        <w:sectPr>
          <w:type w:val="continuous"/>
          <w:pgSz w:w="11909" w:h="16838" w:orient="portrait"/>
          <w:pgMar w:bottom="1082" w:top="1140" w:right="5853" w:left="1976"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Part 4.1	</w:t>
      </w:r>
      <w:r>
        <w:rPr>
          <w:rFonts w:ascii="Times New Roman" w:hAnsi="Times New Roman" w:eastAsia="Times New Roman"/>
          <w:color w:val="000000"/>
          <w:spacing w:val="-1"/>
          <w:w w:val="100"/>
          <w:sz w:val="20"/>
          <w:vertAlign w:val="baseline"/>
          <w:lang w:val="en-US"/>
        </w:rPr>
        <w:t xml:space="preserve">Noise</w:t>
      </w:r>
    </w:p>
    <w:p>
      <w:pPr>
        <w:spacing w:before="17" w:after="0" w:line="547" w:lineRule="exact"/>
        <w:ind w:right="0" w:left="0" w:firstLine="0"/>
        <w:jc w:val="left"/>
        <w:textAlignment w:val="baseline"/>
        <w:rPr>
          <w:rFonts w:ascii="Times New Roman" w:hAnsi="Times New Roman" w:eastAsia="Times New Roman"/>
          <w:b w:val="true"/>
          <w:color w:val="000000"/>
          <w:spacing w:val="0"/>
          <w:w w:val="100"/>
          <w:sz w:val="25"/>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5"/>
          <w:vertAlign w:val="baseline"/>
          <w:lang w:val="en-US"/>
        </w:rPr>
        <w:t xml:space="preserve">CHAPTER 4 HAZARDOUS WORK</w:t>
        <w:br/>
      </w:r>
      <w:r>
        <w:rPr>
          <w:rFonts w:ascii="Times New Roman" w:hAnsi="Times New Roman" w:eastAsia="Times New Roman"/>
          <w:b w:val="true"/>
          <w:color w:val="000000"/>
          <w:spacing w:val="0"/>
          <w:w w:val="100"/>
          <w:sz w:val="28"/>
          <w:vertAlign w:val="baseline"/>
          <w:lang w:val="en-US"/>
        </w:rPr>
        <w:t xml:space="preserve">Part 4.1 Noise</w:t>
      </w:r>
    </w:p>
    <w:p>
      <w:pPr>
        <w:spacing w:before="120" w:after="0" w:line="273"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56 Meaning of exposure standard for noise</w:t>
      </w:r>
    </w:p>
    <w:p>
      <w:pPr>
        <w:spacing w:before="124" w:after="0" w:line="274"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In these Regulations, </w:t>
      </w:r>
      <w:r>
        <w:rPr>
          <w:rFonts w:ascii="Times New Roman" w:hAnsi="Times New Roman" w:eastAsia="Times New Roman"/>
          <w:b w:val="true"/>
          <w:i w:val="true"/>
          <w:color w:val="000000"/>
          <w:spacing w:val="0"/>
          <w:w w:val="100"/>
          <w:sz w:val="24"/>
          <w:vertAlign w:val="baseline"/>
          <w:lang w:val="en-US"/>
        </w:rPr>
        <w:t xml:space="preserve">exposure standard for noise</w:t>
      </w:r>
      <w:r>
        <w:rPr>
          <w:rFonts w:ascii="Times New Roman" w:hAnsi="Times New Roman" w:eastAsia="Times New Roman"/>
          <w:color w:val="000000"/>
          <w:spacing w:val="0"/>
          <w:w w:val="100"/>
          <w:sz w:val="24"/>
          <w:vertAlign w:val="baseline"/>
          <w:lang w:val="en-US"/>
        </w:rPr>
        <w:t xml:space="preserve">, in relation to a person, means:</w:t>
      </w:r>
    </w:p>
    <w:p>
      <w:pPr>
        <w:numPr>
          <w:ilvl w:val="0"/>
          <w:numId w:val="155"/>
        </w:numPr>
        <w:tabs>
          <w:tab w:val="clear" w:pos="360"/>
          <w:tab w:val="left" w:pos="1872"/>
        </w:tabs>
        <w:spacing w:before="130"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L</w:t>
      </w:r>
      <w:r>
        <w:rPr>
          <w:rFonts w:ascii="Times New Roman" w:hAnsi="Times New Roman" w:eastAsia="Times New Roman"/>
          <w:color w:val="000000"/>
          <w:spacing w:val="0"/>
          <w:w w:val="100"/>
          <w:sz w:val="16"/>
          <w:vertAlign w:val="baseline"/>
          <w:lang w:val="en-US"/>
        </w:rPr>
        <w:t xml:space="preserve">Aeq,8h </w:t>
      </w:r>
      <w:r>
        <w:rPr>
          <w:rFonts w:ascii="Times New Roman" w:hAnsi="Times New Roman" w:eastAsia="Times New Roman"/>
          <w:color w:val="000000"/>
          <w:spacing w:val="0"/>
          <w:w w:val="100"/>
          <w:sz w:val="24"/>
          <w:vertAlign w:val="baseline"/>
          <w:lang w:val="en-US"/>
        </w:rPr>
        <w:t xml:space="preserve">of 85 dB(A); or</w:t>
      </w:r>
    </w:p>
    <w:p>
      <w:pPr>
        <w:numPr>
          <w:ilvl w:val="0"/>
          <w:numId w:val="155"/>
        </w:numPr>
        <w:tabs>
          <w:tab w:val="clear" w:pos="360"/>
          <w:tab w:val="left" w:pos="1872"/>
        </w:tabs>
        <w:spacing w:before="121"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L</w:t>
      </w:r>
      <w:r>
        <w:rPr>
          <w:rFonts w:ascii="Times New Roman" w:hAnsi="Times New Roman" w:eastAsia="Times New Roman"/>
          <w:color w:val="000000"/>
          <w:spacing w:val="0"/>
          <w:w w:val="100"/>
          <w:sz w:val="16"/>
          <w:vertAlign w:val="baseline"/>
          <w:lang w:val="en-US"/>
        </w:rPr>
        <w:t xml:space="preserve">C,peak </w:t>
      </w:r>
      <w:r>
        <w:rPr>
          <w:rFonts w:ascii="Times New Roman" w:hAnsi="Times New Roman" w:eastAsia="Times New Roman"/>
          <w:color w:val="000000"/>
          <w:spacing w:val="0"/>
          <w:w w:val="100"/>
          <w:sz w:val="24"/>
          <w:vertAlign w:val="baseline"/>
          <w:lang w:val="en-US"/>
        </w:rPr>
        <w:t xml:space="preserve">of 140 dB(C).</w:t>
      </w:r>
    </w:p>
    <w:p>
      <w:pPr>
        <w:spacing w:before="120"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In this regulation:</w:t>
      </w:r>
    </w:p>
    <w:p>
      <w:pPr>
        <w:spacing w:before="120" w:after="0" w:line="276" w:lineRule="exact"/>
        <w:ind w:right="504"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L</w:t>
      </w:r>
      <w:r>
        <w:rPr>
          <w:rFonts w:ascii="Times New Roman" w:hAnsi="Times New Roman" w:eastAsia="Times New Roman"/>
          <w:b w:val="true"/>
          <w:i w:val="true"/>
          <w:color w:val="000000"/>
          <w:spacing w:val="0"/>
          <w:w w:val="100"/>
          <w:sz w:val="16"/>
          <w:vertAlign w:val="baseline"/>
          <w:lang w:val="en-US"/>
        </w:rPr>
        <w:t xml:space="preserve">Aeq,8h </w:t>
      </w:r>
      <w:r>
        <w:rPr>
          <w:rFonts w:ascii="Times New Roman" w:hAnsi="Times New Roman" w:eastAsia="Times New Roman"/>
          <w:color w:val="000000"/>
          <w:spacing w:val="0"/>
          <w:w w:val="100"/>
          <w:sz w:val="24"/>
          <w:vertAlign w:val="baseline"/>
          <w:lang w:val="en-US"/>
        </w:rPr>
        <w:t xml:space="preserve">means the eight-hour equivalent continuous A-weighted sound pressure level in decibels (dB(A)) referenced to 20</w:t>
      </w:r>
    </w:p>
    <w:p>
      <w:pPr>
        <w:spacing w:before="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micropascals, determined in accordance with</w:t>
      </w:r>
    </w:p>
    <w:p>
      <w:pPr>
        <w:spacing w:before="2" w:after="0" w:line="276" w:lineRule="exact"/>
        <w:ind w:right="432"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AS/NZS 1269.1:2005 (Occupational noise management— Measurement and assessment of noise immission and exposure).</w:t>
      </w:r>
    </w:p>
    <w:p>
      <w:pPr>
        <w:spacing w:before="123" w:after="0" w:line="275" w:lineRule="exact"/>
        <w:ind w:right="144"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L</w:t>
      </w:r>
      <w:r>
        <w:rPr>
          <w:rFonts w:ascii="Times New Roman" w:hAnsi="Times New Roman" w:eastAsia="Times New Roman"/>
          <w:b w:val="true"/>
          <w:i w:val="true"/>
          <w:color w:val="000000"/>
          <w:spacing w:val="0"/>
          <w:w w:val="100"/>
          <w:sz w:val="16"/>
          <w:vertAlign w:val="baseline"/>
          <w:lang w:val="en-US"/>
        </w:rPr>
        <w:t xml:space="preserve">C,peak </w:t>
      </w:r>
      <w:r>
        <w:rPr>
          <w:rFonts w:ascii="Times New Roman" w:hAnsi="Times New Roman" w:eastAsia="Times New Roman"/>
          <w:color w:val="000000"/>
          <w:spacing w:val="0"/>
          <w:w w:val="100"/>
          <w:sz w:val="24"/>
          <w:vertAlign w:val="baseline"/>
          <w:lang w:val="en-US"/>
        </w:rPr>
        <w:t xml:space="preserve">means the C-weighted peak sound pressure level in decibels (dB(C)) referenced to 20 micropascals, determined in accordance with AS/NZS 1269.1:2005 (Occupational noise management—Measurement and assessment of noise immission and exposure).</w:t>
      </w:r>
    </w:p>
    <w:p>
      <w:pPr>
        <w:spacing w:before="125" w:after="0" w:line="273"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57 Managing risk of hearing loss from noise</w:t>
      </w:r>
    </w:p>
    <w:p>
      <w:pPr>
        <w:numPr>
          <w:ilvl w:val="0"/>
          <w:numId w:val="156"/>
        </w:numPr>
        <w:tabs>
          <w:tab w:val="clear" w:pos="360"/>
          <w:tab w:val="left" w:pos="1368"/>
        </w:tabs>
        <w:spacing w:before="118"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must manage, in accordance with Part 3.1, risks to health and safety relating to hearing loss associated with noise.</w:t>
      </w:r>
    </w:p>
    <w:p>
      <w:pPr>
        <w:spacing w:before="128"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8"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WHS Act—section 19 (see regulation 9).</w:t>
      </w:r>
    </w:p>
    <w:p>
      <w:pPr>
        <w:numPr>
          <w:ilvl w:val="0"/>
          <w:numId w:val="156"/>
        </w:numPr>
        <w:tabs>
          <w:tab w:val="clear" w:pos="360"/>
          <w:tab w:val="left" w:pos="1368"/>
        </w:tabs>
        <w:spacing w:before="116"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must ensure that the noise that a worker is exposed to at the workplace does not exceed the exposure standard for noise.</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6" w:after="0" w:line="273"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58 Audiometric testing</w:t>
      </w:r>
    </w:p>
    <w:p>
      <w:pPr>
        <w:spacing w:before="117" w:after="912" w:line="276"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(1) This regulation applies in relation to a worker who is frequently required by the person conducting the business or undertaking to use personal protective equipment to protect the worker from the</w:t>
      </w:r>
    </w:p>
    <w:p>
      <w:pPr>
        <w:spacing w:before="117" w:after="912" w:line="276"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8"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63</w:t>
      </w:r>
    </w:p>
    <w:p>
      <w:pPr>
        <w:sectPr>
          <w:type w:val="continuous"/>
          <w:pgSz w:w="11909" w:h="16838" w:orient="portrait"/>
          <w:pgMar w:bottom="1082" w:top="1140" w:right="5858" w:left="1971"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Part 4.1	</w:t>
      </w:r>
      <w:r>
        <w:rPr>
          <w:rFonts w:ascii="Times New Roman" w:hAnsi="Times New Roman" w:eastAsia="Times New Roman"/>
          <w:color w:val="000000"/>
          <w:spacing w:val="-1"/>
          <w:w w:val="100"/>
          <w:sz w:val="20"/>
          <w:vertAlign w:val="baseline"/>
          <w:lang w:val="en-US"/>
        </w:rPr>
        <w:t xml:space="preserve">Noise</w:t>
      </w:r>
    </w:p>
    <w:p>
      <w:pPr>
        <w:spacing w:before="246" w:after="0" w:line="279" w:lineRule="exact"/>
        <w:ind w:right="144" w:left="1368" w:firstLine="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risk of hearing loss associated with noise that exceeds the exposure standard for noise.</w:t>
      </w:r>
    </w:p>
    <w:p>
      <w:pPr>
        <w:spacing w:before="117" w:after="0" w:line="276"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person conducting the business or undertaking who provides the personal protective equipment as a control measure must provide audiometric testing for the worker:</w:t>
      </w:r>
    </w:p>
    <w:p>
      <w:pPr>
        <w:numPr>
          <w:ilvl w:val="0"/>
          <w:numId w:val="157"/>
        </w:numPr>
        <w:tabs>
          <w:tab w:val="clear" w:pos="360"/>
          <w:tab w:val="left" w:pos="1872"/>
        </w:tabs>
        <w:spacing w:before="125" w:after="0" w:line="274"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within 3 months of the worker commencing the work; and</w:t>
      </w:r>
    </w:p>
    <w:p>
      <w:pPr>
        <w:numPr>
          <w:ilvl w:val="0"/>
          <w:numId w:val="157"/>
        </w:numPr>
        <w:tabs>
          <w:tab w:val="clear" w:pos="360"/>
          <w:tab w:val="left" w:pos="1872"/>
        </w:tabs>
        <w:spacing w:before="119" w:after="0" w:line="274"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any event, at least every 2 years.</w:t>
      </w:r>
    </w:p>
    <w:p>
      <w:pPr>
        <w:spacing w:before="125"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19"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4" w:after="0" w:line="278" w:lineRule="exact"/>
        <w:ind w:right="144"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(3) In this regulation, </w:t>
      </w:r>
      <w:r>
        <w:rPr>
          <w:rFonts w:ascii="Times New Roman" w:hAnsi="Times New Roman" w:eastAsia="Times New Roman"/>
          <w:b w:val="true"/>
          <w:i w:val="true"/>
          <w:color w:val="000000"/>
          <w:spacing w:val="-1"/>
          <w:w w:val="100"/>
          <w:sz w:val="24"/>
          <w:vertAlign w:val="baseline"/>
          <w:lang w:val="en-US"/>
        </w:rPr>
        <w:t xml:space="preserve">audiometric testing </w:t>
      </w:r>
      <w:r>
        <w:rPr>
          <w:rFonts w:ascii="Times New Roman" w:hAnsi="Times New Roman" w:eastAsia="Times New Roman"/>
          <w:color w:val="000000"/>
          <w:spacing w:val="-1"/>
          <w:w w:val="100"/>
          <w:sz w:val="24"/>
          <w:vertAlign w:val="baseline"/>
          <w:lang w:val="en-US"/>
        </w:rPr>
        <w:t xml:space="preserve">means the testing and measurement of the hearing threshold levels of each ear of a person</w:t>
      </w:r>
    </w:p>
    <w:p>
      <w:pPr>
        <w:spacing w:before="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by means of pure tone air conduction threshold tests.</w:t>
      </w:r>
    </w:p>
    <w:p>
      <w:pPr>
        <w:spacing w:before="120" w:after="0" w:line="271" w:lineRule="exact"/>
        <w:ind w:right="0" w:left="0" w:firstLine="0"/>
        <w:jc w:val="center"/>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59 Duties of designers, manufacturers, importers and suppliers of plant</w:t>
      </w:r>
    </w:p>
    <w:p>
      <w:pPr>
        <w:spacing w:before="127" w:after="0" w:line="274" w:lineRule="exact"/>
        <w:ind w:right="144"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designer of plant must ensure that the plant is designed so that its noise emission is as low as is reasonably practicable.</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4"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8"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 designer of plant must give to each person who is provided with the design for the purpose of giving effect to it adequate information about:</w:t>
      </w:r>
    </w:p>
    <w:p>
      <w:pPr>
        <w:numPr>
          <w:ilvl w:val="0"/>
          <w:numId w:val="158"/>
        </w:numPr>
        <w:tabs>
          <w:tab w:val="clear" w:pos="360"/>
          <w:tab w:val="left" w:pos="1872"/>
        </w:tabs>
        <w:spacing w:before="124" w:after="0" w:line="274"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noise emission values of the plant; and</w:t>
      </w:r>
    </w:p>
    <w:p>
      <w:pPr>
        <w:numPr>
          <w:ilvl w:val="0"/>
          <w:numId w:val="158"/>
        </w:numPr>
        <w:tabs>
          <w:tab w:val="clear" w:pos="360"/>
          <w:tab w:val="left" w:pos="1872"/>
        </w:tabs>
        <w:spacing w:before="116" w:after="0" w:line="278"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operating conditions of the plant when noise emission is to be measured; and</w:t>
      </w:r>
    </w:p>
    <w:p>
      <w:pPr>
        <w:numPr>
          <w:ilvl w:val="0"/>
          <w:numId w:val="158"/>
        </w:numPr>
        <w:tabs>
          <w:tab w:val="clear" w:pos="360"/>
          <w:tab w:val="left" w:pos="1872"/>
        </w:tabs>
        <w:spacing w:before="116" w:after="0" w:line="278" w:lineRule="exact"/>
        <w:ind w:right="79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methods the designer has used to measure the noise emission of the plant.</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74" w:lineRule="exact"/>
        <w:ind w:right="144"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A manufacturer of plant must ensure that the plant is manufactured so that its noise emission is as low as is reasonably practicable.</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805"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805" w:line="274"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64</w:t>
      </w:r>
    </w:p>
    <w:p>
      <w:pPr>
        <w:sectPr>
          <w:type w:val="continuous"/>
          <w:pgSz w:w="11909" w:h="16838" w:orient="portrait"/>
          <w:pgMar w:bottom="1082" w:top="1140" w:right="5853" w:left="1976"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Part 4.1	</w:t>
      </w:r>
      <w:r>
        <w:rPr>
          <w:rFonts w:ascii="Times New Roman" w:hAnsi="Times New Roman" w:eastAsia="Times New Roman"/>
          <w:color w:val="000000"/>
          <w:spacing w:val="-1"/>
          <w:w w:val="100"/>
          <w:sz w:val="20"/>
          <w:vertAlign w:val="baseline"/>
          <w:lang w:val="en-US"/>
        </w:rPr>
        <w:t xml:space="preserve">Noise</w:t>
      </w:r>
    </w:p>
    <w:p>
      <w:pPr>
        <w:spacing w:before="25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corporate—$30 000.</w:t>
      </w:r>
    </w:p>
    <w:p>
      <w:pPr>
        <w:spacing w:before="126" w:after="0" w:line="273" w:lineRule="exact"/>
        <w:ind w:right="57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A manufacturer of plant must give to each person to whom the manufacturer provides the plant adequate information about:</w:t>
      </w:r>
    </w:p>
    <w:p>
      <w:pPr>
        <w:numPr>
          <w:ilvl w:val="0"/>
          <w:numId w:val="159"/>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noise emission values of the plant; and</w:t>
      </w:r>
    </w:p>
    <w:p>
      <w:pPr>
        <w:numPr>
          <w:ilvl w:val="0"/>
          <w:numId w:val="159"/>
        </w:numPr>
        <w:tabs>
          <w:tab w:val="clear" w:pos="360"/>
          <w:tab w:val="left" w:pos="1872"/>
        </w:tabs>
        <w:spacing w:before="114" w:after="0" w:line="279"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operating conditions of the plant when noise emission is to be measured; and</w:t>
      </w:r>
    </w:p>
    <w:p>
      <w:pPr>
        <w:numPr>
          <w:ilvl w:val="0"/>
          <w:numId w:val="159"/>
        </w:numPr>
        <w:tabs>
          <w:tab w:val="clear" w:pos="360"/>
          <w:tab w:val="left" w:pos="1872"/>
        </w:tabs>
        <w:spacing w:before="114" w:after="0" w:line="279"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methods the manufacturer has used to measure the noise emission of the plant.</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6"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An importer of plant must take all reasonable steps to:</w:t>
      </w:r>
    </w:p>
    <w:p>
      <w:pPr>
        <w:spacing w:before="120"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obtain information about:</w:t>
      </w:r>
    </w:p>
    <w:p>
      <w:pPr>
        <w:numPr>
          <w:ilvl w:val="0"/>
          <w:numId w:val="160"/>
        </w:numPr>
        <w:tabs>
          <w:tab w:val="clear" w:pos="504"/>
          <w:tab w:val="left" w:pos="2376"/>
        </w:tabs>
        <w:spacing w:before="121" w:after="0" w:line="273" w:lineRule="exact"/>
        <w:ind w:right="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noise emission values of the plant; and</w:t>
      </w:r>
    </w:p>
    <w:p>
      <w:pPr>
        <w:numPr>
          <w:ilvl w:val="0"/>
          <w:numId w:val="160"/>
        </w:numPr>
        <w:tabs>
          <w:tab w:val="clear" w:pos="504"/>
          <w:tab w:val="left" w:pos="2376"/>
        </w:tabs>
        <w:spacing w:before="124" w:after="0" w:line="274" w:lineRule="exact"/>
        <w:ind w:right="72"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operating conditions of the plant when noise emission is to be measured; and</w:t>
      </w:r>
    </w:p>
    <w:p>
      <w:pPr>
        <w:numPr>
          <w:ilvl w:val="0"/>
          <w:numId w:val="160"/>
        </w:numPr>
        <w:tabs>
          <w:tab w:val="clear" w:pos="504"/>
          <w:tab w:val="left" w:pos="2376"/>
        </w:tabs>
        <w:spacing w:before="124" w:after="0" w:line="274" w:lineRule="exact"/>
        <w:ind w:right="432"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methods the designer or manufacturer has used to measure the noise emission of the plant; and</w:t>
      </w:r>
    </w:p>
    <w:p>
      <w:pPr>
        <w:spacing w:before="124" w:after="0" w:line="274"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give that information to any person to whom the importer supplies the plant.</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1"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(6) A supplier of plant must take all reasonable steps to:</w:t>
      </w:r>
    </w:p>
    <w:p>
      <w:pPr>
        <w:numPr>
          <w:ilvl w:val="0"/>
          <w:numId w:val="161"/>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obtain the information the designer, manufacturer or importer</w:t>
      </w:r>
    </w:p>
    <w:p>
      <w:pPr>
        <w:spacing w:before="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required to give a supplier under subregulation (2), (4)</w:t>
      </w:r>
    </w:p>
    <w:p>
      <w:pPr>
        <w:spacing w:before="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or (5); and</w:t>
      </w:r>
    </w:p>
    <w:p>
      <w:pPr>
        <w:numPr>
          <w:ilvl w:val="0"/>
          <w:numId w:val="161"/>
        </w:numPr>
        <w:tabs>
          <w:tab w:val="clear" w:pos="360"/>
          <w:tab w:val="left" w:pos="1872"/>
        </w:tabs>
        <w:spacing w:before="116" w:after="0" w:line="278"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give that information to any person to whom the supplier supplies the plant.</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1358"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corporate—$30 000.</w:t>
      </w:r>
    </w:p>
    <w:p>
      <w:pPr>
        <w:spacing w:before="121" w:after="1358" w:line="273"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65</w:t>
      </w:r>
    </w:p>
    <w:p>
      <w:pPr>
        <w:sectPr>
          <w:type w:val="continuous"/>
          <w:pgSz w:w="11909" w:h="16838" w:orient="portrait"/>
          <w:pgMar w:bottom="1082" w:top="1140" w:right="5856" w:left="1973"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4.2	</w:t>
      </w:r>
      <w:r>
        <w:rPr>
          <w:rFonts w:ascii="Times New Roman" w:hAnsi="Times New Roman" w:eastAsia="Times New Roman"/>
          <w:color w:val="000000"/>
          <w:spacing w:val="0"/>
          <w:w w:val="100"/>
          <w:sz w:val="20"/>
          <w:vertAlign w:val="baseline"/>
          <w:lang w:val="en-US"/>
        </w:rPr>
        <w:t xml:space="preserve">Hazardous Manual Tasks</w:t>
      </w:r>
    </w:p>
    <w:p>
      <w:pPr>
        <w:spacing w:before="258" w:after="0" w:line="316" w:lineRule="exact"/>
        <w:ind w:right="0" w:left="0" w:firstLine="0"/>
        <w:jc w:val="left"/>
        <w:textAlignment w:val="baseline"/>
        <w:rPr>
          <w:rFonts w:ascii="Times New Roman" w:hAnsi="Times New Roman" w:eastAsia="Times New Roman"/>
          <w:b w:val="true"/>
          <w:color w:val="000000"/>
          <w:spacing w:val="7"/>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7"/>
          <w:w w:val="100"/>
          <w:sz w:val="28"/>
          <w:vertAlign w:val="baseline"/>
          <w:lang w:val="en-US"/>
        </w:rPr>
        <w:t xml:space="preserve">Part 4.2 Hazardous Manual Tasks</w:t>
      </w:r>
    </w:p>
    <w:p>
      <w:pPr>
        <w:spacing w:before="119" w:after="0" w:line="272"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60 Managing risks to health and safety</w:t>
      </w:r>
    </w:p>
    <w:p>
      <w:pPr>
        <w:numPr>
          <w:ilvl w:val="0"/>
          <w:numId w:val="162"/>
        </w:numPr>
        <w:tabs>
          <w:tab w:val="clear" w:pos="360"/>
          <w:tab w:val="left" w:pos="1368"/>
        </w:tabs>
        <w:spacing w:before="125" w:after="0" w:line="275"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must manage risks to health and safety relating to a musculoskeletal disorder associated with a hazardous manual task, in accordance with Part 3.1.</w:t>
      </w:r>
    </w:p>
    <w:p>
      <w:pPr>
        <w:spacing w:before="129"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0" w:after="0" w:line="228"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WHS Act—section 19 (see regulation 9).</w:t>
      </w:r>
    </w:p>
    <w:p>
      <w:pPr>
        <w:numPr>
          <w:ilvl w:val="0"/>
          <w:numId w:val="162"/>
        </w:numPr>
        <w:tabs>
          <w:tab w:val="clear" w:pos="360"/>
          <w:tab w:val="left" w:pos="1368"/>
        </w:tabs>
        <w:spacing w:before="115" w:after="0" w:line="277" w:lineRule="exact"/>
        <w:ind w:right="64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determining the control measures to implement under subregulation (1), the person conducting the business or undertaking must have regard to all relevant matters that may contribute to a musculoskeletal disorder, including:</w:t>
      </w:r>
    </w:p>
    <w:p>
      <w:pPr>
        <w:numPr>
          <w:ilvl w:val="0"/>
          <w:numId w:val="163"/>
        </w:numPr>
        <w:tabs>
          <w:tab w:val="clear" w:pos="288"/>
          <w:tab w:val="left" w:pos="1872"/>
        </w:tabs>
        <w:spacing w:before="114" w:after="0" w:line="279" w:lineRule="exact"/>
        <w:ind w:right="648"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postures, movements, forces and vibration relating to the hazardous manual task; and</w:t>
      </w:r>
    </w:p>
    <w:p>
      <w:pPr>
        <w:numPr>
          <w:ilvl w:val="0"/>
          <w:numId w:val="163"/>
        </w:numPr>
        <w:tabs>
          <w:tab w:val="clear" w:pos="288"/>
          <w:tab w:val="left" w:pos="1872"/>
        </w:tabs>
        <w:spacing w:before="120" w:after="0" w:line="273"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duration and frequency of the hazardous manual task; and</w:t>
      </w:r>
    </w:p>
    <w:p>
      <w:pPr>
        <w:numPr>
          <w:ilvl w:val="0"/>
          <w:numId w:val="163"/>
        </w:numPr>
        <w:tabs>
          <w:tab w:val="clear" w:pos="288"/>
          <w:tab w:val="left" w:pos="1872"/>
        </w:tabs>
        <w:spacing w:before="126" w:after="0" w:line="273" w:lineRule="exact"/>
        <w:ind w:right="792" w:left="1872" w:hanging="288"/>
        <w:jc w:val="both"/>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workplace environmental conditions that may affect the hazardous manual task or the worker performing it; and</w:t>
      </w:r>
    </w:p>
    <w:p>
      <w:pPr>
        <w:numPr>
          <w:ilvl w:val="0"/>
          <w:numId w:val="163"/>
        </w:numPr>
        <w:tabs>
          <w:tab w:val="clear" w:pos="288"/>
          <w:tab w:val="left" w:pos="1872"/>
        </w:tabs>
        <w:spacing w:before="126" w:after="0" w:line="273"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design of the work area; and</w:t>
      </w:r>
    </w:p>
    <w:p>
      <w:pPr>
        <w:numPr>
          <w:ilvl w:val="0"/>
          <w:numId w:val="163"/>
        </w:numPr>
        <w:tabs>
          <w:tab w:val="clear" w:pos="288"/>
          <w:tab w:val="left" w:pos="1872"/>
        </w:tabs>
        <w:spacing w:before="120" w:after="0" w:line="273"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layout of the workplace; and</w:t>
      </w:r>
    </w:p>
    <w:p>
      <w:pPr>
        <w:numPr>
          <w:ilvl w:val="0"/>
          <w:numId w:val="163"/>
        </w:numPr>
        <w:tabs>
          <w:tab w:val="clear" w:pos="288"/>
          <w:tab w:val="left" w:pos="1872"/>
        </w:tabs>
        <w:spacing w:before="126" w:after="0" w:line="273"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systems of work used; and</w:t>
      </w:r>
    </w:p>
    <w:p>
      <w:pPr>
        <w:numPr>
          <w:ilvl w:val="0"/>
          <w:numId w:val="163"/>
        </w:numPr>
        <w:tabs>
          <w:tab w:val="clear" w:pos="288"/>
          <w:tab w:val="left" w:pos="1872"/>
        </w:tabs>
        <w:spacing w:before="114" w:after="0" w:line="279" w:lineRule="exact"/>
        <w:ind w:right="504" w:left="1872" w:hanging="288"/>
        <w:jc w:val="both"/>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the nature, size, weight or number of persons, animals or things involved in carrying out the hazardous manual task.</w:t>
      </w:r>
    </w:p>
    <w:p>
      <w:pPr>
        <w:spacing w:before="113" w:after="0" w:line="279" w:lineRule="exact"/>
        <w:ind w:right="72"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61 Duties of designers, manufacturers, importers and suppliers of plant or structures</w:t>
      </w:r>
    </w:p>
    <w:p>
      <w:pPr>
        <w:numPr>
          <w:ilvl w:val="0"/>
          <w:numId w:val="164"/>
        </w:numPr>
        <w:tabs>
          <w:tab w:val="clear" w:pos="360"/>
          <w:tab w:val="left" w:pos="1368"/>
        </w:tabs>
        <w:spacing w:before="117" w:after="0" w:line="277"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designer of plant or a structure must ensure that the plant or structure is designed so as to eliminate the need for any hazardous manual task to be carried out in connection with the plant or structure.</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164"/>
        </w:numPr>
        <w:tabs>
          <w:tab w:val="clear" w:pos="360"/>
          <w:tab w:val="left" w:pos="1368"/>
        </w:tabs>
        <w:spacing w:before="123" w:after="777"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spacing w:before="123" w:after="777" w:line="276"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66</w:t>
      </w:r>
    </w:p>
    <w:p>
      <w:pPr>
        <w:sectPr>
          <w:type w:val="continuous"/>
          <w:pgSz w:w="11909" w:h="16838" w:orient="portrait"/>
          <w:pgMar w:bottom="1082" w:top="1140" w:right="5853" w:left="1976"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4.2	</w:t>
      </w:r>
      <w:r>
        <w:rPr>
          <w:rFonts w:ascii="Times New Roman" w:hAnsi="Times New Roman" w:eastAsia="Times New Roman"/>
          <w:color w:val="000000"/>
          <w:spacing w:val="0"/>
          <w:w w:val="100"/>
          <w:sz w:val="20"/>
          <w:vertAlign w:val="baseline"/>
          <w:lang w:val="en-US"/>
        </w:rPr>
        <w:t xml:space="preserve">Hazardous Manual Tasks</w:t>
      </w:r>
    </w:p>
    <w:p>
      <w:pPr>
        <w:spacing w:before="251"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Maximum penalty:</w:t>
      </w:r>
    </w:p>
    <w:p>
      <w:pPr>
        <w:spacing w:before="125"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19"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164"/>
        </w:numPr>
        <w:tabs>
          <w:tab w:val="clear" w:pos="360"/>
          <w:tab w:val="left" w:pos="1368"/>
        </w:tabs>
        <w:spacing w:before="123"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spacing w:before="119"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19"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164"/>
        </w:numPr>
        <w:tabs>
          <w:tab w:val="clear" w:pos="360"/>
          <w:tab w:val="left" w:pos="1368"/>
        </w:tabs>
        <w:spacing w:before="124" w:after="0"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manufacturer of plant or a structure must ensure that the plant or structure is manufactured so as to eliminate the need for any hazardous manual task to be carried out in connection with the plant or structure.</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164"/>
        </w:numPr>
        <w:tabs>
          <w:tab w:val="clear" w:pos="360"/>
          <w:tab w:val="left" w:pos="1368"/>
        </w:tabs>
        <w:spacing w:before="122"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164"/>
        </w:numPr>
        <w:tabs>
          <w:tab w:val="clear" w:pos="360"/>
          <w:tab w:val="left" w:pos="1368"/>
        </w:tabs>
        <w:spacing w:before="122"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1285"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corporate—$30 000.</w:t>
      </w:r>
    </w:p>
    <w:p>
      <w:pPr>
        <w:spacing w:before="120" w:after="1285" w:line="274"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67</w:t>
      </w:r>
    </w:p>
    <w:p>
      <w:pPr>
        <w:sectPr>
          <w:type w:val="continuous"/>
          <w:pgSz w:w="11909" w:h="16838" w:orient="portrait"/>
          <w:pgMar w:bottom="1082" w:top="1140" w:right="5853" w:left="1976" w:header="720" w:footer="720"/>
          <w:titlePg w:val="false"/>
          <w:textDirection w:val="lrTb"/>
        </w:sectPr>
      </w:pPr>
    </w:p>
    <w:p>
      <w:pPr>
        <w:spacing w:before="6" w:after="0" w:line="230" w:lineRule="exact"/>
        <w:ind w:right="36"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36"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4.2	</w:t>
      </w:r>
      <w:r>
        <w:rPr>
          <w:rFonts w:ascii="Times New Roman" w:hAnsi="Times New Roman" w:eastAsia="Times New Roman"/>
          <w:color w:val="000000"/>
          <w:spacing w:val="0"/>
          <w:w w:val="100"/>
          <w:sz w:val="20"/>
          <w:vertAlign w:val="baseline"/>
          <w:lang w:val="en-US"/>
        </w:rPr>
        <w:t xml:space="preserve">Hazardous Manual Tasks</w:t>
      </w:r>
    </w:p>
    <w:p>
      <w:pPr>
        <w:spacing w:before="251" w:after="0" w:line="273" w:lineRule="exact"/>
        <w:ind w:right="36" w:left="0" w:firstLine="0"/>
        <w:jc w:val="righ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(7) An importer of plant or a structure must take all reasonable steps to:</w:t>
      </w:r>
    </w:p>
    <w:p>
      <w:pPr>
        <w:numPr>
          <w:ilvl w:val="0"/>
          <w:numId w:val="165"/>
        </w:numPr>
        <w:tabs>
          <w:tab w:val="clear" w:pos="360"/>
          <w:tab w:val="left" w:pos="1872"/>
        </w:tabs>
        <w:spacing w:before="126" w:after="0" w:line="273" w:lineRule="exact"/>
        <w:ind w:right="3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obtain the information the designer or manufacturer is required to give under subregulation (3) or (6); and</w:t>
      </w:r>
    </w:p>
    <w:p>
      <w:pPr>
        <w:numPr>
          <w:ilvl w:val="0"/>
          <w:numId w:val="165"/>
        </w:numPr>
        <w:tabs>
          <w:tab w:val="clear" w:pos="360"/>
          <w:tab w:val="left" w:pos="1872"/>
        </w:tabs>
        <w:spacing w:before="126" w:after="0" w:line="273"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give that information to any person to whom the importer supplies the plant.</w:t>
      </w:r>
    </w:p>
    <w:p>
      <w:pPr>
        <w:spacing w:before="126" w:after="0" w:line="273" w:lineRule="exact"/>
        <w:ind w:right="36"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36"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6" w:after="0" w:line="273" w:lineRule="exact"/>
        <w:ind w:right="36"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0" w:after="0" w:line="273" w:lineRule="exact"/>
        <w:ind w:right="216" w:left="0" w:firstLine="0"/>
        <w:jc w:val="righ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(8) A supplier of plant or a structure must take all reasonable steps to:</w:t>
      </w:r>
    </w:p>
    <w:p>
      <w:pPr>
        <w:numPr>
          <w:ilvl w:val="0"/>
          <w:numId w:val="166"/>
        </w:numPr>
        <w:tabs>
          <w:tab w:val="clear" w:pos="360"/>
          <w:tab w:val="left" w:pos="1872"/>
        </w:tabs>
        <w:spacing w:before="123"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obtain the information the designer, manufacturer or importer is required to give a supplier under subregulation (3), (6) or (7); and</w:t>
      </w:r>
    </w:p>
    <w:p>
      <w:pPr>
        <w:numPr>
          <w:ilvl w:val="0"/>
          <w:numId w:val="166"/>
        </w:numPr>
        <w:tabs>
          <w:tab w:val="clear" w:pos="360"/>
          <w:tab w:val="left" w:pos="1872"/>
        </w:tabs>
        <w:spacing w:before="119" w:after="0" w:line="274"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give that information to any person to whom the supplier supplies the plant.</w:t>
      </w:r>
    </w:p>
    <w:p>
      <w:pPr>
        <w:spacing w:before="125" w:after="0" w:line="273" w:lineRule="exact"/>
        <w:ind w:right="36"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36"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6212" w:line="273" w:lineRule="exact"/>
        <w:ind w:right="36"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334"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1.05pt,0.3pt" style="position:absolute;mso-position-horizontal-relative:text;mso-position-vertical-relative:text;">
            <v:stroke dashstyle="solid"/>
          </v:line>
        </w:pict>
      </w:r>
    </w:p>
    <w:p>
      <w:pPr>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68</w:t>
      </w:r>
    </w:p>
    <w:p>
      <w:pPr>
        <w:sectPr>
          <w:type w:val="continuous"/>
          <w:pgSz w:w="11909" w:h="16838" w:orient="portrait"/>
          <w:pgMar w:bottom="1082" w:top="1140" w:right="5856" w:left="1973"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4.3	</w:t>
      </w:r>
      <w:r>
        <w:rPr>
          <w:rFonts w:ascii="Times New Roman" w:hAnsi="Times New Roman" w:eastAsia="Times New Roman"/>
          <w:color w:val="000000"/>
          <w:spacing w:val="0"/>
          <w:w w:val="100"/>
          <w:sz w:val="20"/>
          <w:vertAlign w:val="baseline"/>
          <w:lang w:val="en-US"/>
        </w:rPr>
        <w:t xml:space="preserve">Confined Spaces</w:t>
      </w:r>
    </w:p>
    <w:p>
      <w:pPr>
        <w:spacing w:before="258" w:after="0" w:line="317" w:lineRule="exact"/>
        <w:ind w:right="0" w:left="0" w:firstLine="0"/>
        <w:jc w:val="left"/>
        <w:textAlignment w:val="baseline"/>
        <w:rPr>
          <w:rFonts w:ascii="Times New Roman" w:hAnsi="Times New Roman" w:eastAsia="Times New Roman"/>
          <w:b w:val="true"/>
          <w:color w:val="000000"/>
          <w:spacing w:val="9"/>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9"/>
          <w:w w:val="100"/>
          <w:sz w:val="28"/>
          <w:vertAlign w:val="baseline"/>
          <w:lang w:val="en-US"/>
        </w:rPr>
        <w:t xml:space="preserve">Part 4.3 Confined Spaces</w:t>
      </w:r>
    </w:p>
    <w:p>
      <w:pPr>
        <w:tabs>
          <w:tab w:val="left" w:leader="none" w:pos="1584"/>
        </w:tabs>
        <w:spacing w:before="243"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1	</w:t>
      </w:r>
      <w:r>
        <w:rPr>
          <w:rFonts w:ascii="Times New Roman" w:hAnsi="Times New Roman" w:eastAsia="Times New Roman"/>
          <w:b w:val="true"/>
          <w:color w:val="000000"/>
          <w:spacing w:val="0"/>
          <w:w w:val="100"/>
          <w:sz w:val="24"/>
          <w:vertAlign w:val="baseline"/>
          <w:lang w:val="en-US"/>
        </w:rPr>
        <w:t xml:space="preserve">Preliminary</w:t>
      </w:r>
    </w:p>
    <w:p>
      <w:pPr>
        <w:spacing w:before="119"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62 Confined spaces to which this Part applies</w:t>
      </w:r>
    </w:p>
    <w:p>
      <w:pPr>
        <w:spacing w:before="120" w:after="0" w:line="272"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Part applies to confined spaces that:</w:t>
      </w:r>
    </w:p>
    <w:p>
      <w:pPr>
        <w:numPr>
          <w:ilvl w:val="0"/>
          <w:numId w:val="167"/>
        </w:numPr>
        <w:tabs>
          <w:tab w:val="clear" w:pos="360"/>
          <w:tab w:val="left" w:pos="1872"/>
        </w:tabs>
        <w:spacing w:before="126"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are entered by any person; or</w:t>
      </w:r>
    </w:p>
    <w:p>
      <w:pPr>
        <w:numPr>
          <w:ilvl w:val="0"/>
          <w:numId w:val="167"/>
        </w:numPr>
        <w:tabs>
          <w:tab w:val="clear" w:pos="360"/>
          <w:tab w:val="left" w:pos="1872"/>
        </w:tabs>
        <w:spacing w:before="122"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are intended or likely to be entered by any person; or</w:t>
      </w:r>
    </w:p>
    <w:p>
      <w:pPr>
        <w:numPr>
          <w:ilvl w:val="0"/>
          <w:numId w:val="167"/>
        </w:numPr>
        <w:tabs>
          <w:tab w:val="clear" w:pos="360"/>
          <w:tab w:val="left" w:pos="1872"/>
        </w:tabs>
        <w:spacing w:before="126"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could be entered inadvertently by any person.</w:t>
      </w:r>
    </w:p>
    <w:p>
      <w:pPr>
        <w:spacing w:before="116" w:after="0" w:line="278"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In this Part, a reference to a </w:t>
      </w:r>
      <w:r>
        <w:rPr>
          <w:rFonts w:ascii="Times New Roman" w:hAnsi="Times New Roman" w:eastAsia="Times New Roman"/>
          <w:b w:val="true"/>
          <w:i w:val="true"/>
          <w:color w:val="000000"/>
          <w:spacing w:val="0"/>
          <w:w w:val="100"/>
          <w:sz w:val="24"/>
          <w:vertAlign w:val="baseline"/>
          <w:lang w:val="en-US"/>
        </w:rPr>
        <w:t xml:space="preserve">confined space </w:t>
      </w:r>
      <w:r>
        <w:rPr>
          <w:rFonts w:ascii="Times New Roman" w:hAnsi="Times New Roman" w:eastAsia="Times New Roman"/>
          <w:color w:val="000000"/>
          <w:spacing w:val="0"/>
          <w:w w:val="100"/>
          <w:sz w:val="24"/>
          <w:vertAlign w:val="baseline"/>
          <w:lang w:val="en-US"/>
        </w:rPr>
        <w:t xml:space="preserve">in relation to a person conducting a business or undertaking is a reference to a confined</w:t>
      </w:r>
    </w:p>
    <w:p>
      <w:pPr>
        <w:spacing w:before="2" w:after="0" w:line="272"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space that is under the person's management or control.</w:t>
      </w:r>
    </w:p>
    <w:p>
      <w:pPr>
        <w:spacing w:before="126"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63 Application to emergency service workers</w:t>
      </w:r>
    </w:p>
    <w:p>
      <w:pPr>
        <w:spacing w:before="116" w:after="0" w:line="276" w:lineRule="exact"/>
        <w:ind w:right="504" w:left="1368" w:firstLine="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Regulations 67 and 68 do not apply to the entry into a confined space by an emergency service worker if, at the direction of the emergency service organisation, the worker is:</w:t>
      </w:r>
    </w:p>
    <w:p>
      <w:pPr>
        <w:numPr>
          <w:ilvl w:val="0"/>
          <w:numId w:val="168"/>
        </w:numPr>
        <w:tabs>
          <w:tab w:val="clear" w:pos="360"/>
          <w:tab w:val="left" w:pos="1872"/>
        </w:tabs>
        <w:spacing w:before="126"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rescuing a person from the space; or</w:t>
      </w:r>
    </w:p>
    <w:p>
      <w:pPr>
        <w:numPr>
          <w:ilvl w:val="0"/>
          <w:numId w:val="168"/>
        </w:numPr>
        <w:tabs>
          <w:tab w:val="clear" w:pos="360"/>
          <w:tab w:val="left" w:pos="1872"/>
        </w:tabs>
        <w:spacing w:before="122"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providing first aid to a person in the space.</w:t>
      </w:r>
    </w:p>
    <w:p>
      <w:pPr>
        <w:tabs>
          <w:tab w:val="left" w:leader="none" w:pos="1584"/>
        </w:tabs>
        <w:spacing w:before="241" w:after="0" w:line="279" w:lineRule="exact"/>
        <w:ind w:right="72" w:left="1512" w:hanging="1512"/>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2	</w:t>
      </w:r>
      <w:r>
        <w:rPr>
          <w:rFonts w:ascii="Times New Roman" w:hAnsi="Times New Roman" w:eastAsia="Times New Roman"/>
          <w:b w:val="true"/>
          <w:color w:val="000000"/>
          <w:spacing w:val="0"/>
          <w:w w:val="100"/>
          <w:sz w:val="24"/>
          <w:vertAlign w:val="baseline"/>
          <w:lang w:val="en-US"/>
        </w:rPr>
        <w:t xml:space="preserve">Duties of designer, manufacturer, importer, supplier, installer and constructor of plant or structure</w:t>
      </w:r>
    </w:p>
    <w:p>
      <w:pPr>
        <w:spacing w:before="119"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64 Duty to eliminate or minimise risk</w:t>
      </w:r>
    </w:p>
    <w:p>
      <w:pPr>
        <w:numPr>
          <w:ilvl w:val="0"/>
          <w:numId w:val="169"/>
        </w:numPr>
        <w:tabs>
          <w:tab w:val="clear" w:pos="360"/>
          <w:tab w:val="left" w:pos="1368"/>
        </w:tabs>
        <w:spacing w:before="114" w:after="0" w:line="278" w:lineRule="exact"/>
        <w:ind w:right="64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regulation applies in relation to plant or a structure that includes a space that is, or is intended to be, a confined space.</w:t>
      </w:r>
    </w:p>
    <w:p>
      <w:pPr>
        <w:numPr>
          <w:ilvl w:val="0"/>
          <w:numId w:val="169"/>
        </w:numPr>
        <w:tabs>
          <w:tab w:val="clear" w:pos="360"/>
          <w:tab w:val="left" w:pos="1368"/>
        </w:tabs>
        <w:spacing w:before="118" w:after="0" w:line="276" w:lineRule="exact"/>
        <w:ind w:right="72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designer, manufacturer, importer or supplier of the plant or structure, and a person who installs or constructs the plant or structure, must ensure that:</w:t>
      </w:r>
    </w:p>
    <w:p>
      <w:pPr>
        <w:numPr>
          <w:ilvl w:val="0"/>
          <w:numId w:val="170"/>
        </w:numPr>
        <w:tabs>
          <w:tab w:val="clear" w:pos="360"/>
          <w:tab w:val="left" w:pos="1872"/>
        </w:tabs>
        <w:spacing w:before="122" w:after="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need for any person to enter the space and the risk of a person inadvertently entering the space are eliminated, so far as is reasonably practicable; or</w:t>
      </w:r>
    </w:p>
    <w:p>
      <w:pPr>
        <w:numPr>
          <w:ilvl w:val="0"/>
          <w:numId w:val="170"/>
        </w:numPr>
        <w:tabs>
          <w:tab w:val="clear" w:pos="360"/>
          <w:tab w:val="left" w:pos="1872"/>
        </w:tabs>
        <w:spacing w:before="118"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it is not reasonably practicable to eliminate the need to enter the space or the risk of a person inadvertently entering the space:</w:t>
      </w:r>
    </w:p>
    <w:p>
      <w:pPr>
        <w:numPr>
          <w:ilvl w:val="0"/>
          <w:numId w:val="171"/>
        </w:numPr>
        <w:tabs>
          <w:tab w:val="clear" w:pos="360"/>
          <w:tab w:val="left" w:pos="2376"/>
        </w:tabs>
        <w:spacing w:before="116" w:after="0" w:line="278" w:lineRule="exact"/>
        <w:ind w:right="648"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need or risk is minimised so far as is reasonably practicable; and</w:t>
      </w:r>
    </w:p>
    <w:p>
      <w:pPr>
        <w:numPr>
          <w:ilvl w:val="0"/>
          <w:numId w:val="171"/>
        </w:numPr>
        <w:tabs>
          <w:tab w:val="clear" w:pos="360"/>
          <w:tab w:val="left" w:pos="2376"/>
        </w:tabs>
        <w:spacing w:before="116" w:after="879" w:line="278" w:lineRule="exact"/>
        <w:ind w:right="72" w:left="2376"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space is designed with a safe means of entry and exit; and</w:t>
      </w:r>
    </w:p>
    <w:p>
      <w:pPr>
        <w:spacing w:before="116" w:after="879" w:line="278"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69</w:t>
      </w:r>
    </w:p>
    <w:p>
      <w:pPr>
        <w:sectPr>
          <w:type w:val="continuous"/>
          <w:pgSz w:w="11909" w:h="16838" w:orient="portrait"/>
          <w:pgMar w:bottom="1082" w:top="1140" w:right="5853" w:left="1976"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4.3	</w:t>
      </w:r>
      <w:r>
        <w:rPr>
          <w:rFonts w:ascii="Times New Roman" w:hAnsi="Times New Roman" w:eastAsia="Times New Roman"/>
          <w:color w:val="000000"/>
          <w:spacing w:val="0"/>
          <w:w w:val="100"/>
          <w:sz w:val="20"/>
          <w:vertAlign w:val="baseline"/>
          <w:lang w:val="en-US"/>
        </w:rPr>
        <w:t xml:space="preserve">Confined Spaces</w:t>
      </w:r>
    </w:p>
    <w:p>
      <w:pPr>
        <w:spacing w:before="247" w:after="0" w:line="277" w:lineRule="exact"/>
        <w:ind w:right="72" w:left="2376" w:hanging="432"/>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(iii) the risk to the health and safety of any person who enters the space is eliminated so far as is reasonably practicable or, if it is not reasonably practicable to eliminate the risk, the risk is minimised so far as is reasonably practicable.</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944"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In the case of an individual—$6 000.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tabs>
          <w:tab w:val="left" w:leader="none" w:pos="1584"/>
        </w:tabs>
        <w:spacing w:before="251" w:after="0" w:line="273"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3	</w:t>
      </w:r>
      <w:r>
        <w:rPr>
          <w:rFonts w:ascii="Times New Roman" w:hAnsi="Times New Roman" w:eastAsia="Times New Roman"/>
          <w:b w:val="true"/>
          <w:color w:val="000000"/>
          <w:spacing w:val="0"/>
          <w:w w:val="100"/>
          <w:sz w:val="24"/>
          <w:vertAlign w:val="baseline"/>
          <w:lang w:val="en-US"/>
        </w:rPr>
        <w:t xml:space="preserve">Duties of person conducting business or undertaking</w:t>
      </w:r>
    </w:p>
    <w:p>
      <w:pPr>
        <w:spacing w:before="115" w:after="0" w:line="273"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65 Entry into confined space must comply with this Division</w:t>
      </w:r>
    </w:p>
    <w:p>
      <w:pPr>
        <w:spacing w:before="124" w:after="0" w:line="275"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must ensure, so far as is reasonably practicable, that a worker does not enter a confined space before this Division has been complied with in relation to that space.</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944"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In the case of an individual—$6 000.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5" w:after="0" w:line="273"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66 Managing risks to health and safety</w:t>
      </w:r>
    </w:p>
    <w:p>
      <w:pPr>
        <w:numPr>
          <w:ilvl w:val="0"/>
          <w:numId w:val="172"/>
        </w:numPr>
        <w:tabs>
          <w:tab w:val="clear" w:pos="360"/>
          <w:tab w:val="left" w:pos="1368"/>
        </w:tabs>
        <w:spacing w:before="120"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7"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WHS Act—section 19 (see regulation 9).</w:t>
      </w:r>
    </w:p>
    <w:p>
      <w:pPr>
        <w:numPr>
          <w:ilvl w:val="0"/>
          <w:numId w:val="172"/>
        </w:numPr>
        <w:tabs>
          <w:tab w:val="clear" w:pos="360"/>
          <w:tab w:val="left" w:pos="1368"/>
        </w:tabs>
        <w:spacing w:before="117" w:after="0" w:line="276"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must ensure that a risk assessment is conducted by a competent person for the purposes of subregulation (1).</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944"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In the case of an individual—$3 600.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numPr>
          <w:ilvl w:val="0"/>
          <w:numId w:val="172"/>
        </w:numPr>
        <w:tabs>
          <w:tab w:val="clear" w:pos="360"/>
          <w:tab w:val="left" w:pos="1368"/>
        </w:tabs>
        <w:spacing w:before="116" w:after="0" w:line="278" w:lineRule="exact"/>
        <w:ind w:right="50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ensure that a risk assessment conducted under subregulation (2) is recorded in writing.</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739" w:line="273" w:lineRule="exact"/>
        <w:ind w:right="0" w:left="1944" w:firstLine="0"/>
        <w:jc w:val="left"/>
        <w:textAlignment w:val="baseline"/>
        <w:rPr>
          <w:rFonts w:ascii="Times New Roman" w:hAnsi="Times New Roman" w:eastAsia="Times New Roman"/>
          <w:color w:val="000000"/>
          <w:spacing w:val="-1"/>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1"/>
          <w:w w:val="100"/>
          <w:sz w:val="24"/>
          <w:vertAlign w:val="baseline"/>
          <w:lang w:val="en-US"/>
        </w:rPr>
        <w:t xml:space="preserve">In the case of an individual—$1 250.</w:t>
      </w:r>
    </w:p>
    <w:p>
      <w:pPr>
        <w:spacing w:before="125" w:after="739" w:line="273"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70</w:t>
      </w:r>
    </w:p>
    <w:p>
      <w:pPr>
        <w:sectPr>
          <w:type w:val="continuous"/>
          <w:pgSz w:w="11909" w:h="16838" w:orient="portrait"/>
          <w:pgMar w:bottom="1082" w:top="1140" w:right="5853" w:left="1976"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4.3	</w:t>
      </w:r>
      <w:r>
        <w:rPr>
          <w:rFonts w:ascii="Times New Roman" w:hAnsi="Times New Roman" w:eastAsia="Times New Roman"/>
          <w:color w:val="000000"/>
          <w:spacing w:val="0"/>
          <w:w w:val="100"/>
          <w:sz w:val="20"/>
          <w:vertAlign w:val="baseline"/>
          <w:lang w:val="en-US"/>
        </w:rPr>
        <w:t xml:space="preserve">Confined Spaces</w:t>
      </w:r>
    </w:p>
    <w:p>
      <w:pPr>
        <w:spacing w:before="25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corporate—$6 000.</w:t>
      </w:r>
    </w:p>
    <w:p>
      <w:pPr>
        <w:spacing w:before="123" w:after="0" w:line="276" w:lineRule="exact"/>
        <w:ind w:right="79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For the purposes of subregulations (1) and (2), the person conducting a business or undertaking must have regard to all relevant matters, including the following:</w:t>
      </w:r>
    </w:p>
    <w:p>
      <w:pPr>
        <w:numPr>
          <w:ilvl w:val="0"/>
          <w:numId w:val="173"/>
        </w:numPr>
        <w:tabs>
          <w:tab w:val="clear" w:pos="360"/>
          <w:tab w:val="left" w:pos="1872"/>
        </w:tabs>
        <w:spacing w:before="114" w:after="0" w:line="279"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whether the work can be carried out without the need to enter the confined space;</w:t>
      </w:r>
    </w:p>
    <w:p>
      <w:pPr>
        <w:numPr>
          <w:ilvl w:val="0"/>
          <w:numId w:val="173"/>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nature of the confined space;</w:t>
      </w:r>
    </w:p>
    <w:p>
      <w:pPr>
        <w:numPr>
          <w:ilvl w:val="0"/>
          <w:numId w:val="173"/>
        </w:numPr>
        <w:tabs>
          <w:tab w:val="clear" w:pos="360"/>
          <w:tab w:val="left" w:pos="1872"/>
        </w:tabs>
        <w:spacing w:before="123"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hazard is associated with the concentration of oxygen or the concentration of airborne contaminants in the confined space—any change that may occur in that concentration;</w:t>
      </w:r>
    </w:p>
    <w:p>
      <w:pPr>
        <w:numPr>
          <w:ilvl w:val="0"/>
          <w:numId w:val="173"/>
        </w:numPr>
        <w:tabs>
          <w:tab w:val="clear" w:pos="360"/>
          <w:tab w:val="left" w:pos="1872"/>
        </w:tabs>
        <w:spacing w:before="117"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work required to be carried out in the confined space, the range of methods by which the work can be carried out and the proposed method of working;</w:t>
      </w:r>
    </w:p>
    <w:p>
      <w:pPr>
        <w:numPr>
          <w:ilvl w:val="0"/>
          <w:numId w:val="173"/>
        </w:numPr>
        <w:tabs>
          <w:tab w:val="clear" w:pos="360"/>
          <w:tab w:val="left" w:pos="1872"/>
        </w:tabs>
        <w:spacing w:before="116" w:after="0" w:line="278" w:lineRule="exact"/>
        <w:ind w:right="115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type of emergency procedures, including rescue procedures, required.</w:t>
      </w:r>
    </w:p>
    <w:p>
      <w:pPr>
        <w:spacing w:before="120"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The person conducting a business or undertaking must ensure that a risk assessment under this regulation is reviewed and as necessary revised by a competent person to reflect any review and revision of control measures under Part 3.1.</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5"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67 Confined space entry permit</w:t>
      </w:r>
    </w:p>
    <w:p>
      <w:pPr>
        <w:numPr>
          <w:ilvl w:val="0"/>
          <w:numId w:val="174"/>
        </w:numPr>
        <w:tabs>
          <w:tab w:val="clear" w:pos="360"/>
          <w:tab w:val="left" w:pos="1368"/>
        </w:tabs>
        <w:spacing w:before="119" w:after="0" w:line="276" w:lineRule="exact"/>
        <w:ind w:right="72"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A person conducting a business or undertaking at a workplace must not direct a worker to enter a confined space to carry out work unless the person has issued a confined space entry permit for the work.</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174"/>
        </w:numPr>
        <w:tabs>
          <w:tab w:val="clear" w:pos="360"/>
          <w:tab w:val="left" w:pos="1368"/>
        </w:tabs>
        <w:spacing w:before="125" w:after="0" w:line="273"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confined space entry permit must:</w:t>
      </w:r>
    </w:p>
    <w:p>
      <w:pPr>
        <w:numPr>
          <w:ilvl w:val="0"/>
          <w:numId w:val="175"/>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be completed by a competent person; and</w:t>
      </w:r>
    </w:p>
    <w:p>
      <w:pPr>
        <w:numPr>
          <w:ilvl w:val="0"/>
          <w:numId w:val="175"/>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be in writing; and</w:t>
      </w:r>
    </w:p>
    <w:p>
      <w:pPr>
        <w:numPr>
          <w:ilvl w:val="0"/>
          <w:numId w:val="175"/>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specify the following:</w:t>
      </w:r>
    </w:p>
    <w:p>
      <w:pPr>
        <w:spacing w:before="125" w:after="768" w:line="273" w:lineRule="exact"/>
        <w:ind w:right="0" w:left="208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 the confined space to which the permit relates;</w:t>
      </w:r>
    </w:p>
    <w:p>
      <w:pPr>
        <w:spacing w:before="125" w:after="768" w:line="273"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71</w:t>
      </w:r>
    </w:p>
    <w:p>
      <w:pPr>
        <w:sectPr>
          <w:type w:val="continuous"/>
          <w:pgSz w:w="11909" w:h="16838" w:orient="portrait"/>
          <w:pgMar w:bottom="1082" w:top="1140" w:right="5861" w:left="1968"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4.3	</w:t>
      </w:r>
      <w:r>
        <w:rPr>
          <w:rFonts w:ascii="Times New Roman" w:hAnsi="Times New Roman" w:eastAsia="Times New Roman"/>
          <w:color w:val="000000"/>
          <w:spacing w:val="0"/>
          <w:w w:val="100"/>
          <w:sz w:val="20"/>
          <w:vertAlign w:val="baseline"/>
          <w:lang w:val="en-US"/>
        </w:rPr>
        <w:t xml:space="preserve">Confined Spaces</w:t>
      </w:r>
    </w:p>
    <w:p>
      <w:pPr>
        <w:numPr>
          <w:ilvl w:val="0"/>
          <w:numId w:val="176"/>
        </w:numPr>
        <w:tabs>
          <w:tab w:val="clear" w:pos="504"/>
          <w:tab w:val="left" w:pos="2376"/>
        </w:tabs>
        <w:spacing w:before="251" w:after="0" w:line="273" w:lineRule="exact"/>
        <w:ind w:right="0" w:left="2376" w:hanging="504"/>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names of persons permitted to enter the space;</w:t>
      </w:r>
    </w:p>
    <w:p>
      <w:pPr>
        <w:numPr>
          <w:ilvl w:val="0"/>
          <w:numId w:val="176"/>
        </w:numPr>
        <w:tabs>
          <w:tab w:val="clear" w:pos="504"/>
          <w:tab w:val="left" w:pos="2376"/>
        </w:tabs>
        <w:spacing w:before="126" w:after="0" w:line="273" w:lineRule="exact"/>
        <w:ind w:right="432" w:left="2376" w:hanging="504"/>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period of time during which the work in the space will be carried out;</w:t>
      </w:r>
    </w:p>
    <w:p>
      <w:pPr>
        <w:numPr>
          <w:ilvl w:val="0"/>
          <w:numId w:val="176"/>
        </w:numPr>
        <w:tabs>
          <w:tab w:val="clear" w:pos="504"/>
          <w:tab w:val="left" w:pos="2376"/>
        </w:tabs>
        <w:spacing w:before="126" w:after="0" w:line="273" w:lineRule="exact"/>
        <w:ind w:right="432" w:left="2376" w:hanging="504"/>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measures to control risk associated with the proposed work in the space; and</w:t>
      </w:r>
    </w:p>
    <w:p>
      <w:pPr>
        <w:spacing w:before="123" w:after="0" w:line="276"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contain space for an acknowledgement that work in the confined space has been completed and that all persons have left the confined space.</w:t>
      </w:r>
    </w:p>
    <w:p>
      <w:pPr>
        <w:spacing w:before="120"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control measures specified in a confined space permit must:</w:t>
      </w:r>
    </w:p>
    <w:p>
      <w:pPr>
        <w:numPr>
          <w:ilvl w:val="0"/>
          <w:numId w:val="177"/>
        </w:numPr>
        <w:tabs>
          <w:tab w:val="clear" w:pos="360"/>
          <w:tab w:val="left" w:pos="1872"/>
        </w:tabs>
        <w:spacing w:before="126" w:after="0" w:line="273"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be based on a risk assessment conducted under regulation 66; and</w:t>
      </w:r>
    </w:p>
    <w:p>
      <w:pPr>
        <w:numPr>
          <w:ilvl w:val="0"/>
          <w:numId w:val="177"/>
        </w:numPr>
        <w:tabs>
          <w:tab w:val="clear" w:pos="360"/>
          <w:tab w:val="left" w:pos="1872"/>
        </w:tabs>
        <w:spacing w:before="126" w:after="0" w:line="273" w:lineRule="exact"/>
        <w:ind w:right="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include:</w:t>
      </w:r>
    </w:p>
    <w:p>
      <w:pPr>
        <w:numPr>
          <w:ilvl w:val="0"/>
          <w:numId w:val="178"/>
        </w:numPr>
        <w:tabs>
          <w:tab w:val="clear" w:pos="432"/>
          <w:tab w:val="left" w:pos="2376"/>
        </w:tabs>
        <w:spacing w:before="120" w:after="0" w:line="273" w:lineRule="exact"/>
        <w:ind w:right="0" w:left="2376" w:hanging="432"/>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control measures to be implemented for safe entry; and</w:t>
      </w:r>
    </w:p>
    <w:p>
      <w:pPr>
        <w:numPr>
          <w:ilvl w:val="0"/>
          <w:numId w:val="178"/>
        </w:numPr>
        <w:tabs>
          <w:tab w:val="clear" w:pos="432"/>
          <w:tab w:val="left" w:pos="2376"/>
        </w:tabs>
        <w:spacing w:before="116" w:after="0" w:line="278" w:lineRule="exact"/>
        <w:ind w:right="288"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details of the system of work provided under regulation 69.</w:t>
      </w:r>
    </w:p>
    <w:p>
      <w:pPr>
        <w:spacing w:before="116" w:after="0" w:line="278" w:lineRule="exact"/>
        <w:ind w:right="216"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(4) The person conducting a business or undertaking must ensure that, when the work for which the entry permit was issued is completed:</w:t>
      </w:r>
    </w:p>
    <w:p>
      <w:pPr>
        <w:numPr>
          <w:ilvl w:val="0"/>
          <w:numId w:val="179"/>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all workers leave the confined space; and</w:t>
      </w:r>
    </w:p>
    <w:p>
      <w:pPr>
        <w:numPr>
          <w:ilvl w:val="0"/>
          <w:numId w:val="179"/>
        </w:numPr>
        <w:tabs>
          <w:tab w:val="clear" w:pos="360"/>
          <w:tab w:val="left" w:pos="1872"/>
        </w:tabs>
        <w:spacing w:before="124" w:after="0" w:line="274" w:lineRule="exact"/>
        <w:ind w:right="43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acknowledgement referred to in subregulation (2)(d) is completed by the competent person.</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1" w:after="0" w:line="274" w:lineRule="exact"/>
        <w:ind w:right="0" w:left="288" w:firstLine="0"/>
        <w:jc w:val="left"/>
        <w:textAlignment w:val="baseline"/>
        <w:rPr>
          <w:rFonts w:ascii="Times New Roman" w:hAnsi="Times New Roman" w:eastAsia="Times New Roman"/>
          <w:b w:val="true"/>
          <w:color w:val="000000"/>
          <w:spacing w:val="-1"/>
          <w:w w:val="100"/>
          <w:sz w:val="24"/>
          <w:vertAlign w:val="baseline"/>
          <w:lang w:val="en-US"/>
        </w:rPr>
      </w:pPr>
      <w:r>
        <w:rPr>
          <w:rFonts w:ascii="Times New Roman" w:hAnsi="Times New Roman" w:eastAsia="Times New Roman"/>
          <w:b w:val="true"/>
          <w:color w:val="000000"/>
          <w:spacing w:val="-1"/>
          <w:w w:val="100"/>
          <w:sz w:val="24"/>
          <w:vertAlign w:val="baseline"/>
          <w:lang w:val="en-US"/>
        </w:rPr>
        <w:t xml:space="preserve">68 Signage</w:t>
      </w:r>
    </w:p>
    <w:p>
      <w:pPr>
        <w:spacing w:before="123" w:after="0" w:line="274"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must ensure that signs that comply with subregulation (2) are erected:</w:t>
      </w:r>
    </w:p>
    <w:p>
      <w:pPr>
        <w:numPr>
          <w:ilvl w:val="0"/>
          <w:numId w:val="180"/>
        </w:numPr>
        <w:tabs>
          <w:tab w:val="clear" w:pos="360"/>
          <w:tab w:val="left" w:pos="1872"/>
        </w:tabs>
        <w:spacing w:before="124" w:after="0" w:line="274"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immediately before work in a confined space commences and while the work is being carried out; and</w:t>
      </w:r>
    </w:p>
    <w:p>
      <w:pPr>
        <w:numPr>
          <w:ilvl w:val="0"/>
          <w:numId w:val="180"/>
        </w:numPr>
        <w:tabs>
          <w:tab w:val="clear" w:pos="360"/>
          <w:tab w:val="left" w:pos="1872"/>
        </w:tabs>
        <w:spacing w:before="124" w:after="0" w:line="274"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while work is being carried out in preparation for, and in the completion of, work in a confined space.</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5" w:after="120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corporate—$18 000.</w:t>
      </w:r>
    </w:p>
    <w:p>
      <w:pPr>
        <w:spacing w:before="125" w:after="1200" w:line="273"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72</w:t>
      </w:r>
    </w:p>
    <w:p>
      <w:pPr>
        <w:sectPr>
          <w:type w:val="continuous"/>
          <w:pgSz w:w="11909" w:h="16838" w:orient="portrait"/>
          <w:pgMar w:bottom="1082" w:top="1140" w:right="5853" w:left="1976"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4.3	</w:t>
      </w:r>
      <w:r>
        <w:rPr>
          <w:rFonts w:ascii="Times New Roman" w:hAnsi="Times New Roman" w:eastAsia="Times New Roman"/>
          <w:color w:val="000000"/>
          <w:spacing w:val="0"/>
          <w:w w:val="100"/>
          <w:sz w:val="20"/>
          <w:vertAlign w:val="baseline"/>
          <w:lang w:val="en-US"/>
        </w:rPr>
        <w:t xml:space="preserve">Confined Spaces</w:t>
      </w:r>
    </w:p>
    <w:p>
      <w:pPr>
        <w:spacing w:before="251"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(2) The signs must:</w:t>
      </w:r>
    </w:p>
    <w:p>
      <w:pPr>
        <w:numPr>
          <w:ilvl w:val="0"/>
          <w:numId w:val="181"/>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identify the confined space; and</w:t>
      </w:r>
    </w:p>
    <w:p>
      <w:pPr>
        <w:numPr>
          <w:ilvl w:val="0"/>
          <w:numId w:val="181"/>
        </w:numPr>
        <w:tabs>
          <w:tab w:val="clear" w:pos="360"/>
          <w:tab w:val="left" w:pos="1872"/>
        </w:tabs>
        <w:spacing w:before="114" w:after="0" w:line="279"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inform workers that they must not enter the space unless they have a confined space entry permit; and</w:t>
      </w:r>
    </w:p>
    <w:p>
      <w:pPr>
        <w:numPr>
          <w:ilvl w:val="0"/>
          <w:numId w:val="181"/>
        </w:numPr>
        <w:tabs>
          <w:tab w:val="clear" w:pos="360"/>
          <w:tab w:val="left" w:pos="1872"/>
        </w:tabs>
        <w:spacing w:before="114" w:after="0" w:line="279"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be clear and prominently located next to each entry to the space.</w:t>
      </w:r>
    </w:p>
    <w:p>
      <w:pPr>
        <w:spacing w:before="120"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69 Communication and safety monitoring</w:t>
      </w:r>
    </w:p>
    <w:p>
      <w:pPr>
        <w:spacing w:before="122" w:after="0" w:line="276"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must ensure that a worker does not enter a confined space to carry out work unless the person provides a system of work that includes:</w:t>
      </w:r>
    </w:p>
    <w:p>
      <w:pPr>
        <w:numPr>
          <w:ilvl w:val="0"/>
          <w:numId w:val="182"/>
        </w:numPr>
        <w:tabs>
          <w:tab w:val="clear" w:pos="360"/>
          <w:tab w:val="left" w:pos="1872"/>
        </w:tabs>
        <w:spacing w:before="114" w:after="0" w:line="279"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continuous communication with the worker from outside the space; and</w:t>
      </w:r>
    </w:p>
    <w:p>
      <w:pPr>
        <w:numPr>
          <w:ilvl w:val="0"/>
          <w:numId w:val="182"/>
        </w:numPr>
        <w:tabs>
          <w:tab w:val="clear" w:pos="360"/>
          <w:tab w:val="left" w:pos="1872"/>
        </w:tabs>
        <w:spacing w:before="117"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monitoring of conditions within the space by a standby person who is in the vicinity of the space and, if practicable, observing the work being carried out.</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5"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70 Specific control—connected plant and services</w:t>
      </w:r>
    </w:p>
    <w:p>
      <w:pPr>
        <w:spacing w:before="117"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must, so far as is reasonably practicable, eliminate any risk associated with work in a confined space in either of the following circumstances:</w:t>
      </w:r>
    </w:p>
    <w:p>
      <w:pPr>
        <w:numPr>
          <w:ilvl w:val="0"/>
          <w:numId w:val="183"/>
        </w:numPr>
        <w:tabs>
          <w:tab w:val="clear" w:pos="360"/>
          <w:tab w:val="left" w:pos="1872"/>
        </w:tabs>
        <w:spacing w:before="124" w:after="0" w:line="274"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introduction of any substance or condition into the space from or by any plant or services connected to the space;</w:t>
      </w:r>
    </w:p>
    <w:p>
      <w:pPr>
        <w:numPr>
          <w:ilvl w:val="0"/>
          <w:numId w:val="183"/>
        </w:numPr>
        <w:tabs>
          <w:tab w:val="clear" w:pos="360"/>
          <w:tab w:val="left" w:pos="1872"/>
        </w:tabs>
        <w:spacing w:before="124" w:after="0" w:line="274" w:lineRule="exact"/>
        <w:ind w:right="7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activation or energising in any way of any plant or services connected to the space.</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18"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If it is not reasonably practicable for the person to eliminate risk under subregulation (1), the person must minimise that risk so far as is reasonably practicable.</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1046"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an individual—$3 600.</w:t>
      </w:r>
    </w:p>
    <w:p>
      <w:pPr>
        <w:spacing w:before="121" w:after="1046" w:line="273"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73</w:t>
      </w:r>
    </w:p>
    <w:p>
      <w:pPr>
        <w:sectPr>
          <w:type w:val="continuous"/>
          <w:pgSz w:w="11909" w:h="16838" w:orient="portrait"/>
          <w:pgMar w:bottom="1082" w:top="1140" w:right="5858" w:left="1971" w:header="720" w:footer="720"/>
          <w:titlePg w:val="false"/>
          <w:textDirection w:val="lrTb"/>
        </w:sectPr>
      </w:pPr>
    </w:p>
    <w:p>
      <w:pPr>
        <w:spacing w:before="6" w:after="0" w:line="225"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6" w:after="227" w:line="225"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4.3	</w:t>
      </w:r>
      <w:r>
        <w:rPr>
          <w:rFonts w:ascii="Times New Roman" w:hAnsi="Times New Roman" w:eastAsia="Times New Roman"/>
          <w:color w:val="000000"/>
          <w:spacing w:val="0"/>
          <w:w w:val="100"/>
          <w:sz w:val="20"/>
          <w:vertAlign w:val="baseline"/>
          <w:lang w:val="en-US"/>
        </w:rPr>
        <w:t xml:space="preserve">Confined Spaces</w:t>
      </w:r>
    </w:p>
    <w:p>
      <w:pPr>
        <w:spacing w:before="25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corporate—$18 000.</w:t>
      </w:r>
    </w:p>
    <w:p>
      <w:pPr>
        <w:spacing w:before="126"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71 Specific control—atmosphere</w:t>
      </w:r>
    </w:p>
    <w:p>
      <w:pPr>
        <w:spacing w:before="113" w:after="0" w:line="279" w:lineRule="exact"/>
        <w:ind w:right="57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must ensure, in relation to work in a confined space, that:</w:t>
      </w:r>
    </w:p>
    <w:p>
      <w:pPr>
        <w:numPr>
          <w:ilvl w:val="0"/>
          <w:numId w:val="184"/>
        </w:numPr>
        <w:tabs>
          <w:tab w:val="clear" w:pos="360"/>
          <w:tab w:val="left" w:pos="1872"/>
        </w:tabs>
        <w:spacing w:before="114" w:after="0" w:line="279" w:lineRule="exact"/>
        <w:ind w:right="72" w:left="1872"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purging or ventilation of any contaminant in the atmosphere of the space is carried out, so far as is reasonably practicable; and</w:t>
      </w:r>
    </w:p>
    <w:p>
      <w:pPr>
        <w:numPr>
          <w:ilvl w:val="0"/>
          <w:numId w:val="184"/>
        </w:numPr>
        <w:tabs>
          <w:tab w:val="clear" w:pos="360"/>
          <w:tab w:val="left" w:pos="1872"/>
        </w:tabs>
        <w:spacing w:before="117" w:after="0" w:line="276" w:lineRule="exact"/>
        <w:ind w:right="360" w:left="1872"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pure oxygen or gas mixtures with oxygen in a concentration exceeding 21% by volume are not used for purging or ventilation of any airborne contaminant in the space.</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9" w:after="0" w:line="274"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person must ensure that, while work is being carried out in a confined space:</w:t>
      </w:r>
    </w:p>
    <w:p>
      <w:pPr>
        <w:numPr>
          <w:ilvl w:val="0"/>
          <w:numId w:val="185"/>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atmosphere of the space has a safe oxygen level; or</w:t>
      </w:r>
    </w:p>
    <w:p>
      <w:pPr>
        <w:numPr>
          <w:ilvl w:val="0"/>
          <w:numId w:val="185"/>
        </w:numPr>
        <w:tabs>
          <w:tab w:val="clear" w:pos="360"/>
          <w:tab w:val="left" w:pos="1872"/>
        </w:tabs>
        <w:spacing w:before="120"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it is not reasonably practicable to comply with paragraph (a) and the atmosphere in the space has an oxygen level less than 19.5% by volume—any worker carrying out work in the space is provided with air supplied respiratory equipment.</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74" w:lineRule="exact"/>
        <w:ind w:right="216"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In this regulation, </w:t>
      </w:r>
      <w:r>
        <w:rPr>
          <w:rFonts w:ascii="Times New Roman" w:hAnsi="Times New Roman" w:eastAsia="Times New Roman"/>
          <w:b w:val="true"/>
          <w:i w:val="true"/>
          <w:color w:val="000000"/>
          <w:spacing w:val="0"/>
          <w:w w:val="100"/>
          <w:sz w:val="24"/>
          <w:vertAlign w:val="baseline"/>
          <w:lang w:val="en-US"/>
        </w:rPr>
        <w:t xml:space="preserve">purging </w:t>
      </w:r>
      <w:r>
        <w:rPr>
          <w:rFonts w:ascii="Times New Roman" w:hAnsi="Times New Roman" w:eastAsia="Times New Roman"/>
          <w:color w:val="000000"/>
          <w:spacing w:val="0"/>
          <w:w w:val="100"/>
          <w:sz w:val="24"/>
          <w:vertAlign w:val="baseline"/>
          <w:lang w:val="en-US"/>
        </w:rPr>
        <w:t xml:space="preserve">means the method used to displace any contaminant from a confined space.</w:t>
      </w:r>
    </w:p>
    <w:p>
      <w:pPr>
        <w:spacing w:before="129"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Notes</w:t>
      </w:r>
    </w:p>
    <w:p>
      <w:pPr>
        <w:tabs>
          <w:tab w:val="left" w:leader="none" w:pos="1296"/>
        </w:tabs>
        <w:spacing w:before="119" w:after="0" w:line="231" w:lineRule="exact"/>
        <w:ind w:right="360" w:left="1368" w:hanging="50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Regulation 44 applies to the use of personal protective equipment, including the equipment provided under subregulation (2).</w:t>
      </w:r>
    </w:p>
    <w:p>
      <w:pPr>
        <w:tabs>
          <w:tab w:val="left" w:leader="none" w:pos="1296"/>
        </w:tabs>
        <w:spacing w:before="125" w:after="0" w:line="225"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Regulation 50 applies to airborne contaminants.</w:t>
      </w:r>
    </w:p>
    <w:p>
      <w:pPr>
        <w:spacing w:before="122"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72 Specific control—flammable gases and vapours</w:t>
      </w:r>
    </w:p>
    <w:p>
      <w:pPr>
        <w:spacing w:before="119"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must ensure, so far as is reasonably practicable, that while work is being carried out in a confined space, the concentration of any flammable gas, vapour or mist in the atmosphere of the space is less than 5% of its LEL.</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83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830" w:line="273"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74</w:t>
      </w:r>
    </w:p>
    <w:p>
      <w:pPr>
        <w:sectPr>
          <w:type w:val="continuous"/>
          <w:pgSz w:w="11909" w:h="16838" w:orient="portrait"/>
          <w:pgMar w:bottom="1082" w:top="1140" w:right="5853" w:left="1976"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4.3	</w:t>
      </w:r>
      <w:r>
        <w:rPr>
          <w:rFonts w:ascii="Times New Roman" w:hAnsi="Times New Roman" w:eastAsia="Times New Roman"/>
          <w:color w:val="000000"/>
          <w:spacing w:val="0"/>
          <w:w w:val="100"/>
          <w:sz w:val="20"/>
          <w:vertAlign w:val="baseline"/>
          <w:lang w:val="en-US"/>
        </w:rPr>
        <w:t xml:space="preserve">Confined Spaces</w:t>
      </w:r>
    </w:p>
    <w:p>
      <w:pPr>
        <w:spacing w:before="251"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75"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If it is not reasonably practicable to limit the atmospheric concentration of a flammable gas, vapour or mist in a confined space to less than 5% of its LEL and the atmospheric concentration of the flammable gas, vapour or mist in the space is:</w:t>
      </w:r>
    </w:p>
    <w:p>
      <w:pPr>
        <w:numPr>
          <w:ilvl w:val="0"/>
          <w:numId w:val="186"/>
        </w:numPr>
        <w:tabs>
          <w:tab w:val="clear" w:pos="360"/>
          <w:tab w:val="left" w:pos="1872"/>
        </w:tabs>
        <w:spacing w:before="124" w:after="0" w:line="275"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equal to or greater than 5% but less than 10% of its LEL—the person must ensure that any worker is immediately removed from the space unless a suitably calibrated, continuous-monitoring flammable gas detector is used in the space; or</w:t>
      </w:r>
    </w:p>
    <w:p>
      <w:pPr>
        <w:numPr>
          <w:ilvl w:val="0"/>
          <w:numId w:val="186"/>
        </w:numPr>
        <w:tabs>
          <w:tab w:val="clear" w:pos="360"/>
          <w:tab w:val="left" w:pos="1872"/>
        </w:tabs>
        <w:spacing w:before="123" w:after="0" w:line="276"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equal to or greater than 10% of its LEL—the person must ensure that any worker is immediately removed from the space.</w:t>
      </w:r>
    </w:p>
    <w:p>
      <w:pPr>
        <w:spacing w:before="119"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0"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73 Specific control—fire and explosion</w:t>
      </w:r>
    </w:p>
    <w:p>
      <w:pPr>
        <w:spacing w:before="124" w:after="0" w:line="275"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must ensure that an ignition source is not introduced into a confined space (from outside or within the space) if there is a possibility of the ignition source causing a fire or explosion in the space.</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0" w:after="0" w:line="274" w:lineRule="exact"/>
        <w:ind w:right="0" w:left="288" w:firstLine="0"/>
        <w:jc w:val="left"/>
        <w:textAlignment w:val="baseline"/>
        <w:rPr>
          <w:rFonts w:ascii="Times New Roman" w:hAnsi="Times New Roman" w:eastAsia="Times New Roman"/>
          <w:b w:val="true"/>
          <w:color w:val="000000"/>
          <w:spacing w:val="-1"/>
          <w:w w:val="100"/>
          <w:sz w:val="24"/>
          <w:vertAlign w:val="baseline"/>
          <w:lang w:val="en-US"/>
        </w:rPr>
      </w:pPr>
      <w:r>
        <w:rPr>
          <w:rFonts w:ascii="Times New Roman" w:hAnsi="Times New Roman" w:eastAsia="Times New Roman"/>
          <w:b w:val="true"/>
          <w:color w:val="000000"/>
          <w:spacing w:val="-1"/>
          <w:w w:val="100"/>
          <w:sz w:val="24"/>
          <w:vertAlign w:val="baseline"/>
          <w:lang w:val="en-US"/>
        </w:rPr>
        <w:t xml:space="preserve">74 Emergency procedures</w:t>
      </w:r>
    </w:p>
    <w:p>
      <w:pPr>
        <w:spacing w:before="124"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must:</w:t>
      </w:r>
    </w:p>
    <w:p>
      <w:pPr>
        <w:numPr>
          <w:ilvl w:val="0"/>
          <w:numId w:val="187"/>
        </w:numPr>
        <w:tabs>
          <w:tab w:val="clear" w:pos="360"/>
          <w:tab w:val="left" w:pos="1872"/>
        </w:tabs>
        <w:spacing w:before="118" w:after="0" w:line="276"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establish first aid procedures and rescue procedures to be followed in the event of an emergency in a confined space; and</w:t>
      </w:r>
    </w:p>
    <w:p>
      <w:pPr>
        <w:numPr>
          <w:ilvl w:val="0"/>
          <w:numId w:val="187"/>
        </w:numPr>
        <w:tabs>
          <w:tab w:val="clear" w:pos="360"/>
          <w:tab w:val="left" w:pos="1872"/>
        </w:tabs>
        <w:spacing w:before="124" w:after="0" w:line="274"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ensure that the procedures are practised as necessary to ensure that they are efficient and effective.</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4" w:after="1559"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1559" w:line="274"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75</w:t>
      </w:r>
    </w:p>
    <w:p>
      <w:pPr>
        <w:sectPr>
          <w:type w:val="continuous"/>
          <w:pgSz w:w="11909" w:h="16838" w:orient="portrait"/>
          <w:pgMar w:bottom="1082" w:top="1140" w:right="5856" w:left="1973"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4.3	</w:t>
      </w:r>
      <w:r>
        <w:rPr>
          <w:rFonts w:ascii="Times New Roman" w:hAnsi="Times New Roman" w:eastAsia="Times New Roman"/>
          <w:color w:val="000000"/>
          <w:spacing w:val="0"/>
          <w:w w:val="100"/>
          <w:sz w:val="20"/>
          <w:vertAlign w:val="baseline"/>
          <w:lang w:val="en-US"/>
        </w:rPr>
        <w:t xml:space="preserve">Confined Spaces</w:t>
      </w:r>
    </w:p>
    <w:p>
      <w:pPr>
        <w:numPr>
          <w:ilvl w:val="0"/>
          <w:numId w:val="188"/>
        </w:numPr>
        <w:tabs>
          <w:tab w:val="clear" w:pos="360"/>
          <w:tab w:val="left" w:pos="1368"/>
        </w:tabs>
        <w:spacing w:before="248" w:after="0" w:line="276"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person must ensure that first aid and rescue procedures are initiated from outside the confined space as soon as practicable in an emergency.</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188"/>
        </w:numPr>
        <w:tabs>
          <w:tab w:val="clear" w:pos="360"/>
          <w:tab w:val="left" w:pos="1368"/>
        </w:tabs>
        <w:spacing w:before="120" w:after="0" w:line="273"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ensure, in relation to any confined space, that:</w:t>
      </w:r>
    </w:p>
    <w:p>
      <w:pPr>
        <w:numPr>
          <w:ilvl w:val="0"/>
          <w:numId w:val="189"/>
        </w:numPr>
        <w:tabs>
          <w:tab w:val="clear" w:pos="360"/>
          <w:tab w:val="left" w:pos="1872"/>
        </w:tabs>
        <w:spacing w:before="126" w:after="0" w:line="273" w:lineRule="exact"/>
        <w:ind w:right="50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entry and exit openings of the confined space are large enough to allow emergency access; and</w:t>
      </w:r>
    </w:p>
    <w:p>
      <w:pPr>
        <w:numPr>
          <w:ilvl w:val="0"/>
          <w:numId w:val="189"/>
        </w:numPr>
        <w:tabs>
          <w:tab w:val="clear" w:pos="360"/>
          <w:tab w:val="left" w:pos="1872"/>
        </w:tabs>
        <w:spacing w:before="126" w:after="0" w:line="273" w:lineRule="exact"/>
        <w:ind w:right="0" w:left="1872" w:hanging="360"/>
        <w:jc w:val="both"/>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the entry and exit openings of the space are not obstructed; and</w:t>
      </w:r>
    </w:p>
    <w:p>
      <w:pPr>
        <w:numPr>
          <w:ilvl w:val="0"/>
          <w:numId w:val="189"/>
        </w:numPr>
        <w:tabs>
          <w:tab w:val="clear" w:pos="360"/>
          <w:tab w:val="left" w:pos="1872"/>
        </w:tabs>
        <w:spacing w:before="117" w:after="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plant, equipment and personal protective equipment provided for first aid or emergency rescue are maintained in good working order.</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9"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1" w:after="0" w:line="231" w:lineRule="exact"/>
        <w:ind w:right="288"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Part 3.2 for general provisions relating to first aid, personal protective equipment and emergency plans.</w:t>
      </w:r>
    </w:p>
    <w:p>
      <w:pPr>
        <w:spacing w:before="120" w:after="0" w:line="273"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75 Personal protective equipment in emergencies</w:t>
      </w:r>
    </w:p>
    <w:p>
      <w:pPr>
        <w:numPr>
          <w:ilvl w:val="0"/>
          <w:numId w:val="190"/>
        </w:numPr>
        <w:tabs>
          <w:tab w:val="clear" w:pos="360"/>
          <w:tab w:val="left" w:pos="1368"/>
        </w:tabs>
        <w:spacing w:before="117"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regulation applies in relation to a worker who is to enter a confined space in order to carry out first aid or rescue procedures in an emergency.</w:t>
      </w:r>
    </w:p>
    <w:p>
      <w:pPr>
        <w:numPr>
          <w:ilvl w:val="0"/>
          <w:numId w:val="190"/>
        </w:numPr>
        <w:tabs>
          <w:tab w:val="clear" w:pos="360"/>
          <w:tab w:val="left" w:pos="1368"/>
        </w:tabs>
        <w:spacing w:before="124" w:after="0"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conducting the business or undertaking for which the worker is carrying out work must ensure that air supplied respiratory equipment is available for use by, and is provided to, the worker in an emergency in which:</w:t>
      </w:r>
    </w:p>
    <w:p>
      <w:pPr>
        <w:numPr>
          <w:ilvl w:val="0"/>
          <w:numId w:val="191"/>
        </w:numPr>
        <w:tabs>
          <w:tab w:val="clear" w:pos="360"/>
          <w:tab w:val="left" w:pos="1872"/>
        </w:tabs>
        <w:spacing w:before="126" w:after="0" w:line="273" w:lineRule="exact"/>
        <w:ind w:right="50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atmosphere in the confined space does not have a safe oxygen level; or</w:t>
      </w:r>
    </w:p>
    <w:p>
      <w:pPr>
        <w:numPr>
          <w:ilvl w:val="0"/>
          <w:numId w:val="191"/>
        </w:numPr>
        <w:tabs>
          <w:tab w:val="clear" w:pos="360"/>
          <w:tab w:val="left" w:pos="1872"/>
        </w:tabs>
        <w:spacing w:before="126" w:after="0" w:line="273"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atmosphere in the space has a harmful concentration of an airborne contaminant; or</w:t>
      </w:r>
    </w:p>
    <w:p>
      <w:pPr>
        <w:numPr>
          <w:ilvl w:val="0"/>
          <w:numId w:val="191"/>
        </w:numPr>
        <w:tabs>
          <w:tab w:val="clear" w:pos="360"/>
          <w:tab w:val="left" w:pos="1872"/>
        </w:tabs>
        <w:spacing w:before="123" w:after="1420" w:line="276" w:lineRule="exact"/>
        <w:ind w:right="72" w:left="1872" w:hanging="36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there is a serious risk of the atmosphere in the space becoming affected in the way referred to in paragraph (a) or (b) while the worker is in the space.</w:t>
      </w:r>
    </w:p>
    <w:p>
      <w:pPr>
        <w:spacing w:before="123" w:after="1420" w:line="276"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76</w:t>
      </w:r>
    </w:p>
    <w:p>
      <w:pPr>
        <w:sectPr>
          <w:type w:val="continuous"/>
          <w:pgSz w:w="11909" w:h="16838" w:orient="portrait"/>
          <w:pgMar w:bottom="1082" w:top="1140" w:right="5853" w:left="1976" w:header="720" w:footer="720"/>
          <w:titlePg w:val="false"/>
          <w:textDirection w:val="lrTb"/>
        </w:sectPr>
      </w:pPr>
    </w:p>
    <w:p>
      <w:pPr>
        <w:spacing w:before="6"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5" w:after="226"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4.3	</w:t>
      </w:r>
      <w:r>
        <w:rPr>
          <w:rFonts w:ascii="Times New Roman" w:hAnsi="Times New Roman" w:eastAsia="Times New Roman"/>
          <w:color w:val="000000"/>
          <w:spacing w:val="0"/>
          <w:w w:val="100"/>
          <w:sz w:val="20"/>
          <w:vertAlign w:val="baseline"/>
          <w:lang w:val="en-US"/>
        </w:rPr>
        <w:t xml:space="preserve">Confined Spaces</w:t>
      </w:r>
    </w:p>
    <w:p>
      <w:pPr>
        <w:spacing w:before="25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75"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person conducting the business or undertaking for which the worker is carrying out work must ensure that suitable personal protective equipment is available for use by, and is provided to, the worker in an emergency in which:</w:t>
      </w:r>
    </w:p>
    <w:p>
      <w:pPr>
        <w:numPr>
          <w:ilvl w:val="0"/>
          <w:numId w:val="192"/>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engulfment has occurred inside the confined space; or</w:t>
      </w:r>
    </w:p>
    <w:p>
      <w:pPr>
        <w:numPr>
          <w:ilvl w:val="0"/>
          <w:numId w:val="192"/>
        </w:numPr>
        <w:tabs>
          <w:tab w:val="clear" w:pos="360"/>
          <w:tab w:val="left" w:pos="1872"/>
        </w:tabs>
        <w:spacing w:before="114" w:after="0" w:line="279"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there is a serious risk of an engulfment occurring while the worker is in the space.</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2" w:after="0" w:line="230" w:lineRule="exact"/>
        <w:ind w:right="72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Regulation 44 applies to the use of personal protective equipment, including the equipment provided under this regulation.</w:t>
      </w:r>
    </w:p>
    <w:p>
      <w:pPr>
        <w:spacing w:before="121" w:after="0" w:line="270"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76 Information, training and instruction for workers</w:t>
      </w:r>
    </w:p>
    <w:p>
      <w:pPr>
        <w:spacing w:before="126" w:after="0" w:line="276" w:lineRule="exact"/>
        <w:ind w:right="432"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(1) A person conducting a business or undertaking must ensure that relevant workers are provided with suitable and adequate information, training and instruction in relation to the following:</w:t>
      </w:r>
    </w:p>
    <w:p>
      <w:pPr>
        <w:numPr>
          <w:ilvl w:val="0"/>
          <w:numId w:val="193"/>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nature of all hazards relating to a confined space;</w:t>
      </w:r>
    </w:p>
    <w:p>
      <w:pPr>
        <w:numPr>
          <w:ilvl w:val="0"/>
          <w:numId w:val="193"/>
        </w:numPr>
        <w:tabs>
          <w:tab w:val="clear" w:pos="360"/>
          <w:tab w:val="left" w:pos="1872"/>
        </w:tabs>
        <w:spacing w:before="123" w:after="0" w:line="276"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need for, and the appropriate use of, control measures to control risks to health and safety associated with those hazards;</w:t>
      </w:r>
    </w:p>
    <w:p>
      <w:pPr>
        <w:numPr>
          <w:ilvl w:val="0"/>
          <w:numId w:val="193"/>
        </w:numPr>
        <w:tabs>
          <w:tab w:val="clear" w:pos="360"/>
          <w:tab w:val="left" w:pos="1872"/>
        </w:tabs>
        <w:spacing w:before="114" w:after="0" w:line="279" w:lineRule="exact"/>
        <w:ind w:right="1224" w:left="1872"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the selection, fit, use, wearing, testing, storage and maintenance of any personal protective equipment;</w:t>
      </w:r>
    </w:p>
    <w:p>
      <w:pPr>
        <w:numPr>
          <w:ilvl w:val="0"/>
          <w:numId w:val="193"/>
        </w:numPr>
        <w:tabs>
          <w:tab w:val="clear" w:pos="360"/>
          <w:tab w:val="left" w:pos="1872"/>
        </w:tabs>
        <w:spacing w:before="117" w:after="0" w:line="276"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contents of any confined space entry permit that may be issued in relation to work carried out by the worker in a confined space;</w:t>
      </w:r>
    </w:p>
    <w:p>
      <w:pPr>
        <w:numPr>
          <w:ilvl w:val="0"/>
          <w:numId w:val="193"/>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emergency procedures.</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6" w:after="787" w:line="273" w:lineRule="exact"/>
        <w:ind w:right="360" w:left="1368" w:hanging="36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(2) The person must ensure that a record of all training provided to a worker under this regulation is kept for 2 years.</w:t>
      </w:r>
    </w:p>
    <w:p>
      <w:pPr>
        <w:spacing w:before="126" w:after="787" w:line="273"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77</w:t>
      </w:r>
    </w:p>
    <w:p>
      <w:pPr>
        <w:sectPr>
          <w:type w:val="continuous"/>
          <w:pgSz w:w="11909" w:h="16838" w:orient="portrait"/>
          <w:pgMar w:bottom="1082" w:top="1140" w:right="5853" w:left="1976"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4.3	</w:t>
      </w:r>
      <w:r>
        <w:rPr>
          <w:rFonts w:ascii="Times New Roman" w:hAnsi="Times New Roman" w:eastAsia="Times New Roman"/>
          <w:color w:val="000000"/>
          <w:spacing w:val="0"/>
          <w:w w:val="100"/>
          <w:sz w:val="20"/>
          <w:vertAlign w:val="baseline"/>
          <w:lang w:val="en-US"/>
        </w:rPr>
        <w:t xml:space="preserve">Confined Spaces</w:t>
      </w:r>
    </w:p>
    <w:p>
      <w:pPr>
        <w:spacing w:before="25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26"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In subregulation (1), </w:t>
      </w:r>
      <w:r>
        <w:rPr>
          <w:rFonts w:ascii="Times New Roman" w:hAnsi="Times New Roman" w:eastAsia="Times New Roman"/>
          <w:b w:val="true"/>
          <w:i w:val="true"/>
          <w:color w:val="000000"/>
          <w:spacing w:val="0"/>
          <w:w w:val="100"/>
          <w:sz w:val="24"/>
          <w:vertAlign w:val="baseline"/>
          <w:lang w:val="en-US"/>
        </w:rPr>
        <w:t xml:space="preserve">relevant worker </w:t>
      </w:r>
      <w:r>
        <w:rPr>
          <w:rFonts w:ascii="Times New Roman" w:hAnsi="Times New Roman" w:eastAsia="Times New Roman"/>
          <w:color w:val="000000"/>
          <w:spacing w:val="0"/>
          <w:w w:val="100"/>
          <w:sz w:val="24"/>
          <w:vertAlign w:val="baseline"/>
          <w:lang w:val="en-US"/>
        </w:rPr>
        <w:t xml:space="preserve">means:</w:t>
      </w:r>
    </w:p>
    <w:p>
      <w:pPr>
        <w:spacing w:before="114" w:after="0" w:line="279" w:lineRule="exact"/>
        <w:ind w:right="86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a worker who, in carrying out work for the business or undertaking, could:</w:t>
      </w:r>
    </w:p>
    <w:p>
      <w:pPr>
        <w:numPr>
          <w:ilvl w:val="0"/>
          <w:numId w:val="194"/>
        </w:numPr>
        <w:tabs>
          <w:tab w:val="clear" w:pos="360"/>
          <w:tab w:val="left" w:pos="2376"/>
        </w:tabs>
        <w:spacing w:before="120" w:after="0" w:line="273"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enter or work in a confined space; or</w:t>
      </w:r>
    </w:p>
    <w:p>
      <w:pPr>
        <w:numPr>
          <w:ilvl w:val="0"/>
          <w:numId w:val="194"/>
        </w:numPr>
        <w:tabs>
          <w:tab w:val="clear" w:pos="360"/>
          <w:tab w:val="left" w:pos="2376"/>
        </w:tabs>
        <w:spacing w:before="124" w:after="0" w:line="275" w:lineRule="exact"/>
        <w:ind w:right="216"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carry out any function in relation to work in a confined space or the emergency procedures established under regulation 74, but who is not required to enter the space; or</w:t>
      </w:r>
    </w:p>
    <w:p>
      <w:pPr>
        <w:spacing w:before="7" w:after="0" w:line="393" w:lineRule="exact"/>
        <w:ind w:right="288" w:left="288" w:firstLine="122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any person supervising a worker referred to in paragraph (a). </w:t>
      </w:r>
      <w:r>
        <w:rPr>
          <w:rFonts w:ascii="Times New Roman" w:hAnsi="Times New Roman" w:eastAsia="Times New Roman"/>
          <w:b w:val="true"/>
          <w:color w:val="000000"/>
          <w:spacing w:val="0"/>
          <w:w w:val="100"/>
          <w:sz w:val="24"/>
          <w:vertAlign w:val="baseline"/>
          <w:lang w:val="en-US"/>
        </w:rPr>
        <w:t xml:space="preserve">77 Confined space entry permit and risk assessment must be kept</w:t>
      </w:r>
    </w:p>
    <w:p>
      <w:pPr>
        <w:spacing w:before="115" w:after="0" w:line="278" w:lineRule="exact"/>
        <w:ind w:right="93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regulation applies if a person conducting a business or undertaking:</w:t>
      </w:r>
    </w:p>
    <w:p>
      <w:pPr>
        <w:numPr>
          <w:ilvl w:val="0"/>
          <w:numId w:val="195"/>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prepares a risk assessment under regulation 66; or</w:t>
      </w:r>
    </w:p>
    <w:p>
      <w:pPr>
        <w:numPr>
          <w:ilvl w:val="0"/>
          <w:numId w:val="195"/>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issues a confined space entry permit under regulation 67.</w:t>
      </w:r>
    </w:p>
    <w:p>
      <w:pPr>
        <w:spacing w:before="121"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Subject to subregulation (3), the person must keep:</w:t>
      </w:r>
    </w:p>
    <w:p>
      <w:pPr>
        <w:numPr>
          <w:ilvl w:val="0"/>
          <w:numId w:val="196"/>
        </w:numPr>
        <w:tabs>
          <w:tab w:val="clear" w:pos="360"/>
          <w:tab w:val="left" w:pos="1872"/>
        </w:tabs>
        <w:spacing w:before="124" w:after="0" w:line="274"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copy of the risk assessment until at least 28 days after the work to which it relates is completed; and</w:t>
      </w:r>
    </w:p>
    <w:p>
      <w:pPr>
        <w:numPr>
          <w:ilvl w:val="0"/>
          <w:numId w:val="196"/>
        </w:numPr>
        <w:tabs>
          <w:tab w:val="clear" w:pos="360"/>
          <w:tab w:val="left" w:pos="1872"/>
        </w:tabs>
        <w:spacing w:before="124" w:after="0" w:line="274"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copy of the confined space entry permit at least until the work to which it relates is completed.</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20"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If a notifiable incident occurs in connection with the work to which the assessment or permit relates, the person must keep the copy of the assessment or permit (as applicable) for at least 2 years after the incident occurs.</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1" w:after="1478"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corporate—$6 000.</w:t>
      </w:r>
    </w:p>
    <w:p>
      <w:pPr>
        <w:spacing w:before="121" w:after="1478" w:line="273"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78</w:t>
      </w:r>
    </w:p>
    <w:p>
      <w:pPr>
        <w:sectPr>
          <w:type w:val="continuous"/>
          <w:pgSz w:w="11909" w:h="16838" w:orient="portrait"/>
          <w:pgMar w:bottom="1082" w:top="1140" w:right="5856" w:left="1973"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4.3	</w:t>
      </w:r>
      <w:r>
        <w:rPr>
          <w:rFonts w:ascii="Times New Roman" w:hAnsi="Times New Roman" w:eastAsia="Times New Roman"/>
          <w:color w:val="000000"/>
          <w:spacing w:val="0"/>
          <w:w w:val="100"/>
          <w:sz w:val="20"/>
          <w:vertAlign w:val="baseline"/>
          <w:lang w:val="en-US"/>
        </w:rPr>
        <w:t xml:space="preserve">Confined Spaces</w:t>
      </w:r>
    </w:p>
    <w:p>
      <w:pPr>
        <w:numPr>
          <w:ilvl w:val="0"/>
          <w:numId w:val="197"/>
        </w:numPr>
        <w:tabs>
          <w:tab w:val="clear" w:pos="360"/>
          <w:tab w:val="left" w:pos="1368"/>
        </w:tabs>
        <w:spacing w:before="248" w:after="0" w:line="276"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person must ensure that, for the period for which the assessment or permit must be kept under this regulation, a copy is available for inspection under the Act.</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6"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numPr>
          <w:ilvl w:val="0"/>
          <w:numId w:val="197"/>
        </w:numPr>
        <w:tabs>
          <w:tab w:val="clear" w:pos="360"/>
          <w:tab w:val="left" w:pos="1368"/>
        </w:tabs>
        <w:spacing w:before="117" w:after="0" w:line="276"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ensure that, for the period for which the assessment or permit must be kept under this regulation, a copy is available to any relevant worker on request.</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6" w:after="8069"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334"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1.05pt,0.3pt" style="position:absolute;mso-position-horizontal-relative:text;mso-position-vertical-relative:text;">
            <v:stroke dashstyle="solid"/>
          </v:line>
        </w:pict>
      </w:r>
    </w:p>
    <w:p>
      <w:pPr>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79</w:t>
      </w:r>
    </w:p>
    <w:p>
      <w:pPr>
        <w:sectPr>
          <w:type w:val="continuous"/>
          <w:pgSz w:w="11909" w:h="16838" w:orient="portrait"/>
          <w:pgMar w:bottom="1082" w:top="1140" w:right="5853" w:left="1976"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Part 4.4	</w:t>
      </w:r>
      <w:r>
        <w:rPr>
          <w:rFonts w:ascii="Times New Roman" w:hAnsi="Times New Roman" w:eastAsia="Times New Roman"/>
          <w:color w:val="000000"/>
          <w:spacing w:val="-1"/>
          <w:w w:val="100"/>
          <w:sz w:val="20"/>
          <w:vertAlign w:val="baseline"/>
          <w:lang w:val="en-US"/>
        </w:rPr>
        <w:t xml:space="preserve">Falls</w:t>
      </w:r>
    </w:p>
    <w:p>
      <w:pPr>
        <w:spacing w:before="258" w:after="0" w:line="316" w:lineRule="exact"/>
        <w:ind w:right="0" w:left="0" w:firstLine="0"/>
        <w:jc w:val="left"/>
        <w:textAlignment w:val="baseline"/>
        <w:rPr>
          <w:rFonts w:ascii="Times New Roman" w:hAnsi="Times New Roman" w:eastAsia="Times New Roman"/>
          <w:b w:val="true"/>
          <w:color w:val="000000"/>
          <w:spacing w:val="15"/>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15"/>
          <w:w w:val="100"/>
          <w:sz w:val="28"/>
          <w:vertAlign w:val="baseline"/>
          <w:lang w:val="en-US"/>
        </w:rPr>
        <w:t xml:space="preserve">Part 4.4 Falls</w:t>
      </w:r>
    </w:p>
    <w:p>
      <w:pPr>
        <w:spacing w:before="119"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78 Management of risk of fall</w:t>
      </w:r>
    </w:p>
    <w:p>
      <w:pPr>
        <w:spacing w:before="123" w:after="0" w:line="275" w:lineRule="exact"/>
        <w:ind w:right="144"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(1) 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spacing w:before="129"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0" w:after="0" w:line="228"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WHS Act—section 19 (see regulation 9).</w:t>
      </w:r>
    </w:p>
    <w:p>
      <w:pPr>
        <w:spacing w:before="119"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Subregulation (1) includes the risk of a fall:</w:t>
      </w:r>
    </w:p>
    <w:p>
      <w:pPr>
        <w:numPr>
          <w:ilvl w:val="0"/>
          <w:numId w:val="198"/>
        </w:numPr>
        <w:tabs>
          <w:tab w:val="clear" w:pos="360"/>
          <w:tab w:val="left" w:pos="1872"/>
        </w:tabs>
        <w:spacing w:before="126" w:after="0" w:line="273" w:lineRule="exact"/>
        <w:ind w:right="7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or on an elevated workplace from which a person could fall; or</w:t>
      </w:r>
    </w:p>
    <w:p>
      <w:pPr>
        <w:numPr>
          <w:ilvl w:val="0"/>
          <w:numId w:val="198"/>
        </w:numPr>
        <w:tabs>
          <w:tab w:val="clear" w:pos="360"/>
          <w:tab w:val="left" w:pos="1872"/>
        </w:tabs>
        <w:spacing w:before="126" w:after="0" w:line="273"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vicinity of an opening through which a person could fall; or</w:t>
      </w:r>
    </w:p>
    <w:p>
      <w:pPr>
        <w:numPr>
          <w:ilvl w:val="0"/>
          <w:numId w:val="198"/>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vicinity of an edge over which a person could fall; or</w:t>
      </w:r>
    </w:p>
    <w:p>
      <w:pPr>
        <w:numPr>
          <w:ilvl w:val="0"/>
          <w:numId w:val="198"/>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on a surface through which a person could fall; or</w:t>
      </w:r>
    </w:p>
    <w:p>
      <w:pPr>
        <w:numPr>
          <w:ilvl w:val="0"/>
          <w:numId w:val="198"/>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any other place from which a person could fall.</w:t>
      </w:r>
    </w:p>
    <w:p>
      <w:pPr>
        <w:spacing w:before="116" w:after="0" w:line="277"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A person conducting a business or undertaking must ensure, so far as is reasonably practicable, that any work that involves the risk of a fall to which subregulation (1) applies is carried out on the ground or on a solid construction.</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6" w:after="0" w:line="273"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A person conducting a business or undertaking must provide safe means of access to and exit from:</w:t>
      </w:r>
    </w:p>
    <w:p>
      <w:pPr>
        <w:numPr>
          <w:ilvl w:val="0"/>
          <w:numId w:val="199"/>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workplace; and</w:t>
      </w:r>
    </w:p>
    <w:p>
      <w:pPr>
        <w:numPr>
          <w:ilvl w:val="0"/>
          <w:numId w:val="199"/>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area within the workplace referred to in subregulation (2).</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6"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0"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In this regulation, </w:t>
      </w:r>
      <w:r>
        <w:rPr>
          <w:rFonts w:ascii="Times New Roman" w:hAnsi="Times New Roman" w:eastAsia="Times New Roman"/>
          <w:b w:val="true"/>
          <w:i w:val="true"/>
          <w:color w:val="000000"/>
          <w:spacing w:val="0"/>
          <w:w w:val="100"/>
          <w:sz w:val="24"/>
          <w:vertAlign w:val="baseline"/>
          <w:lang w:val="en-US"/>
        </w:rPr>
        <w:t xml:space="preserve">solid construction </w:t>
      </w:r>
      <w:r>
        <w:rPr>
          <w:rFonts w:ascii="Times New Roman" w:hAnsi="Times New Roman" w:eastAsia="Times New Roman"/>
          <w:color w:val="000000"/>
          <w:spacing w:val="0"/>
          <w:w w:val="100"/>
          <w:sz w:val="24"/>
          <w:vertAlign w:val="baseline"/>
          <w:lang w:val="en-US"/>
        </w:rPr>
        <w:t xml:space="preserve">means an area that has:</w:t>
      </w:r>
    </w:p>
    <w:p>
      <w:pPr>
        <w:spacing w:before="126" w:after="1128" w:line="273"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a surface that is structurally capable of supporting all persons and things that may be located or placed on it; and</w:t>
      </w:r>
    </w:p>
    <w:p>
      <w:pPr>
        <w:spacing w:before="126" w:after="1128" w:line="273"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80</w:t>
      </w:r>
    </w:p>
    <w:p>
      <w:pPr>
        <w:sectPr>
          <w:type w:val="continuous"/>
          <w:pgSz w:w="11909" w:h="16838" w:orient="portrait"/>
          <w:pgMar w:bottom="1082" w:top="1140" w:right="5853" w:left="1976" w:header="720" w:footer="720"/>
          <w:titlePg w:val="false"/>
          <w:textDirection w:val="lrTb"/>
        </w:sectPr>
      </w:pPr>
    </w:p>
    <w:p>
      <w:pPr>
        <w:spacing w:before="2"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6" w:line="230" w:lineRule="exact"/>
        <w:ind w:right="0" w:left="0"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Part 4.4	</w:t>
      </w:r>
      <w:r>
        <w:rPr>
          <w:rFonts w:ascii="Times New Roman" w:hAnsi="Times New Roman" w:eastAsia="Times New Roman"/>
          <w:color w:val="000000"/>
          <w:spacing w:val="-1"/>
          <w:w w:val="100"/>
          <w:sz w:val="20"/>
          <w:vertAlign w:val="baseline"/>
          <w:lang w:val="en-US"/>
        </w:rPr>
        <w:t xml:space="preserve">Falls</w:t>
      </w:r>
    </w:p>
    <w:p>
      <w:pPr>
        <w:numPr>
          <w:ilvl w:val="0"/>
          <w:numId w:val="200"/>
        </w:numPr>
        <w:tabs>
          <w:tab w:val="clear" w:pos="360"/>
          <w:tab w:val="left" w:pos="1872"/>
        </w:tabs>
        <w:spacing w:before="245" w:after="0" w:line="279"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barriers around its perimeter and any openings to prevent a fall; and</w:t>
      </w:r>
    </w:p>
    <w:p>
      <w:pPr>
        <w:numPr>
          <w:ilvl w:val="0"/>
          <w:numId w:val="200"/>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even and readily negotiable surface and gradient; and</w:t>
      </w:r>
    </w:p>
    <w:p>
      <w:pPr>
        <w:numPr>
          <w:ilvl w:val="0"/>
          <w:numId w:val="200"/>
        </w:numPr>
        <w:tabs>
          <w:tab w:val="clear" w:pos="360"/>
          <w:tab w:val="left" w:pos="1872"/>
        </w:tabs>
        <w:spacing w:before="7" w:after="0" w:line="393" w:lineRule="exact"/>
        <w:ind w:right="0" w:left="360" w:firstLine="115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safe means of entry and exit.</w:t>
        <w:br/>
      </w:r>
      <w:r>
        <w:rPr>
          <w:rFonts w:ascii="Times New Roman" w:hAnsi="Times New Roman" w:eastAsia="Times New Roman"/>
          <w:b w:val="true"/>
          <w:color w:val="000000"/>
          <w:spacing w:val="0"/>
          <w:w w:val="100"/>
          <w:sz w:val="24"/>
          <w:vertAlign w:val="baseline"/>
          <w:lang w:val="en-US"/>
        </w:rPr>
        <w:t xml:space="preserve">79 Specific requirements to minimise risk of fall</w:t>
      </w:r>
    </w:p>
    <w:p>
      <w:pPr>
        <w:spacing w:before="122" w:after="0" w:line="276" w:lineRule="exact"/>
        <w:ind w:right="50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regulation applies if it is not reasonably practicable for the person conducting a business or undertaking at a workplace to eliminate the risk of a fall to which regulation 78 applies.</w:t>
      </w:r>
    </w:p>
    <w:p>
      <w:pPr>
        <w:spacing w:before="114" w:after="0" w:line="279" w:lineRule="exact"/>
        <w:ind w:right="288"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(2) The person must minimise the risk of a fall by providing adequate protection against the risk in accordance with this regulation.</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6" w:after="0" w:line="278" w:lineRule="exact"/>
        <w:ind w:right="144" w:left="1368" w:hanging="360"/>
        <w:jc w:val="both"/>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(3) The person provides adequate protection against the risk if the person provides and maintains a safe system of work, including by:</w:t>
      </w:r>
    </w:p>
    <w:p>
      <w:pPr>
        <w:numPr>
          <w:ilvl w:val="0"/>
          <w:numId w:val="201"/>
        </w:numPr>
        <w:tabs>
          <w:tab w:val="clear" w:pos="360"/>
          <w:tab w:val="left" w:pos="1872"/>
        </w:tabs>
        <w:spacing w:before="116" w:after="0" w:line="278" w:lineRule="exact"/>
        <w:ind w:right="115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providing a fall prevention device if it is reasonably practicable to do so; or</w:t>
      </w:r>
    </w:p>
    <w:p>
      <w:pPr>
        <w:numPr>
          <w:ilvl w:val="0"/>
          <w:numId w:val="201"/>
        </w:numPr>
        <w:tabs>
          <w:tab w:val="clear" w:pos="360"/>
          <w:tab w:val="left" w:pos="1872"/>
        </w:tabs>
        <w:spacing w:before="116" w:after="0" w:line="278"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it is not reasonably practicable to provide a fall prevention device, providing a work positioning system; or</w:t>
      </w:r>
    </w:p>
    <w:p>
      <w:pPr>
        <w:numPr>
          <w:ilvl w:val="0"/>
          <w:numId w:val="201"/>
        </w:numPr>
        <w:tabs>
          <w:tab w:val="clear" w:pos="360"/>
          <w:tab w:val="left" w:pos="1872"/>
        </w:tabs>
        <w:spacing w:before="118"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it is not reasonably practicable to comply with either paragraph (a) or (b), providing a fall arrest system, so far as is reasonably practicable.</w:t>
      </w:r>
    </w:p>
    <w:p>
      <w:pPr>
        <w:spacing w:before="129"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Examples</w:t>
      </w:r>
    </w:p>
    <w:p>
      <w:pPr>
        <w:tabs>
          <w:tab w:val="left" w:leader="none" w:pos="1800"/>
        </w:tabs>
        <w:spacing w:before="136" w:after="0" w:line="230" w:lineRule="exact"/>
        <w:ind w:right="0" w:left="1368" w:firstLine="0"/>
        <w:jc w:val="left"/>
        <w:textAlignment w:val="baseline"/>
        <w:rPr>
          <w:rFonts w:ascii="Symbol" w:hAnsi="Symbol" w:eastAsia="Symbol"/>
          <w:color w:val="000000"/>
          <w:spacing w:val="0"/>
          <w:w w:val="100"/>
          <w:sz w:val="20"/>
          <w:vertAlign w:val="baseline"/>
          <w:lang w:val="en-US"/>
        </w:rPr>
      </w:pPr>
      <w:r>
        <w:rPr>
          <w:rFonts w:ascii="Symbol" w:hAnsi="Symbol" w:eastAsia="Symbol"/>
          <w:color w:val="000000"/>
          <w:spacing w:val="0"/>
          <w:w w:val="100"/>
          <w:sz w:val="20"/>
          <w:vertAlign w:val="baseline"/>
          <w:lang w:val="en-US"/>
        </w:rPr>
        <w:t xml:space="preserve">1</w:t>
      </w:r>
      <w:r>
        <w:rPr>
          <w:rFonts w:ascii="Times New Roman" w:hAnsi="Times New Roman" w:eastAsia="Times New Roman"/>
          <w:color w:val="000000"/>
          <w:spacing w:val="0"/>
          <w:w w:val="100"/>
          <w:sz w:val="20"/>
          <w:vertAlign w:val="baseline"/>
          <w:lang w:val="en-US"/>
        </w:rPr>
        <w:tab/>
      </w:r>
      <w:r>
        <w:rPr>
          <w:rFonts w:ascii="Times New Roman" w:hAnsi="Times New Roman" w:eastAsia="Times New Roman"/>
          <w:color w:val="000000"/>
          <w:spacing w:val="0"/>
          <w:w w:val="100"/>
          <w:sz w:val="20"/>
          <w:vertAlign w:val="baseline"/>
          <w:lang w:val="en-US"/>
        </w:rPr>
        <w:t xml:space="preserve">Providing temporary work platforms.</w:t>
      </w:r>
    </w:p>
    <w:p>
      <w:pPr>
        <w:tabs>
          <w:tab w:val="left" w:leader="none" w:pos="1800"/>
        </w:tabs>
        <w:spacing w:before="135" w:after="0" w:line="230" w:lineRule="exact"/>
        <w:ind w:right="792" w:left="1872" w:hanging="504"/>
        <w:jc w:val="left"/>
        <w:textAlignment w:val="baseline"/>
        <w:rPr>
          <w:rFonts w:ascii="Symbol" w:hAnsi="Symbol" w:eastAsia="Symbol"/>
          <w:color w:val="000000"/>
          <w:spacing w:val="0"/>
          <w:w w:val="100"/>
          <w:sz w:val="20"/>
          <w:vertAlign w:val="baseline"/>
          <w:lang w:val="en-US"/>
        </w:rPr>
      </w:pPr>
      <w:r>
        <w:rPr>
          <w:rFonts w:ascii="Symbol" w:hAnsi="Symbol" w:eastAsia="Symbol"/>
          <w:color w:val="000000"/>
          <w:spacing w:val="0"/>
          <w:w w:val="100"/>
          <w:sz w:val="20"/>
          <w:vertAlign w:val="baseline"/>
          <w:lang w:val="en-US"/>
        </w:rPr>
        <w:t xml:space="preserve">2</w:t>
      </w:r>
      <w:r>
        <w:rPr>
          <w:rFonts w:ascii="Times New Roman" w:hAnsi="Times New Roman" w:eastAsia="Times New Roman"/>
          <w:color w:val="000000"/>
          <w:spacing w:val="0"/>
          <w:w w:val="100"/>
          <w:sz w:val="20"/>
          <w:vertAlign w:val="baseline"/>
          <w:lang w:val="en-US"/>
        </w:rPr>
        <w:tab/>
      </w:r>
      <w:r>
        <w:rPr>
          <w:rFonts w:ascii="Times New Roman" w:hAnsi="Times New Roman" w:eastAsia="Times New Roman"/>
          <w:color w:val="000000"/>
          <w:spacing w:val="0"/>
          <w:w w:val="100"/>
          <w:sz w:val="20"/>
          <w:vertAlign w:val="baseline"/>
          <w:lang w:val="en-US"/>
        </w:rPr>
        <w:t xml:space="preserve">Providing training in relation to the risks involved in working at the workplace.</w:t>
      </w:r>
    </w:p>
    <w:p>
      <w:pPr>
        <w:tabs>
          <w:tab w:val="left" w:leader="none" w:pos="1800"/>
        </w:tabs>
        <w:spacing w:before="135" w:after="0" w:line="230" w:lineRule="exact"/>
        <w:ind w:right="576" w:left="1872" w:hanging="504"/>
        <w:jc w:val="both"/>
        <w:textAlignment w:val="baseline"/>
        <w:rPr>
          <w:rFonts w:ascii="Symbol" w:hAnsi="Symbol" w:eastAsia="Symbol"/>
          <w:color w:val="000000"/>
          <w:spacing w:val="0"/>
          <w:w w:val="100"/>
          <w:sz w:val="20"/>
          <w:vertAlign w:val="baseline"/>
          <w:lang w:val="en-US"/>
        </w:rPr>
      </w:pPr>
      <w:r>
        <w:rPr>
          <w:rFonts w:ascii="Symbol" w:hAnsi="Symbol" w:eastAsia="Symbol"/>
          <w:color w:val="000000"/>
          <w:spacing w:val="0"/>
          <w:w w:val="100"/>
          <w:sz w:val="20"/>
          <w:vertAlign w:val="baseline"/>
          <w:lang w:val="en-US"/>
        </w:rPr>
        <w:t xml:space="preserve">3</w:t>
      </w:r>
      <w:r>
        <w:rPr>
          <w:rFonts w:ascii="Times New Roman" w:hAnsi="Times New Roman" w:eastAsia="Times New Roman"/>
          <w:color w:val="000000"/>
          <w:spacing w:val="0"/>
          <w:w w:val="100"/>
          <w:sz w:val="20"/>
          <w:vertAlign w:val="baseline"/>
          <w:lang w:val="en-US"/>
        </w:rPr>
        <w:tab/>
      </w:r>
      <w:r>
        <w:rPr>
          <w:rFonts w:ascii="Times New Roman" w:hAnsi="Times New Roman" w:eastAsia="Times New Roman"/>
          <w:color w:val="000000"/>
          <w:spacing w:val="0"/>
          <w:w w:val="100"/>
          <w:sz w:val="20"/>
          <w:vertAlign w:val="baseline"/>
          <w:lang w:val="en-US"/>
        </w:rPr>
        <w:t xml:space="preserve">Providing safe work procedures, safe sequencing of work, safe use of ladders, permit systems and appropriate signs.</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18" w:after="0" w:line="230" w:lineRule="exact"/>
        <w:ind w:right="144"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combination of the controls set out in this subregulation may be used to minimise risks, so far as is practicable, if a single control is not sufficient for the purpose.</w:t>
      </w:r>
    </w:p>
    <w:p>
      <w:pPr>
        <w:spacing w:before="121"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This regulation does not apply in relation to the following work:</w:t>
      </w:r>
    </w:p>
    <w:p>
      <w:pPr>
        <w:numPr>
          <w:ilvl w:val="0"/>
          <w:numId w:val="202"/>
        </w:numPr>
        <w:tabs>
          <w:tab w:val="clear" w:pos="360"/>
          <w:tab w:val="left" w:pos="1872"/>
        </w:tabs>
        <w:spacing w:before="125"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performance of stunt work;</w:t>
      </w:r>
    </w:p>
    <w:p>
      <w:pPr>
        <w:numPr>
          <w:ilvl w:val="0"/>
          <w:numId w:val="202"/>
        </w:numPr>
        <w:tabs>
          <w:tab w:val="clear" w:pos="360"/>
          <w:tab w:val="left" w:pos="1872"/>
        </w:tabs>
        <w:spacing w:before="121" w:after="1065"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performance of acrobatics;</w:t>
      </w:r>
    </w:p>
    <w:p>
      <w:pPr>
        <w:spacing w:before="121" w:after="1065" w:line="273"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81</w:t>
      </w:r>
    </w:p>
    <w:p>
      <w:pPr>
        <w:sectPr>
          <w:type w:val="continuous"/>
          <w:pgSz w:w="11909" w:h="16838" w:orient="portrait"/>
          <w:pgMar w:bottom="1082" w:top="1140" w:right="5861" w:left="1968"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Part 4.4	</w:t>
      </w:r>
      <w:r>
        <w:rPr>
          <w:rFonts w:ascii="Times New Roman" w:hAnsi="Times New Roman" w:eastAsia="Times New Roman"/>
          <w:color w:val="000000"/>
          <w:spacing w:val="-1"/>
          <w:w w:val="100"/>
          <w:sz w:val="20"/>
          <w:vertAlign w:val="baseline"/>
          <w:lang w:val="en-US"/>
        </w:rPr>
        <w:t xml:space="preserve">Falls</w:t>
      </w:r>
    </w:p>
    <w:p>
      <w:pPr>
        <w:numPr>
          <w:ilvl w:val="0"/>
          <w:numId w:val="202"/>
        </w:numPr>
        <w:tabs>
          <w:tab w:val="clear" w:pos="360"/>
          <w:tab w:val="left" w:pos="1872"/>
        </w:tabs>
        <w:spacing w:before="251" w:after="0" w:line="273" w:lineRule="exact"/>
        <w:ind w:right="0" w:left="1368" w:firstLine="144"/>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theatrical performance;</w:t>
      </w:r>
    </w:p>
    <w:p>
      <w:pPr>
        <w:numPr>
          <w:ilvl w:val="0"/>
          <w:numId w:val="202"/>
        </w:numPr>
        <w:tabs>
          <w:tab w:val="clear" w:pos="360"/>
          <w:tab w:val="left" w:pos="1872"/>
        </w:tabs>
        <w:spacing w:before="126" w:after="0" w:line="273" w:lineRule="exact"/>
        <w:ind w:right="0" w:left="1368" w:firstLine="14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sporting or athletic activity;</w:t>
      </w:r>
    </w:p>
    <w:p>
      <w:pPr>
        <w:numPr>
          <w:ilvl w:val="0"/>
          <w:numId w:val="202"/>
        </w:numPr>
        <w:tabs>
          <w:tab w:val="clear" w:pos="360"/>
          <w:tab w:val="left" w:pos="1872"/>
        </w:tabs>
        <w:spacing w:before="120" w:after="0" w:line="273" w:lineRule="exact"/>
        <w:ind w:right="0" w:left="1368" w:firstLine="14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horse riding.</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7"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Regulation 36 applies to the management of risk in relation to this work.</w:t>
      </w:r>
    </w:p>
    <w:p>
      <w:pPr>
        <w:numPr>
          <w:ilvl w:val="0"/>
          <w:numId w:val="203"/>
        </w:numPr>
        <w:tabs>
          <w:tab w:val="clear" w:pos="360"/>
          <w:tab w:val="left" w:pos="1368"/>
        </w:tabs>
        <w:spacing w:before="120" w:after="0" w:line="274"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this regulation, </w:t>
      </w:r>
      <w:r>
        <w:rPr>
          <w:rFonts w:ascii="Times New Roman" w:hAnsi="Times New Roman" w:eastAsia="Times New Roman"/>
          <w:b w:val="true"/>
          <w:i w:val="true"/>
          <w:color w:val="000000"/>
          <w:spacing w:val="0"/>
          <w:w w:val="100"/>
          <w:sz w:val="24"/>
          <w:vertAlign w:val="baseline"/>
          <w:lang w:val="en-US"/>
        </w:rPr>
        <w:t xml:space="preserve">fall prevention device </w:t>
      </w:r>
      <w:r>
        <w:rPr>
          <w:rFonts w:ascii="Times New Roman" w:hAnsi="Times New Roman" w:eastAsia="Times New Roman"/>
          <w:color w:val="000000"/>
          <w:spacing w:val="0"/>
          <w:w w:val="100"/>
          <w:sz w:val="24"/>
          <w:vertAlign w:val="baseline"/>
          <w:lang w:val="en-US"/>
        </w:rPr>
        <w:t xml:space="preserve">includes:</w:t>
      </w:r>
    </w:p>
    <w:p>
      <w:pPr>
        <w:numPr>
          <w:ilvl w:val="0"/>
          <w:numId w:val="204"/>
        </w:numPr>
        <w:tabs>
          <w:tab w:val="clear" w:pos="360"/>
          <w:tab w:val="left" w:pos="1872"/>
        </w:tabs>
        <w:spacing w:before="124" w:after="0" w:line="273" w:lineRule="exact"/>
        <w:ind w:right="0" w:left="1368" w:firstLine="14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secure fence; and</w:t>
      </w:r>
    </w:p>
    <w:p>
      <w:pPr>
        <w:numPr>
          <w:ilvl w:val="0"/>
          <w:numId w:val="204"/>
        </w:numPr>
        <w:tabs>
          <w:tab w:val="clear" w:pos="360"/>
          <w:tab w:val="left" w:pos="1872"/>
        </w:tabs>
        <w:spacing w:before="121" w:after="0" w:line="273" w:lineRule="exact"/>
        <w:ind w:right="0" w:left="1368" w:firstLine="14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edge protection; and</w:t>
      </w:r>
    </w:p>
    <w:p>
      <w:pPr>
        <w:numPr>
          <w:ilvl w:val="0"/>
          <w:numId w:val="204"/>
        </w:numPr>
        <w:tabs>
          <w:tab w:val="clear" w:pos="360"/>
          <w:tab w:val="left" w:pos="1872"/>
        </w:tabs>
        <w:spacing w:before="125" w:after="0" w:line="273" w:lineRule="exact"/>
        <w:ind w:right="0" w:left="1368" w:firstLine="14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working platforms; and</w:t>
      </w:r>
    </w:p>
    <w:p>
      <w:pPr>
        <w:numPr>
          <w:ilvl w:val="0"/>
          <w:numId w:val="204"/>
        </w:numPr>
        <w:tabs>
          <w:tab w:val="clear" w:pos="360"/>
          <w:tab w:val="left" w:pos="1872"/>
        </w:tabs>
        <w:spacing w:before="18" w:after="0" w:line="365" w:lineRule="exact"/>
        <w:ind w:right="0" w:left="1368" w:firstLine="14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covers.</w:t>
        <w:br/>
      </w:r>
      <w:r>
        <w:rPr>
          <w:rFonts w:ascii="Times New Roman" w:hAnsi="Times New Roman" w:eastAsia="Times New Roman"/>
          <w:b w:val="true"/>
          <w:color w:val="000000"/>
          <w:spacing w:val="0"/>
          <w:w w:val="100"/>
          <w:sz w:val="20"/>
          <w:vertAlign w:val="baseline"/>
          <w:lang w:val="en-US"/>
        </w:rPr>
        <w:t xml:space="preserve">Note</w:t>
      </w:r>
    </w:p>
    <w:p>
      <w:pPr>
        <w:spacing w:before="125" w:after="0" w:line="230" w:lineRule="exact"/>
        <w:ind w:right="432"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regulation 5(1) for definitions of </w:t>
      </w:r>
      <w:r>
        <w:rPr>
          <w:rFonts w:ascii="Times New Roman" w:hAnsi="Times New Roman" w:eastAsia="Times New Roman"/>
          <w:b w:val="true"/>
          <w:i w:val="true"/>
          <w:color w:val="000000"/>
          <w:spacing w:val="0"/>
          <w:w w:val="100"/>
          <w:sz w:val="21"/>
          <w:vertAlign w:val="baseline"/>
          <w:lang w:val="en-US"/>
        </w:rPr>
        <w:t xml:space="preserve">fall arrest system </w:t>
      </w:r>
      <w:r>
        <w:rPr>
          <w:rFonts w:ascii="Times New Roman" w:hAnsi="Times New Roman" w:eastAsia="Times New Roman"/>
          <w:color w:val="000000"/>
          <w:spacing w:val="0"/>
          <w:w w:val="100"/>
          <w:sz w:val="20"/>
          <w:vertAlign w:val="baseline"/>
          <w:lang w:val="en-US"/>
        </w:rPr>
        <w:t xml:space="preserve">and </w:t>
      </w:r>
      <w:r>
        <w:rPr>
          <w:rFonts w:ascii="Times New Roman" w:hAnsi="Times New Roman" w:eastAsia="Times New Roman"/>
          <w:b w:val="true"/>
          <w:i w:val="true"/>
          <w:color w:val="000000"/>
          <w:spacing w:val="0"/>
          <w:w w:val="100"/>
          <w:sz w:val="21"/>
          <w:vertAlign w:val="baseline"/>
          <w:lang w:val="en-US"/>
        </w:rPr>
        <w:t xml:space="preserve">work positioning system</w:t>
      </w:r>
      <w:r>
        <w:rPr>
          <w:rFonts w:ascii="Times New Roman" w:hAnsi="Times New Roman" w:eastAsia="Times New Roman"/>
          <w:color w:val="000000"/>
          <w:spacing w:val="0"/>
          <w:w w:val="100"/>
          <w:sz w:val="20"/>
          <w:vertAlign w:val="baseline"/>
          <w:lang w:val="en-US"/>
        </w:rPr>
        <w:t xml:space="preserve">.</w:t>
      </w:r>
    </w:p>
    <w:p>
      <w:pPr>
        <w:spacing w:before="117"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80 Emergency and rescue procedures</w:t>
      </w:r>
    </w:p>
    <w:p>
      <w:pPr>
        <w:numPr>
          <w:ilvl w:val="0"/>
          <w:numId w:val="205"/>
        </w:numPr>
        <w:tabs>
          <w:tab w:val="clear" w:pos="360"/>
          <w:tab w:val="left" w:pos="1368"/>
        </w:tabs>
        <w:spacing w:before="115" w:after="0" w:line="278" w:lineRule="exact"/>
        <w:ind w:right="648"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This regulation applies if a person conducting a business or undertaking provides a fall arrest system as a control measure.</w:t>
      </w:r>
    </w:p>
    <w:p>
      <w:pPr>
        <w:numPr>
          <w:ilvl w:val="0"/>
          <w:numId w:val="205"/>
        </w:numPr>
        <w:tabs>
          <w:tab w:val="clear" w:pos="360"/>
          <w:tab w:val="left" w:pos="1368"/>
        </w:tabs>
        <w:spacing w:before="118" w:after="0" w:line="276"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Without limiting regulation 79, the person must establish emergency procedures, including rescue procedures, in relation to the use of the fall arrest system.</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205"/>
        </w:numPr>
        <w:tabs>
          <w:tab w:val="clear" w:pos="360"/>
          <w:tab w:val="left" w:pos="1368"/>
        </w:tabs>
        <w:spacing w:before="116" w:after="0" w:line="278"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ensure that the emergency procedures are tested so that they are effective.</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205"/>
        </w:numPr>
        <w:tabs>
          <w:tab w:val="clear" w:pos="360"/>
          <w:tab w:val="left" w:pos="1368"/>
        </w:tabs>
        <w:spacing w:before="122" w:after="0" w:line="276" w:lineRule="exact"/>
        <w:ind w:right="57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provide relevant workers with suitable and adequate information, training and instruction in relation to the emergency procedures.</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95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corporate—$30 000.</w:t>
      </w:r>
    </w:p>
    <w:p>
      <w:pPr>
        <w:spacing w:before="125" w:after="950" w:line="273"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82</w:t>
      </w:r>
    </w:p>
    <w:p>
      <w:pPr>
        <w:sectPr>
          <w:type w:val="continuous"/>
          <w:pgSz w:w="11909" w:h="16838" w:orient="portrait"/>
          <w:pgMar w:bottom="1082" w:top="1140" w:right="5853" w:left="1976"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Part 4.4	</w:t>
      </w:r>
      <w:r>
        <w:rPr>
          <w:rFonts w:ascii="Times New Roman" w:hAnsi="Times New Roman" w:eastAsia="Times New Roman"/>
          <w:color w:val="000000"/>
          <w:spacing w:val="-1"/>
          <w:w w:val="100"/>
          <w:sz w:val="20"/>
          <w:vertAlign w:val="baseline"/>
          <w:lang w:val="en-US"/>
        </w:rPr>
        <w:t xml:space="preserve">Falls</w:t>
      </w:r>
    </w:p>
    <w:p>
      <w:pPr>
        <w:spacing w:before="251"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(5) In this regulation, </w:t>
      </w:r>
      <w:r>
        <w:rPr>
          <w:rFonts w:ascii="Times New Roman" w:hAnsi="Times New Roman" w:eastAsia="Times New Roman"/>
          <w:b w:val="true"/>
          <w:i w:val="true"/>
          <w:color w:val="000000"/>
          <w:spacing w:val="0"/>
          <w:w w:val="100"/>
          <w:sz w:val="24"/>
          <w:vertAlign w:val="baseline"/>
          <w:lang w:val="en-US"/>
        </w:rPr>
        <w:t xml:space="preserve">relevant worker </w:t>
      </w:r>
      <w:r>
        <w:rPr>
          <w:rFonts w:ascii="Times New Roman" w:hAnsi="Times New Roman" w:eastAsia="Times New Roman"/>
          <w:color w:val="000000"/>
          <w:spacing w:val="0"/>
          <w:w w:val="100"/>
          <w:sz w:val="24"/>
          <w:vertAlign w:val="baseline"/>
          <w:lang w:val="en-US"/>
        </w:rPr>
        <w:t xml:space="preserve">means:</w:t>
      </w:r>
    </w:p>
    <w:p>
      <w:pPr>
        <w:numPr>
          <w:ilvl w:val="0"/>
          <w:numId w:val="206"/>
        </w:numPr>
        <w:tabs>
          <w:tab w:val="clear" w:pos="360"/>
          <w:tab w:val="left" w:pos="1872"/>
        </w:tabs>
        <w:spacing w:before="125" w:after="0" w:line="273" w:lineRule="exact"/>
        <w:ind w:right="93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worker who, in carrying out work in the business or undertaking, uses or is to use a fall arrest system; and</w:t>
      </w:r>
    </w:p>
    <w:p>
      <w:pPr>
        <w:numPr>
          <w:ilvl w:val="0"/>
          <w:numId w:val="206"/>
        </w:numPr>
        <w:tabs>
          <w:tab w:val="clear" w:pos="360"/>
          <w:tab w:val="left" w:pos="1872"/>
        </w:tabs>
        <w:spacing w:before="126" w:after="10605" w:line="273"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worker who may be involved in initiating or implementing the emergency procedures.</w:t>
      </w:r>
    </w:p>
    <w:p>
      <w:pPr>
        <w:spacing w:before="334"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1.05pt,0.3pt" style="position:absolute;mso-position-horizontal-relative:text;mso-position-vertical-relative:text;">
            <v:stroke dashstyle="solid"/>
          </v:line>
        </w:pict>
      </w:r>
    </w:p>
    <w:p>
      <w:pPr>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83</w:t>
      </w:r>
    </w:p>
    <w:p>
      <w:pPr>
        <w:sectPr>
          <w:type w:val="continuous"/>
          <w:pgSz w:w="11909" w:h="16838" w:orient="portrait"/>
          <w:pgMar w:bottom="1082" w:top="1140" w:right="5858" w:left="1971"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4.5	</w:t>
      </w:r>
      <w:r>
        <w:rPr>
          <w:rFonts w:ascii="Times New Roman" w:hAnsi="Times New Roman" w:eastAsia="Times New Roman"/>
          <w:color w:val="000000"/>
          <w:spacing w:val="0"/>
          <w:w w:val="100"/>
          <w:sz w:val="20"/>
          <w:vertAlign w:val="baseline"/>
          <w:lang w:val="en-US"/>
        </w:rPr>
        <w:t xml:space="preserve">High Risk Work</w:t>
      </w:r>
    </w:p>
    <w:p>
      <w:pPr>
        <w:spacing w:before="258" w:after="0" w:line="317" w:lineRule="exact"/>
        <w:ind w:right="0" w:left="0" w:firstLine="0"/>
        <w:jc w:val="left"/>
        <w:textAlignment w:val="baseline"/>
        <w:rPr>
          <w:rFonts w:ascii="Times New Roman" w:hAnsi="Times New Roman" w:eastAsia="Times New Roman"/>
          <w:b w:val="true"/>
          <w:color w:val="000000"/>
          <w:spacing w:val="10"/>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10"/>
          <w:w w:val="100"/>
          <w:sz w:val="28"/>
          <w:vertAlign w:val="baseline"/>
          <w:lang w:val="en-US"/>
        </w:rPr>
        <w:t xml:space="preserve">Part 4.5 High Risk Work</w:t>
      </w:r>
    </w:p>
    <w:p>
      <w:pPr>
        <w:spacing w:before="121"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8"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tabs>
          <w:tab w:val="left" w:leader="none" w:pos="1584"/>
        </w:tabs>
        <w:spacing w:before="244" w:after="0" w:line="273"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1	</w:t>
      </w:r>
      <w:r>
        <w:rPr>
          <w:rFonts w:ascii="Times New Roman" w:hAnsi="Times New Roman" w:eastAsia="Times New Roman"/>
          <w:b w:val="true"/>
          <w:color w:val="000000"/>
          <w:spacing w:val="0"/>
          <w:w w:val="100"/>
          <w:sz w:val="24"/>
          <w:vertAlign w:val="baseline"/>
          <w:lang w:val="en-US"/>
        </w:rPr>
        <w:t xml:space="preserve">Licensing of high risk work</w:t>
      </w:r>
    </w:p>
    <w:p>
      <w:pPr>
        <w:spacing w:before="240" w:after="0" w:line="273"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Subdivision 1 Requirement to be licensed</w:t>
      </w:r>
    </w:p>
    <w:p>
      <w:pPr>
        <w:spacing w:before="121" w:after="0" w:line="273"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81 Licence required to carry out high risk work</w:t>
      </w:r>
    </w:p>
    <w:p>
      <w:pPr>
        <w:spacing w:before="117" w:after="0" w:line="276" w:lineRule="exact"/>
        <w:ind w:right="504"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must not carry out a class of high risk work unless the person holds a high risk work licence for that class of high risk work, except as provided in regulation 82.</w:t>
      </w:r>
    </w:p>
    <w:p>
      <w:pPr>
        <w:spacing w:before="129"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Notes</w:t>
      </w:r>
    </w:p>
    <w:p>
      <w:pPr>
        <w:tabs>
          <w:tab w:val="left" w:leader="none" w:pos="1296"/>
        </w:tabs>
        <w:spacing w:before="126" w:after="0" w:line="228" w:lineRule="exact"/>
        <w:ind w:right="0" w:left="864"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1	</w:t>
      </w:r>
      <w:r>
        <w:rPr>
          <w:rFonts w:ascii="Times New Roman" w:hAnsi="Times New Roman" w:eastAsia="Times New Roman"/>
          <w:color w:val="000000"/>
          <w:spacing w:val="-1"/>
          <w:w w:val="100"/>
          <w:sz w:val="20"/>
          <w:vertAlign w:val="baseline"/>
          <w:lang w:val="en-US"/>
        </w:rPr>
        <w:t xml:space="preserve">See section 43 of the Act.</w:t>
      </w:r>
    </w:p>
    <w:p>
      <w:pPr>
        <w:tabs>
          <w:tab w:val="left" w:leader="none" w:pos="1296"/>
        </w:tabs>
        <w:spacing w:before="122" w:after="0" w:line="228" w:lineRule="exact"/>
        <w:ind w:right="216" w:left="1368" w:hanging="50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Schedule 3 sets out the high risk work licences and classes of high risk work that are within the scope of each licence. Schedule 4 sets out the qualifications required for a high risk work licence.</w:t>
      </w:r>
    </w:p>
    <w:p>
      <w:pPr>
        <w:spacing w:before="119" w:after="0" w:line="273" w:lineRule="exact"/>
        <w:ind w:right="0" w:left="288" w:firstLine="0"/>
        <w:jc w:val="left"/>
        <w:textAlignment w:val="baseline"/>
        <w:rPr>
          <w:rFonts w:ascii="Times New Roman" w:hAnsi="Times New Roman" w:eastAsia="Times New Roman"/>
          <w:b w:val="true"/>
          <w:color w:val="000000"/>
          <w:spacing w:val="-1"/>
          <w:w w:val="100"/>
          <w:sz w:val="24"/>
          <w:vertAlign w:val="baseline"/>
          <w:lang w:val="en-US"/>
        </w:rPr>
      </w:pPr>
      <w:r>
        <w:rPr>
          <w:rFonts w:ascii="Times New Roman" w:hAnsi="Times New Roman" w:eastAsia="Times New Roman"/>
          <w:b w:val="true"/>
          <w:color w:val="000000"/>
          <w:spacing w:val="-1"/>
          <w:w w:val="100"/>
          <w:sz w:val="24"/>
          <w:vertAlign w:val="baseline"/>
          <w:lang w:val="en-US"/>
        </w:rPr>
        <w:t xml:space="preserve">82 Exceptions</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who carries out high risk work is not required to be</w:t>
      </w:r>
    </w:p>
    <w:p>
      <w:pPr>
        <w:spacing w:before="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licensed to carry out the work if the work is carried out:</w:t>
      </w:r>
    </w:p>
    <w:p>
      <w:pPr>
        <w:numPr>
          <w:ilvl w:val="0"/>
          <w:numId w:val="207"/>
        </w:numPr>
        <w:tabs>
          <w:tab w:val="clear" w:pos="360"/>
          <w:tab w:val="left" w:pos="1872"/>
        </w:tabs>
        <w:spacing w:before="124" w:after="0" w:line="274"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course of training towards a certification in order to be licensed to carry out the high risk work; and</w:t>
      </w:r>
    </w:p>
    <w:p>
      <w:pPr>
        <w:numPr>
          <w:ilvl w:val="0"/>
          <w:numId w:val="207"/>
        </w:numPr>
        <w:tabs>
          <w:tab w:val="clear" w:pos="360"/>
          <w:tab w:val="left" w:pos="1872"/>
        </w:tabs>
        <w:spacing w:before="124" w:after="0" w:line="274"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under the supervision of a person who is licensed to carry out the high risk work.</w:t>
      </w:r>
    </w:p>
    <w:p>
      <w:pPr>
        <w:spacing w:before="122" w:after="0" w:line="276" w:lineRule="exact"/>
        <w:ind w:right="216" w:left="1368"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(1A) A person who holds a certification in relation to a specified VET course for high risk work is not required to be licensed to carry out the work:</w:t>
      </w:r>
    </w:p>
    <w:p>
      <w:pPr>
        <w:numPr>
          <w:ilvl w:val="0"/>
          <w:numId w:val="208"/>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60 days after the certification is issued; and</w:t>
      </w:r>
    </w:p>
    <w:p>
      <w:pPr>
        <w:numPr>
          <w:ilvl w:val="0"/>
          <w:numId w:val="208"/>
        </w:numPr>
        <w:tabs>
          <w:tab w:val="clear" w:pos="360"/>
          <w:tab w:val="left" w:pos="1872"/>
        </w:tabs>
        <w:spacing w:before="124" w:after="0" w:line="274"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person applies for the relevant high risk work licence within that 60 day period, until:</w:t>
      </w:r>
    </w:p>
    <w:p>
      <w:pPr>
        <w:numPr>
          <w:ilvl w:val="0"/>
          <w:numId w:val="209"/>
        </w:numPr>
        <w:tabs>
          <w:tab w:val="clear" w:pos="360"/>
          <w:tab w:val="left" w:pos="2376"/>
        </w:tabs>
        <w:spacing w:before="125" w:after="0" w:line="273"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is granted the licence; or</w:t>
      </w:r>
    </w:p>
    <w:p>
      <w:pPr>
        <w:numPr>
          <w:ilvl w:val="0"/>
          <w:numId w:val="209"/>
        </w:numPr>
        <w:tabs>
          <w:tab w:val="clear" w:pos="360"/>
          <w:tab w:val="left" w:pos="2376"/>
        </w:tabs>
        <w:spacing w:before="118" w:after="0" w:line="276" w:lineRule="exact"/>
        <w:ind w:right="36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expiry of 28 days after the person is given written notice under regulation 91(2) of a decision to refuse to grant the licence.</w:t>
      </w:r>
    </w:p>
    <w:p>
      <w:pPr>
        <w:spacing w:before="124" w:after="926" w:line="275" w:lineRule="exact"/>
        <w:ind w:right="432" w:left="1368" w:hanging="504"/>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(1B) A person who carries out high risk work is not required to be licensed to carry out the work if the work is carried out while an accredited assessor is conducting an assessment of the person's competency in relation to the work.</w:t>
      </w:r>
    </w:p>
    <w:p>
      <w:pPr>
        <w:spacing w:before="124" w:after="926" w:line="275"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84</w:t>
      </w:r>
    </w:p>
    <w:p>
      <w:pPr>
        <w:sectPr>
          <w:type w:val="continuous"/>
          <w:pgSz w:w="11909" w:h="16838" w:orient="portrait"/>
          <w:pgMar w:bottom="1082" w:top="1140" w:right="5853" w:left="1976"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4.5	</w:t>
      </w:r>
      <w:r>
        <w:rPr>
          <w:rFonts w:ascii="Times New Roman" w:hAnsi="Times New Roman" w:eastAsia="Times New Roman"/>
          <w:color w:val="000000"/>
          <w:spacing w:val="0"/>
          <w:w w:val="100"/>
          <w:sz w:val="20"/>
          <w:vertAlign w:val="baseline"/>
          <w:lang w:val="en-US"/>
        </w:rPr>
        <w:t xml:space="preserve">High Risk Work</w:t>
      </w:r>
    </w:p>
    <w:p>
      <w:pPr>
        <w:spacing w:before="245" w:after="0" w:line="279" w:lineRule="exact"/>
        <w:ind w:right="648"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(2) A person who carries out high risk work involving plant is not required to be licensed if:</w:t>
      </w:r>
    </w:p>
    <w:p>
      <w:pPr>
        <w:numPr>
          <w:ilvl w:val="0"/>
          <w:numId w:val="210"/>
        </w:numPr>
        <w:tabs>
          <w:tab w:val="clear" w:pos="360"/>
          <w:tab w:val="left" w:pos="1872"/>
        </w:tabs>
        <w:spacing w:before="117" w:after="0" w:line="276"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numPr>
          <w:ilvl w:val="0"/>
          <w:numId w:val="210"/>
        </w:numPr>
        <w:tabs>
          <w:tab w:val="clear" w:pos="360"/>
          <w:tab w:val="left" w:pos="1872"/>
        </w:tabs>
        <w:spacing w:before="123" w:after="0" w:line="276"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plant is operated or used without a load except when standard weight loads with predetermined fixing points are used for calibration of the plant.</w:t>
      </w:r>
    </w:p>
    <w:p>
      <w:pPr>
        <w:spacing w:before="117"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For the purposes of subregulation (2)(a), </w:t>
      </w:r>
      <w:r>
        <w:rPr>
          <w:rFonts w:ascii="Times New Roman" w:hAnsi="Times New Roman" w:eastAsia="Times New Roman"/>
          <w:b w:val="true"/>
          <w:i w:val="true"/>
          <w:color w:val="000000"/>
          <w:spacing w:val="0"/>
          <w:w w:val="100"/>
          <w:sz w:val="24"/>
          <w:vertAlign w:val="baseline"/>
          <w:lang w:val="en-US"/>
        </w:rPr>
        <w:t xml:space="preserve">moving </w:t>
      </w:r>
      <w:r>
        <w:rPr>
          <w:rFonts w:ascii="Times New Roman" w:hAnsi="Times New Roman" w:eastAsia="Times New Roman"/>
          <w:color w:val="000000"/>
          <w:spacing w:val="0"/>
          <w:w w:val="100"/>
          <w:sz w:val="24"/>
          <w:vertAlign w:val="baseline"/>
          <w:lang w:val="en-US"/>
        </w:rPr>
        <w:t xml:space="preserve">includes operating the plant in order to load the plant onto, or unload it from, a vehicle or equipment used to move it.</w:t>
      </w:r>
    </w:p>
    <w:p>
      <w:pPr>
        <w:spacing w:before="116" w:after="0" w:line="278" w:lineRule="exact"/>
        <w:ind w:right="72"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A person who carries out high risk work with a crane or hoist is not required to be licensed as a crane operator if:</w:t>
      </w:r>
    </w:p>
    <w:p>
      <w:pPr>
        <w:numPr>
          <w:ilvl w:val="0"/>
          <w:numId w:val="211"/>
        </w:numPr>
        <w:tabs>
          <w:tab w:val="clear" w:pos="360"/>
          <w:tab w:val="left" w:pos="1872"/>
        </w:tabs>
        <w:spacing w:before="116" w:after="0" w:line="278"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work is limited to setting up or dismantling the crane or hoist; and</w:t>
      </w:r>
    </w:p>
    <w:p>
      <w:pPr>
        <w:numPr>
          <w:ilvl w:val="0"/>
          <w:numId w:val="211"/>
        </w:numPr>
        <w:tabs>
          <w:tab w:val="clear" w:pos="360"/>
          <w:tab w:val="left" w:pos="1872"/>
        </w:tabs>
        <w:spacing w:before="116" w:after="0" w:line="278"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carrying out the work holds a licence in relation to rigging, which qualifies the person to carry out the work.</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8"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Schedule 3 for the classes of crane operator licence.</w:t>
      </w:r>
    </w:p>
    <w:p>
      <w:pPr>
        <w:spacing w:before="114" w:after="0" w:line="278"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A person who carries out high risk work with a heritage boiler is not required to be licensed as a boiler operator.</w:t>
      </w:r>
    </w:p>
    <w:p>
      <w:pPr>
        <w:spacing w:before="121"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83 Recognition of high risk work licences in other jurisdictions</w:t>
      </w:r>
    </w:p>
    <w:p>
      <w:pPr>
        <w:spacing w:before="123" w:after="0" w:line="274" w:lineRule="exact"/>
        <w:ind w:right="144"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In this Subdivision, a reference to a high risk work licence includes a reference to an equivalent licence:</w:t>
      </w:r>
    </w:p>
    <w:p>
      <w:pPr>
        <w:numPr>
          <w:ilvl w:val="0"/>
          <w:numId w:val="212"/>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granted under a corresponding WHS law; and</w:t>
      </w:r>
    </w:p>
    <w:p>
      <w:pPr>
        <w:numPr>
          <w:ilvl w:val="0"/>
          <w:numId w:val="212"/>
        </w:numPr>
        <w:tabs>
          <w:tab w:val="clear" w:pos="360"/>
          <w:tab w:val="left" w:pos="1872"/>
        </w:tabs>
        <w:spacing w:before="116" w:after="0" w:line="278"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is being used in accordance with the terms and conditions under which it was granted.</w:t>
      </w:r>
    </w:p>
    <w:p>
      <w:pPr>
        <w:spacing w:before="116" w:after="0" w:line="278"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Subregulation (1) does not apply to a licence that is suspended or cancelled or has expired in the corresponding jurisdiction.</w:t>
      </w:r>
    </w:p>
    <w:p>
      <w:pPr>
        <w:spacing w:before="117" w:after="0" w:line="278" w:lineRule="exact"/>
        <w:ind w:right="504"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84 Duty of person conducting business or undertaking to ensure direct supervision</w:t>
      </w:r>
    </w:p>
    <w:p>
      <w:pPr>
        <w:spacing w:before="119" w:after="787"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(1) A person conducting a business or undertaking must ensure that a person supervising the work of a person carrying out high risk work as required by regulation 82(1) provides direct supervision of the person except in the circumstances set out in subregulation (2).</w:t>
      </w:r>
    </w:p>
    <w:p>
      <w:pPr>
        <w:spacing w:before="119" w:after="787" w:line="276"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85</w:t>
      </w:r>
    </w:p>
    <w:p>
      <w:pPr>
        <w:sectPr>
          <w:type w:val="continuous"/>
          <w:pgSz w:w="11909" w:h="16838" w:orient="portrait"/>
          <w:pgMar w:bottom="1082" w:top="1140" w:right="5856" w:left="1973"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4.5	</w:t>
      </w:r>
      <w:r>
        <w:rPr>
          <w:rFonts w:ascii="Times New Roman" w:hAnsi="Times New Roman" w:eastAsia="Times New Roman"/>
          <w:color w:val="000000"/>
          <w:spacing w:val="0"/>
          <w:w w:val="100"/>
          <w:sz w:val="20"/>
          <w:vertAlign w:val="baseline"/>
          <w:lang w:val="en-US"/>
        </w:rPr>
        <w:t xml:space="preserve">High Risk Work</w:t>
      </w:r>
    </w:p>
    <w:p>
      <w:pPr>
        <w:spacing w:before="251"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Maximum penalty:</w:t>
      </w:r>
    </w:p>
    <w:p>
      <w:pPr>
        <w:spacing w:before="125"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19"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5" w:after="0" w:line="274"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Direct supervision of a person is not required if:</w:t>
      </w:r>
    </w:p>
    <w:p>
      <w:pPr>
        <w:numPr>
          <w:ilvl w:val="0"/>
          <w:numId w:val="213"/>
        </w:numPr>
        <w:tabs>
          <w:tab w:val="clear" w:pos="360"/>
          <w:tab w:val="left" w:pos="1872"/>
        </w:tabs>
        <w:spacing w:before="114" w:after="0" w:line="279"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nature or circumstances of a particular task make direct supervision impracticable or unnecessary; and</w:t>
      </w:r>
    </w:p>
    <w:p>
      <w:pPr>
        <w:numPr>
          <w:ilvl w:val="0"/>
          <w:numId w:val="213"/>
        </w:numPr>
        <w:tabs>
          <w:tab w:val="clear" w:pos="360"/>
          <w:tab w:val="left" w:pos="1872"/>
        </w:tabs>
        <w:spacing w:before="114" w:after="0" w:line="279" w:lineRule="exact"/>
        <w:ind w:right="432" w:left="1872"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the reduced level of supervision will not place the health or safety of the supervised person or any other person at risk.</w:t>
      </w:r>
    </w:p>
    <w:p>
      <w:pPr>
        <w:spacing w:before="117" w:after="0" w:line="276"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In this regulation, </w:t>
      </w:r>
      <w:r>
        <w:rPr>
          <w:rFonts w:ascii="Times New Roman" w:hAnsi="Times New Roman" w:eastAsia="Times New Roman"/>
          <w:b w:val="true"/>
          <w:i w:val="true"/>
          <w:color w:val="000000"/>
          <w:spacing w:val="0"/>
          <w:w w:val="100"/>
          <w:sz w:val="24"/>
          <w:vertAlign w:val="baseline"/>
          <w:lang w:val="en-US"/>
        </w:rPr>
        <w:t xml:space="preserve">direct supervision </w:t>
      </w:r>
      <w:r>
        <w:rPr>
          <w:rFonts w:ascii="Times New Roman" w:hAnsi="Times New Roman" w:eastAsia="Times New Roman"/>
          <w:color w:val="000000"/>
          <w:spacing w:val="0"/>
          <w:w w:val="100"/>
          <w:sz w:val="24"/>
          <w:vertAlign w:val="baseline"/>
          <w:lang w:val="en-US"/>
        </w:rPr>
        <w:t xml:space="preserve">of a person means the oversight by the supervising person of the work of that person for the purposes of:</w:t>
      </w:r>
    </w:p>
    <w:p>
      <w:pPr>
        <w:numPr>
          <w:ilvl w:val="0"/>
          <w:numId w:val="214"/>
        </w:numPr>
        <w:tabs>
          <w:tab w:val="clear" w:pos="360"/>
          <w:tab w:val="left" w:pos="1872"/>
        </w:tabs>
        <w:spacing w:before="127" w:after="0" w:line="273"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directing, demonstrating, monitoring and checking the person's work in a way that is appropriate to the person's level of competency; and</w:t>
      </w:r>
    </w:p>
    <w:p>
      <w:pPr>
        <w:numPr>
          <w:ilvl w:val="0"/>
          <w:numId w:val="214"/>
        </w:numPr>
        <w:tabs>
          <w:tab w:val="clear" w:pos="360"/>
          <w:tab w:val="left" w:pos="1872"/>
        </w:tabs>
        <w:spacing w:before="124" w:after="0" w:line="274"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ensuring a capacity to respond in an emergency situation.</w:t>
      </w:r>
    </w:p>
    <w:p>
      <w:pPr>
        <w:spacing w:before="116" w:after="0" w:line="278" w:lineRule="exact"/>
        <w:ind w:right="1368"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85 Evidence of licence—duty of person conducting business or undertaking</w:t>
      </w:r>
    </w:p>
    <w:p>
      <w:pPr>
        <w:numPr>
          <w:ilvl w:val="0"/>
          <w:numId w:val="215"/>
        </w:numPr>
        <w:tabs>
          <w:tab w:val="clear" w:pos="360"/>
          <w:tab w:val="left" w:pos="1368"/>
        </w:tabs>
        <w:spacing w:before="118"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4"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numPr>
          <w:ilvl w:val="0"/>
          <w:numId w:val="215"/>
        </w:numPr>
        <w:tabs>
          <w:tab w:val="clear" w:pos="360"/>
          <w:tab w:val="left" w:pos="1368"/>
        </w:tabs>
        <w:spacing w:before="118" w:after="0" w:line="276" w:lineRule="exact"/>
        <w:ind w:right="144"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4"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16" w:after="1007" w:line="278" w:lineRule="exact"/>
        <w:ind w:right="144" w:left="1368" w:hanging="576"/>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(2A) A person conducting a business or undertaking at a workplace must not direct or allow a worker to carry out high risk work in the</w:t>
      </w:r>
    </w:p>
    <w:p>
      <w:pPr>
        <w:spacing w:before="116" w:after="1007" w:line="278"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86</w:t>
      </w:r>
    </w:p>
    <w:p>
      <w:pPr>
        <w:sectPr>
          <w:type w:val="continuous"/>
          <w:pgSz w:w="11909" w:h="16838" w:orient="portrait"/>
          <w:pgMar w:bottom="1082" w:top="1140" w:right="5853" w:left="1976"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4.5	</w:t>
      </w:r>
      <w:r>
        <w:rPr>
          <w:rFonts w:ascii="Times New Roman" w:hAnsi="Times New Roman" w:eastAsia="Times New Roman"/>
          <w:color w:val="000000"/>
          <w:spacing w:val="0"/>
          <w:w w:val="100"/>
          <w:sz w:val="20"/>
          <w:vertAlign w:val="baseline"/>
          <w:lang w:val="en-US"/>
        </w:rPr>
        <w:t xml:space="preserve">High Risk Work</w:t>
      </w:r>
    </w:p>
    <w:p>
      <w:pPr>
        <w:spacing w:before="246" w:after="0" w:line="279" w:lineRule="exact"/>
        <w:ind w:right="432"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circumstances referred to in regulation 82(1A) unless the person sees written evidence provided by the worker that the worker:</w:t>
      </w:r>
    </w:p>
    <w:p>
      <w:pPr>
        <w:numPr>
          <w:ilvl w:val="0"/>
          <w:numId w:val="216"/>
        </w:numPr>
        <w:tabs>
          <w:tab w:val="clear" w:pos="360"/>
          <w:tab w:val="left" w:pos="1872"/>
        </w:tabs>
        <w:spacing w:before="114" w:after="0" w:line="279"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circumstances referred to in regulation 82(1A)(a)— holds a certification referred to in regulation 82(1A); and</w:t>
      </w:r>
    </w:p>
    <w:p>
      <w:pPr>
        <w:numPr>
          <w:ilvl w:val="0"/>
          <w:numId w:val="216"/>
        </w:numPr>
        <w:tabs>
          <w:tab w:val="clear" w:pos="360"/>
          <w:tab w:val="left" w:pos="1872"/>
        </w:tabs>
        <w:spacing w:before="119" w:after="0" w:line="274"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circumstances referred to in section 82(1A)(b):</w:t>
      </w:r>
    </w:p>
    <w:p>
      <w:pPr>
        <w:numPr>
          <w:ilvl w:val="0"/>
          <w:numId w:val="217"/>
        </w:numPr>
        <w:tabs>
          <w:tab w:val="clear" w:pos="360"/>
          <w:tab w:val="left" w:pos="2376"/>
        </w:tabs>
        <w:spacing w:before="125" w:after="0" w:line="274"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holds a certification referred to in regulation 82(1A); and</w:t>
      </w:r>
    </w:p>
    <w:p>
      <w:pPr>
        <w:numPr>
          <w:ilvl w:val="0"/>
          <w:numId w:val="217"/>
        </w:numPr>
        <w:tabs>
          <w:tab w:val="clear" w:pos="360"/>
          <w:tab w:val="left" w:pos="2376"/>
        </w:tabs>
        <w:spacing w:before="114" w:after="0" w:line="279" w:lineRule="exact"/>
        <w:ind w:right="50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has applied for the relevant licence within the period referred to in regulation 82(1A)(b).</w:t>
      </w:r>
    </w:p>
    <w:p>
      <w:pPr>
        <w:spacing w:before="119"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19"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numPr>
          <w:ilvl w:val="0"/>
          <w:numId w:val="218"/>
        </w:numPr>
        <w:tabs>
          <w:tab w:val="clear" w:pos="360"/>
          <w:tab w:val="left" w:pos="1368"/>
        </w:tabs>
        <w:spacing w:before="128" w:after="0" w:line="274"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4"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numPr>
          <w:ilvl w:val="0"/>
          <w:numId w:val="218"/>
        </w:numPr>
        <w:tabs>
          <w:tab w:val="clear" w:pos="360"/>
          <w:tab w:val="left" w:pos="1368"/>
        </w:tabs>
        <w:spacing w:before="116" w:after="0" w:line="278" w:lineRule="exact"/>
        <w:ind w:right="72"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must keep a record of the written evidence provided:</w:t>
      </w:r>
    </w:p>
    <w:p>
      <w:pPr>
        <w:numPr>
          <w:ilvl w:val="0"/>
          <w:numId w:val="219"/>
        </w:numPr>
        <w:tabs>
          <w:tab w:val="clear" w:pos="360"/>
          <w:tab w:val="left" w:pos="1872"/>
        </w:tabs>
        <w:spacing w:before="116" w:after="0" w:line="278"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under subregulation (1) or (2)—for at least 1 year after the high risk work is carried out;</w:t>
      </w:r>
    </w:p>
    <w:p>
      <w:pPr>
        <w:numPr>
          <w:ilvl w:val="0"/>
          <w:numId w:val="219"/>
        </w:numPr>
        <w:tabs>
          <w:tab w:val="clear" w:pos="360"/>
          <w:tab w:val="left" w:pos="1872"/>
        </w:tabs>
        <w:spacing w:before="116" w:after="0" w:line="278" w:lineRule="exact"/>
        <w:ind w:right="216" w:left="1872"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under subregulation (3)—for at least 1 year after the last occasion on which the worker performs the supervision work.</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0"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34" w:after="0" w:line="389" w:lineRule="exact"/>
        <w:ind w:right="0" w:left="288" w:hanging="288"/>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Subdivision 2 Licensing process</w:t>
        <w:br/>
      </w:r>
      <w:r>
        <w:rPr>
          <w:rFonts w:ascii="Times New Roman" w:hAnsi="Times New Roman" w:eastAsia="Times New Roman"/>
          <w:b w:val="true"/>
          <w:color w:val="000000"/>
          <w:spacing w:val="0"/>
          <w:w w:val="100"/>
          <w:sz w:val="24"/>
          <w:vertAlign w:val="baseline"/>
          <w:lang w:val="en-US"/>
        </w:rPr>
        <w:t xml:space="preserve">86 Who may apply for a licence</w:t>
      </w:r>
    </w:p>
    <w:p>
      <w:pPr>
        <w:spacing w:before="124" w:after="1477" w:line="274" w:lineRule="exact"/>
        <w:ind w:right="216"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Only a person who holds a qualification set out in Schedule 4 may apply for a high risk work licence.</w:t>
      </w:r>
    </w:p>
    <w:p>
      <w:pPr>
        <w:spacing w:before="124" w:after="1477" w:line="274"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87</w:t>
      </w:r>
    </w:p>
    <w:p>
      <w:pPr>
        <w:sectPr>
          <w:type w:val="continuous"/>
          <w:pgSz w:w="11909" w:h="16838" w:orient="portrait"/>
          <w:pgMar w:bottom="1082" w:top="1140" w:right="5853" w:left="1976"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4.5	</w:t>
      </w:r>
      <w:r>
        <w:rPr>
          <w:rFonts w:ascii="Times New Roman" w:hAnsi="Times New Roman" w:eastAsia="Times New Roman"/>
          <w:color w:val="000000"/>
          <w:spacing w:val="0"/>
          <w:w w:val="100"/>
          <w:sz w:val="20"/>
          <w:vertAlign w:val="baseline"/>
          <w:lang w:val="en-US"/>
        </w:rPr>
        <w:t xml:space="preserve">High Risk Work</w:t>
      </w:r>
    </w:p>
    <w:p>
      <w:pPr>
        <w:spacing w:before="251"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4"/>
          <w:vertAlign w:val="baseline"/>
          <w:lang w:val="en-US"/>
        </w:rPr>
        <w:t xml:space="preserve">87 Application for high risk work licence</w:t>
      </w:r>
    </w:p>
    <w:p>
      <w:pPr>
        <w:numPr>
          <w:ilvl w:val="0"/>
          <w:numId w:val="220"/>
        </w:numPr>
        <w:tabs>
          <w:tab w:val="clear" w:pos="360"/>
          <w:tab w:val="left" w:pos="1368"/>
        </w:tabs>
        <w:spacing w:before="125" w:after="0" w:line="273"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application for a high risk work licence must be made in the manner and form required by the regulator.</w:t>
      </w:r>
    </w:p>
    <w:p>
      <w:pPr>
        <w:numPr>
          <w:ilvl w:val="0"/>
          <w:numId w:val="220"/>
        </w:numPr>
        <w:tabs>
          <w:tab w:val="clear" w:pos="360"/>
          <w:tab w:val="left" w:pos="1368"/>
        </w:tabs>
        <w:spacing w:before="126" w:after="0" w:line="273"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application must include the following information:</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the applicant's name and residential address;</w:t>
      </w:r>
    </w:p>
    <w:p>
      <w:pPr>
        <w:spacing w:before="126" w:after="0" w:line="273" w:lineRule="exact"/>
        <w:ind w:right="64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a photograph of the applicant in the form required by the regulator;</w:t>
      </w:r>
    </w:p>
    <w:p>
      <w:pPr>
        <w:spacing w:before="126"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evidence of the applicant's age;</w:t>
      </w:r>
    </w:p>
    <w:p>
      <w:pPr>
        <w:spacing w:before="114" w:after="0" w:line="279"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any other evidence of the applicant's identity required by the regulator;</w:t>
      </w:r>
    </w:p>
    <w:p>
      <w:pPr>
        <w:spacing w:before="114" w:after="0" w:line="279" w:lineRule="exact"/>
        <w:ind w:right="43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 the class of high risk work licence to which the application relates;</w:t>
      </w:r>
    </w:p>
    <w:p>
      <w:pPr>
        <w:spacing w:before="120"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 a copy of a certification:</w:t>
      </w:r>
    </w:p>
    <w:p>
      <w:pPr>
        <w:numPr>
          <w:ilvl w:val="0"/>
          <w:numId w:val="221"/>
        </w:numPr>
        <w:tabs>
          <w:tab w:val="clear" w:pos="360"/>
          <w:tab w:val="left" w:pos="2376"/>
        </w:tabs>
        <w:spacing w:before="118" w:after="0" w:line="276" w:lineRule="exact"/>
        <w:ind w:right="360" w:left="2376"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is held by the applicant in relation to the specified VET course, or each of the specified VET courses, for the high risk work licence applied for; and</w:t>
      </w:r>
    </w:p>
    <w:p>
      <w:pPr>
        <w:numPr>
          <w:ilvl w:val="0"/>
          <w:numId w:val="221"/>
        </w:numPr>
        <w:tabs>
          <w:tab w:val="clear" w:pos="360"/>
          <w:tab w:val="left" w:pos="2376"/>
        </w:tabs>
        <w:spacing w:before="124" w:after="0" w:line="274" w:lineRule="exact"/>
        <w:ind w:right="936"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was issued not more than 60 days before the application is made;</w:t>
      </w:r>
    </w:p>
    <w:p>
      <w:pPr>
        <w:spacing w:before="124" w:after="0" w:line="274" w:lineRule="exact"/>
        <w:ind w:right="43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 a declaration that the applicant does not hold an equivalent licence under a corresponding WHS law;</w:t>
      </w:r>
    </w:p>
    <w:p>
      <w:pPr>
        <w:spacing w:before="122" w:after="0" w:line="276"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 a declaration as to whether or not the applicant has ever been convicted or found guilty of any offence under the Act or these Regulations or under any corresponding WHS law;</w:t>
      </w:r>
    </w:p>
    <w:p>
      <w:pPr>
        <w:spacing w:before="124"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8"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14" w:after="0" w:line="278" w:lineRule="exact"/>
        <w:ind w:right="43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 details of any conviction or finding of guilt declared under paragraph (h);</w:t>
      </w:r>
    </w:p>
    <w:p>
      <w:pPr>
        <w:spacing w:before="118" w:after="0" w:line="276"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(j) a declaration as to whether or not the applicant has ever entered into an enforceable undertaking under the Act or under any corresponding WHS law;</w:t>
      </w:r>
    </w:p>
    <w:p>
      <w:pPr>
        <w:spacing w:before="124" w:after="0" w:line="274" w:lineRule="exact"/>
        <w:ind w:right="93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(k) details of any enforceable undertaking declared under paragraph (j);</w:t>
      </w:r>
    </w:p>
    <w:p>
      <w:pPr>
        <w:spacing w:before="122" w:after="1099"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(l) if the applicant has previously been refused an equivalent licence under a corresponding WHS law, a declaration giving details of that refusal;</w:t>
      </w:r>
    </w:p>
    <w:p>
      <w:pPr>
        <w:spacing w:before="122" w:after="1099" w:line="276"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88</w:t>
      </w:r>
    </w:p>
    <w:p>
      <w:pPr>
        <w:sectPr>
          <w:type w:val="continuous"/>
          <w:pgSz w:w="11909" w:h="16838" w:orient="portrait"/>
          <w:pgMar w:bottom="1082" w:top="1140" w:right="5856" w:left="1973"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4.5	</w:t>
      </w:r>
      <w:r>
        <w:rPr>
          <w:rFonts w:ascii="Times New Roman" w:hAnsi="Times New Roman" w:eastAsia="Times New Roman"/>
          <w:color w:val="000000"/>
          <w:spacing w:val="0"/>
          <w:w w:val="100"/>
          <w:sz w:val="20"/>
          <w:vertAlign w:val="baseline"/>
          <w:lang w:val="en-US"/>
        </w:rPr>
        <w:t xml:space="preserve">High Risk Work</w:t>
      </w:r>
    </w:p>
    <w:p>
      <w:pPr>
        <w:spacing w:before="244" w:after="0" w:line="279" w:lineRule="exact"/>
        <w:ind w:right="72" w:left="1872" w:hanging="504"/>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 if the applicant has previously held an equivalent licence under a corresponding WHS law, a declaration:</w:t>
      </w:r>
    </w:p>
    <w:p>
      <w:pPr>
        <w:numPr>
          <w:ilvl w:val="0"/>
          <w:numId w:val="222"/>
        </w:numPr>
        <w:tabs>
          <w:tab w:val="clear" w:pos="504"/>
          <w:tab w:val="left" w:pos="2376"/>
        </w:tabs>
        <w:spacing w:before="121" w:after="0" w:line="272" w:lineRule="exact"/>
        <w:ind w:right="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describing any condition imposed on that licence; and</w:t>
      </w:r>
    </w:p>
    <w:p>
      <w:pPr>
        <w:numPr>
          <w:ilvl w:val="0"/>
          <w:numId w:val="222"/>
        </w:numPr>
        <w:tabs>
          <w:tab w:val="clear" w:pos="504"/>
          <w:tab w:val="left" w:pos="2376"/>
        </w:tabs>
        <w:spacing w:before="123" w:after="0" w:line="276" w:lineRule="exact"/>
        <w:ind w:right="72"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stating whether or not that licence had been suspended or cancelled and, if so, whether or not the applicant had been disqualified from applying for any licence; and</w:t>
      </w:r>
    </w:p>
    <w:p>
      <w:pPr>
        <w:numPr>
          <w:ilvl w:val="0"/>
          <w:numId w:val="222"/>
        </w:numPr>
        <w:tabs>
          <w:tab w:val="clear" w:pos="504"/>
          <w:tab w:val="left" w:pos="2376"/>
        </w:tabs>
        <w:spacing w:before="114" w:after="0" w:line="279" w:lineRule="exact"/>
        <w:ind w:right="936"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giving details of any suspension, cancellation or disqualification.</w:t>
      </w:r>
    </w:p>
    <w:p>
      <w:pPr>
        <w:spacing w:before="125"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4" w:after="0" w:line="231" w:lineRule="exact"/>
        <w:ind w:right="864"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section 268 of the Act for offences relating to the giving of false or misleading information under the Act or these Regulations.</w:t>
      </w:r>
    </w:p>
    <w:p>
      <w:pPr>
        <w:spacing w:before="117" w:after="0" w:line="272"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application must be accompanied by the relevant fee.</w:t>
      </w:r>
    </w:p>
    <w:p>
      <w:pPr>
        <w:spacing w:before="121"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88 Additional information</w:t>
      </w:r>
    </w:p>
    <w:p>
      <w:pPr>
        <w:spacing w:before="122" w:after="0" w:line="275"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If an application for a high risk work licence does not contain sufficient information to enable the regulator to make a decision whether or not to grant the licence, the regulator may ask the applicant to provide additional information.</w:t>
      </w:r>
    </w:p>
    <w:p>
      <w:pPr>
        <w:spacing w:before="127" w:after="0" w:line="272"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 request for additional information must:</w:t>
      </w:r>
    </w:p>
    <w:p>
      <w:pPr>
        <w:numPr>
          <w:ilvl w:val="0"/>
          <w:numId w:val="223"/>
        </w:numPr>
        <w:tabs>
          <w:tab w:val="clear" w:pos="360"/>
          <w:tab w:val="left" w:pos="1872"/>
        </w:tabs>
        <w:spacing w:before="114" w:after="0" w:line="279"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specify the date (not being less than 28 days after the request) by which the additional information is to be given; and</w:t>
      </w:r>
    </w:p>
    <w:p>
      <w:pPr>
        <w:numPr>
          <w:ilvl w:val="0"/>
          <w:numId w:val="223"/>
        </w:numPr>
        <w:tabs>
          <w:tab w:val="clear" w:pos="360"/>
          <w:tab w:val="left" w:pos="1872"/>
        </w:tabs>
        <w:spacing w:before="121"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be confirmed in writing.</w:t>
      </w:r>
    </w:p>
    <w:p>
      <w:pPr>
        <w:spacing w:before="123" w:after="0" w:line="276"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If an applicant does not provide the additional information by the date specified, the application is to be taken to have been withdrawn.</w:t>
      </w:r>
    </w:p>
    <w:p>
      <w:pPr>
        <w:spacing w:before="114" w:after="0" w:line="279" w:lineRule="exact"/>
        <w:ind w:right="93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The regulator may make more than 1 request for additional information under this regulation.</w:t>
      </w:r>
    </w:p>
    <w:p>
      <w:pPr>
        <w:spacing w:before="121"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89 Decision on application</w:t>
      </w:r>
    </w:p>
    <w:p>
      <w:pPr>
        <w:spacing w:before="125" w:after="0" w:line="272"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Subject to subregulation (3), the regulator must grant a high risk</w:t>
      </w:r>
    </w:p>
    <w:p>
      <w:pPr>
        <w:spacing w:before="0" w:after="0" w:line="276" w:lineRule="exact"/>
        <w:ind w:right="1296"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work licence if satisfied about the matters referred to in subregulation (2).</w:t>
      </w:r>
    </w:p>
    <w:p>
      <w:pPr>
        <w:spacing w:before="121" w:after="0" w:line="272"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regulator must be satisfied about the following:</w:t>
      </w:r>
    </w:p>
    <w:p>
      <w:pPr>
        <w:numPr>
          <w:ilvl w:val="0"/>
          <w:numId w:val="224"/>
        </w:numPr>
        <w:tabs>
          <w:tab w:val="clear" w:pos="360"/>
          <w:tab w:val="left" w:pos="1872"/>
        </w:tabs>
        <w:spacing w:before="126" w:after="0" w:line="273" w:lineRule="exact"/>
        <w:ind w:right="79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application has been made in accordance with these Regulations;</w:t>
      </w:r>
    </w:p>
    <w:p>
      <w:pPr>
        <w:numPr>
          <w:ilvl w:val="0"/>
          <w:numId w:val="224"/>
        </w:numPr>
        <w:tabs>
          <w:tab w:val="clear" w:pos="360"/>
          <w:tab w:val="left" w:pos="1872"/>
        </w:tabs>
        <w:spacing w:before="126" w:after="1148" w:line="273" w:lineRule="exact"/>
        <w:ind w:right="72" w:left="1872" w:hanging="360"/>
        <w:jc w:val="left"/>
        <w:textAlignment w:val="baseline"/>
        <w:rPr>
          <w:rFonts w:ascii="Times New Roman" w:hAnsi="Times New Roman" w:eastAsia="Times New Roman"/>
          <w:color w:val="000000"/>
          <w:spacing w:val="-1"/>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1"/>
          <w:w w:val="100"/>
          <w:sz w:val="24"/>
          <w:vertAlign w:val="baseline"/>
          <w:lang w:val="en-US"/>
        </w:rPr>
        <w:t xml:space="preserve">the applicant does not hold an equivalent licence under a corresponding WHS law unless that licence is due for renewal;</w:t>
      </w:r>
    </w:p>
    <w:p>
      <w:pPr>
        <w:spacing w:before="126" w:after="1148" w:line="273"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89</w:t>
      </w:r>
    </w:p>
    <w:p>
      <w:pPr>
        <w:sectPr>
          <w:type w:val="continuous"/>
          <w:pgSz w:w="11909" w:h="16838" w:orient="portrait"/>
          <w:pgMar w:bottom="1082" w:top="1140" w:right="5853" w:left="1976"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4.5	</w:t>
      </w:r>
      <w:r>
        <w:rPr>
          <w:rFonts w:ascii="Times New Roman" w:hAnsi="Times New Roman" w:eastAsia="Times New Roman"/>
          <w:color w:val="000000"/>
          <w:spacing w:val="0"/>
          <w:w w:val="100"/>
          <w:sz w:val="20"/>
          <w:vertAlign w:val="baseline"/>
          <w:lang w:val="en-US"/>
        </w:rPr>
        <w:t xml:space="preserve">High Risk Work</w:t>
      </w:r>
    </w:p>
    <w:p>
      <w:pPr>
        <w:spacing w:before="251"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(c) the applicant:</w:t>
      </w:r>
    </w:p>
    <w:p>
      <w:pPr>
        <w:numPr>
          <w:ilvl w:val="0"/>
          <w:numId w:val="225"/>
        </w:numPr>
        <w:tabs>
          <w:tab w:val="clear" w:pos="360"/>
          <w:tab w:val="left" w:pos="2376"/>
        </w:tabs>
        <w:spacing w:before="126" w:after="0" w:line="273"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resides in [this jurisdiction]; or</w:t>
      </w:r>
    </w:p>
    <w:p>
      <w:pPr>
        <w:numPr>
          <w:ilvl w:val="0"/>
          <w:numId w:val="225"/>
        </w:numPr>
        <w:tabs>
          <w:tab w:val="clear" w:pos="360"/>
          <w:tab w:val="left" w:pos="2376"/>
        </w:tabs>
        <w:spacing w:before="114" w:after="0" w:line="279" w:lineRule="exact"/>
        <w:ind w:right="7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resides outside [this jurisdiction] and circumstances exist that justify the grant of the licence;</w:t>
      </w:r>
    </w:p>
    <w:p>
      <w:pPr>
        <w:spacing w:before="124"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8"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notes in the Appendix.</w:t>
      </w:r>
    </w:p>
    <w:p>
      <w:pPr>
        <w:spacing w:before="119"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the applicant is at least 18 years of age;</w:t>
      </w:r>
    </w:p>
    <w:p>
      <w:pPr>
        <w:spacing w:before="116" w:after="0" w:line="278" w:lineRule="exact"/>
        <w:ind w:right="50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 the applicant has provided the certification required under regulation 87(2)(f);</w:t>
      </w:r>
    </w:p>
    <w:p>
      <w:pPr>
        <w:spacing w:before="116" w:after="0" w:line="278" w:lineRule="exact"/>
        <w:ind w:right="7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 the applicant is able to carry out the work to which the licence relates safely and competently.</w:t>
      </w:r>
    </w:p>
    <w:p>
      <w:pPr>
        <w:spacing w:before="116" w:after="0" w:line="278" w:lineRule="exact"/>
        <w:ind w:right="72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regulator must refuse to grant a high risk work licence if satisfied that:</w:t>
      </w:r>
    </w:p>
    <w:p>
      <w:pPr>
        <w:numPr>
          <w:ilvl w:val="0"/>
          <w:numId w:val="226"/>
        </w:numPr>
        <w:tabs>
          <w:tab w:val="clear" w:pos="360"/>
          <w:tab w:val="left" w:pos="1872"/>
        </w:tabs>
        <w:spacing w:before="116" w:after="0" w:line="278"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applicant is disqualified under a corresponding WHS law from holding an equivalent licence; or</w:t>
      </w:r>
    </w:p>
    <w:p>
      <w:pPr>
        <w:numPr>
          <w:ilvl w:val="0"/>
          <w:numId w:val="226"/>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applicant, in making the application, has:</w:t>
      </w:r>
    </w:p>
    <w:p>
      <w:pPr>
        <w:numPr>
          <w:ilvl w:val="0"/>
          <w:numId w:val="227"/>
        </w:numPr>
        <w:tabs>
          <w:tab w:val="clear" w:pos="360"/>
          <w:tab w:val="left" w:pos="2376"/>
        </w:tabs>
        <w:spacing w:before="124" w:after="0" w:line="274" w:lineRule="exact"/>
        <w:ind w:right="7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given information that is false or misleading in a material particular; or</w:t>
      </w:r>
    </w:p>
    <w:p>
      <w:pPr>
        <w:numPr>
          <w:ilvl w:val="0"/>
          <w:numId w:val="227"/>
        </w:numPr>
        <w:tabs>
          <w:tab w:val="clear" w:pos="360"/>
          <w:tab w:val="left" w:pos="2376"/>
        </w:tabs>
        <w:spacing w:before="124" w:after="0" w:line="274" w:lineRule="exact"/>
        <w:ind w:right="216"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failed to give any material information that should have been given.</w:t>
      </w:r>
    </w:p>
    <w:p>
      <w:pPr>
        <w:spacing w:before="124" w:after="0" w:line="274" w:lineRule="exact"/>
        <w:ind w:right="72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If the regulator decides to grant the licence, it must notify the applicant within 14 days after making the decision.</w:t>
      </w:r>
    </w:p>
    <w:p>
      <w:pPr>
        <w:spacing w:before="124" w:after="0" w:line="275"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If the regulator does not make a decision within 120 days after receiving the application or the additional information requested under regulation 88, the regulator is taken to have refused to grant the licence applied for.</w:t>
      </w:r>
    </w:p>
    <w:p>
      <w:pPr>
        <w:spacing w:before="129"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3" w:after="0" w:line="230" w:lineRule="exact"/>
        <w:ind w:right="504"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refusal to grant a high risk work licence (including under subregulation (5)) is a reviewable decision (see regulation 676).</w:t>
      </w:r>
    </w:p>
    <w:p>
      <w:pPr>
        <w:spacing w:before="119" w:after="0" w:line="273"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90 Matters to be taken into account</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the purposes of regulation 89(2)(f), the regulator must have</w:t>
      </w:r>
    </w:p>
    <w:p>
      <w:pPr>
        <w:spacing w:before="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regard to all relevant matters, including the following:</w:t>
      </w:r>
    </w:p>
    <w:p>
      <w:pPr>
        <w:spacing w:before="122" w:after="1118" w:line="276"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any offence under the Act or these Regulations or under a corresponding WHS law of which the applicant has been convicted or found guilty;</w:t>
      </w:r>
    </w:p>
    <w:p>
      <w:pPr>
        <w:spacing w:before="122" w:after="1118" w:line="276"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90</w:t>
      </w:r>
    </w:p>
    <w:p>
      <w:pPr>
        <w:sectPr>
          <w:type w:val="continuous"/>
          <w:pgSz w:w="11909" w:h="16838" w:orient="portrait"/>
          <w:pgMar w:bottom="1082" w:top="1140" w:right="5853" w:left="1976"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4.5	</w:t>
      </w:r>
      <w:r>
        <w:rPr>
          <w:rFonts w:ascii="Times New Roman" w:hAnsi="Times New Roman" w:eastAsia="Times New Roman"/>
          <w:color w:val="000000"/>
          <w:spacing w:val="0"/>
          <w:w w:val="100"/>
          <w:sz w:val="20"/>
          <w:vertAlign w:val="baseline"/>
          <w:lang w:val="en-US"/>
        </w:rPr>
        <w:t xml:space="preserve">High Risk Work</w:t>
      </w:r>
    </w:p>
    <w:p>
      <w:pPr>
        <w:spacing w:before="255"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Note</w:t>
      </w:r>
    </w:p>
    <w:p>
      <w:pPr>
        <w:spacing w:before="125" w:after="0" w:line="228"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15"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in relation to any equivalent licence applied for or held by the applicant under the Act or these Regulations or under a corresponding WHS law:</w:t>
      </w:r>
    </w:p>
    <w:p>
      <w:pPr>
        <w:numPr>
          <w:ilvl w:val="0"/>
          <w:numId w:val="228"/>
        </w:numPr>
        <w:tabs>
          <w:tab w:val="clear" w:pos="504"/>
          <w:tab w:val="left" w:pos="2376"/>
        </w:tabs>
        <w:spacing w:before="122" w:after="0" w:line="272" w:lineRule="exact"/>
        <w:ind w:right="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refusal to grant the licence; and</w:t>
      </w:r>
    </w:p>
    <w:p>
      <w:pPr>
        <w:numPr>
          <w:ilvl w:val="0"/>
          <w:numId w:val="228"/>
        </w:numPr>
        <w:tabs>
          <w:tab w:val="clear" w:pos="504"/>
          <w:tab w:val="left" w:pos="2376"/>
        </w:tabs>
        <w:spacing w:before="126" w:after="0" w:line="272" w:lineRule="exact"/>
        <w:ind w:right="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condition imposed on the licence, if granted; and</w:t>
      </w:r>
    </w:p>
    <w:p>
      <w:pPr>
        <w:numPr>
          <w:ilvl w:val="0"/>
          <w:numId w:val="228"/>
        </w:numPr>
        <w:tabs>
          <w:tab w:val="clear" w:pos="504"/>
          <w:tab w:val="left" w:pos="2376"/>
        </w:tabs>
        <w:spacing w:before="118" w:after="0" w:line="276" w:lineRule="exact"/>
        <w:ind w:right="216"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suspension or cancellation of the licence, if granted, including any disqualification from applying for any licence;</w:t>
      </w:r>
    </w:p>
    <w:p>
      <w:pPr>
        <w:spacing w:before="126" w:after="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any enforceable undertaking the applicant has entered into</w:t>
      </w:r>
    </w:p>
    <w:p>
      <w:pPr>
        <w:spacing w:before="2"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under the Act or a corresponding WHS law;</w:t>
      </w:r>
    </w:p>
    <w:p>
      <w:pPr>
        <w:spacing w:before="122" w:after="0" w:line="276"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the applicant's record in relation to any matters arising under the Act or these Regulations or under a corresponding WHS law.</w:t>
      </w:r>
    </w:p>
    <w:p>
      <w:pPr>
        <w:spacing w:before="122"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91 Refusal to grant high risk work licence—process</w:t>
      </w:r>
    </w:p>
    <w:p>
      <w:pPr>
        <w:spacing w:before="122" w:after="0" w:line="274"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If the regulator proposes to refuse to grant a licence, the regulator must give a written notice to the applicant:</w:t>
      </w:r>
    </w:p>
    <w:p>
      <w:pPr>
        <w:numPr>
          <w:ilvl w:val="0"/>
          <w:numId w:val="229"/>
        </w:numPr>
        <w:tabs>
          <w:tab w:val="clear" w:pos="360"/>
          <w:tab w:val="left" w:pos="1872"/>
        </w:tabs>
        <w:spacing w:before="124" w:after="0" w:line="274"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informing the applicant of the reasons for the proposed refusal; and</w:t>
      </w:r>
    </w:p>
    <w:p>
      <w:pPr>
        <w:numPr>
          <w:ilvl w:val="0"/>
          <w:numId w:val="229"/>
        </w:numPr>
        <w:tabs>
          <w:tab w:val="clear" w:pos="360"/>
          <w:tab w:val="left" w:pos="1872"/>
        </w:tabs>
        <w:spacing w:before="124" w:after="0" w:line="275" w:lineRule="exact"/>
        <w:ind w:right="72" w:left="1872"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advising the applicant that the applicant may, by a specified date (being not less than 28 days after giving the notice), make a submission to the regulator in relation to the proposed refusal.</w:t>
      </w:r>
    </w:p>
    <w:p>
      <w:pPr>
        <w:spacing w:before="124" w:after="0" w:line="274" w:lineRule="exact"/>
        <w:ind w:right="57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After the date specified in a notice under subregulation (1), the regulator must:</w:t>
      </w:r>
    </w:p>
    <w:p>
      <w:pPr>
        <w:numPr>
          <w:ilvl w:val="0"/>
          <w:numId w:val="230"/>
        </w:numPr>
        <w:tabs>
          <w:tab w:val="clear" w:pos="360"/>
          <w:tab w:val="left" w:pos="1872"/>
        </w:tabs>
        <w:spacing w:before="122" w:after="0" w:line="276" w:lineRule="exact"/>
        <w:ind w:right="79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applicant has made a submission in relation to the proposed refusal to grant the licence—consider that submission; and</w:t>
      </w:r>
    </w:p>
    <w:p>
      <w:pPr>
        <w:numPr>
          <w:ilvl w:val="0"/>
          <w:numId w:val="230"/>
        </w:numPr>
        <w:tabs>
          <w:tab w:val="clear" w:pos="360"/>
          <w:tab w:val="left" w:pos="1872"/>
        </w:tabs>
        <w:spacing w:before="116" w:after="0" w:line="278" w:lineRule="exact"/>
        <w:ind w:right="288" w:left="1872" w:hanging="360"/>
        <w:jc w:val="both"/>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whether or not the applicant has made a submission—decide whether to grant or refuse to grant the licence; and</w:t>
      </w:r>
    </w:p>
    <w:p>
      <w:pPr>
        <w:numPr>
          <w:ilvl w:val="0"/>
          <w:numId w:val="230"/>
        </w:numPr>
        <w:tabs>
          <w:tab w:val="clear" w:pos="360"/>
          <w:tab w:val="left" w:pos="1872"/>
        </w:tabs>
        <w:spacing w:before="118" w:after="0" w:line="276"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within 14 days after making that decision, give the applicant written notice of the decision, including the reasons for the decision.</w:t>
      </w:r>
    </w:p>
    <w:p>
      <w:pPr>
        <w:spacing w:before="130"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1030" w:line="228"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A decision to refuse to grant a licence is a reviewable decision (see regulation 676).</w:t>
      </w:r>
    </w:p>
    <w:p>
      <w:pPr>
        <w:spacing w:before="125" w:after="1030" w:line="228"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91</w:t>
      </w:r>
    </w:p>
    <w:p>
      <w:pPr>
        <w:sectPr>
          <w:type w:val="continuous"/>
          <w:pgSz w:w="11909" w:h="16838" w:orient="portrait"/>
          <w:pgMar w:bottom="1082" w:top="1140" w:right="5861" w:left="1968"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4.5	</w:t>
      </w:r>
      <w:r>
        <w:rPr>
          <w:rFonts w:ascii="Times New Roman" w:hAnsi="Times New Roman" w:eastAsia="Times New Roman"/>
          <w:color w:val="000000"/>
          <w:spacing w:val="0"/>
          <w:w w:val="100"/>
          <w:sz w:val="20"/>
          <w:vertAlign w:val="baseline"/>
          <w:lang w:val="en-US"/>
        </w:rPr>
        <w:t xml:space="preserve">High Risk Work</w:t>
      </w:r>
    </w:p>
    <w:p>
      <w:pPr>
        <w:spacing w:before="251" w:after="0" w:line="273"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4"/>
          <w:vertAlign w:val="baseline"/>
          <w:lang w:val="en-US"/>
        </w:rPr>
        <w:t xml:space="preserve">91A Conditions of licence</w:t>
      </w:r>
    </w:p>
    <w:p>
      <w:pPr>
        <w:spacing w:before="125" w:after="0" w:line="273" w:lineRule="exact"/>
        <w:ind w:right="288"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regulator may impose any conditions it considers appropriate on a high risk work licence.</w:t>
      </w:r>
    </w:p>
    <w:p>
      <w:pPr>
        <w:spacing w:before="126" w:after="0" w:line="273" w:lineRule="exact"/>
        <w:ind w:right="72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Without limiting subregulation (1), the regulator may impose conditions in relation to 1 or more of the following:</w:t>
      </w:r>
    </w:p>
    <w:p>
      <w:pPr>
        <w:numPr>
          <w:ilvl w:val="0"/>
          <w:numId w:val="231"/>
        </w:numPr>
        <w:tabs>
          <w:tab w:val="clear" w:pos="288"/>
          <w:tab w:val="left" w:pos="1872"/>
        </w:tabs>
        <w:spacing w:before="126" w:after="0" w:line="273" w:lineRule="exact"/>
        <w:ind w:right="288"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control measures that must be implemented in relation to the carrying out of work or activities under the licence;</w:t>
      </w:r>
    </w:p>
    <w:p>
      <w:pPr>
        <w:numPr>
          <w:ilvl w:val="0"/>
          <w:numId w:val="231"/>
        </w:numPr>
        <w:tabs>
          <w:tab w:val="clear" w:pos="288"/>
          <w:tab w:val="left" w:pos="1872"/>
        </w:tabs>
        <w:spacing w:before="126"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circumstances in which work or activities authorised by the licence may be carried out.</w:t>
      </w:r>
    </w:p>
    <w:p>
      <w:pPr>
        <w:spacing w:before="126" w:after="0" w:line="273"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regulator must given the licence holder written notice of any conditions imposed on the licence.</w:t>
      </w:r>
    </w:p>
    <w:p>
      <w:pPr>
        <w:spacing w:before="125"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Notes</w:t>
      </w:r>
    </w:p>
    <w:p>
      <w:pPr>
        <w:tabs>
          <w:tab w:val="left" w:leader="none" w:pos="1296"/>
        </w:tabs>
        <w:spacing w:before="126" w:after="0" w:line="227"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A person must comply with the conditions of a licence (see section 45 of the Act).</w:t>
      </w:r>
    </w:p>
    <w:p>
      <w:pPr>
        <w:tabs>
          <w:tab w:val="left" w:leader="none" w:pos="1296"/>
        </w:tabs>
        <w:spacing w:before="119" w:after="0" w:line="231" w:lineRule="exact"/>
        <w:ind w:right="720" w:left="1368" w:hanging="50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A decision to impose a condition on a licence is a reviewable decision (see regulation 676).</w:t>
      </w:r>
    </w:p>
    <w:p>
      <w:pPr>
        <w:spacing w:before="120" w:after="0" w:line="273"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92 Duration of licence</w:t>
      </w:r>
    </w:p>
    <w:p>
      <w:pPr>
        <w:spacing w:before="121" w:after="0" w:line="276" w:lineRule="exact"/>
        <w:ind w:right="144"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Subject to this Division, a high risk work licence takes effect on the day it is granted and, unless cancelled earlier, expires 5 years after that day.</w:t>
      </w:r>
    </w:p>
    <w:p>
      <w:pPr>
        <w:spacing w:before="122" w:after="0" w:line="273"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93 Licence document</w:t>
      </w:r>
    </w:p>
    <w:p>
      <w:pPr>
        <w:spacing w:before="121"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If the regulator grants a high risk work licence, the regulator must issue to the applicant a licence document in the form determined by the regulator.</w:t>
      </w:r>
    </w:p>
    <w:p>
      <w:pPr>
        <w:spacing w:before="122" w:after="0" w:line="272"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licence document must include the following:</w:t>
      </w:r>
    </w:p>
    <w:p>
      <w:pPr>
        <w:numPr>
          <w:ilvl w:val="0"/>
          <w:numId w:val="232"/>
        </w:numPr>
        <w:tabs>
          <w:tab w:val="clear" w:pos="288"/>
          <w:tab w:val="left" w:pos="1872"/>
        </w:tabs>
        <w:spacing w:before="126" w:after="0" w:line="272"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of the licence holder;</w:t>
      </w:r>
    </w:p>
    <w:p>
      <w:pPr>
        <w:numPr>
          <w:ilvl w:val="0"/>
          <w:numId w:val="232"/>
        </w:numPr>
        <w:tabs>
          <w:tab w:val="clear" w:pos="288"/>
          <w:tab w:val="left" w:pos="1872"/>
        </w:tabs>
        <w:spacing w:before="122" w:after="0" w:line="272"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photograph of the licence holder;</w:t>
      </w:r>
    </w:p>
    <w:p>
      <w:pPr>
        <w:numPr>
          <w:ilvl w:val="0"/>
          <w:numId w:val="232"/>
        </w:numPr>
        <w:tabs>
          <w:tab w:val="clear" w:pos="288"/>
          <w:tab w:val="left" w:pos="1872"/>
        </w:tabs>
        <w:spacing w:before="126" w:after="0" w:line="272"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date of birth of the licence holder;</w:t>
      </w:r>
    </w:p>
    <w:p>
      <w:pPr>
        <w:numPr>
          <w:ilvl w:val="0"/>
          <w:numId w:val="232"/>
        </w:numPr>
        <w:tabs>
          <w:tab w:val="clear" w:pos="288"/>
          <w:tab w:val="left" w:pos="1872"/>
        </w:tabs>
        <w:spacing w:before="116" w:after="0" w:line="278" w:lineRule="exact"/>
        <w:ind w:right="288"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copy of the signature of the licence holder or provision for the inclusion of a copy signature;</w:t>
      </w:r>
    </w:p>
    <w:p>
      <w:pPr>
        <w:numPr>
          <w:ilvl w:val="0"/>
          <w:numId w:val="232"/>
        </w:numPr>
        <w:tabs>
          <w:tab w:val="clear" w:pos="288"/>
          <w:tab w:val="left" w:pos="1872"/>
        </w:tabs>
        <w:spacing w:before="116" w:after="0" w:line="278" w:lineRule="exact"/>
        <w:ind w:right="504"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class of high risk work licence and a description of the work within the scope of the licence;</w:t>
      </w:r>
    </w:p>
    <w:p>
      <w:pPr>
        <w:numPr>
          <w:ilvl w:val="0"/>
          <w:numId w:val="232"/>
        </w:numPr>
        <w:tabs>
          <w:tab w:val="clear" w:pos="288"/>
          <w:tab w:val="left" w:pos="1872"/>
        </w:tabs>
        <w:spacing w:before="122" w:after="0" w:line="272"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date on which the licence was granted;</w:t>
      </w:r>
    </w:p>
    <w:p>
      <w:pPr>
        <w:numPr>
          <w:ilvl w:val="0"/>
          <w:numId w:val="232"/>
        </w:numPr>
        <w:tabs>
          <w:tab w:val="clear" w:pos="288"/>
          <w:tab w:val="left" w:pos="1872"/>
        </w:tabs>
        <w:spacing w:before="126" w:after="0" w:line="272"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expiry date of the licence.</w:t>
      </w:r>
    </w:p>
    <w:p>
      <w:pPr>
        <w:spacing w:before="116" w:after="831" w:line="278" w:lineRule="exact"/>
        <w:ind w:right="216" w:left="1368" w:hanging="360"/>
        <w:jc w:val="left"/>
        <w:textAlignment w:val="baseline"/>
        <w:rPr>
          <w:rFonts w:ascii="Times New Roman" w:hAnsi="Times New Roman" w:eastAsia="Times New Roman"/>
          <w:color w:val="000000"/>
          <w:spacing w:val="-1"/>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1"/>
          <w:w w:val="100"/>
          <w:sz w:val="24"/>
          <w:vertAlign w:val="baseline"/>
          <w:lang w:val="en-US"/>
        </w:rPr>
        <w:t xml:space="preserve">(3) For the purposes of subregulation (2)(e), if the regulator grants more than 1 class of high risk work licence to a person, the licence</w:t>
      </w:r>
    </w:p>
    <w:p>
      <w:pPr>
        <w:spacing w:before="116" w:after="831" w:line="278"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92</w:t>
      </w:r>
    </w:p>
    <w:p>
      <w:pPr>
        <w:sectPr>
          <w:type w:val="continuous"/>
          <w:pgSz w:w="11909" w:h="16838" w:orient="portrait"/>
          <w:pgMar w:bottom="1082" w:top="1140" w:right="5853" w:left="1976" w:header="720" w:footer="720"/>
          <w:titlePg w:val="false"/>
          <w:textDirection w:val="lrTb"/>
        </w:sectPr>
      </w:pPr>
    </w:p>
    <w:p>
      <w:pPr>
        <w:spacing w:before="6"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2" w:after="223"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4.5	</w:t>
      </w:r>
      <w:r>
        <w:rPr>
          <w:rFonts w:ascii="Times New Roman" w:hAnsi="Times New Roman" w:eastAsia="Times New Roman"/>
          <w:color w:val="000000"/>
          <w:spacing w:val="0"/>
          <w:w w:val="100"/>
          <w:sz w:val="20"/>
          <w:vertAlign w:val="baseline"/>
          <w:lang w:val="en-US"/>
        </w:rPr>
        <w:t xml:space="preserve">High Risk Work</w:t>
      </w:r>
    </w:p>
    <w:p>
      <w:pPr>
        <w:spacing w:before="245" w:after="0" w:line="279" w:lineRule="exact"/>
        <w:ind w:right="36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document must contain a description of each class of licence and the work that is within the scope of each licence.</w:t>
      </w:r>
    </w:p>
    <w:p>
      <w:pPr>
        <w:numPr>
          <w:ilvl w:val="0"/>
          <w:numId w:val="233"/>
        </w:numPr>
        <w:tabs>
          <w:tab w:val="clear" w:pos="360"/>
          <w:tab w:val="left" w:pos="1368"/>
        </w:tabs>
        <w:spacing w:before="117" w:after="0" w:line="276"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a licence holder holds more than 1 high risk work licence, the regulator may issue to the licence holder one licence document in relation to some or all those licences.</w:t>
      </w:r>
    </w:p>
    <w:p>
      <w:pPr>
        <w:numPr>
          <w:ilvl w:val="0"/>
          <w:numId w:val="233"/>
        </w:numPr>
        <w:tabs>
          <w:tab w:val="clear" w:pos="360"/>
          <w:tab w:val="left" w:pos="1368"/>
        </w:tabs>
        <w:spacing w:before="123" w:after="0" w:line="276" w:lineRule="exact"/>
        <w:ind w:right="504"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Despite regulation 92, if a licence document is issued under subregulation (4), the licences to which that licence document related expire on the date that the first of those licences expires.</w:t>
      </w:r>
    </w:p>
    <w:p>
      <w:pPr>
        <w:spacing w:before="120"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94 Licence document to be available</w:t>
      </w:r>
    </w:p>
    <w:p>
      <w:pPr>
        <w:numPr>
          <w:ilvl w:val="0"/>
          <w:numId w:val="234"/>
        </w:numPr>
        <w:tabs>
          <w:tab w:val="clear" w:pos="360"/>
          <w:tab w:val="left" w:pos="1368"/>
        </w:tabs>
        <w:spacing w:before="125" w:after="0" w:line="273" w:lineRule="exact"/>
        <w:ind w:right="64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licence holder must keep the licence document available for inspection under the Act.</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numPr>
          <w:ilvl w:val="0"/>
          <w:numId w:val="234"/>
        </w:numPr>
        <w:tabs>
          <w:tab w:val="clear" w:pos="360"/>
          <w:tab w:val="left" w:pos="1368"/>
        </w:tabs>
        <w:spacing w:before="124" w:after="0" w:line="274" w:lineRule="exact"/>
        <w:ind w:right="360"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Subregulation (1) does not apply if the licence document is not in the licence holder's possession because:</w:t>
      </w:r>
    </w:p>
    <w:p>
      <w:pPr>
        <w:numPr>
          <w:ilvl w:val="0"/>
          <w:numId w:val="235"/>
        </w:numPr>
        <w:tabs>
          <w:tab w:val="clear" w:pos="360"/>
          <w:tab w:val="left" w:pos="1872"/>
        </w:tabs>
        <w:spacing w:before="125" w:after="0" w:line="273" w:lineRule="exact"/>
        <w:ind w:right="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it has been returned to the regulator under regulation 97; or</w:t>
      </w:r>
    </w:p>
    <w:p>
      <w:pPr>
        <w:numPr>
          <w:ilvl w:val="0"/>
          <w:numId w:val="235"/>
        </w:numPr>
        <w:tabs>
          <w:tab w:val="clear" w:pos="360"/>
          <w:tab w:val="left" w:pos="1872"/>
        </w:tabs>
        <w:spacing w:before="116" w:after="0" w:line="278" w:lineRule="exact"/>
        <w:ind w:right="64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licence holder has applied for, but has not received, a replacement licence document under regulation 98.</w:t>
      </w:r>
    </w:p>
    <w:p>
      <w:pPr>
        <w:spacing w:before="121"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95 Reassessment of competency of licence holder</w:t>
      </w:r>
    </w:p>
    <w:p>
      <w:pPr>
        <w:spacing w:before="123" w:after="0" w:line="275"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may direct a licence holder to obtain a reassessment of the competency of the licence holder to carry out the high risk work covered by the licence if the regulator reasonably believes that the licence holder may not be competent to carry out that work.</w:t>
      </w:r>
    </w:p>
    <w:p>
      <w:pPr>
        <w:spacing w:before="129"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Examples</w:t>
      </w:r>
    </w:p>
    <w:p>
      <w:pPr>
        <w:tabs>
          <w:tab w:val="left" w:leader="none" w:pos="1296"/>
        </w:tabs>
        <w:spacing w:before="123" w:after="0" w:line="231" w:lineRule="exact"/>
        <w:ind w:right="504" w:left="1368" w:hanging="50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The training or competency assessment of the licence holder did not meet the standard required to hold the licence.</w:t>
      </w:r>
    </w:p>
    <w:p>
      <w:pPr>
        <w:tabs>
          <w:tab w:val="left" w:leader="none" w:pos="1296"/>
        </w:tabs>
        <w:spacing w:before="120" w:after="0" w:line="230" w:lineRule="exact"/>
        <w:ind w:right="144" w:left="1368" w:hanging="50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The regulator receives information that the licence holder has carried out high risk work incompetently.</w:t>
      </w:r>
    </w:p>
    <w:p>
      <w:pPr>
        <w:spacing w:before="243"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Subdivision 3 Amendment of licence document</w:t>
      </w:r>
    </w:p>
    <w:p>
      <w:pPr>
        <w:spacing w:before="115"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96 Notice of change of address</w:t>
      </w:r>
    </w:p>
    <w:p>
      <w:pPr>
        <w:spacing w:before="117" w:after="1396" w:line="276" w:lineRule="exact"/>
        <w:ind w:right="36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licence holder of a high risk work licence must notify the regulator of a change of residential address, within 14 days of the change occurring.</w:t>
      </w:r>
    </w:p>
    <w:p>
      <w:pPr>
        <w:spacing w:before="117" w:after="1396" w:line="276"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93</w:t>
      </w:r>
    </w:p>
    <w:p>
      <w:pPr>
        <w:sectPr>
          <w:type w:val="continuous"/>
          <w:pgSz w:w="11909" w:h="16838" w:orient="portrait"/>
          <w:pgMar w:bottom="1082" w:top="1140" w:right="5858" w:left="1971" w:header="720" w:footer="720"/>
          <w:titlePg w:val="false"/>
          <w:textDirection w:val="lrTb"/>
        </w:sectPr>
      </w:pPr>
    </w:p>
    <w:p>
      <w:pPr>
        <w:spacing w:before="6"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2" w:after="223"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4.5	</w:t>
      </w:r>
      <w:r>
        <w:rPr>
          <w:rFonts w:ascii="Times New Roman" w:hAnsi="Times New Roman" w:eastAsia="Times New Roman"/>
          <w:color w:val="000000"/>
          <w:spacing w:val="0"/>
          <w:w w:val="100"/>
          <w:sz w:val="20"/>
          <w:vertAlign w:val="baseline"/>
          <w:lang w:val="en-US"/>
        </w:rPr>
        <w:t xml:space="preserve">High Risk Work</w:t>
      </w:r>
    </w:p>
    <w:p>
      <w:pPr>
        <w:spacing w:before="25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26"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97 Licence holder to return licence</w:t>
      </w:r>
    </w:p>
    <w:p>
      <w:pPr>
        <w:spacing w:before="115" w:after="0" w:line="277" w:lineRule="exact"/>
        <w:ind w:right="216"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a high risk work licence is amended, the licence holder must return the licence document to the regulator for amendment at the written request of the regulator and within the time specified in the request.</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26"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98 Replacement licence document</w:t>
      </w:r>
    </w:p>
    <w:p>
      <w:pPr>
        <w:spacing w:before="118" w:after="0" w:line="274"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licence holder must notify the regulator as soon as practicable if the licence document is lost, stolen or destroyed.</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21" w:after="0" w:line="273" w:lineRule="exact"/>
        <w:ind w:right="72" w:left="0" w:firstLine="0"/>
        <w:jc w:val="righ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If a licence document is lost, stolen or destroyed, the licence holder</w:t>
      </w:r>
    </w:p>
    <w:p>
      <w:pPr>
        <w:spacing w:before="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may apply to the regulator for a replacement document.</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30" w:lineRule="exact"/>
        <w:ind w:right="72"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licence holder is required to keep the licence document available for inspection (see regulation 94).</w:t>
      </w:r>
    </w:p>
    <w:p>
      <w:pPr>
        <w:spacing w:before="112" w:after="0" w:line="279"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An application for a replacement licence document must be made in the manner and form required by the regulator.</w:t>
      </w:r>
    </w:p>
    <w:p>
      <w:pPr>
        <w:spacing w:before="120"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The application must:</w:t>
      </w:r>
    </w:p>
    <w:p>
      <w:pPr>
        <w:numPr>
          <w:ilvl w:val="0"/>
          <w:numId w:val="236"/>
        </w:numPr>
        <w:tabs>
          <w:tab w:val="clear" w:pos="360"/>
          <w:tab w:val="left" w:pos="1872"/>
        </w:tabs>
        <w:spacing w:before="126" w:after="0" w:line="273" w:lineRule="exact"/>
        <w:ind w:right="36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include a declaration describing the circumstances in which the original document was lost, stolen or destroyed; and</w:t>
      </w:r>
    </w:p>
    <w:p>
      <w:pPr>
        <w:spacing w:before="129"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8" w:after="0" w:line="226" w:lineRule="exact"/>
        <w:ind w:right="360" w:left="1872"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section 268 of the Act for offences relating to the giving of false or misleading information under the Act or these Regulations.</w:t>
      </w:r>
    </w:p>
    <w:p>
      <w:pPr>
        <w:numPr>
          <w:ilvl w:val="0"/>
          <w:numId w:val="236"/>
        </w:numPr>
        <w:tabs>
          <w:tab w:val="clear" w:pos="360"/>
          <w:tab w:val="left" w:pos="1872"/>
        </w:tabs>
        <w:spacing w:before="118"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be accompanied by the relevant fee.</w:t>
      </w:r>
    </w:p>
    <w:p>
      <w:pPr>
        <w:spacing w:before="124" w:after="1358" w:line="274"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(5) The regulator must issue a replacement licence document if satisfied that the original document was lost, stolen or destroyed.</w:t>
      </w:r>
    </w:p>
    <w:p>
      <w:pPr>
        <w:spacing w:before="124" w:after="1358" w:line="274"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94</w:t>
      </w:r>
    </w:p>
    <w:p>
      <w:pPr>
        <w:sectPr>
          <w:type w:val="continuous"/>
          <w:pgSz w:w="11909" w:h="16838" w:orient="portrait"/>
          <w:pgMar w:bottom="1082" w:top="1140" w:right="5853" w:left="1976"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4.5	</w:t>
      </w:r>
      <w:r>
        <w:rPr>
          <w:rFonts w:ascii="Times New Roman" w:hAnsi="Times New Roman" w:eastAsia="Times New Roman"/>
          <w:color w:val="000000"/>
          <w:spacing w:val="0"/>
          <w:w w:val="100"/>
          <w:sz w:val="20"/>
          <w:vertAlign w:val="baseline"/>
          <w:lang w:val="en-US"/>
        </w:rPr>
        <w:t xml:space="preserve">High Risk Work</w:t>
      </w:r>
    </w:p>
    <w:p>
      <w:pPr>
        <w:spacing w:before="247" w:after="0" w:line="277"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(6) If the regulator refuses to issue a replacement licence document, it must give the licence holder written notice of this decision, including the reasons for the decision, within 14 days after making the decision.</w:t>
      </w:r>
    </w:p>
    <w:p>
      <w:pPr>
        <w:spacing w:before="124"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30" w:lineRule="exact"/>
        <w:ind w:right="216"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decision to refuse to replace a licence is a reviewable decision (see regulation 676).</w:t>
      </w:r>
    </w:p>
    <w:p>
      <w:pPr>
        <w:spacing w:before="117"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99 Voluntary surrender of licence</w:t>
      </w:r>
    </w:p>
    <w:p>
      <w:pPr>
        <w:numPr>
          <w:ilvl w:val="0"/>
          <w:numId w:val="237"/>
        </w:numPr>
        <w:tabs>
          <w:tab w:val="clear" w:pos="360"/>
          <w:tab w:val="left" w:pos="1368"/>
        </w:tabs>
        <w:spacing w:before="115" w:after="0" w:line="278" w:lineRule="exact"/>
        <w:ind w:right="72"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licence holder may voluntarily surrender the licence document to the regulator.</w:t>
      </w:r>
    </w:p>
    <w:p>
      <w:pPr>
        <w:numPr>
          <w:ilvl w:val="0"/>
          <w:numId w:val="237"/>
        </w:numPr>
        <w:tabs>
          <w:tab w:val="clear" w:pos="360"/>
          <w:tab w:val="left" w:pos="1368"/>
        </w:tabs>
        <w:spacing w:before="121" w:after="0" w:line="273" w:lineRule="exact"/>
        <w:ind w:right="0"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licence expires on the surrender of the licence document.</w:t>
      </w:r>
    </w:p>
    <w:p>
      <w:pPr>
        <w:spacing w:before="250"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Subdivision 4 Renewal of high risk work licence</w:t>
      </w:r>
    </w:p>
    <w:p>
      <w:pPr>
        <w:spacing w:before="115"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100 Regulator may renew licence</w:t>
      </w:r>
    </w:p>
    <w:p>
      <w:pPr>
        <w:spacing w:before="123" w:after="0" w:line="274"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may renew a high risk work licence on application by the licence holder.</w:t>
      </w:r>
    </w:p>
    <w:p>
      <w:pPr>
        <w:spacing w:before="125" w:after="0" w:line="274"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101 Application for renewal</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An application for renewal of a high risk work licence must be</w:t>
      </w:r>
    </w:p>
    <w:p>
      <w:pPr>
        <w:spacing w:before="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made in the manner and form required by the regulator.</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application must include the following information:</w:t>
      </w:r>
    </w:p>
    <w:p>
      <w:pPr>
        <w:numPr>
          <w:ilvl w:val="0"/>
          <w:numId w:val="238"/>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and residential address of the applicant;</w:t>
      </w:r>
    </w:p>
    <w:p>
      <w:pPr>
        <w:numPr>
          <w:ilvl w:val="0"/>
          <w:numId w:val="238"/>
        </w:numPr>
        <w:tabs>
          <w:tab w:val="clear" w:pos="360"/>
          <w:tab w:val="left" w:pos="1872"/>
        </w:tabs>
        <w:spacing w:before="116" w:after="0" w:line="278"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required by the regulator, a photograph of the applicant in the form required by the regulator;</w:t>
      </w:r>
    </w:p>
    <w:p>
      <w:pPr>
        <w:numPr>
          <w:ilvl w:val="0"/>
          <w:numId w:val="238"/>
        </w:numPr>
        <w:tabs>
          <w:tab w:val="clear" w:pos="360"/>
          <w:tab w:val="left" w:pos="1872"/>
        </w:tabs>
        <w:spacing w:before="116" w:after="0" w:line="278"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other evidence of the applicant's identity required by the regulator;</w:t>
      </w:r>
    </w:p>
    <w:p>
      <w:pPr>
        <w:numPr>
          <w:ilvl w:val="0"/>
          <w:numId w:val="238"/>
        </w:numPr>
        <w:tabs>
          <w:tab w:val="clear" w:pos="360"/>
          <w:tab w:val="left" w:pos="1872"/>
        </w:tabs>
        <w:spacing w:before="118"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declaration by the applicant that he or she has maintained his or her competency to carry out the high risk work, including by obtaining any reassessment directed under regulation 95.</w:t>
      </w:r>
    </w:p>
    <w:p>
      <w:pPr>
        <w:spacing w:before="129"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30" w:lineRule="exact"/>
        <w:ind w:right="864"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section 268 of the Act for offences relating to the giving of false or misleading information under the Act or these Regulations.</w:t>
      </w:r>
    </w:p>
    <w:p>
      <w:pPr>
        <w:spacing w:before="117"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application must be accompanied by the relevant fee.</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The application must be made before the expiry of the licence.</w:t>
      </w:r>
    </w:p>
    <w:p>
      <w:pPr>
        <w:spacing w:before="121"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102 Licence continues in force until application is decided</w:t>
      </w:r>
    </w:p>
    <w:p>
      <w:pPr>
        <w:spacing w:before="123" w:after="1036" w:line="274" w:lineRule="exact"/>
        <w:ind w:right="72" w:left="1368" w:firstLine="0"/>
        <w:jc w:val="left"/>
        <w:textAlignment w:val="baseline"/>
        <w:rPr>
          <w:rFonts w:ascii="Times New Roman" w:hAnsi="Times New Roman" w:eastAsia="Times New Roman"/>
          <w:color w:val="000000"/>
          <w:spacing w:val="-1"/>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1"/>
          <w:w w:val="100"/>
          <w:sz w:val="24"/>
          <w:vertAlign w:val="baseline"/>
          <w:lang w:val="en-US"/>
        </w:rPr>
        <w:t xml:space="preserve">If a licence holder applies under regulation 101 for the renewal of a high risk work licence, the licence is taken to continue in force from</w:t>
      </w:r>
    </w:p>
    <w:p>
      <w:pPr>
        <w:spacing w:before="123" w:after="1036" w:line="274"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95</w:t>
      </w:r>
    </w:p>
    <w:p>
      <w:pPr>
        <w:sectPr>
          <w:type w:val="continuous"/>
          <w:pgSz w:w="11909" w:h="16838" w:orient="portrait"/>
          <w:pgMar w:bottom="1082" w:top="1140" w:right="5856" w:left="1973"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4.5	</w:t>
      </w:r>
      <w:r>
        <w:rPr>
          <w:rFonts w:ascii="Times New Roman" w:hAnsi="Times New Roman" w:eastAsia="Times New Roman"/>
          <w:color w:val="000000"/>
          <w:spacing w:val="0"/>
          <w:w w:val="100"/>
          <w:sz w:val="20"/>
          <w:vertAlign w:val="baseline"/>
          <w:lang w:val="en-US"/>
        </w:rPr>
        <w:t xml:space="preserve">High Risk Work</w:t>
      </w:r>
    </w:p>
    <w:p>
      <w:pPr>
        <w:spacing w:before="245" w:after="0" w:line="279" w:lineRule="exact"/>
        <w:ind w:right="288" w:left="1368" w:firstLine="0"/>
        <w:jc w:val="left"/>
        <w:textAlignment w:val="baseline"/>
        <w:rPr>
          <w:rFonts w:ascii="Times New Roman" w:hAnsi="Times New Roman" w:eastAsia="Times New Roman"/>
          <w:color w:val="000000"/>
          <w:spacing w:val="-1"/>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1"/>
          <w:w w:val="100"/>
          <w:sz w:val="24"/>
          <w:vertAlign w:val="baseline"/>
          <w:lang w:val="en-US"/>
        </w:rPr>
        <w:t xml:space="preserve">the day it would, apart from this regulation, have expired until the licence holder is given notice of the decision on the application.</w:t>
      </w:r>
    </w:p>
    <w:p>
      <w:pPr>
        <w:spacing w:before="120" w:after="0" w:line="273"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103 Renewal of expired licence</w:t>
      </w:r>
    </w:p>
    <w:p>
      <w:pPr>
        <w:spacing w:before="126" w:after="0" w:line="273" w:lineRule="exact"/>
        <w:ind w:right="144"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whose high risk work licence has expired may apply for a renewal of that licence:</w:t>
      </w:r>
    </w:p>
    <w:p>
      <w:pPr>
        <w:numPr>
          <w:ilvl w:val="0"/>
          <w:numId w:val="239"/>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within 12 months after the expiry of the licence; or</w:t>
      </w:r>
    </w:p>
    <w:p>
      <w:pPr>
        <w:numPr>
          <w:ilvl w:val="0"/>
          <w:numId w:val="239"/>
        </w:numPr>
        <w:tabs>
          <w:tab w:val="clear" w:pos="360"/>
          <w:tab w:val="left" w:pos="1872"/>
        </w:tabs>
        <w:spacing w:before="117" w:after="0" w:line="276" w:lineRule="exact"/>
        <w:ind w:right="86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person satisfies the regulator that exceptional circumstances exist—within any longer period that the regulator allows.</w:t>
      </w:r>
    </w:p>
    <w:p>
      <w:pPr>
        <w:spacing w:before="124"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Notes</w:t>
      </w:r>
    </w:p>
    <w:p>
      <w:pPr>
        <w:tabs>
          <w:tab w:val="left" w:leader="none" w:pos="1296"/>
        </w:tabs>
        <w:spacing w:before="124" w:after="0" w:line="230" w:lineRule="exact"/>
        <w:ind w:right="72" w:left="1368" w:hanging="50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As the licence has expired, the applicant cannot carry out the work covered by the licence until the licence is renewed. An application made after a period referred to in paragraph (a) or (b) would be an application for a new licence under regulation 87.</w:t>
      </w:r>
    </w:p>
    <w:p>
      <w:pPr>
        <w:tabs>
          <w:tab w:val="left" w:leader="none" w:pos="1296"/>
        </w:tabs>
        <w:spacing w:before="119" w:after="0" w:line="231" w:lineRule="exact"/>
        <w:ind w:right="72" w:left="1368" w:hanging="50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See section 268 of the Act for offences relating to the giving of false or misleading information under the Act or these Regulations.</w:t>
      </w:r>
    </w:p>
    <w:p>
      <w:pPr>
        <w:tabs>
          <w:tab w:val="left" w:leader="none" w:pos="936"/>
        </w:tabs>
        <w:spacing w:before="120" w:after="0" w:line="273" w:lineRule="exact"/>
        <w:ind w:right="0" w:left="288" w:firstLine="0"/>
        <w:jc w:val="left"/>
        <w:textAlignment w:val="baseline"/>
        <w:rPr>
          <w:rFonts w:ascii="Times New Roman" w:hAnsi="Times New Roman" w:eastAsia="Times New Roman"/>
          <w:b w:val="true"/>
          <w:color w:val="000000"/>
          <w:spacing w:val="-1"/>
          <w:w w:val="100"/>
          <w:sz w:val="24"/>
          <w:vertAlign w:val="baseline"/>
          <w:lang w:val="en-US"/>
        </w:rPr>
      </w:pPr>
      <w:r>
        <w:rPr>
          <w:rFonts w:ascii="Times New Roman" w:hAnsi="Times New Roman" w:eastAsia="Times New Roman"/>
          <w:b w:val="true"/>
          <w:color w:val="000000"/>
          <w:spacing w:val="-1"/>
          <w:w w:val="100"/>
          <w:sz w:val="24"/>
          <w:vertAlign w:val="baseline"/>
          <w:lang w:val="en-US"/>
        </w:rPr>
        <w:t xml:space="preserve">104	</w:t>
      </w:r>
      <w:r>
        <w:rPr>
          <w:rFonts w:ascii="Times New Roman" w:hAnsi="Times New Roman" w:eastAsia="Times New Roman"/>
          <w:b w:val="true"/>
          <w:color w:val="000000"/>
          <w:spacing w:val="-1"/>
          <w:w w:val="100"/>
          <w:sz w:val="24"/>
          <w:vertAlign w:val="baseline"/>
          <w:lang w:val="en-US"/>
        </w:rPr>
        <w:t xml:space="preserve">Provisions relating to renewal of licence</w:t>
      </w:r>
    </w:p>
    <w:p>
      <w:pPr>
        <w:spacing w:before="120"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For the purposes of this Subdivision:</w:t>
      </w:r>
    </w:p>
    <w:p>
      <w:pPr>
        <w:numPr>
          <w:ilvl w:val="0"/>
          <w:numId w:val="240"/>
        </w:numPr>
        <w:tabs>
          <w:tab w:val="clear" w:pos="360"/>
          <w:tab w:val="left" w:pos="1872"/>
        </w:tabs>
        <w:spacing w:before="123" w:after="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regulation 88 applies as if a reference in that regulation to an application for a licence were a reference to an application to renew a licence; and</w:t>
      </w:r>
    </w:p>
    <w:p>
      <w:pPr>
        <w:numPr>
          <w:ilvl w:val="0"/>
          <w:numId w:val="240"/>
        </w:numPr>
        <w:tabs>
          <w:tab w:val="clear" w:pos="360"/>
          <w:tab w:val="left" w:pos="1872"/>
        </w:tabs>
        <w:spacing w:before="117" w:after="0" w:line="276"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regulations 89 (except subregulation (5)), 90, 91A and 92 apply as if a reference in those regulations to the grant of a licence were a reference to the renewal of a licence; and</w:t>
      </w:r>
    </w:p>
    <w:p>
      <w:pPr>
        <w:numPr>
          <w:ilvl w:val="0"/>
          <w:numId w:val="240"/>
        </w:numPr>
        <w:tabs>
          <w:tab w:val="clear" w:pos="360"/>
          <w:tab w:val="left" w:pos="1872"/>
        </w:tabs>
        <w:spacing w:before="123"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regulation 91 applies as if a reference in that regulation to a refusal to grant a licence were a reference to a refusal to renew a licence.</w:t>
      </w:r>
    </w:p>
    <w:p>
      <w:pPr>
        <w:spacing w:before="117" w:after="0" w:line="276" w:lineRule="exact"/>
        <w:ind w:right="64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regulator may renew a high risk work licence granted to a person under a corresponding WHS law unless that licence is renewed under that law.</w:t>
      </w:r>
    </w:p>
    <w:p>
      <w:pPr>
        <w:spacing w:before="129"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0" w:after="0" w:line="373" w:lineRule="exact"/>
        <w:ind w:right="1224" w:left="288" w:firstLine="576"/>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refusal to renew a licence is a reviewable decision (see regulation 676). </w:t>
      </w:r>
      <w:r>
        <w:rPr>
          <w:rFonts w:ascii="Times New Roman" w:hAnsi="Times New Roman" w:eastAsia="Times New Roman"/>
          <w:b w:val="true"/>
          <w:color w:val="000000"/>
          <w:spacing w:val="0"/>
          <w:w w:val="100"/>
          <w:sz w:val="24"/>
          <w:vertAlign w:val="baseline"/>
          <w:lang w:val="en-US"/>
        </w:rPr>
        <w:t xml:space="preserve">105 Status of licence during review</w:t>
      </w:r>
    </w:p>
    <w:p>
      <w:pPr>
        <w:spacing w:before="114" w:after="1540" w:line="279" w:lineRule="exact"/>
        <w:ind w:right="72" w:left="1368" w:hanging="36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(1) This regulation applies if the regulator gives a licence holder written notice of its decision to refuse to renew the licence.</w:t>
      </w:r>
    </w:p>
    <w:p>
      <w:pPr>
        <w:spacing w:before="114" w:after="1540" w:line="279"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96</w:t>
      </w:r>
    </w:p>
    <w:p>
      <w:pPr>
        <w:sectPr>
          <w:type w:val="continuous"/>
          <w:pgSz w:w="11909" w:h="16838" w:orient="portrait"/>
          <w:pgMar w:bottom="1082" w:top="1140" w:right="5853" w:left="1976"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4.5	</w:t>
      </w:r>
      <w:r>
        <w:rPr>
          <w:rFonts w:ascii="Times New Roman" w:hAnsi="Times New Roman" w:eastAsia="Times New Roman"/>
          <w:color w:val="000000"/>
          <w:spacing w:val="0"/>
          <w:w w:val="100"/>
          <w:sz w:val="20"/>
          <w:vertAlign w:val="baseline"/>
          <w:lang w:val="en-US"/>
        </w:rPr>
        <w:t xml:space="preserve">High Risk Work</w:t>
      </w:r>
    </w:p>
    <w:p>
      <w:pPr>
        <w:spacing w:before="248" w:after="0" w:line="276"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(2) If the licence holder does not apply for internal review of the decision, the licence continues to have effect until the last of the following events:</w:t>
      </w:r>
    </w:p>
    <w:p>
      <w:pPr>
        <w:numPr>
          <w:ilvl w:val="0"/>
          <w:numId w:val="241"/>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expiry of the licence;</w:t>
      </w:r>
    </w:p>
    <w:p>
      <w:pPr>
        <w:numPr>
          <w:ilvl w:val="0"/>
          <w:numId w:val="241"/>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end of the period for applying for an internal review.</w:t>
      </w:r>
    </w:p>
    <w:p>
      <w:pPr>
        <w:spacing w:before="123"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If the licence holder applies for an internal review of the decision, the licence continues to have effect until the earlier of the following events:</w:t>
      </w:r>
    </w:p>
    <w:p>
      <w:pPr>
        <w:numPr>
          <w:ilvl w:val="0"/>
          <w:numId w:val="242"/>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licence holder withdraws the application for review;</w:t>
      </w:r>
    </w:p>
    <w:p>
      <w:pPr>
        <w:numPr>
          <w:ilvl w:val="0"/>
          <w:numId w:val="242"/>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makes a decision on the review.</w:t>
      </w:r>
    </w:p>
    <w:p>
      <w:pPr>
        <w:spacing w:before="117" w:after="0" w:line="276" w:lineRule="exact"/>
        <w:ind w:right="64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If the licence holder does not apply for an external review, the licence continues to have effect until the end of the time for applying for an external review.</w:t>
      </w:r>
    </w:p>
    <w:p>
      <w:pPr>
        <w:spacing w:before="116" w:after="0" w:line="278"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If the licence holder applies for an external review, the licence continues to have effect until the earlier of the following events:</w:t>
      </w:r>
    </w:p>
    <w:p>
      <w:pPr>
        <w:spacing w:before="121"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the licence holder withdraws the application for review;</w:t>
      </w:r>
    </w:p>
    <w:p>
      <w:pPr>
        <w:numPr>
          <w:ilvl w:val="0"/>
          <w:numId w:val="243"/>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external review body] makes a decision on the review.</w:t>
      </w:r>
    </w:p>
    <w:p>
      <w:pPr>
        <w:spacing w:before="124"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8"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14" w:after="0" w:line="278"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(6) The licence continues to have effect under this regulation even if its expiry date passes.</w:t>
      </w:r>
    </w:p>
    <w:p>
      <w:pPr>
        <w:spacing w:before="246" w:after="0" w:line="273"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Subdivision 5 Suspension and cancellation of high risk work licence</w:t>
      </w:r>
    </w:p>
    <w:p>
      <w:pPr>
        <w:tabs>
          <w:tab w:val="left" w:leader="none" w:pos="864"/>
        </w:tabs>
        <w:spacing w:before="120" w:after="0" w:line="273"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106	</w:t>
      </w:r>
      <w:r>
        <w:rPr>
          <w:rFonts w:ascii="Times New Roman" w:hAnsi="Times New Roman" w:eastAsia="Times New Roman"/>
          <w:b w:val="true"/>
          <w:color w:val="000000"/>
          <w:spacing w:val="0"/>
          <w:w w:val="100"/>
          <w:sz w:val="24"/>
          <w:vertAlign w:val="baseline"/>
          <w:lang w:val="en-US"/>
        </w:rPr>
        <w:t xml:space="preserve">Suspension or cancellation of licence</w:t>
      </w:r>
    </w:p>
    <w:p>
      <w:pPr>
        <w:spacing w:before="116" w:after="0" w:line="278" w:lineRule="exact"/>
        <w:ind w:right="432"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regulator may suspend or cancel a high risk work licence if satisfied about 1 or more of the following:</w:t>
      </w:r>
    </w:p>
    <w:p>
      <w:pPr>
        <w:numPr>
          <w:ilvl w:val="0"/>
          <w:numId w:val="244"/>
        </w:numPr>
        <w:tabs>
          <w:tab w:val="clear" w:pos="360"/>
          <w:tab w:val="left" w:pos="1872"/>
        </w:tabs>
        <w:spacing w:before="116" w:after="0" w:line="278"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licence holder has failed to take reasonable care to carry out the high risk work safely and competently;</w:t>
      </w:r>
    </w:p>
    <w:p>
      <w:pPr>
        <w:spacing w:before="116" w:after="0" w:line="278" w:lineRule="exact"/>
        <w:ind w:right="144" w:left="1872"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(ab) the licence holder has failed to comply with a condition of the licence;</w:t>
      </w:r>
    </w:p>
    <w:p>
      <w:pPr>
        <w:numPr>
          <w:ilvl w:val="0"/>
          <w:numId w:val="244"/>
        </w:numPr>
        <w:tabs>
          <w:tab w:val="clear" w:pos="360"/>
          <w:tab w:val="left" w:pos="1872"/>
        </w:tabs>
        <w:spacing w:before="116" w:after="0" w:line="278" w:lineRule="exact"/>
        <w:ind w:right="72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licence holder has failed to obtain a reassessment of competency directed under regulation 95;</w:t>
      </w:r>
    </w:p>
    <w:p>
      <w:pPr>
        <w:numPr>
          <w:ilvl w:val="0"/>
          <w:numId w:val="244"/>
        </w:numPr>
        <w:tabs>
          <w:tab w:val="clear" w:pos="360"/>
          <w:tab w:val="left" w:pos="1872"/>
        </w:tabs>
        <w:spacing w:before="118" w:after="1137" w:line="276"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licence holder, in the application for the grant or renewal of the licence or on request by the regulator for additional information:</w:t>
      </w:r>
    </w:p>
    <w:p>
      <w:pPr>
        <w:spacing w:before="118" w:after="1137" w:line="276"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97</w:t>
      </w:r>
    </w:p>
    <w:p>
      <w:pPr>
        <w:sectPr>
          <w:type w:val="continuous"/>
          <w:pgSz w:w="11909" w:h="16838" w:orient="portrait"/>
          <w:pgMar w:bottom="1082" w:top="1140" w:right="5853" w:left="1976"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4.5	</w:t>
      </w:r>
      <w:r>
        <w:rPr>
          <w:rFonts w:ascii="Times New Roman" w:hAnsi="Times New Roman" w:eastAsia="Times New Roman"/>
          <w:color w:val="000000"/>
          <w:spacing w:val="0"/>
          <w:w w:val="100"/>
          <w:sz w:val="20"/>
          <w:vertAlign w:val="baseline"/>
          <w:lang w:val="en-US"/>
        </w:rPr>
        <w:t xml:space="preserve">High Risk Work</w:t>
      </w:r>
    </w:p>
    <w:p>
      <w:pPr>
        <w:numPr>
          <w:ilvl w:val="0"/>
          <w:numId w:val="245"/>
        </w:numPr>
        <w:tabs>
          <w:tab w:val="clear" w:pos="360"/>
          <w:tab w:val="left" w:pos="2376"/>
        </w:tabs>
        <w:spacing w:before="245" w:after="0" w:line="279" w:lineRule="exact"/>
        <w:ind w:right="792" w:left="2376"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gave information that was false or misleading in a material particular; or</w:t>
      </w:r>
    </w:p>
    <w:p>
      <w:pPr>
        <w:numPr>
          <w:ilvl w:val="0"/>
          <w:numId w:val="245"/>
        </w:numPr>
        <w:tabs>
          <w:tab w:val="clear" w:pos="360"/>
          <w:tab w:val="left" w:pos="2376"/>
        </w:tabs>
        <w:spacing w:before="114" w:after="0" w:line="279" w:lineRule="exact"/>
        <w:ind w:right="288"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failed to give any material information that should have been given in that application or on that request;</w:t>
      </w:r>
    </w:p>
    <w:p>
      <w:pPr>
        <w:spacing w:before="120"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the licence was granted or renewed on the basis of a certification that was obtained on the basis of the giving of false or misleading information by any person or body or that was obtained improperly through a breach of a condition of accreditation by the accredited assessor who conducted the competency assessment.</w:t>
      </w:r>
    </w:p>
    <w:p>
      <w:pPr>
        <w:spacing w:before="114" w:after="0" w:line="279"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If the regulator suspends or cancels a licence, the regulator may disqualify the licence holder from applying for:</w:t>
      </w:r>
    </w:p>
    <w:p>
      <w:pPr>
        <w:numPr>
          <w:ilvl w:val="0"/>
          <w:numId w:val="246"/>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further high risk work licence of the same class; or</w:t>
      </w:r>
    </w:p>
    <w:p>
      <w:pPr>
        <w:numPr>
          <w:ilvl w:val="0"/>
          <w:numId w:val="246"/>
        </w:numPr>
        <w:tabs>
          <w:tab w:val="clear" w:pos="360"/>
          <w:tab w:val="left" w:pos="1872"/>
        </w:tabs>
        <w:spacing w:before="120" w:after="0" w:line="276"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another licence under these Regulations to carry out work which requires skills that are the same as or similar to those required for the work authorised by the licence that has been suspended or cancelled.</w:t>
      </w:r>
    </w:p>
    <w:p>
      <w:pPr>
        <w:spacing w:before="118" w:after="0" w:line="276" w:lineRule="exact"/>
        <w:ind w:right="64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If the regulator suspends a licence, the regulator may vary the conditions of the licence, including by imposing different or additional conditions.</w:t>
      </w:r>
    </w:p>
    <w:p>
      <w:pPr>
        <w:spacing w:before="124" w:after="0" w:line="274" w:lineRule="exact"/>
        <w:ind w:right="144"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A variation of conditions under subregulation (3) takes effect when the suspension of the licence ends.</w:t>
      </w:r>
    </w:p>
    <w:p>
      <w:pPr>
        <w:spacing w:before="129"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Notes</w:t>
      </w:r>
    </w:p>
    <w:p>
      <w:pPr>
        <w:tabs>
          <w:tab w:val="left" w:leader="none" w:pos="1152"/>
        </w:tabs>
        <w:spacing w:before="123" w:after="0" w:line="230" w:lineRule="exact"/>
        <w:ind w:right="288" w:left="1152" w:hanging="288"/>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A decision to suspend a licence, to cancel a licence or to disqualify the licence holder from applying for a further licence is a reviewable decision (see regulation 676).</w:t>
      </w:r>
    </w:p>
    <w:p>
      <w:pPr>
        <w:tabs>
          <w:tab w:val="left" w:leader="none" w:pos="1152"/>
        </w:tabs>
        <w:spacing w:before="0" w:after="0" w:line="371" w:lineRule="exact"/>
        <w:ind w:right="576" w:left="288" w:firstLine="576"/>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A variation of licence conditions is a reviewable decision (see regulation 676). </w:t>
      </w:r>
      <w:r>
        <w:rPr>
          <w:rFonts w:ascii="Times New Roman" w:hAnsi="Times New Roman" w:eastAsia="Times New Roman"/>
          <w:b w:val="true"/>
          <w:color w:val="000000"/>
          <w:spacing w:val="0"/>
          <w:w w:val="100"/>
          <w:sz w:val="24"/>
          <w:vertAlign w:val="baseline"/>
          <w:lang w:val="en-US"/>
        </w:rPr>
        <w:t xml:space="preserve">107 Matters taken into account</w:t>
      </w:r>
    </w:p>
    <w:p>
      <w:pPr>
        <w:spacing w:before="116" w:after="0" w:line="278" w:lineRule="exact"/>
        <w:ind w:right="144"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In making a decision under regulation 106, the regulator must have regard to:</w:t>
      </w:r>
    </w:p>
    <w:p>
      <w:pPr>
        <w:numPr>
          <w:ilvl w:val="0"/>
          <w:numId w:val="247"/>
        </w:numPr>
        <w:tabs>
          <w:tab w:val="clear" w:pos="360"/>
          <w:tab w:val="left" w:pos="1872"/>
        </w:tabs>
        <w:spacing w:before="120" w:after="0" w:line="274"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submissions made by the licence holder under regulation 108; and</w:t>
      </w:r>
    </w:p>
    <w:p>
      <w:pPr>
        <w:numPr>
          <w:ilvl w:val="0"/>
          <w:numId w:val="247"/>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advice received from a corresponding regulator.</w:t>
      </w:r>
    </w:p>
    <w:p>
      <w:pPr>
        <w:spacing w:before="121"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For the purposes of regulation 106(1)(a), the regulator must have</w:t>
      </w:r>
    </w:p>
    <w:p>
      <w:pPr>
        <w:spacing w:before="5" w:after="1598"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regard to all relevant matters, including the following:</w:t>
      </w:r>
    </w:p>
    <w:p>
      <w:pPr>
        <w:spacing w:before="5" w:after="1598" w:line="273"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98</w:t>
      </w:r>
    </w:p>
    <w:p>
      <w:pPr>
        <w:sectPr>
          <w:type w:val="continuous"/>
          <w:pgSz w:w="11909" w:h="16838" w:orient="portrait"/>
          <w:pgMar w:bottom="1082" w:top="1140" w:right="5856" w:left="1973"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4.5	</w:t>
      </w:r>
      <w:r>
        <w:rPr>
          <w:rFonts w:ascii="Times New Roman" w:hAnsi="Times New Roman" w:eastAsia="Times New Roman"/>
          <w:color w:val="000000"/>
          <w:spacing w:val="0"/>
          <w:w w:val="100"/>
          <w:sz w:val="20"/>
          <w:vertAlign w:val="baseline"/>
          <w:lang w:val="en-US"/>
        </w:rPr>
        <w:t xml:space="preserve">High Risk Work</w:t>
      </w:r>
    </w:p>
    <w:p>
      <w:pPr>
        <w:spacing w:before="247"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any offence under the Act or these Regulations or under a corresponding WHS law, of which the licence holder has been convicted or found guilty;</w:t>
      </w:r>
    </w:p>
    <w:p>
      <w:pPr>
        <w:spacing w:before="125"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8"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15"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in relation to any equivalent licence applied for or held by the licence holder under the Act or these Regulations or under a corresponding WHS law:</w:t>
      </w:r>
    </w:p>
    <w:p>
      <w:pPr>
        <w:numPr>
          <w:ilvl w:val="0"/>
          <w:numId w:val="248"/>
        </w:numPr>
        <w:tabs>
          <w:tab w:val="clear" w:pos="504"/>
          <w:tab w:val="left" w:pos="2376"/>
        </w:tabs>
        <w:spacing w:before="126" w:after="0" w:line="272" w:lineRule="exact"/>
        <w:ind w:right="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refusal to grant the licence; and</w:t>
      </w:r>
    </w:p>
    <w:p>
      <w:pPr>
        <w:numPr>
          <w:ilvl w:val="0"/>
          <w:numId w:val="248"/>
        </w:numPr>
        <w:tabs>
          <w:tab w:val="clear" w:pos="504"/>
          <w:tab w:val="left" w:pos="2376"/>
        </w:tabs>
        <w:spacing w:before="122" w:after="0" w:line="272" w:lineRule="exact"/>
        <w:ind w:right="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condition imposed on the licence, if granted; and</w:t>
      </w:r>
    </w:p>
    <w:p>
      <w:pPr>
        <w:numPr>
          <w:ilvl w:val="0"/>
          <w:numId w:val="248"/>
        </w:numPr>
        <w:tabs>
          <w:tab w:val="clear" w:pos="504"/>
          <w:tab w:val="left" w:pos="2376"/>
        </w:tabs>
        <w:spacing w:before="122" w:after="0" w:line="276" w:lineRule="exact"/>
        <w:ind w:right="144"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suspension or cancellation of the licence, if granted, including any disqualification from applying for any licence;</w:t>
      </w:r>
    </w:p>
    <w:p>
      <w:pPr>
        <w:spacing w:before="116" w:after="0" w:line="278"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any enforceable undertaking the licence holder has entered into under the Act or a corresponding WHS law;</w:t>
      </w:r>
    </w:p>
    <w:p>
      <w:pPr>
        <w:spacing w:before="118" w:after="0" w:line="276"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the licence holder's record in relation to any matters arising under the Act or these Regulations or under a corresponding WHS law.</w:t>
      </w:r>
    </w:p>
    <w:p>
      <w:pPr>
        <w:spacing w:before="126"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108 Notice to and submissions by licence holder</w:t>
      </w:r>
    </w:p>
    <w:p>
      <w:pPr>
        <w:spacing w:before="114" w:after="0" w:line="278" w:lineRule="exact"/>
        <w:ind w:right="0" w:left="288"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Before suspending or cancelling a high risk work licence, the</w:t>
        <w:br/>
      </w:r>
      <w:r>
        <w:rPr>
          <w:rFonts w:ascii="Times New Roman" w:hAnsi="Times New Roman" w:eastAsia="Times New Roman"/>
          <w:color w:val="000000"/>
          <w:spacing w:val="0"/>
          <w:w w:val="100"/>
          <w:sz w:val="24"/>
          <w:vertAlign w:val="baseline"/>
          <w:lang w:val="en-US"/>
        </w:rPr>
        <w:t xml:space="preserve">regulator must give the licence holder a written notice of:</w:t>
      </w:r>
    </w:p>
    <w:p>
      <w:pPr>
        <w:numPr>
          <w:ilvl w:val="0"/>
          <w:numId w:val="249"/>
        </w:numPr>
        <w:tabs>
          <w:tab w:val="clear" w:pos="360"/>
          <w:tab w:val="left" w:pos="1872"/>
        </w:tabs>
        <w:spacing w:before="122"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proposed suspension or cancellation; and</w:t>
      </w:r>
    </w:p>
    <w:p>
      <w:pPr>
        <w:numPr>
          <w:ilvl w:val="0"/>
          <w:numId w:val="249"/>
        </w:numPr>
        <w:tabs>
          <w:tab w:val="clear" w:pos="360"/>
          <w:tab w:val="left" w:pos="1872"/>
        </w:tabs>
        <w:spacing w:before="126"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proposed disqualification; and</w:t>
      </w:r>
    </w:p>
    <w:p>
      <w:pPr>
        <w:numPr>
          <w:ilvl w:val="0"/>
          <w:numId w:val="249"/>
        </w:numPr>
        <w:tabs>
          <w:tab w:val="clear" w:pos="360"/>
          <w:tab w:val="left" w:pos="1872"/>
        </w:tabs>
        <w:spacing w:before="122"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proposed variation of licence conditions.</w:t>
      </w:r>
    </w:p>
    <w:p>
      <w:pPr>
        <w:spacing w:before="126" w:after="0" w:line="272"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 notice under subregulation (1) must:</w:t>
      </w:r>
    </w:p>
    <w:p>
      <w:pPr>
        <w:numPr>
          <w:ilvl w:val="0"/>
          <w:numId w:val="250"/>
        </w:numPr>
        <w:tabs>
          <w:tab w:val="clear" w:pos="360"/>
          <w:tab w:val="left" w:pos="1872"/>
        </w:tabs>
        <w:spacing w:before="116" w:after="0" w:line="278" w:lineRule="exact"/>
        <w:ind w:right="7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outline all relevant allegations, facts and circumstances known to the regulator; and</w:t>
      </w:r>
    </w:p>
    <w:p>
      <w:pPr>
        <w:numPr>
          <w:ilvl w:val="0"/>
          <w:numId w:val="250"/>
        </w:numPr>
        <w:tabs>
          <w:tab w:val="clear" w:pos="360"/>
          <w:tab w:val="left" w:pos="1872"/>
        </w:tabs>
        <w:spacing w:before="118"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advise the licence holder that the licence holder may, by a specified date (being not less than 28 days after giving the notice), make a submission in relation to the proposed suspension or cancellation, any proposed disqualification and any proposed variation of licence conditions.</w:t>
      </w:r>
    </w:p>
    <w:p>
      <w:pPr>
        <w:spacing w:before="126"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109 Notice of decision</w:t>
      </w:r>
    </w:p>
    <w:p>
      <w:pPr>
        <w:spacing w:before="116" w:after="826"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(1) The regulator must give the licence holder written notice of a decision under regulation 106 to suspend or cancel a high risk work licence within 14 days after making the decision.</w:t>
      </w:r>
    </w:p>
    <w:p>
      <w:pPr>
        <w:spacing w:before="116" w:after="826" w:line="276" w:lineRule="exact"/>
        <w:sectPr>
          <w:type w:val="nextPage"/>
          <w:pgSz w:w="11909" w:h="16838" w:orient="portrait"/>
          <w:pgMar w:bottom="1082" w:top="1140" w:right="1940" w:left="1949" w:header="720" w:footer="720"/>
          <w:titlePg w:val="false"/>
          <w:textDirection w:val="lrTb"/>
        </w:sectPr>
      </w:pPr>
    </w:p>
    <w:p>
      <w:pPr>
        <w:tabs>
          <w:tab w:val="right" w:leader="none" w:pos="4104"/>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99</w:t>
      </w:r>
    </w:p>
    <w:p>
      <w:pPr>
        <w:sectPr>
          <w:type w:val="continuous"/>
          <w:pgSz w:w="11909" w:h="16838" w:orient="portrait"/>
          <w:pgMar w:bottom="1082" w:top="1140" w:right="5853" w:left="1976"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4.5	</w:t>
      </w:r>
      <w:r>
        <w:rPr>
          <w:rFonts w:ascii="Times New Roman" w:hAnsi="Times New Roman" w:eastAsia="Times New Roman"/>
          <w:color w:val="000000"/>
          <w:spacing w:val="0"/>
          <w:w w:val="100"/>
          <w:sz w:val="20"/>
          <w:vertAlign w:val="baseline"/>
          <w:lang w:val="en-US"/>
        </w:rPr>
        <w:t xml:space="preserve">High Risk Work</w:t>
      </w:r>
    </w:p>
    <w:p>
      <w:pPr>
        <w:spacing w:before="251" w:after="0" w:line="272"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(2) The notice must:</w:t>
      </w:r>
    </w:p>
    <w:p>
      <w:pPr>
        <w:spacing w:before="127" w:after="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state that the licence is to be suspended or cancelled; and</w:t>
      </w:r>
    </w:p>
    <w:p>
      <w:pPr>
        <w:spacing w:before="121" w:after="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if the licence is to be suspended, state:</w:t>
      </w:r>
    </w:p>
    <w:p>
      <w:pPr>
        <w:numPr>
          <w:ilvl w:val="0"/>
          <w:numId w:val="251"/>
        </w:numPr>
        <w:tabs>
          <w:tab w:val="clear" w:pos="432"/>
          <w:tab w:val="left" w:pos="2376"/>
        </w:tabs>
        <w:spacing w:before="127" w:after="0" w:line="272"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when the suspension begins and ends; and</w:t>
      </w:r>
    </w:p>
    <w:p>
      <w:pPr>
        <w:numPr>
          <w:ilvl w:val="0"/>
          <w:numId w:val="251"/>
        </w:numPr>
        <w:tabs>
          <w:tab w:val="clear" w:pos="432"/>
          <w:tab w:val="left" w:pos="2376"/>
        </w:tabs>
        <w:spacing w:before="121" w:after="0" w:line="272"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reasons for the suspension; and</w:t>
      </w:r>
    </w:p>
    <w:p>
      <w:pPr>
        <w:numPr>
          <w:ilvl w:val="0"/>
          <w:numId w:val="251"/>
        </w:numPr>
        <w:tabs>
          <w:tab w:val="clear" w:pos="432"/>
          <w:tab w:val="left" w:pos="2376"/>
        </w:tabs>
        <w:spacing w:before="123" w:after="0" w:line="276" w:lineRule="exact"/>
        <w:ind w:right="72"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whether the licence holder is required to undergo retraining or reassessment or take any other action before the suspension ends; and</w:t>
      </w:r>
    </w:p>
    <w:p>
      <w:pPr>
        <w:numPr>
          <w:ilvl w:val="0"/>
          <w:numId w:val="251"/>
        </w:numPr>
        <w:tabs>
          <w:tab w:val="clear" w:pos="432"/>
          <w:tab w:val="left" w:pos="2376"/>
        </w:tabs>
        <w:spacing w:before="114" w:after="0" w:line="279" w:lineRule="exact"/>
        <w:ind w:right="144"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whether or not the licence holder is disqualified from applying for a further licence during the suspension; and</w:t>
      </w:r>
    </w:p>
    <w:p>
      <w:pPr>
        <w:numPr>
          <w:ilvl w:val="0"/>
          <w:numId w:val="251"/>
        </w:numPr>
        <w:tabs>
          <w:tab w:val="clear" w:pos="432"/>
          <w:tab w:val="left" w:pos="2376"/>
        </w:tabs>
        <w:spacing w:before="121" w:after="0" w:line="272"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licence conditions are to be varied—the variation; and</w:t>
      </w:r>
    </w:p>
    <w:p>
      <w:pPr>
        <w:numPr>
          <w:ilvl w:val="0"/>
          <w:numId w:val="251"/>
        </w:numPr>
        <w:tabs>
          <w:tab w:val="clear" w:pos="432"/>
          <w:tab w:val="left" w:pos="2376"/>
        </w:tabs>
        <w:spacing w:before="126" w:after="0" w:line="273" w:lineRule="exact"/>
        <w:ind w:right="216"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licence conditions are to be varied—that the variation will take effect when the suspension ends; and</w:t>
      </w:r>
    </w:p>
    <w:p>
      <w:pPr>
        <w:spacing w:before="122" w:after="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if the licence is to be cancelled, state:</w:t>
      </w:r>
    </w:p>
    <w:p>
      <w:pPr>
        <w:numPr>
          <w:ilvl w:val="0"/>
          <w:numId w:val="252"/>
        </w:numPr>
        <w:tabs>
          <w:tab w:val="clear" w:pos="432"/>
          <w:tab w:val="left" w:pos="2376"/>
        </w:tabs>
        <w:spacing w:before="126" w:after="0" w:line="272"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when the cancellation takes effect; and</w:t>
      </w:r>
    </w:p>
    <w:p>
      <w:pPr>
        <w:numPr>
          <w:ilvl w:val="0"/>
          <w:numId w:val="252"/>
        </w:numPr>
        <w:tabs>
          <w:tab w:val="clear" w:pos="432"/>
          <w:tab w:val="left" w:pos="2376"/>
        </w:tabs>
        <w:spacing w:before="122" w:after="0" w:line="272"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reasons for the cancellation; and</w:t>
      </w:r>
    </w:p>
    <w:p>
      <w:pPr>
        <w:numPr>
          <w:ilvl w:val="0"/>
          <w:numId w:val="252"/>
        </w:numPr>
        <w:tabs>
          <w:tab w:val="clear" w:pos="432"/>
          <w:tab w:val="left" w:pos="2376"/>
        </w:tabs>
        <w:spacing w:before="124" w:after="0" w:line="274" w:lineRule="exact"/>
        <w:ind w:right="432"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whether or not the licence holder is disqualified from applying for a further licence; and</w:t>
      </w:r>
    </w:p>
    <w:p>
      <w:pPr>
        <w:spacing w:before="124" w:after="0" w:line="274" w:lineRule="exact"/>
        <w:ind w:right="288" w:left="1944"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if the licence holder is to be disqualified from applying for a further licence, state:</w:t>
      </w:r>
    </w:p>
    <w:p>
      <w:pPr>
        <w:numPr>
          <w:ilvl w:val="0"/>
          <w:numId w:val="253"/>
        </w:numPr>
        <w:tabs>
          <w:tab w:val="clear" w:pos="432"/>
          <w:tab w:val="left" w:pos="2376"/>
        </w:tabs>
        <w:spacing w:before="126" w:after="0" w:line="272"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when the disqualification begins and ends; and</w:t>
      </w:r>
    </w:p>
    <w:p>
      <w:pPr>
        <w:numPr>
          <w:ilvl w:val="0"/>
          <w:numId w:val="253"/>
        </w:numPr>
        <w:tabs>
          <w:tab w:val="clear" w:pos="432"/>
          <w:tab w:val="left" w:pos="2376"/>
        </w:tabs>
        <w:spacing w:before="122" w:after="0" w:line="272"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reasons for the disqualification; and</w:t>
      </w:r>
    </w:p>
    <w:p>
      <w:pPr>
        <w:numPr>
          <w:ilvl w:val="0"/>
          <w:numId w:val="253"/>
        </w:numPr>
        <w:tabs>
          <w:tab w:val="clear" w:pos="432"/>
          <w:tab w:val="left" w:pos="2376"/>
        </w:tabs>
        <w:spacing w:before="122" w:after="0" w:line="276" w:lineRule="exact"/>
        <w:ind w:right="72"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whether or not the licence holder is required to undergo retraining or reassessment or take any other action before the disqualification ends; and</w:t>
      </w:r>
    </w:p>
    <w:p>
      <w:pPr>
        <w:numPr>
          <w:ilvl w:val="0"/>
          <w:numId w:val="253"/>
        </w:numPr>
        <w:tabs>
          <w:tab w:val="clear" w:pos="432"/>
          <w:tab w:val="left" w:pos="2376"/>
        </w:tabs>
        <w:spacing w:before="120" w:after="0" w:line="276" w:lineRule="exact"/>
        <w:ind w:right="144"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other class of high risk work licence or other licence under these Regulations the licence holder is disqualified from applying for during the period of suspension or disqualification; and</w:t>
      </w:r>
    </w:p>
    <w:p>
      <w:pPr>
        <w:spacing w:before="116" w:after="0" w:line="278" w:lineRule="exact"/>
        <w:ind w:right="720" w:left="1944"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 state when the licence document must be returned to the regulator.</w:t>
      </w:r>
    </w:p>
    <w:p>
      <w:pPr>
        <w:spacing w:before="122" w:after="0" w:line="274"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110 Immediate suspension</w:t>
      </w:r>
    </w:p>
    <w:p>
      <w:pPr>
        <w:spacing w:before="120" w:after="769"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(1) The regulator may suspend a high risk work licence on a ground referred to in regulation 106 without giving notice under regulation 108 if satisfied that:</w:t>
      </w:r>
    </w:p>
    <w:p>
      <w:pPr>
        <w:spacing w:before="120" w:after="769"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100</w:t>
      </w:r>
    </w:p>
    <w:p>
      <w:pPr>
        <w:sectPr>
          <w:type w:val="continuous"/>
          <w:pgSz w:w="11909" w:h="16838" w:orient="portrait"/>
          <w:pgMar w:bottom="1082" w:top="1140" w:right="5811" w:left="1978"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4.5	</w:t>
      </w:r>
      <w:r>
        <w:rPr>
          <w:rFonts w:ascii="Times New Roman" w:hAnsi="Times New Roman" w:eastAsia="Times New Roman"/>
          <w:color w:val="000000"/>
          <w:spacing w:val="0"/>
          <w:w w:val="100"/>
          <w:sz w:val="20"/>
          <w:vertAlign w:val="baseline"/>
          <w:lang w:val="en-US"/>
        </w:rPr>
        <w:t xml:space="preserve">High Risk Work</w:t>
      </w:r>
    </w:p>
    <w:p>
      <w:pPr>
        <w:numPr>
          <w:ilvl w:val="0"/>
          <w:numId w:val="254"/>
        </w:numPr>
        <w:tabs>
          <w:tab w:val="clear" w:pos="360"/>
          <w:tab w:val="left" w:pos="1872"/>
        </w:tabs>
        <w:spacing w:before="248"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work carried out under the high risk work licence should cease because the work may involve an imminent serious risk to the health or safety of any person; or</w:t>
      </w:r>
    </w:p>
    <w:p>
      <w:pPr>
        <w:numPr>
          <w:ilvl w:val="0"/>
          <w:numId w:val="254"/>
        </w:numPr>
        <w:tabs>
          <w:tab w:val="clear" w:pos="360"/>
          <w:tab w:val="left" w:pos="1872"/>
        </w:tabs>
        <w:spacing w:before="123" w:after="0" w:line="276"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corresponding regulator has suspended an equivalent licence held by the licence holder under this regulation as applying in the corresponding jurisdiction.</w:t>
      </w:r>
    </w:p>
    <w:p>
      <w:pPr>
        <w:spacing w:before="120" w:after="0" w:line="273" w:lineRule="exact"/>
        <w:ind w:right="216" w:left="0" w:firstLine="0"/>
        <w:jc w:val="righ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If the regulator decides to suspend a licence under this regulation:</w:t>
      </w:r>
    </w:p>
    <w:p>
      <w:pPr>
        <w:numPr>
          <w:ilvl w:val="0"/>
          <w:numId w:val="255"/>
        </w:numPr>
        <w:tabs>
          <w:tab w:val="clear" w:pos="360"/>
          <w:tab w:val="left" w:pos="1872"/>
        </w:tabs>
        <w:spacing w:before="126" w:after="0" w:line="273"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must give the licence holder written notice of the suspension and the reasons for the suspension; and</w:t>
      </w:r>
    </w:p>
    <w:p>
      <w:pPr>
        <w:numPr>
          <w:ilvl w:val="0"/>
          <w:numId w:val="255"/>
        </w:numPr>
        <w:tabs>
          <w:tab w:val="clear" w:pos="360"/>
          <w:tab w:val="left" w:pos="1872"/>
        </w:tabs>
        <w:spacing w:before="126" w:after="0" w:line="273"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suspension of the licence takes effect on the giving of the notice.</w:t>
      </w:r>
    </w:p>
    <w:p>
      <w:pPr>
        <w:spacing w:before="126"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regulator must then:</w:t>
      </w:r>
    </w:p>
    <w:p>
      <w:pPr>
        <w:numPr>
          <w:ilvl w:val="0"/>
          <w:numId w:val="256"/>
        </w:numPr>
        <w:tabs>
          <w:tab w:val="clear" w:pos="360"/>
          <w:tab w:val="left" w:pos="1872"/>
        </w:tabs>
        <w:spacing w:before="119" w:after="0" w:line="274" w:lineRule="exact"/>
        <w:ind w:right="288"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give notice under regulation 108 within 14 days after giving the notice under subregulation (2); and</w:t>
      </w:r>
    </w:p>
    <w:p>
      <w:pPr>
        <w:numPr>
          <w:ilvl w:val="0"/>
          <w:numId w:val="256"/>
        </w:numPr>
        <w:tabs>
          <w:tab w:val="clear" w:pos="360"/>
          <w:tab w:val="left" w:pos="1872"/>
        </w:tabs>
        <w:spacing w:before="125" w:after="0" w:line="273" w:lineRule="exact"/>
        <w:ind w:right="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make its decision under regulation 106.</w:t>
      </w:r>
    </w:p>
    <w:p>
      <w:pPr>
        <w:spacing w:before="116" w:after="0" w:line="278"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If the regulator does not give notice under subregulation (3), the suspension ends at the end of the 14 day period.</w:t>
      </w:r>
    </w:p>
    <w:p>
      <w:pPr>
        <w:spacing w:before="116" w:after="0" w:line="278"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If the regulator gives notice under subregulation (3), the licence remains suspended until the decision is made under regulation 106.</w:t>
      </w:r>
    </w:p>
    <w:p>
      <w:pPr>
        <w:spacing w:before="121"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111 Licence holder to return licence document</w:t>
      </w:r>
    </w:p>
    <w:p>
      <w:pPr>
        <w:spacing w:before="121" w:after="0" w:line="276" w:lineRule="exact"/>
        <w:ind w:right="144"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licence holder, on receiving a notice under regulation 109, must return the licence document to the regulator in accordance with the notice.</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25"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112 Regulator to return licence document after suspension</w:t>
      </w:r>
    </w:p>
    <w:p>
      <w:pPr>
        <w:spacing w:before="117" w:after="0" w:line="276" w:lineRule="exact"/>
        <w:ind w:right="144"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When the period of suspension of a licence ends, the regulator must return the licence document to the licence holder within 14 days after the licence suspension ends.</w:t>
      </w:r>
    </w:p>
    <w:p>
      <w:pPr>
        <w:tabs>
          <w:tab w:val="left" w:leader="none" w:pos="1584"/>
        </w:tabs>
        <w:spacing w:before="250"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2	</w:t>
      </w:r>
      <w:r>
        <w:rPr>
          <w:rFonts w:ascii="Times New Roman" w:hAnsi="Times New Roman" w:eastAsia="Times New Roman"/>
          <w:b w:val="true"/>
          <w:color w:val="000000"/>
          <w:spacing w:val="0"/>
          <w:w w:val="100"/>
          <w:sz w:val="24"/>
          <w:vertAlign w:val="baseline"/>
          <w:lang w:val="en-US"/>
        </w:rPr>
        <w:t xml:space="preserve">Accreditation of assessors</w:t>
      </w:r>
    </w:p>
    <w:p>
      <w:pPr>
        <w:spacing w:before="118"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1409" w:line="228"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See the jurisdictional notes in the Appendix.</w:t>
      </w:r>
    </w:p>
    <w:p>
      <w:pPr>
        <w:spacing w:before="126" w:after="1409" w:line="22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101</w:t>
      </w:r>
    </w:p>
    <w:p>
      <w:pPr>
        <w:sectPr>
          <w:type w:val="continuous"/>
          <w:pgSz w:w="11909" w:h="16838" w:orient="portrait"/>
          <w:pgMar w:bottom="1082" w:top="1140" w:right="5819" w:left="1970"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4.5	</w:t>
      </w:r>
      <w:r>
        <w:rPr>
          <w:rFonts w:ascii="Times New Roman" w:hAnsi="Times New Roman" w:eastAsia="Times New Roman"/>
          <w:color w:val="000000"/>
          <w:spacing w:val="0"/>
          <w:w w:val="100"/>
          <w:sz w:val="20"/>
          <w:vertAlign w:val="baseline"/>
          <w:lang w:val="en-US"/>
        </w:rPr>
        <w:t xml:space="preserve">High Risk Work</w:t>
      </w:r>
    </w:p>
    <w:p>
      <w:pPr>
        <w:spacing w:before="256" w:after="0" w:line="273"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4"/>
          <w:vertAlign w:val="baseline"/>
          <w:lang w:val="en-US"/>
        </w:rPr>
        <w:t xml:space="preserve">Subdivision 1 Requirement to be accredited</w:t>
      </w:r>
    </w:p>
    <w:p>
      <w:pPr>
        <w:spacing w:before="121" w:after="0" w:line="273" w:lineRule="exact"/>
        <w:ind w:right="648"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113 Accreditation required to assess competency for high risk work licence</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who is not an accredited assessor must not:</w:t>
      </w:r>
    </w:p>
    <w:p>
      <w:pPr>
        <w:numPr>
          <w:ilvl w:val="0"/>
          <w:numId w:val="257"/>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conduct a competency assessment; or</w:t>
      </w:r>
    </w:p>
    <w:p>
      <w:pPr>
        <w:numPr>
          <w:ilvl w:val="0"/>
          <w:numId w:val="257"/>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issue a notice of satisfactory assessment; or</w:t>
      </w:r>
    </w:p>
    <w:p>
      <w:pPr>
        <w:numPr>
          <w:ilvl w:val="0"/>
          <w:numId w:val="257"/>
        </w:numPr>
        <w:tabs>
          <w:tab w:val="clear" w:pos="360"/>
          <w:tab w:val="left" w:pos="1872"/>
        </w:tabs>
        <w:spacing w:before="114" w:after="0" w:line="279" w:lineRule="exact"/>
        <w:ind w:right="108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any other way hold himself or herself out to be an accredited assessor.</w:t>
      </w:r>
    </w:p>
    <w:p>
      <w:pPr>
        <w:spacing w:before="124"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30"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section 43 of the Act.</w:t>
      </w:r>
    </w:p>
    <w:p>
      <w:pPr>
        <w:spacing w:before="117" w:after="0" w:line="273" w:lineRule="exact"/>
        <w:ind w:right="0" w:left="0" w:firstLine="0"/>
        <w:jc w:val="center"/>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114 Accredited assessor must act in accordance with accreditation</w:t>
      </w:r>
    </w:p>
    <w:p>
      <w:pPr>
        <w:spacing w:before="116" w:after="0" w:line="278"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An accredited assessor must not conduct a competency assessment unless:</w:t>
      </w:r>
    </w:p>
    <w:p>
      <w:pPr>
        <w:numPr>
          <w:ilvl w:val="0"/>
          <w:numId w:val="258"/>
        </w:numPr>
        <w:tabs>
          <w:tab w:val="clear" w:pos="360"/>
          <w:tab w:val="left" w:pos="1872"/>
        </w:tabs>
        <w:spacing w:before="116" w:after="0" w:line="278"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competency assessment relates to a class of high risk work for which the assessor is accredited; and</w:t>
      </w:r>
    </w:p>
    <w:p>
      <w:pPr>
        <w:numPr>
          <w:ilvl w:val="0"/>
          <w:numId w:val="258"/>
        </w:numPr>
        <w:tabs>
          <w:tab w:val="clear" w:pos="360"/>
          <w:tab w:val="left" w:pos="1872"/>
        </w:tabs>
        <w:spacing w:before="116" w:after="0" w:line="278"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accredited assessor conducts the competency assessment for or on behalf of an RTO.</w:t>
      </w:r>
    </w:p>
    <w:p>
      <w:pPr>
        <w:spacing w:before="118" w:after="0" w:line="276"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An accredited assessor must not issue a notice of satisfactory assessment unless the competency assessment relates to a class of high risk work for which the assessor is accredited.</w:t>
      </w:r>
    </w:p>
    <w:p>
      <w:pPr>
        <w:spacing w:before="122" w:after="0" w:line="276" w:lineRule="exact"/>
        <w:ind w:right="50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An accredited assessor who conducts a competency assessment must do so in accordance with the conditions of accreditation imposed under regulation 121.</w:t>
      </w:r>
    </w:p>
    <w:p>
      <w:pPr>
        <w:spacing w:before="118" w:after="0" w:line="276" w:lineRule="exact"/>
        <w:ind w:right="79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An accredited assessor who issues a notice of satisfactory assessment must do so in accordance with any conditions of accreditation imposed under regulation 121.</w:t>
      </w:r>
    </w:p>
    <w:p>
      <w:pPr>
        <w:spacing w:before="124" w:after="0" w:line="274" w:lineRule="exact"/>
        <w:ind w:right="93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Subregulations (1) to (4) do not apply if the regulator is the accredited assessor.</w:t>
      </w:r>
    </w:p>
    <w:p>
      <w:pPr>
        <w:spacing w:before="129"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30"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section 43 of the Act.</w:t>
      </w:r>
    </w:p>
    <w:p>
      <w:pPr>
        <w:spacing w:before="242" w:after="0" w:line="273"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Subdivision 2 Accreditation process</w:t>
      </w:r>
    </w:p>
    <w:p>
      <w:pPr>
        <w:spacing w:before="116" w:after="0" w:line="273"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115 Regulator may accredit assessors</w:t>
      </w:r>
    </w:p>
    <w:p>
      <w:pPr>
        <w:spacing w:before="124" w:after="1108" w:line="274" w:lineRule="exact"/>
        <w:ind w:right="144" w:left="1368" w:firstLine="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regulator may, under this Division, accredit persons to conduct assessments.</w:t>
      </w:r>
    </w:p>
    <w:p>
      <w:pPr>
        <w:spacing w:before="124" w:after="1108"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102</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4.5	</w:t>
      </w:r>
      <w:r>
        <w:rPr>
          <w:rFonts w:ascii="Times New Roman" w:hAnsi="Times New Roman" w:eastAsia="Times New Roman"/>
          <w:color w:val="000000"/>
          <w:spacing w:val="0"/>
          <w:w w:val="100"/>
          <w:sz w:val="20"/>
          <w:vertAlign w:val="baseline"/>
          <w:lang w:val="en-US"/>
        </w:rPr>
        <w:t xml:space="preserve">High Risk Work</w:t>
      </w:r>
    </w:p>
    <w:p>
      <w:pPr>
        <w:spacing w:before="251"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4"/>
          <w:w w:val="100"/>
          <w:sz w:val="24"/>
          <w:vertAlign w:val="baseline"/>
          <w:lang w:val="en-US"/>
        </w:rPr>
        <w:t xml:space="preserve">116 Application for accreditation</w:t>
      </w:r>
    </w:p>
    <w:p>
      <w:pPr>
        <w:numPr>
          <w:ilvl w:val="0"/>
          <w:numId w:val="259"/>
        </w:numPr>
        <w:tabs>
          <w:tab w:val="clear" w:pos="360"/>
          <w:tab w:val="left" w:pos="1368"/>
        </w:tabs>
        <w:spacing w:before="125" w:after="0" w:line="273"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application for accreditation must be made in the manner and form required by the regulator.</w:t>
      </w:r>
    </w:p>
    <w:p>
      <w:pPr>
        <w:numPr>
          <w:ilvl w:val="0"/>
          <w:numId w:val="259"/>
        </w:numPr>
        <w:tabs>
          <w:tab w:val="clear" w:pos="360"/>
          <w:tab w:val="left" w:pos="1368"/>
        </w:tabs>
        <w:spacing w:before="126" w:after="0" w:line="273"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application must include the following information:</w:t>
      </w:r>
    </w:p>
    <w:p>
      <w:pPr>
        <w:numPr>
          <w:ilvl w:val="0"/>
          <w:numId w:val="260"/>
        </w:numPr>
        <w:tabs>
          <w:tab w:val="clear" w:pos="288"/>
          <w:tab w:val="left" w:pos="1872"/>
        </w:tabs>
        <w:spacing w:before="120"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and residential address of the applicant;</w:t>
      </w:r>
    </w:p>
    <w:p>
      <w:pPr>
        <w:numPr>
          <w:ilvl w:val="0"/>
          <w:numId w:val="260"/>
        </w:numPr>
        <w:tabs>
          <w:tab w:val="clear" w:pos="288"/>
          <w:tab w:val="left" w:pos="1872"/>
        </w:tabs>
        <w:spacing w:before="126" w:after="0" w:line="273" w:lineRule="exact"/>
        <w:ind w:right="288"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other evidence of the applicant's identity required by the regulator;</w:t>
      </w:r>
    </w:p>
    <w:p>
      <w:pPr>
        <w:numPr>
          <w:ilvl w:val="0"/>
          <w:numId w:val="260"/>
        </w:numPr>
        <w:tabs>
          <w:tab w:val="clear" w:pos="288"/>
          <w:tab w:val="left" w:pos="1872"/>
        </w:tabs>
        <w:spacing w:before="126" w:after="0" w:line="273" w:lineRule="exact"/>
        <w:ind w:right="288"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details of the class of high risk work to which the application relates;</w:t>
      </w:r>
    </w:p>
    <w:p>
      <w:pPr>
        <w:numPr>
          <w:ilvl w:val="0"/>
          <w:numId w:val="260"/>
        </w:numPr>
        <w:tabs>
          <w:tab w:val="clear" w:pos="288"/>
          <w:tab w:val="left" w:pos="1872"/>
        </w:tabs>
        <w:spacing w:before="123" w:after="0" w:line="276" w:lineRule="exact"/>
        <w:ind w:right="288"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evidence that the applicant is qualified to conduct the type of competency assessment in relation to the class of high risk work to which the application relates;</w:t>
      </w:r>
    </w:p>
    <w:p>
      <w:pPr>
        <w:numPr>
          <w:ilvl w:val="0"/>
          <w:numId w:val="260"/>
        </w:numPr>
        <w:tabs>
          <w:tab w:val="clear" w:pos="288"/>
          <w:tab w:val="left" w:pos="1872"/>
        </w:tabs>
        <w:spacing w:before="119" w:after="0" w:line="274" w:lineRule="exact"/>
        <w:ind w:right="936"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details of any current equivalent accreditation under a corresponding WHS law;</w:t>
      </w:r>
    </w:p>
    <w:p>
      <w:pPr>
        <w:numPr>
          <w:ilvl w:val="0"/>
          <w:numId w:val="260"/>
        </w:numPr>
        <w:tabs>
          <w:tab w:val="clear" w:pos="288"/>
          <w:tab w:val="left" w:pos="1872"/>
        </w:tabs>
        <w:spacing w:before="122" w:after="0" w:line="276" w:lineRule="exact"/>
        <w:ind w:right="72"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declaration as to whether or not the applicant has ever been convicted or found guilty of any offence under the Act or these Regulations or under any corresponding WHS law;</w:t>
      </w:r>
    </w:p>
    <w:p>
      <w:pPr>
        <w:spacing w:before="124"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8"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numPr>
          <w:ilvl w:val="0"/>
          <w:numId w:val="260"/>
        </w:numPr>
        <w:tabs>
          <w:tab w:val="clear" w:pos="288"/>
          <w:tab w:val="left" w:pos="1872"/>
        </w:tabs>
        <w:spacing w:before="114" w:after="0" w:line="278" w:lineRule="exact"/>
        <w:ind w:right="432"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details of any conviction or finding of guilt declared under paragraph (f);</w:t>
      </w:r>
    </w:p>
    <w:p>
      <w:pPr>
        <w:numPr>
          <w:ilvl w:val="0"/>
          <w:numId w:val="260"/>
        </w:numPr>
        <w:tabs>
          <w:tab w:val="clear" w:pos="288"/>
          <w:tab w:val="left" w:pos="1872"/>
        </w:tabs>
        <w:spacing w:before="118" w:after="0" w:line="276" w:lineRule="exact"/>
        <w:ind w:right="72"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declaration as to whether or not the applicant has ever entered into an enforceable undertaking under the Act or under any corresponding WHS law;</w:t>
      </w:r>
    </w:p>
    <w:p>
      <w:pPr>
        <w:numPr>
          <w:ilvl w:val="0"/>
          <w:numId w:val="260"/>
        </w:numPr>
        <w:tabs>
          <w:tab w:val="clear" w:pos="288"/>
          <w:tab w:val="left" w:pos="1872"/>
        </w:tabs>
        <w:spacing w:before="124" w:after="0" w:line="274" w:lineRule="exact"/>
        <w:ind w:right="936"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details of any enforceable undertaking declared under paragraph (h);</w:t>
      </w:r>
    </w:p>
    <w:p>
      <w:pPr>
        <w:numPr>
          <w:ilvl w:val="0"/>
          <w:numId w:val="260"/>
        </w:numPr>
        <w:tabs>
          <w:tab w:val="clear" w:pos="288"/>
          <w:tab w:val="left" w:pos="1872"/>
        </w:tabs>
        <w:spacing w:before="122" w:after="0" w:line="276" w:lineRule="exact"/>
        <w:ind w:right="288"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applicant has previously been refused an equivalent accreditation under a corresponding WHS law, a declaration giving details of that refusal;</w:t>
      </w:r>
    </w:p>
    <w:p>
      <w:pPr>
        <w:numPr>
          <w:ilvl w:val="0"/>
          <w:numId w:val="260"/>
        </w:numPr>
        <w:tabs>
          <w:tab w:val="clear" w:pos="288"/>
          <w:tab w:val="left" w:pos="1872"/>
        </w:tabs>
        <w:spacing w:before="116" w:after="0" w:line="278" w:lineRule="exact"/>
        <w:ind w:right="72"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applicant has previously held an equivalent accreditation under a corresponding WHS law, a declaration:</w:t>
      </w:r>
    </w:p>
    <w:p>
      <w:pPr>
        <w:numPr>
          <w:ilvl w:val="0"/>
          <w:numId w:val="261"/>
        </w:numPr>
        <w:tabs>
          <w:tab w:val="clear" w:pos="360"/>
          <w:tab w:val="left" w:pos="2376"/>
        </w:tabs>
        <w:spacing w:before="116" w:after="0" w:line="278" w:lineRule="exact"/>
        <w:ind w:right="288"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describing any condition imposed on that accreditation; and</w:t>
      </w:r>
    </w:p>
    <w:p>
      <w:pPr>
        <w:numPr>
          <w:ilvl w:val="0"/>
          <w:numId w:val="261"/>
        </w:numPr>
        <w:tabs>
          <w:tab w:val="clear" w:pos="360"/>
          <w:tab w:val="left" w:pos="2376"/>
        </w:tabs>
        <w:spacing w:before="116" w:after="1219" w:line="278" w:lineRule="exact"/>
        <w:ind w:right="576" w:left="2376" w:hanging="360"/>
        <w:jc w:val="left"/>
        <w:textAlignment w:val="baseline"/>
        <w:rPr>
          <w:rFonts w:ascii="Times New Roman" w:hAnsi="Times New Roman" w:eastAsia="Times New Roman"/>
          <w:color w:val="000000"/>
          <w:spacing w:val="-1"/>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1"/>
          <w:w w:val="100"/>
          <w:sz w:val="24"/>
          <w:vertAlign w:val="baseline"/>
          <w:lang w:val="en-US"/>
        </w:rPr>
        <w:t xml:space="preserve">stating whether or not that accreditation had been suspended or cancelled and, if so, whether or not the</w:t>
      </w:r>
    </w:p>
    <w:p>
      <w:pPr>
        <w:spacing w:before="116" w:after="1219"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103</w:t>
      </w:r>
    </w:p>
    <w:p>
      <w:pPr>
        <w:sectPr>
          <w:type w:val="continuous"/>
          <w:pgSz w:w="11909" w:h="16838" w:orient="portrait"/>
          <w:pgMar w:bottom="1082" w:top="1140" w:right="5817" w:left="1972"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4.5	</w:t>
      </w:r>
      <w:r>
        <w:rPr>
          <w:rFonts w:ascii="Times New Roman" w:hAnsi="Times New Roman" w:eastAsia="Times New Roman"/>
          <w:color w:val="000000"/>
          <w:spacing w:val="0"/>
          <w:w w:val="100"/>
          <w:sz w:val="20"/>
          <w:vertAlign w:val="baseline"/>
          <w:lang w:val="en-US"/>
        </w:rPr>
        <w:t xml:space="preserve">High Risk Work</w:t>
      </w:r>
    </w:p>
    <w:p>
      <w:pPr>
        <w:spacing w:before="245" w:after="0" w:line="279" w:lineRule="exact"/>
        <w:ind w:right="432" w:left="2376"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applicant had been disqualified from applying for any accreditation; and</w:t>
      </w:r>
    </w:p>
    <w:p>
      <w:pPr>
        <w:spacing w:before="114" w:after="0" w:line="279" w:lineRule="exact"/>
        <w:ind w:right="936"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(iii) giving details of any suspension, cancellation or disqualification.</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4" w:after="0" w:line="231" w:lineRule="exact"/>
        <w:ind w:right="864"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section 268 of the Act for offences relating to the giving of false or misleading information under the Act or these Regulations.</w:t>
      </w:r>
    </w:p>
    <w:p>
      <w:pPr>
        <w:spacing w:before="117"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application must be accompanied by the relevant fee.</w:t>
      </w:r>
    </w:p>
    <w:p>
      <w:pPr>
        <w:spacing w:before="120" w:after="0" w:line="273"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117 Additional information</w:t>
      </w:r>
    </w:p>
    <w:p>
      <w:pPr>
        <w:spacing w:before="124" w:after="0"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If an application for accreditation does not contain sufficient information to enable the regulator to make a decision whether or not to grant the accreditation, the regulator may ask the applicant to provide additional information.</w:t>
      </w:r>
    </w:p>
    <w:p>
      <w:pPr>
        <w:spacing w:before="126"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 request for additional information must:</w:t>
      </w:r>
    </w:p>
    <w:p>
      <w:pPr>
        <w:numPr>
          <w:ilvl w:val="0"/>
          <w:numId w:val="262"/>
        </w:numPr>
        <w:tabs>
          <w:tab w:val="clear" w:pos="360"/>
          <w:tab w:val="left" w:pos="1872"/>
        </w:tabs>
        <w:spacing w:before="114" w:after="0" w:line="279" w:lineRule="exact"/>
        <w:ind w:right="216" w:left="1872"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specify the date (being not less than 28 days after the request) by which the additional information is to be given; and</w:t>
      </w:r>
    </w:p>
    <w:p>
      <w:pPr>
        <w:numPr>
          <w:ilvl w:val="0"/>
          <w:numId w:val="262"/>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be confirmed in writing.</w:t>
      </w:r>
    </w:p>
    <w:p>
      <w:pPr>
        <w:spacing w:before="126" w:after="0" w:line="273" w:lineRule="exact"/>
        <w:ind w:right="288"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If an applicant does not provide the additional information by the date specified, the application is taken to have been withdrawn.</w:t>
      </w:r>
    </w:p>
    <w:p>
      <w:pPr>
        <w:spacing w:before="126" w:after="0" w:line="273" w:lineRule="exact"/>
        <w:ind w:right="93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The regulator may make more than 1 request for additional information under this regulation.</w:t>
      </w:r>
    </w:p>
    <w:p>
      <w:pPr>
        <w:spacing w:before="126" w:after="0" w:line="273"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118 Decision on application</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Subject to subregulation (3), the regulator must grant an</w:t>
      </w:r>
    </w:p>
    <w:p>
      <w:pPr>
        <w:spacing w:before="6" w:after="0" w:line="273" w:lineRule="exact"/>
        <w:ind w:right="1296"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accreditation if satisfied about the matters referred to in subregulation (2).</w:t>
      </w:r>
    </w:p>
    <w:p>
      <w:pPr>
        <w:spacing w:before="126"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regulator must be satisfied that:</w:t>
      </w:r>
    </w:p>
    <w:p>
      <w:pPr>
        <w:spacing w:before="120"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the applicant:</w:t>
      </w:r>
    </w:p>
    <w:p>
      <w:pPr>
        <w:numPr>
          <w:ilvl w:val="0"/>
          <w:numId w:val="263"/>
        </w:numPr>
        <w:tabs>
          <w:tab w:val="clear" w:pos="504"/>
          <w:tab w:val="left" w:pos="2376"/>
        </w:tabs>
        <w:spacing w:before="126" w:after="0" w:line="273" w:lineRule="exact"/>
        <w:ind w:right="504"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qualified to conduct the competency assessment to which the application relates; and</w:t>
      </w:r>
    </w:p>
    <w:p>
      <w:pPr>
        <w:numPr>
          <w:ilvl w:val="0"/>
          <w:numId w:val="263"/>
        </w:numPr>
        <w:tabs>
          <w:tab w:val="clear" w:pos="504"/>
          <w:tab w:val="left" w:pos="2376"/>
        </w:tabs>
        <w:spacing w:before="126" w:after="0" w:line="273" w:lineRule="exact"/>
        <w:ind w:right="288"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able to conduct the competency assessment to which the application relates competently; and</w:t>
      </w:r>
    </w:p>
    <w:p>
      <w:pPr>
        <w:numPr>
          <w:ilvl w:val="0"/>
          <w:numId w:val="263"/>
        </w:numPr>
        <w:tabs>
          <w:tab w:val="clear" w:pos="504"/>
          <w:tab w:val="left" w:pos="2376"/>
        </w:tabs>
        <w:spacing w:before="126" w:after="0" w:line="273" w:lineRule="exact"/>
        <w:ind w:right="72"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able to ensure compliance with any conditions that will apply to the accreditation; or</w:t>
      </w:r>
    </w:p>
    <w:p>
      <w:pPr>
        <w:spacing w:before="126" w:after="1027" w:line="273"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(b) the applicant holds a current equivalent accreditation under a corresponding WHS law.</w:t>
      </w:r>
    </w:p>
    <w:p>
      <w:pPr>
        <w:spacing w:before="126" w:after="1027"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104</w:t>
      </w:r>
    </w:p>
    <w:p>
      <w:pPr>
        <w:sectPr>
          <w:type w:val="continuous"/>
          <w:pgSz w:w="11909" w:h="16838" w:orient="portrait"/>
          <w:pgMar w:bottom="1082" w:top="1140" w:right="5812" w:left="1977"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4.5	</w:t>
      </w:r>
      <w:r>
        <w:rPr>
          <w:rFonts w:ascii="Times New Roman" w:hAnsi="Times New Roman" w:eastAsia="Times New Roman"/>
          <w:color w:val="000000"/>
          <w:spacing w:val="0"/>
          <w:w w:val="100"/>
          <w:sz w:val="20"/>
          <w:vertAlign w:val="baseline"/>
          <w:lang w:val="en-US"/>
        </w:rPr>
        <w:t xml:space="preserve">High Risk Work</w:t>
      </w:r>
    </w:p>
    <w:p>
      <w:pPr>
        <w:spacing w:before="251" w:after="0" w:line="273" w:lineRule="exact"/>
        <w:ind w:right="144" w:left="0" w:firstLine="0"/>
        <w:jc w:val="righ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(3) The regulator must refuse to grant an accreditation if satisfied that:</w:t>
      </w:r>
    </w:p>
    <w:p>
      <w:pPr>
        <w:numPr>
          <w:ilvl w:val="0"/>
          <w:numId w:val="264"/>
        </w:numPr>
        <w:tabs>
          <w:tab w:val="clear" w:pos="360"/>
          <w:tab w:val="left" w:pos="1872"/>
        </w:tabs>
        <w:spacing w:before="126" w:after="0" w:line="273"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applicant is disqualified under a corresponding WHS law from holding an equivalent accreditation; or</w:t>
      </w:r>
    </w:p>
    <w:p>
      <w:pPr>
        <w:numPr>
          <w:ilvl w:val="0"/>
          <w:numId w:val="264"/>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applicant, in making the application, has:</w:t>
      </w:r>
    </w:p>
    <w:p>
      <w:pPr>
        <w:numPr>
          <w:ilvl w:val="0"/>
          <w:numId w:val="265"/>
        </w:numPr>
        <w:tabs>
          <w:tab w:val="clear" w:pos="360"/>
          <w:tab w:val="left" w:pos="2376"/>
        </w:tabs>
        <w:spacing w:before="114" w:after="0" w:line="279" w:lineRule="exact"/>
        <w:ind w:right="7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given information that is false or misleading in a material particular; or</w:t>
      </w:r>
    </w:p>
    <w:p>
      <w:pPr>
        <w:numPr>
          <w:ilvl w:val="0"/>
          <w:numId w:val="265"/>
        </w:numPr>
        <w:tabs>
          <w:tab w:val="clear" w:pos="360"/>
          <w:tab w:val="left" w:pos="2376"/>
        </w:tabs>
        <w:spacing w:before="114" w:after="0" w:line="279" w:lineRule="exact"/>
        <w:ind w:right="288"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failed to give any material information that should have been given.</w:t>
      </w:r>
    </w:p>
    <w:p>
      <w:pPr>
        <w:spacing w:before="114" w:after="0" w:line="279"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If the regulator decides to grant the accreditation, it must notify the applicant within 14 days after making the decision.</w:t>
      </w:r>
    </w:p>
    <w:p>
      <w:pPr>
        <w:spacing w:before="119" w:after="0" w:line="275"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If the regulator does not make a decision within 120 days after receiving the application or the additional information requested under regulation 117, the regulator is taken to have refused to grant the accreditation applied for.</w:t>
      </w:r>
    </w:p>
    <w:p>
      <w:pPr>
        <w:spacing w:before="124" w:after="0" w:line="274"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(6) For the purposes of subregulation (2)(a)(i), an applicant is </w:t>
      </w:r>
      <w:r>
        <w:rPr>
          <w:rFonts w:ascii="Times New Roman" w:hAnsi="Times New Roman" w:eastAsia="Times New Roman"/>
          <w:b w:val="true"/>
          <w:i w:val="true"/>
          <w:color w:val="000000"/>
          <w:spacing w:val="0"/>
          <w:w w:val="100"/>
          <w:sz w:val="24"/>
          <w:vertAlign w:val="baseline"/>
          <w:lang w:val="en-US"/>
        </w:rPr>
        <w:t xml:space="preserve">qualified </w:t>
      </w:r>
      <w:r>
        <w:rPr>
          <w:rFonts w:ascii="Times New Roman" w:hAnsi="Times New Roman" w:eastAsia="Times New Roman"/>
          <w:color w:val="000000"/>
          <w:spacing w:val="0"/>
          <w:w w:val="100"/>
          <w:sz w:val="24"/>
          <w:vertAlign w:val="baseline"/>
          <w:lang w:val="en-US"/>
        </w:rPr>
        <w:t xml:space="preserve">to provide the competency assessment if:</w:t>
      </w:r>
    </w:p>
    <w:p>
      <w:pPr>
        <w:numPr>
          <w:ilvl w:val="0"/>
          <w:numId w:val="266"/>
        </w:numPr>
        <w:tabs>
          <w:tab w:val="clear" w:pos="360"/>
          <w:tab w:val="left" w:pos="1872"/>
        </w:tabs>
        <w:spacing w:before="123" w:after="0" w:line="276"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applicant's competencies, skills and knowledge are in accordance with the </w:t>
      </w:r>
      <w:r>
        <w:rPr>
          <w:rFonts w:ascii="Times New Roman" w:hAnsi="Times New Roman" w:eastAsia="Times New Roman"/>
          <w:i w:val="true"/>
          <w:color w:val="000000"/>
          <w:spacing w:val="0"/>
          <w:w w:val="100"/>
          <w:sz w:val="24"/>
          <w:vertAlign w:val="baseline"/>
          <w:lang w:val="en-US"/>
        </w:rPr>
        <w:t xml:space="preserve">Standards for NVR Registered Training Organisations 2011 </w:t>
      </w:r>
      <w:r>
        <w:rPr>
          <w:rFonts w:ascii="Times New Roman" w:hAnsi="Times New Roman" w:eastAsia="Times New Roman"/>
          <w:color w:val="000000"/>
          <w:spacing w:val="0"/>
          <w:w w:val="100"/>
          <w:sz w:val="24"/>
          <w:vertAlign w:val="baseline"/>
          <w:lang w:val="en-US"/>
        </w:rPr>
        <w:t xml:space="preserve">published by the Commonwealth; and</w:t>
      </w:r>
    </w:p>
    <w:p>
      <w:pPr>
        <w:numPr>
          <w:ilvl w:val="0"/>
          <w:numId w:val="266"/>
        </w:numPr>
        <w:tabs>
          <w:tab w:val="clear" w:pos="360"/>
          <w:tab w:val="left" w:pos="1872"/>
        </w:tabs>
        <w:spacing w:before="117" w:after="0" w:line="276"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applicant holds a current high risk work licence for the class of high risk work to which the competency assessment relates.</w:t>
      </w:r>
    </w:p>
    <w:p>
      <w:pPr>
        <w:spacing w:before="129"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1" w:after="0" w:line="231" w:lineRule="exact"/>
        <w:ind w:right="72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refusal to grant accreditation (including a refusal under subregulation (5)) is a reviewable decision (see regulation 676).</w:t>
      </w:r>
    </w:p>
    <w:p>
      <w:pPr>
        <w:spacing w:before="120" w:after="0" w:line="273"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119 Matters to be taken into account</w:t>
      </w:r>
    </w:p>
    <w:p>
      <w:pPr>
        <w:spacing w:before="114" w:after="0" w:line="279" w:lineRule="exact"/>
        <w:ind w:right="288" w:left="1368"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For the purposes of regulation 118(2)(a)(ii) and (iii), the regulator must have regard to all relevant matters, including the following:</w:t>
      </w:r>
    </w:p>
    <w:p>
      <w:pPr>
        <w:numPr>
          <w:ilvl w:val="0"/>
          <w:numId w:val="267"/>
        </w:numPr>
        <w:tabs>
          <w:tab w:val="clear" w:pos="360"/>
          <w:tab w:val="left" w:pos="1872"/>
        </w:tabs>
        <w:spacing w:before="117" w:after="0" w:line="276"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offence under the Act or these Regulations or under a corresponding WHS law of which the applicant has been convicted or found guilty;</w:t>
      </w:r>
    </w:p>
    <w:p>
      <w:pPr>
        <w:spacing w:before="129"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1" w:after="0" w:line="227"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numPr>
          <w:ilvl w:val="0"/>
          <w:numId w:val="267"/>
        </w:numPr>
        <w:tabs>
          <w:tab w:val="clear" w:pos="360"/>
          <w:tab w:val="left" w:pos="1872"/>
        </w:tabs>
        <w:spacing w:before="115" w:after="1358" w:line="278" w:lineRule="exact"/>
        <w:ind w:right="504" w:left="1872" w:hanging="36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any enforceable undertaking the applicant has entered into under the Act or a corresponding WHS law;</w:t>
      </w:r>
    </w:p>
    <w:p>
      <w:pPr>
        <w:spacing w:before="115" w:after="1358"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105</w:t>
      </w:r>
    </w:p>
    <w:p>
      <w:pPr>
        <w:sectPr>
          <w:type w:val="continuous"/>
          <w:pgSz w:w="11909" w:h="16838" w:orient="portrait"/>
          <w:pgMar w:bottom="1082" w:top="1140" w:right="5814" w:left="1975" w:header="720" w:footer="720"/>
          <w:titlePg w:val="false"/>
          <w:textDirection w:val="lrTb"/>
        </w:sectPr>
      </w:pPr>
    </w:p>
    <w:p>
      <w:pPr>
        <w:spacing w:before="6"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2" w:after="223"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4.5	</w:t>
      </w:r>
      <w:r>
        <w:rPr>
          <w:rFonts w:ascii="Times New Roman" w:hAnsi="Times New Roman" w:eastAsia="Times New Roman"/>
          <w:color w:val="000000"/>
          <w:spacing w:val="0"/>
          <w:w w:val="100"/>
          <w:sz w:val="20"/>
          <w:vertAlign w:val="baseline"/>
          <w:lang w:val="en-US"/>
        </w:rPr>
        <w:t xml:space="preserve">High Risk Work</w:t>
      </w:r>
    </w:p>
    <w:p>
      <w:pPr>
        <w:spacing w:before="248"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(c) in relation to any equivalent accreditation applied for or held by the applicant under the Act or these Regulations or under a corresponding WHS law:</w:t>
      </w:r>
    </w:p>
    <w:p>
      <w:pPr>
        <w:numPr>
          <w:ilvl w:val="0"/>
          <w:numId w:val="268"/>
        </w:numPr>
        <w:tabs>
          <w:tab w:val="clear" w:pos="504"/>
          <w:tab w:val="left" w:pos="2376"/>
        </w:tabs>
        <w:spacing w:before="126" w:after="0" w:line="273" w:lineRule="exact"/>
        <w:ind w:right="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refusal to grant the accreditation; and</w:t>
      </w:r>
    </w:p>
    <w:p>
      <w:pPr>
        <w:numPr>
          <w:ilvl w:val="0"/>
          <w:numId w:val="268"/>
        </w:numPr>
        <w:tabs>
          <w:tab w:val="clear" w:pos="504"/>
          <w:tab w:val="left" w:pos="2376"/>
        </w:tabs>
        <w:spacing w:before="114" w:after="0" w:line="279" w:lineRule="exact"/>
        <w:ind w:right="36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condition imposed on the accreditation, if granted; and</w:t>
      </w:r>
    </w:p>
    <w:p>
      <w:pPr>
        <w:numPr>
          <w:ilvl w:val="0"/>
          <w:numId w:val="268"/>
        </w:numPr>
        <w:tabs>
          <w:tab w:val="clear" w:pos="504"/>
          <w:tab w:val="left" w:pos="2376"/>
        </w:tabs>
        <w:spacing w:before="117" w:after="0" w:line="276" w:lineRule="exact"/>
        <w:ind w:right="144"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suspension or cancellation of the accreditation, if granted, including any disqualification from applying for any accreditation;</w:t>
      </w:r>
    </w:p>
    <w:p>
      <w:pPr>
        <w:spacing w:before="123" w:after="0" w:line="276"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the applicant's record in relation to any matters arising under the Act or these Regulations or under a corresponding WHS law.</w:t>
      </w:r>
    </w:p>
    <w:p>
      <w:pPr>
        <w:spacing w:before="120"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120 Refusal to grant accreditation—process</w:t>
      </w:r>
    </w:p>
    <w:p>
      <w:pPr>
        <w:spacing w:before="115" w:after="0" w:line="278" w:lineRule="exact"/>
        <w:ind w:right="57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If the regulator proposes to refuse to grant an accreditation, the regulator must give the applicant a written notice:</w:t>
      </w:r>
    </w:p>
    <w:p>
      <w:pPr>
        <w:numPr>
          <w:ilvl w:val="0"/>
          <w:numId w:val="269"/>
        </w:numPr>
        <w:tabs>
          <w:tab w:val="clear" w:pos="360"/>
          <w:tab w:val="left" w:pos="1872"/>
        </w:tabs>
        <w:spacing w:before="116" w:after="0" w:line="278"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informing the applicant of the reasons for the proposed refusal; and</w:t>
      </w:r>
    </w:p>
    <w:p>
      <w:pPr>
        <w:numPr>
          <w:ilvl w:val="0"/>
          <w:numId w:val="269"/>
        </w:numPr>
        <w:tabs>
          <w:tab w:val="clear" w:pos="360"/>
          <w:tab w:val="left" w:pos="1872"/>
        </w:tabs>
        <w:spacing w:before="120"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advising the applicant that the applicant may, by a specified date (being not less than 28 days after the notice is given), make a submission to the regulator in relation to the proposed refusal.</w:t>
      </w:r>
    </w:p>
    <w:p>
      <w:pPr>
        <w:spacing w:before="116" w:after="0" w:line="278" w:lineRule="exact"/>
        <w:ind w:right="57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After the date specified in a notice under subregulation (1), the regulator must:</w:t>
      </w:r>
    </w:p>
    <w:p>
      <w:pPr>
        <w:numPr>
          <w:ilvl w:val="0"/>
          <w:numId w:val="270"/>
        </w:numPr>
        <w:tabs>
          <w:tab w:val="clear" w:pos="360"/>
          <w:tab w:val="left" w:pos="1872"/>
        </w:tabs>
        <w:spacing w:before="118" w:after="0" w:line="276"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applicant has made a submission in relation to the proposed refusal to grant the accreditation—consider that submission; and</w:t>
      </w:r>
    </w:p>
    <w:p>
      <w:pPr>
        <w:numPr>
          <w:ilvl w:val="0"/>
          <w:numId w:val="270"/>
        </w:numPr>
        <w:tabs>
          <w:tab w:val="clear" w:pos="360"/>
          <w:tab w:val="left" w:pos="1872"/>
        </w:tabs>
        <w:spacing w:before="124" w:after="0" w:line="274" w:lineRule="exact"/>
        <w:ind w:right="288" w:left="1872" w:hanging="360"/>
        <w:jc w:val="both"/>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whether or not the applicant has made a submission—decide whether to grant or refuse to grant the accreditation; and</w:t>
      </w:r>
    </w:p>
    <w:p>
      <w:pPr>
        <w:numPr>
          <w:ilvl w:val="0"/>
          <w:numId w:val="270"/>
        </w:numPr>
        <w:tabs>
          <w:tab w:val="clear" w:pos="360"/>
          <w:tab w:val="left" w:pos="1872"/>
        </w:tabs>
        <w:spacing w:before="122" w:after="0" w:line="276"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within 14 days after making that decision, give the applicant written notice of the decision, including the reasons for the decision.</w:t>
      </w:r>
    </w:p>
    <w:p>
      <w:pPr>
        <w:spacing w:before="124"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Notes</w:t>
      </w:r>
    </w:p>
    <w:p>
      <w:pPr>
        <w:tabs>
          <w:tab w:val="left" w:leader="none" w:pos="864"/>
        </w:tabs>
        <w:spacing w:before="0" w:after="0" w:line="373" w:lineRule="exact"/>
        <w:ind w:right="720" w:left="288" w:firstLine="576"/>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refusal to grant an accreditation is a reviewable decision (see regulation 676). </w:t>
      </w:r>
      <w:r>
        <w:rPr>
          <w:rFonts w:ascii="Times New Roman" w:hAnsi="Times New Roman" w:eastAsia="Times New Roman"/>
          <w:b w:val="true"/>
          <w:color w:val="000000"/>
          <w:spacing w:val="0"/>
          <w:w w:val="100"/>
          <w:sz w:val="24"/>
          <w:vertAlign w:val="baseline"/>
          <w:lang w:val="en-US"/>
        </w:rPr>
        <w:t xml:space="preserve">121	</w:t>
      </w:r>
      <w:r>
        <w:rPr>
          <w:rFonts w:ascii="Times New Roman" w:hAnsi="Times New Roman" w:eastAsia="Times New Roman"/>
          <w:b w:val="true"/>
          <w:color w:val="000000"/>
          <w:spacing w:val="0"/>
          <w:w w:val="100"/>
          <w:sz w:val="24"/>
          <w:vertAlign w:val="baseline"/>
          <w:lang w:val="en-US"/>
        </w:rPr>
        <w:t xml:space="preserve">Conditions of accreditation</w:t>
      </w:r>
    </w:p>
    <w:p>
      <w:pPr>
        <w:spacing w:before="123" w:after="1065" w:line="274"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(1) The regulator may impose any conditions it considers appropriate on an accreditation.</w:t>
      </w:r>
    </w:p>
    <w:p>
      <w:pPr>
        <w:spacing w:before="123" w:after="1065"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106</w:t>
      </w:r>
    </w:p>
    <w:p>
      <w:pPr>
        <w:sectPr>
          <w:type w:val="continuous"/>
          <w:pgSz w:w="11909" w:h="16838" w:orient="portrait"/>
          <w:pgMar w:bottom="1082" w:top="1140" w:right="5812" w:left="1977"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4.5	</w:t>
      </w:r>
      <w:r>
        <w:rPr>
          <w:rFonts w:ascii="Times New Roman" w:hAnsi="Times New Roman" w:eastAsia="Times New Roman"/>
          <w:color w:val="000000"/>
          <w:spacing w:val="0"/>
          <w:w w:val="100"/>
          <w:sz w:val="20"/>
          <w:vertAlign w:val="baseline"/>
          <w:lang w:val="en-US"/>
        </w:rPr>
        <w:t xml:space="preserve">High Risk Work</w:t>
      </w:r>
    </w:p>
    <w:p>
      <w:pPr>
        <w:spacing w:before="244" w:after="0" w:line="279" w:lineRule="exact"/>
        <w:ind w:right="720"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(2) Without limiting subregulation (1), the regulator may impose conditions:</w:t>
      </w:r>
    </w:p>
    <w:p>
      <w:pPr>
        <w:numPr>
          <w:ilvl w:val="0"/>
          <w:numId w:val="271"/>
        </w:numPr>
        <w:tabs>
          <w:tab w:val="clear" w:pos="360"/>
          <w:tab w:val="left" w:pos="1872"/>
        </w:tabs>
        <w:spacing w:before="114" w:after="0" w:line="279" w:lineRule="exact"/>
        <w:ind w:right="79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relating to the competency assessments and assessment activities that may be carried out; and</w:t>
      </w:r>
    </w:p>
    <w:p>
      <w:pPr>
        <w:numPr>
          <w:ilvl w:val="0"/>
          <w:numId w:val="271"/>
        </w:numPr>
        <w:tabs>
          <w:tab w:val="clear" w:pos="360"/>
          <w:tab w:val="left" w:pos="1872"/>
        </w:tabs>
        <w:spacing w:before="114" w:after="0" w:line="279"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relating to the circumstances in which competency assessments or assessment activities may be carried out; and</w:t>
      </w:r>
    </w:p>
    <w:p>
      <w:pPr>
        <w:numPr>
          <w:ilvl w:val="0"/>
          <w:numId w:val="271"/>
        </w:numPr>
        <w:tabs>
          <w:tab w:val="clear" w:pos="360"/>
          <w:tab w:val="left" w:pos="1872"/>
        </w:tabs>
        <w:spacing w:before="114" w:after="0" w:line="279" w:lineRule="exact"/>
        <w:ind w:right="129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requiring the accredited assessor to keep specified information; and</w:t>
      </w:r>
    </w:p>
    <w:p>
      <w:pPr>
        <w:numPr>
          <w:ilvl w:val="0"/>
          <w:numId w:val="271"/>
        </w:numPr>
        <w:tabs>
          <w:tab w:val="clear" w:pos="360"/>
          <w:tab w:val="left" w:pos="1872"/>
        </w:tabs>
        <w:spacing w:before="114" w:after="0" w:line="279" w:lineRule="exact"/>
        <w:ind w:right="7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requiring the accredited assessor to give specified information to the regulator.</w:t>
      </w:r>
    </w:p>
    <w:p>
      <w:pPr>
        <w:spacing w:before="125"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Notes</w:t>
      </w:r>
    </w:p>
    <w:p>
      <w:pPr>
        <w:tabs>
          <w:tab w:val="left" w:leader="none" w:pos="1296"/>
        </w:tabs>
        <w:spacing w:before="121" w:after="0" w:line="231" w:lineRule="exact"/>
        <w:ind w:right="216" w:left="1368" w:hanging="50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A person must comply with the conditions of accreditation (see section 45 of the Act).</w:t>
      </w:r>
    </w:p>
    <w:p>
      <w:pPr>
        <w:tabs>
          <w:tab w:val="left" w:leader="none" w:pos="1296"/>
        </w:tabs>
        <w:spacing w:before="120" w:after="0" w:line="230" w:lineRule="exact"/>
        <w:ind w:right="144" w:left="1368" w:hanging="50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A decision to impose a condition on an accreditation is a reviewable decision (see regulation 676).</w:t>
      </w:r>
    </w:p>
    <w:p>
      <w:pPr>
        <w:spacing w:before="120" w:after="0" w:line="273"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122 Duration of accreditation</w:t>
      </w:r>
    </w:p>
    <w:p>
      <w:pPr>
        <w:spacing w:before="115" w:after="0" w:line="278" w:lineRule="exact"/>
        <w:ind w:right="43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accreditation takes effect on the day it is granted and, unless cancelled earlier, expires 3 years after that day.</w:t>
      </w:r>
    </w:p>
    <w:p>
      <w:pPr>
        <w:spacing w:before="122" w:after="0" w:line="273"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123 Accreditation document</w:t>
      </w:r>
    </w:p>
    <w:p>
      <w:pPr>
        <w:spacing w:before="123" w:after="0" w:line="274"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If the regulator grants an accreditation, it must issue to the applicant an accreditation document in the form determined by the regulator.</w:t>
      </w:r>
    </w:p>
    <w:p>
      <w:pPr>
        <w:spacing w:before="126" w:after="0" w:line="272"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An accreditation document must include the following:</w:t>
      </w:r>
    </w:p>
    <w:p>
      <w:pPr>
        <w:numPr>
          <w:ilvl w:val="0"/>
          <w:numId w:val="272"/>
        </w:numPr>
        <w:tabs>
          <w:tab w:val="clear" w:pos="360"/>
          <w:tab w:val="left" w:pos="1872"/>
        </w:tabs>
        <w:spacing w:before="122"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of the accredited assessor;</w:t>
      </w:r>
    </w:p>
    <w:p>
      <w:pPr>
        <w:numPr>
          <w:ilvl w:val="0"/>
          <w:numId w:val="272"/>
        </w:numPr>
        <w:tabs>
          <w:tab w:val="clear" w:pos="360"/>
          <w:tab w:val="left" w:pos="1872"/>
        </w:tabs>
        <w:spacing w:before="126"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class of high risk work to which the accreditation relates;</w:t>
      </w:r>
    </w:p>
    <w:p>
      <w:pPr>
        <w:numPr>
          <w:ilvl w:val="0"/>
          <w:numId w:val="272"/>
        </w:numPr>
        <w:tabs>
          <w:tab w:val="clear" w:pos="360"/>
          <w:tab w:val="left" w:pos="1872"/>
        </w:tabs>
        <w:spacing w:before="122"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conditions imposed on the accreditation by the regulator;</w:t>
      </w:r>
    </w:p>
    <w:p>
      <w:pPr>
        <w:numPr>
          <w:ilvl w:val="0"/>
          <w:numId w:val="272"/>
        </w:numPr>
        <w:tabs>
          <w:tab w:val="clear" w:pos="360"/>
          <w:tab w:val="left" w:pos="1872"/>
        </w:tabs>
        <w:spacing w:before="126"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date on which the accreditation was granted;</w:t>
      </w:r>
    </w:p>
    <w:p>
      <w:pPr>
        <w:numPr>
          <w:ilvl w:val="0"/>
          <w:numId w:val="272"/>
        </w:numPr>
        <w:tabs>
          <w:tab w:val="clear" w:pos="360"/>
          <w:tab w:val="left" w:pos="1872"/>
        </w:tabs>
        <w:spacing w:before="122"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expiry date of the accreditation.</w:t>
      </w:r>
    </w:p>
    <w:p>
      <w:pPr>
        <w:spacing w:before="124" w:after="0" w:line="275"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If an assessor is accredited to conduct a competency assessment in relation to more than 1 class of high risk work, the regulator may issue to the accredited assessor one accreditation document in relation to some or all of those classes of high risk work.</w:t>
      </w:r>
    </w:p>
    <w:p>
      <w:pPr>
        <w:spacing w:before="120" w:after="1119"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(4) If 2 or more of the classes of high risk work referred to in subregulation (3) represent levels of the same type of work, it is sufficient if the accreditation document contains a description of the class of work that represents the highest level.</w:t>
      </w:r>
    </w:p>
    <w:p>
      <w:pPr>
        <w:spacing w:before="120" w:after="1119"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107</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4.5	</w:t>
      </w:r>
      <w:r>
        <w:rPr>
          <w:rFonts w:ascii="Times New Roman" w:hAnsi="Times New Roman" w:eastAsia="Times New Roman"/>
          <w:color w:val="000000"/>
          <w:spacing w:val="0"/>
          <w:w w:val="100"/>
          <w:sz w:val="20"/>
          <w:vertAlign w:val="baseline"/>
          <w:lang w:val="en-US"/>
        </w:rPr>
        <w:t xml:space="preserve">High Risk Work</w:t>
      </w:r>
    </w:p>
    <w:p>
      <w:pPr>
        <w:spacing w:before="251"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3"/>
          <w:w w:val="100"/>
          <w:sz w:val="24"/>
          <w:vertAlign w:val="baseline"/>
          <w:lang w:val="en-US"/>
        </w:rPr>
        <w:t xml:space="preserve">124 Accreditation document to be available</w:t>
      </w:r>
    </w:p>
    <w:p>
      <w:pPr>
        <w:numPr>
          <w:ilvl w:val="0"/>
          <w:numId w:val="273"/>
        </w:numPr>
        <w:tabs>
          <w:tab w:val="clear" w:pos="360"/>
          <w:tab w:val="left" w:pos="1368"/>
        </w:tabs>
        <w:spacing w:before="126" w:after="0" w:line="273" w:lineRule="exact"/>
        <w:ind w:right="72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accredited assessor must keep the accreditation document available for inspection under the Act.</w:t>
      </w:r>
    </w:p>
    <w:p>
      <w:pPr>
        <w:spacing w:before="125"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19"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5"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numPr>
          <w:ilvl w:val="0"/>
          <w:numId w:val="273"/>
        </w:numPr>
        <w:tabs>
          <w:tab w:val="clear" w:pos="360"/>
          <w:tab w:val="left" w:pos="1368"/>
        </w:tabs>
        <w:spacing w:before="117" w:after="0" w:line="276" w:lineRule="exact"/>
        <w:ind w:right="288"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An accredited assessor must make the accreditation document available for inspection by any person in relation to whom the assessor is conducting, or is to conduct, a competency assessment.</w:t>
      </w:r>
    </w:p>
    <w:p>
      <w:pPr>
        <w:spacing w:before="125"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19"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5"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numPr>
          <w:ilvl w:val="0"/>
          <w:numId w:val="273"/>
        </w:numPr>
        <w:tabs>
          <w:tab w:val="clear" w:pos="360"/>
          <w:tab w:val="left" w:pos="1368"/>
        </w:tabs>
        <w:spacing w:before="119" w:after="0" w:line="274" w:lineRule="exact"/>
        <w:ind w:right="504"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Subregulations (1) and (2) do not apply if the accreditation document is not in the accredited assessor's possession because:</w:t>
      </w:r>
    </w:p>
    <w:p>
      <w:pPr>
        <w:numPr>
          <w:ilvl w:val="0"/>
          <w:numId w:val="274"/>
        </w:numPr>
        <w:tabs>
          <w:tab w:val="clear" w:pos="360"/>
          <w:tab w:val="left" w:pos="1872"/>
        </w:tabs>
        <w:spacing w:before="124" w:after="0" w:line="274"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it has been returned to the regulator under regulation 126; or</w:t>
      </w:r>
    </w:p>
    <w:p>
      <w:pPr>
        <w:numPr>
          <w:ilvl w:val="0"/>
          <w:numId w:val="274"/>
        </w:numPr>
        <w:tabs>
          <w:tab w:val="clear" w:pos="360"/>
          <w:tab w:val="left" w:pos="1872"/>
        </w:tabs>
        <w:spacing w:before="116" w:after="0" w:line="278" w:lineRule="exact"/>
        <w:ind w:right="72" w:left="1872"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the accreditation assessor has applied for, but has not received, a replacement accreditation document under regulation 127.</w:t>
      </w:r>
    </w:p>
    <w:p>
      <w:pPr>
        <w:spacing w:before="245"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Subdivision 3 Amendment of accreditation document</w:t>
      </w:r>
    </w:p>
    <w:p>
      <w:pPr>
        <w:spacing w:before="119"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125 Changes to information</w:t>
      </w:r>
    </w:p>
    <w:p>
      <w:pPr>
        <w:numPr>
          <w:ilvl w:val="0"/>
          <w:numId w:val="275"/>
        </w:numPr>
        <w:tabs>
          <w:tab w:val="clear" w:pos="360"/>
          <w:tab w:val="left" w:pos="1368"/>
        </w:tabs>
        <w:spacing w:before="120"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accredited assessor must give the regulator written notice of any change to any material particular in any information given at any time by the assessor to the regulator in relation to the accreditation within 14 days after the assessor becomes aware of the change.</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0"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numPr>
          <w:ilvl w:val="0"/>
          <w:numId w:val="275"/>
        </w:numPr>
        <w:tabs>
          <w:tab w:val="clear" w:pos="360"/>
          <w:tab w:val="left" w:pos="1368"/>
        </w:tabs>
        <w:spacing w:before="122"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Subregulation (1) applies whether the information was given in the application for grant or renewal of the accreditation or in any other circumstance.</w:t>
      </w:r>
    </w:p>
    <w:p>
      <w:pPr>
        <w:spacing w:before="120"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126 Accredited assessor to return accreditation document</w:t>
      </w:r>
    </w:p>
    <w:p>
      <w:pPr>
        <w:spacing w:before="124" w:after="925" w:line="275" w:lineRule="exact"/>
        <w:ind w:right="216"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If an accreditation is amended, the accredited assessor must return the accreditation document to the regulator for amendment at the written request of the regulator and within the time specified in the request.</w:t>
      </w:r>
    </w:p>
    <w:p>
      <w:pPr>
        <w:spacing w:before="124" w:after="925" w:line="275"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108</w:t>
      </w:r>
    </w:p>
    <w:p>
      <w:pPr>
        <w:sectPr>
          <w:type w:val="continuous"/>
          <w:pgSz w:w="11909" w:h="16838" w:orient="portrait"/>
          <w:pgMar w:bottom="1082" w:top="1140" w:right="5814" w:left="1975"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4.5	</w:t>
      </w:r>
      <w:r>
        <w:rPr>
          <w:rFonts w:ascii="Times New Roman" w:hAnsi="Times New Roman" w:eastAsia="Times New Roman"/>
          <w:color w:val="000000"/>
          <w:spacing w:val="0"/>
          <w:w w:val="100"/>
          <w:sz w:val="20"/>
          <w:vertAlign w:val="baseline"/>
          <w:lang w:val="en-US"/>
        </w:rPr>
        <w:t xml:space="preserve">High Risk Work</w:t>
      </w:r>
    </w:p>
    <w:p>
      <w:pPr>
        <w:spacing w:before="25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26"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127 Replacement accreditation document</w:t>
      </w:r>
    </w:p>
    <w:p>
      <w:pPr>
        <w:spacing w:before="113" w:after="0" w:line="279" w:lineRule="exact"/>
        <w:ind w:right="72"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(1) An accredited assessor must notify the regulator as soon as practicable if the accreditation document is lost, stolen or destroyed.</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23" w:after="0" w:line="276"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If an accreditation document is lost, stolen or destroyed an accredited assessor may apply to the regulator for a replacement accreditation document.</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2" w:after="0" w:line="231" w:lineRule="exact"/>
        <w:ind w:right="216"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An accreditation holder is required to keep the accreditation document available for inspection (see regulation 124).</w:t>
      </w:r>
    </w:p>
    <w:p>
      <w:pPr>
        <w:spacing w:before="119" w:after="0" w:line="273" w:lineRule="exact"/>
        <w:ind w:right="252" w:left="0" w:firstLine="0"/>
        <w:jc w:val="righ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An application for a replacement accreditation document must be</w:t>
      </w:r>
    </w:p>
    <w:p>
      <w:pPr>
        <w:spacing w:before="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made in the manner and form required by the regulator.</w:t>
      </w:r>
    </w:p>
    <w:p>
      <w:pPr>
        <w:spacing w:before="126"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The application must:</w:t>
      </w:r>
    </w:p>
    <w:p>
      <w:pPr>
        <w:numPr>
          <w:ilvl w:val="0"/>
          <w:numId w:val="276"/>
        </w:numPr>
        <w:tabs>
          <w:tab w:val="clear" w:pos="360"/>
          <w:tab w:val="left" w:pos="1872"/>
        </w:tabs>
        <w:spacing w:before="114" w:after="0" w:line="279"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include a declaration describing the circumstances in which the original document was lost, stolen or destroyed; and</w:t>
      </w:r>
    </w:p>
    <w:p>
      <w:pPr>
        <w:spacing w:before="124"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3" w:after="0" w:line="230" w:lineRule="exact"/>
        <w:ind w:right="36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section 268 of the Act for offences relating to the giving of false or misleading information under the Act or these Regulations.</w:t>
      </w:r>
    </w:p>
    <w:p>
      <w:pPr>
        <w:numPr>
          <w:ilvl w:val="0"/>
          <w:numId w:val="276"/>
        </w:numPr>
        <w:tabs>
          <w:tab w:val="clear" w:pos="360"/>
          <w:tab w:val="left" w:pos="1872"/>
        </w:tabs>
        <w:spacing w:before="119"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be accompanied by the relevant fee.</w:t>
      </w:r>
    </w:p>
    <w:p>
      <w:pPr>
        <w:spacing w:before="116" w:after="0" w:line="278" w:lineRule="exact"/>
        <w:ind w:right="288"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The regulator must issue a replacement accreditation document if satisfied that the original document was lost, stolen or destroyed.</w:t>
      </w:r>
    </w:p>
    <w:p>
      <w:pPr>
        <w:spacing w:before="120"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(6) If the regulator refuses to issue a replacement accreditation document, it must give the accredited assessor written notice of this decision, including the reasons for the decision, within 14 days after making the decision.</w:t>
      </w:r>
    </w:p>
    <w:p>
      <w:pPr>
        <w:spacing w:before="124"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4" w:after="1731" w:line="230" w:lineRule="exact"/>
        <w:ind w:right="288" w:left="864"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A refusal to issue a replacement accreditation document is a reviewable decision (see regulation 676).</w:t>
      </w:r>
    </w:p>
    <w:p>
      <w:pPr>
        <w:spacing w:before="124" w:after="1731" w:line="230"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109</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4.5	</w:t>
      </w:r>
      <w:r>
        <w:rPr>
          <w:rFonts w:ascii="Times New Roman" w:hAnsi="Times New Roman" w:eastAsia="Times New Roman"/>
          <w:color w:val="000000"/>
          <w:spacing w:val="0"/>
          <w:w w:val="100"/>
          <w:sz w:val="20"/>
          <w:vertAlign w:val="baseline"/>
          <w:lang w:val="en-US"/>
        </w:rPr>
        <w:t xml:space="preserve">High Risk Work</w:t>
      </w:r>
    </w:p>
    <w:p>
      <w:pPr>
        <w:spacing w:before="251" w:after="0" w:line="273"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3"/>
          <w:w w:val="100"/>
          <w:sz w:val="24"/>
          <w:vertAlign w:val="baseline"/>
          <w:lang w:val="en-US"/>
        </w:rPr>
        <w:t xml:space="preserve">128 Voluntary surrender of accreditation</w:t>
      </w:r>
    </w:p>
    <w:p>
      <w:pPr>
        <w:numPr>
          <w:ilvl w:val="0"/>
          <w:numId w:val="277"/>
        </w:numPr>
        <w:tabs>
          <w:tab w:val="clear" w:pos="360"/>
          <w:tab w:val="left" w:pos="1368"/>
        </w:tabs>
        <w:spacing w:before="126" w:after="0" w:line="273"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accredited assessor may voluntarily surrender the accreditation document to the regulator.</w:t>
      </w:r>
    </w:p>
    <w:p>
      <w:pPr>
        <w:numPr>
          <w:ilvl w:val="0"/>
          <w:numId w:val="277"/>
        </w:numPr>
        <w:tabs>
          <w:tab w:val="clear" w:pos="360"/>
          <w:tab w:val="left" w:pos="1368"/>
        </w:tabs>
        <w:spacing w:before="126" w:after="0" w:line="273" w:lineRule="exact"/>
        <w:ind w:right="64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accreditation expires on the surrender of the accreditation document.</w:t>
      </w:r>
    </w:p>
    <w:p>
      <w:pPr>
        <w:spacing w:before="251" w:after="0" w:line="273"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Subdivision 4 Renewal of accreditation</w:t>
      </w:r>
    </w:p>
    <w:p>
      <w:pPr>
        <w:spacing w:before="115" w:after="0" w:line="273"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129 Regulator may renew accreditation</w:t>
      </w:r>
    </w:p>
    <w:p>
      <w:pPr>
        <w:spacing w:before="126" w:after="0" w:line="273" w:lineRule="exact"/>
        <w:ind w:right="216"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may renew an accreditation on the application of the accredited assessor.</w:t>
      </w:r>
    </w:p>
    <w:p>
      <w:pPr>
        <w:spacing w:before="126" w:after="0" w:line="273"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130 Application for renewal</w:t>
      </w:r>
    </w:p>
    <w:p>
      <w:pPr>
        <w:spacing w:before="114" w:after="0" w:line="279" w:lineRule="exact"/>
        <w:ind w:right="50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An application for renewal of accreditation must be made in the manner and form required by the regulator.</w:t>
      </w:r>
    </w:p>
    <w:p>
      <w:pPr>
        <w:spacing w:before="120"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An application must:</w:t>
      </w:r>
    </w:p>
    <w:p>
      <w:pPr>
        <w:numPr>
          <w:ilvl w:val="0"/>
          <w:numId w:val="278"/>
        </w:numPr>
        <w:tabs>
          <w:tab w:val="clear" w:pos="360"/>
          <w:tab w:val="left" w:pos="1872"/>
        </w:tabs>
        <w:spacing w:before="18" w:after="0" w:line="365" w:lineRule="exact"/>
        <w:ind w:right="288"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include the information referred to in regulation 116(2); and </w:t>
      </w:r>
      <w:r>
        <w:rPr>
          <w:rFonts w:ascii="Times New Roman" w:hAnsi="Times New Roman" w:eastAsia="Times New Roman"/>
          <w:b w:val="true"/>
          <w:color w:val="000000"/>
          <w:spacing w:val="0"/>
          <w:w w:val="100"/>
          <w:sz w:val="20"/>
          <w:vertAlign w:val="baseline"/>
          <w:lang w:val="en-US"/>
        </w:rPr>
        <w:t xml:space="preserve">Note</w:t>
      </w:r>
    </w:p>
    <w:p>
      <w:pPr>
        <w:spacing w:before="124" w:after="0" w:line="231" w:lineRule="exact"/>
        <w:ind w:right="36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section 268 of the Act for offences relating to the giving of false or misleading information under the Act or these Regulations.</w:t>
      </w:r>
    </w:p>
    <w:p>
      <w:pPr>
        <w:numPr>
          <w:ilvl w:val="0"/>
          <w:numId w:val="278"/>
        </w:numPr>
        <w:tabs>
          <w:tab w:val="clear" w:pos="360"/>
          <w:tab w:val="left" w:pos="1872"/>
        </w:tabs>
        <w:spacing w:before="117"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be accompanied by the relevant fee.</w:t>
      </w:r>
    </w:p>
    <w:p>
      <w:pPr>
        <w:spacing w:before="120" w:after="0" w:line="273" w:lineRule="exact"/>
        <w:ind w:right="0" w:left="0" w:firstLine="0"/>
        <w:jc w:val="righ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application must be made before the expiry of the accreditation.</w:t>
      </w:r>
    </w:p>
    <w:p>
      <w:pPr>
        <w:spacing w:before="126" w:after="0" w:line="273"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131 Accreditation continues in force until application is decided</w:t>
      </w:r>
    </w:p>
    <w:p>
      <w:pPr>
        <w:spacing w:before="117" w:after="0" w:line="276" w:lineRule="exact"/>
        <w:ind w:right="72" w:left="1368"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If an accredited assessor applies under regulation 130 for the renewal of accreditation, the accreditation is taken to continue in force from the day it would, apart from this regulation, have expired until the accredited assessor is given notice of the decision on the application.</w:t>
      </w:r>
    </w:p>
    <w:p>
      <w:pPr>
        <w:spacing w:before="6" w:after="0" w:line="393" w:lineRule="exact"/>
        <w:ind w:right="0" w:left="1368" w:hanging="108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132 Provisions relating to application</w:t>
        <w:br/>
      </w:r>
      <w:r>
        <w:rPr>
          <w:rFonts w:ascii="Times New Roman" w:hAnsi="Times New Roman" w:eastAsia="Times New Roman"/>
          <w:color w:val="000000"/>
          <w:spacing w:val="0"/>
          <w:w w:val="100"/>
          <w:sz w:val="24"/>
          <w:vertAlign w:val="baseline"/>
          <w:lang w:val="en-US"/>
        </w:rPr>
        <w:t xml:space="preserve">For the purposes of this Division:</w:t>
      </w:r>
    </w:p>
    <w:p>
      <w:pPr>
        <w:numPr>
          <w:ilvl w:val="0"/>
          <w:numId w:val="279"/>
        </w:numPr>
        <w:tabs>
          <w:tab w:val="clear" w:pos="360"/>
          <w:tab w:val="left" w:pos="1872"/>
        </w:tabs>
        <w:spacing w:before="123"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regulation 117 applies as if a reference in that regulation to an application for accreditation were a reference to an application to renew an accreditation; and</w:t>
      </w:r>
    </w:p>
    <w:p>
      <w:pPr>
        <w:numPr>
          <w:ilvl w:val="0"/>
          <w:numId w:val="279"/>
        </w:numPr>
        <w:tabs>
          <w:tab w:val="clear" w:pos="360"/>
          <w:tab w:val="left" w:pos="1872"/>
        </w:tabs>
        <w:spacing w:before="116" w:after="1180" w:line="277"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regulations 118 (except subregulation (5)), 119, 121 and 122 apply as if a reference in those regulations to the grant of an accreditation were a reference to the renewal of an accreditation; and</w:t>
      </w:r>
    </w:p>
    <w:p>
      <w:pPr>
        <w:spacing w:before="116" w:after="1180" w:line="277"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110</w:t>
      </w:r>
    </w:p>
    <w:p>
      <w:pPr>
        <w:sectPr>
          <w:type w:val="continuous"/>
          <w:pgSz w:w="11909" w:h="16838" w:orient="portrait"/>
          <w:pgMar w:bottom="1082" w:top="1140" w:right="5812" w:left="1977"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4.5	</w:t>
      </w:r>
      <w:r>
        <w:rPr>
          <w:rFonts w:ascii="Times New Roman" w:hAnsi="Times New Roman" w:eastAsia="Times New Roman"/>
          <w:color w:val="000000"/>
          <w:spacing w:val="0"/>
          <w:w w:val="100"/>
          <w:sz w:val="20"/>
          <w:vertAlign w:val="baseline"/>
          <w:lang w:val="en-US"/>
        </w:rPr>
        <w:t xml:space="preserve">High Risk Work</w:t>
      </w:r>
    </w:p>
    <w:p>
      <w:pPr>
        <w:spacing w:before="248" w:after="0" w:line="276"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(c) regulation 120 applies as if a reference in that regulation to a refusal to grant an accreditation were a reference to a refusal to renew an accreditation.</w:t>
      </w:r>
    </w:p>
    <w:p>
      <w:pPr>
        <w:spacing w:before="124"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7"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refusal to renew an accreditation is a reviewable decision (see regulation 676).</w:t>
      </w:r>
    </w:p>
    <w:p>
      <w:pPr>
        <w:spacing w:before="245" w:after="0" w:line="273"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Subdivision 5 Suspension and cancellation</w:t>
      </w:r>
    </w:p>
    <w:p>
      <w:pPr>
        <w:spacing w:before="120" w:after="0" w:line="273"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133 Regulator may suspend or cancel accreditation</w:t>
      </w:r>
    </w:p>
    <w:p>
      <w:pPr>
        <w:spacing w:before="121"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regulator may, under this Division:</w:t>
      </w:r>
    </w:p>
    <w:p>
      <w:pPr>
        <w:numPr>
          <w:ilvl w:val="0"/>
          <w:numId w:val="280"/>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suspend or cancel an accreditation; and</w:t>
      </w:r>
    </w:p>
    <w:p>
      <w:pPr>
        <w:numPr>
          <w:ilvl w:val="0"/>
          <w:numId w:val="280"/>
        </w:numPr>
        <w:tabs>
          <w:tab w:val="clear" w:pos="360"/>
          <w:tab w:val="left" w:pos="1872"/>
        </w:tabs>
        <w:spacing w:before="118" w:after="0" w:line="276"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suspending an accreditation, vary the conditions of the accreditation, including by imposing different or additional conditions.</w:t>
      </w:r>
    </w:p>
    <w:p>
      <w:pPr>
        <w:spacing w:before="122" w:after="0" w:line="276" w:lineRule="exact"/>
        <w:ind w:right="72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If the regulator cancels an accreditation, the regulator may disqualify the accredited assessor from applying for a further accreditation for a specified period.</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3" w:after="0" w:line="230" w:lineRule="exact"/>
        <w:ind w:right="216"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decision to suspend or cancel an accreditation, to vary the conditions of an accreditation or to disqualify an accredited assessor from applying for a further accreditation is a reviewable decision (see regulation 676).</w:t>
      </w:r>
    </w:p>
    <w:p>
      <w:pPr>
        <w:tabs>
          <w:tab w:val="left" w:leader="none" w:pos="864"/>
        </w:tabs>
        <w:spacing w:before="120" w:after="0" w:line="273"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134	</w:t>
      </w:r>
      <w:r>
        <w:rPr>
          <w:rFonts w:ascii="Times New Roman" w:hAnsi="Times New Roman" w:eastAsia="Times New Roman"/>
          <w:b w:val="true"/>
          <w:color w:val="000000"/>
          <w:spacing w:val="0"/>
          <w:w w:val="100"/>
          <w:sz w:val="24"/>
          <w:vertAlign w:val="baseline"/>
          <w:lang w:val="en-US"/>
        </w:rPr>
        <w:t xml:space="preserve">Suspension or cancellation of accreditation</w:t>
      </w:r>
    </w:p>
    <w:p>
      <w:pPr>
        <w:spacing w:before="116" w:after="0" w:line="278"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regulator may suspend or cancel an accreditation if satisfied about 1 or more of the following:</w:t>
      </w:r>
    </w:p>
    <w:p>
      <w:pPr>
        <w:numPr>
          <w:ilvl w:val="0"/>
          <w:numId w:val="281"/>
        </w:numPr>
        <w:tabs>
          <w:tab w:val="clear" w:pos="360"/>
          <w:tab w:val="left" w:pos="1872"/>
        </w:tabs>
        <w:spacing w:before="118" w:after="0" w:line="276"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accredited assessor is no longer qualified to conduct the competency assessment specified in the assessor's accreditation document;</w:t>
      </w:r>
    </w:p>
    <w:p>
      <w:pPr>
        <w:numPr>
          <w:ilvl w:val="0"/>
          <w:numId w:val="281"/>
        </w:numPr>
        <w:tabs>
          <w:tab w:val="clear" w:pos="360"/>
          <w:tab w:val="left" w:pos="1872"/>
        </w:tabs>
        <w:spacing w:before="124" w:after="0" w:line="274"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accredited assessor is not able to conduct the competency assessment to which the accreditation relates competently;</w:t>
      </w:r>
    </w:p>
    <w:p>
      <w:pPr>
        <w:numPr>
          <w:ilvl w:val="0"/>
          <w:numId w:val="281"/>
        </w:numPr>
        <w:tabs>
          <w:tab w:val="clear" w:pos="360"/>
          <w:tab w:val="left" w:pos="1872"/>
        </w:tabs>
        <w:spacing w:before="124" w:after="0" w:line="274" w:lineRule="exact"/>
        <w:ind w:right="288" w:left="1872" w:hanging="360"/>
        <w:jc w:val="both"/>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the accredited assessor has failed to comply with a condition imposed on the accreditation under regulation 121;</w:t>
      </w:r>
    </w:p>
    <w:p>
      <w:pPr>
        <w:numPr>
          <w:ilvl w:val="0"/>
          <w:numId w:val="281"/>
        </w:numPr>
        <w:tabs>
          <w:tab w:val="clear" w:pos="360"/>
          <w:tab w:val="left" w:pos="1872"/>
        </w:tabs>
        <w:spacing w:before="122" w:after="0" w:line="276"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accredited assessor, in the application for the grant or renewal of accreditation or on request by the regulator for additional information:</w:t>
      </w:r>
    </w:p>
    <w:p>
      <w:pPr>
        <w:numPr>
          <w:ilvl w:val="0"/>
          <w:numId w:val="282"/>
        </w:numPr>
        <w:tabs>
          <w:tab w:val="clear" w:pos="360"/>
          <w:tab w:val="left" w:pos="2376"/>
        </w:tabs>
        <w:spacing w:before="116" w:after="0" w:line="278" w:lineRule="exact"/>
        <w:ind w:right="79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gave information that was false or misleading in a material particular; or</w:t>
      </w:r>
    </w:p>
    <w:p>
      <w:pPr>
        <w:numPr>
          <w:ilvl w:val="0"/>
          <w:numId w:val="282"/>
        </w:numPr>
        <w:tabs>
          <w:tab w:val="clear" w:pos="360"/>
          <w:tab w:val="left" w:pos="2376"/>
        </w:tabs>
        <w:spacing w:before="116" w:after="888" w:line="278" w:lineRule="exact"/>
        <w:ind w:right="216" w:left="2376"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failed to give any material information that should have been given in that application or on that request.</w:t>
      </w:r>
    </w:p>
    <w:p>
      <w:pPr>
        <w:spacing w:before="116" w:after="888"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111</w:t>
      </w:r>
    </w:p>
    <w:p>
      <w:pPr>
        <w:sectPr>
          <w:type w:val="continuous"/>
          <w:pgSz w:w="11909" w:h="16838" w:orient="portrait"/>
          <w:pgMar w:bottom="1082" w:top="1140" w:right="5819" w:left="1970"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4.5	</w:t>
      </w:r>
      <w:r>
        <w:rPr>
          <w:rFonts w:ascii="Times New Roman" w:hAnsi="Times New Roman" w:eastAsia="Times New Roman"/>
          <w:color w:val="000000"/>
          <w:spacing w:val="0"/>
          <w:w w:val="100"/>
          <w:sz w:val="20"/>
          <w:vertAlign w:val="baseline"/>
          <w:lang w:val="en-US"/>
        </w:rPr>
        <w:t xml:space="preserve">High Risk Work</w:t>
      </w:r>
    </w:p>
    <w:p>
      <w:pPr>
        <w:spacing w:before="248"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(2) In subregulation (1)(a), </w:t>
      </w:r>
      <w:r>
        <w:rPr>
          <w:rFonts w:ascii="Times New Roman" w:hAnsi="Times New Roman" w:eastAsia="Times New Roman"/>
          <w:b w:val="true"/>
          <w:i w:val="true"/>
          <w:color w:val="000000"/>
          <w:spacing w:val="0"/>
          <w:w w:val="100"/>
          <w:sz w:val="24"/>
          <w:vertAlign w:val="baseline"/>
          <w:lang w:val="en-US"/>
        </w:rPr>
        <w:t xml:space="preserve">qualified </w:t>
      </w:r>
      <w:r>
        <w:rPr>
          <w:rFonts w:ascii="Times New Roman" w:hAnsi="Times New Roman" w:eastAsia="Times New Roman"/>
          <w:color w:val="000000"/>
          <w:spacing w:val="0"/>
          <w:w w:val="100"/>
          <w:sz w:val="24"/>
          <w:vertAlign w:val="baseline"/>
          <w:lang w:val="en-US"/>
        </w:rPr>
        <w:t xml:space="preserve">has the same meaning in relation to an accredited assessor as it has in regulation 118 in relation to an applicant for accreditation.</w:t>
      </w:r>
    </w:p>
    <w:p>
      <w:pPr>
        <w:spacing w:before="126" w:after="0" w:line="273"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135 Matters to be taken into account</w:t>
      </w:r>
    </w:p>
    <w:p>
      <w:pPr>
        <w:spacing w:before="114" w:after="0" w:line="279"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In making a decision under regulation 133, the regulator must have regard to:</w:t>
      </w:r>
    </w:p>
    <w:p>
      <w:pPr>
        <w:numPr>
          <w:ilvl w:val="0"/>
          <w:numId w:val="283"/>
        </w:numPr>
        <w:tabs>
          <w:tab w:val="clear" w:pos="360"/>
          <w:tab w:val="left" w:pos="1872"/>
        </w:tabs>
        <w:spacing w:before="114" w:after="0" w:line="279" w:lineRule="exact"/>
        <w:ind w:right="79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submissions made by the accredited assessor under regulation 136; and</w:t>
      </w:r>
    </w:p>
    <w:p>
      <w:pPr>
        <w:numPr>
          <w:ilvl w:val="0"/>
          <w:numId w:val="283"/>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advice received from a corresponding regulator.</w:t>
      </w:r>
    </w:p>
    <w:p>
      <w:pPr>
        <w:spacing w:before="126" w:after="0" w:line="273"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For the purposes of regulation 134(1)(b) and (c), the regulator must have regard to all relevant matters, including the following:</w:t>
      </w:r>
    </w:p>
    <w:p>
      <w:pPr>
        <w:spacing w:before="127" w:after="0" w:line="273"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any offence under the Act or these Regulations or under a corresponding WHS law, of which the accredited assessor has been convicted or found guilty;</w:t>
      </w:r>
    </w:p>
    <w:p>
      <w:pPr>
        <w:spacing w:before="129"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8"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18" w:after="0" w:line="274" w:lineRule="exact"/>
        <w:ind w:right="64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any enforceable undertaking the accredited assessor has entered into under the Act or a corresponding WHS law;</w:t>
      </w:r>
    </w:p>
    <w:p>
      <w:pPr>
        <w:spacing w:before="122" w:after="0" w:line="276"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in relation to any equivalent accreditation applied for or held by the accredited assessor under the Act or these Regulations or under a corresponding WHS law:</w:t>
      </w:r>
    </w:p>
    <w:p>
      <w:pPr>
        <w:numPr>
          <w:ilvl w:val="0"/>
          <w:numId w:val="284"/>
        </w:numPr>
        <w:tabs>
          <w:tab w:val="clear" w:pos="504"/>
          <w:tab w:val="left" w:pos="2376"/>
        </w:tabs>
        <w:spacing w:before="121" w:after="0" w:line="273" w:lineRule="exact"/>
        <w:ind w:right="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refusal to grant the accreditation; and</w:t>
      </w:r>
    </w:p>
    <w:p>
      <w:pPr>
        <w:numPr>
          <w:ilvl w:val="0"/>
          <w:numId w:val="284"/>
        </w:numPr>
        <w:tabs>
          <w:tab w:val="clear" w:pos="504"/>
          <w:tab w:val="left" w:pos="2376"/>
        </w:tabs>
        <w:spacing w:before="124" w:after="0" w:line="274" w:lineRule="exact"/>
        <w:ind w:right="36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condition imposed on the accreditation, if granted; and</w:t>
      </w:r>
    </w:p>
    <w:p>
      <w:pPr>
        <w:numPr>
          <w:ilvl w:val="0"/>
          <w:numId w:val="284"/>
        </w:numPr>
        <w:tabs>
          <w:tab w:val="clear" w:pos="504"/>
          <w:tab w:val="left" w:pos="2376"/>
        </w:tabs>
        <w:spacing w:before="122" w:after="0" w:line="276" w:lineRule="exact"/>
        <w:ind w:right="144"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suspension or cancellation of the accreditation, if granted, including any disqualification from applying for any accreditation;</w:t>
      </w:r>
    </w:p>
    <w:p>
      <w:pPr>
        <w:spacing w:before="118" w:after="0" w:line="276" w:lineRule="exact"/>
        <w:ind w:right="64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any suspension of a high risk work licence held by the accredited assessor under the Act or these Regulations or under a corresponding WHS law;</w:t>
      </w:r>
    </w:p>
    <w:p>
      <w:pPr>
        <w:spacing w:before="122" w:after="2011" w:line="276" w:lineRule="exact"/>
        <w:ind w:right="648"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(e) the accredited assessor's record in relation to any matters arising under the Act or these Regulations or under a corresponding WHS law.</w:t>
      </w:r>
    </w:p>
    <w:p>
      <w:pPr>
        <w:spacing w:before="122" w:after="2011"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112</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4.5	</w:t>
      </w:r>
      <w:r>
        <w:rPr>
          <w:rFonts w:ascii="Times New Roman" w:hAnsi="Times New Roman" w:eastAsia="Times New Roman"/>
          <w:color w:val="000000"/>
          <w:spacing w:val="0"/>
          <w:w w:val="100"/>
          <w:sz w:val="20"/>
          <w:vertAlign w:val="baseline"/>
          <w:lang w:val="en-US"/>
        </w:rPr>
        <w:t xml:space="preserve">High Risk Work</w:t>
      </w:r>
    </w:p>
    <w:p>
      <w:pPr>
        <w:spacing w:before="251"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2"/>
          <w:w w:val="100"/>
          <w:sz w:val="24"/>
          <w:vertAlign w:val="baseline"/>
          <w:lang w:val="en-US"/>
        </w:rPr>
        <w:t xml:space="preserve">136 Notice to and submissions by accredited assessor</w:t>
      </w:r>
    </w:p>
    <w:p>
      <w:pPr>
        <w:spacing w:before="121" w:after="0" w:line="276"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Before suspending or cancelling an accreditation, the regulator must give the accreditation holder a written notice of the proposed suspension or cancellation and any proposed disqualification:</w:t>
      </w:r>
    </w:p>
    <w:p>
      <w:pPr>
        <w:numPr>
          <w:ilvl w:val="0"/>
          <w:numId w:val="285"/>
        </w:numPr>
        <w:tabs>
          <w:tab w:val="clear" w:pos="432"/>
          <w:tab w:val="left" w:pos="1944"/>
        </w:tabs>
        <w:spacing w:before="114" w:after="0" w:line="279" w:lineRule="exact"/>
        <w:ind w:right="576" w:left="1944"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outlining all relevant allegations, facts and circumstances known to the regulator; and</w:t>
      </w:r>
    </w:p>
    <w:p>
      <w:pPr>
        <w:numPr>
          <w:ilvl w:val="0"/>
          <w:numId w:val="285"/>
        </w:numPr>
        <w:tabs>
          <w:tab w:val="clear" w:pos="432"/>
          <w:tab w:val="left" w:pos="1944"/>
        </w:tabs>
        <w:spacing w:before="117" w:after="0" w:line="276" w:lineRule="exact"/>
        <w:ind w:right="216" w:left="1944"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advising the accreditation holder that the accreditation holder may, by a specified date (being not less than 28 days after giving the notice), make a submission in relation to the proposed suspension or cancellation and any proposed disqualification.</w:t>
      </w:r>
    </w:p>
    <w:p>
      <w:pPr>
        <w:spacing w:before="127"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137 Notice of decision</w:t>
      </w:r>
    </w:p>
    <w:p>
      <w:pPr>
        <w:numPr>
          <w:ilvl w:val="0"/>
          <w:numId w:val="286"/>
        </w:numPr>
        <w:tabs>
          <w:tab w:val="clear" w:pos="360"/>
          <w:tab w:val="left" w:pos="1368"/>
        </w:tabs>
        <w:spacing w:before="115"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must give the accredited assessor written notice of a decision under regulation 134 to suspend or cancel the accreditation within 14 days after making the decision.</w:t>
      </w:r>
    </w:p>
    <w:p>
      <w:pPr>
        <w:numPr>
          <w:ilvl w:val="0"/>
          <w:numId w:val="286"/>
        </w:numPr>
        <w:tabs>
          <w:tab w:val="clear" w:pos="360"/>
          <w:tab w:val="left" w:pos="1368"/>
        </w:tabs>
        <w:spacing w:before="122" w:after="0" w:line="272"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notice must:</w:t>
      </w:r>
    </w:p>
    <w:p>
      <w:pPr>
        <w:spacing w:before="126" w:after="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state that the accreditation is to be suspended or cancelled; and</w:t>
      </w:r>
    </w:p>
    <w:p>
      <w:pPr>
        <w:spacing w:before="122" w:after="0" w:line="272"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if the accreditation is to be suspended, state:</w:t>
      </w:r>
    </w:p>
    <w:p>
      <w:pPr>
        <w:numPr>
          <w:ilvl w:val="0"/>
          <w:numId w:val="287"/>
        </w:numPr>
        <w:tabs>
          <w:tab w:val="clear" w:pos="432"/>
          <w:tab w:val="left" w:pos="2376"/>
        </w:tabs>
        <w:spacing w:before="126" w:after="0" w:line="272"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when the suspension begins and ends; and</w:t>
      </w:r>
    </w:p>
    <w:p>
      <w:pPr>
        <w:numPr>
          <w:ilvl w:val="0"/>
          <w:numId w:val="287"/>
        </w:numPr>
        <w:tabs>
          <w:tab w:val="clear" w:pos="432"/>
          <w:tab w:val="left" w:pos="2376"/>
        </w:tabs>
        <w:spacing w:before="122" w:after="0" w:line="272"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reasons for the suspension; and</w:t>
      </w:r>
    </w:p>
    <w:p>
      <w:pPr>
        <w:numPr>
          <w:ilvl w:val="0"/>
          <w:numId w:val="287"/>
        </w:numPr>
        <w:tabs>
          <w:tab w:val="clear" w:pos="432"/>
          <w:tab w:val="left" w:pos="2376"/>
        </w:tabs>
        <w:spacing w:before="122" w:after="0" w:line="276" w:lineRule="exact"/>
        <w:ind w:right="504"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whether or not the accredited assessor is required to undergo retraining or reassessment or take any other action before the suspension ends; and</w:t>
      </w:r>
    </w:p>
    <w:p>
      <w:pPr>
        <w:numPr>
          <w:ilvl w:val="0"/>
          <w:numId w:val="287"/>
        </w:numPr>
        <w:tabs>
          <w:tab w:val="clear" w:pos="432"/>
          <w:tab w:val="left" w:pos="2376"/>
        </w:tabs>
        <w:spacing w:before="116" w:after="0" w:line="278" w:lineRule="exact"/>
        <w:ind w:right="216"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whether any variation is to be made to the conditions of accreditation; and</w:t>
      </w:r>
    </w:p>
    <w:p>
      <w:pPr>
        <w:numPr>
          <w:ilvl w:val="0"/>
          <w:numId w:val="287"/>
        </w:numPr>
        <w:tabs>
          <w:tab w:val="clear" w:pos="432"/>
          <w:tab w:val="left" w:pos="2376"/>
        </w:tabs>
        <w:spacing w:before="118" w:after="0" w:line="276" w:lineRule="exact"/>
        <w:ind w:right="504"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whether or not the accredited assessor is disqualified from obtaining a further accreditation during the suspension; and</w:t>
      </w:r>
    </w:p>
    <w:p>
      <w:pPr>
        <w:spacing w:before="126" w:after="0" w:line="272"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if the accreditation is to be cancelled, state:</w:t>
      </w:r>
    </w:p>
    <w:p>
      <w:pPr>
        <w:numPr>
          <w:ilvl w:val="0"/>
          <w:numId w:val="288"/>
        </w:numPr>
        <w:tabs>
          <w:tab w:val="clear" w:pos="432"/>
          <w:tab w:val="left" w:pos="2376"/>
        </w:tabs>
        <w:spacing w:before="122" w:after="0" w:line="272"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when the cancellation takes effect; and</w:t>
      </w:r>
    </w:p>
    <w:p>
      <w:pPr>
        <w:numPr>
          <w:ilvl w:val="0"/>
          <w:numId w:val="288"/>
        </w:numPr>
        <w:tabs>
          <w:tab w:val="clear" w:pos="432"/>
          <w:tab w:val="left" w:pos="2376"/>
        </w:tabs>
        <w:spacing w:before="126" w:after="0" w:line="272"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reasons for the cancellation; and</w:t>
      </w:r>
    </w:p>
    <w:p>
      <w:pPr>
        <w:numPr>
          <w:ilvl w:val="0"/>
          <w:numId w:val="288"/>
        </w:numPr>
        <w:tabs>
          <w:tab w:val="clear" w:pos="432"/>
          <w:tab w:val="left" w:pos="2376"/>
        </w:tabs>
        <w:spacing w:before="116" w:after="0" w:line="278" w:lineRule="exact"/>
        <w:ind w:right="504"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whether or not the accredited assessor is disqualified from applying for a further accreditation; and</w:t>
      </w:r>
    </w:p>
    <w:p>
      <w:pPr>
        <w:spacing w:before="116" w:after="1009" w:line="278" w:lineRule="exact"/>
        <w:ind w:right="72" w:left="1944" w:hanging="432"/>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(d) if the accredited assessor is to be disqualified from obtaining a further accreditation, state:</w:t>
      </w:r>
    </w:p>
    <w:p>
      <w:pPr>
        <w:spacing w:before="116" w:after="1009"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113</w:t>
      </w:r>
    </w:p>
    <w:p>
      <w:pPr>
        <w:sectPr>
          <w:type w:val="continuous"/>
          <w:pgSz w:w="11909" w:h="16838" w:orient="portrait"/>
          <w:pgMar w:bottom="1082" w:top="1140" w:right="5817" w:left="1972"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4.5	</w:t>
      </w:r>
      <w:r>
        <w:rPr>
          <w:rFonts w:ascii="Times New Roman" w:hAnsi="Times New Roman" w:eastAsia="Times New Roman"/>
          <w:color w:val="000000"/>
          <w:spacing w:val="0"/>
          <w:w w:val="100"/>
          <w:sz w:val="20"/>
          <w:vertAlign w:val="baseline"/>
          <w:lang w:val="en-US"/>
        </w:rPr>
        <w:t xml:space="preserve">High Risk Work</w:t>
      </w:r>
    </w:p>
    <w:p>
      <w:pPr>
        <w:numPr>
          <w:ilvl w:val="0"/>
          <w:numId w:val="289"/>
        </w:numPr>
        <w:tabs>
          <w:tab w:val="clear" w:pos="504"/>
          <w:tab w:val="left" w:pos="2376"/>
        </w:tabs>
        <w:spacing w:before="251" w:after="0" w:line="273" w:lineRule="exact"/>
        <w:ind w:right="0" w:left="2376" w:hanging="504"/>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when the disqualification begins and ends; and</w:t>
      </w:r>
    </w:p>
    <w:p>
      <w:pPr>
        <w:numPr>
          <w:ilvl w:val="0"/>
          <w:numId w:val="289"/>
        </w:numPr>
        <w:tabs>
          <w:tab w:val="clear" w:pos="504"/>
          <w:tab w:val="left" w:pos="2376"/>
        </w:tabs>
        <w:spacing w:before="126" w:after="0" w:line="273" w:lineRule="exact"/>
        <w:ind w:right="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reasons for the disqualification; and</w:t>
      </w:r>
    </w:p>
    <w:p>
      <w:pPr>
        <w:numPr>
          <w:ilvl w:val="0"/>
          <w:numId w:val="289"/>
        </w:numPr>
        <w:tabs>
          <w:tab w:val="clear" w:pos="504"/>
          <w:tab w:val="left" w:pos="2376"/>
        </w:tabs>
        <w:spacing w:before="117" w:after="0" w:line="276" w:lineRule="exact"/>
        <w:ind w:right="504"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whether or not the accredited assessor is required to undergo retraining or reassessment or take any other action before the disqualification ends; and</w:t>
      </w:r>
    </w:p>
    <w:p>
      <w:pPr>
        <w:spacing w:before="126" w:after="0" w:line="273"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 state when the accreditation document must be returned to the regulator.</w:t>
      </w:r>
    </w:p>
    <w:p>
      <w:pPr>
        <w:spacing w:before="126" w:after="0" w:line="274"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138 Immediate suspension</w:t>
      </w:r>
    </w:p>
    <w:p>
      <w:pPr>
        <w:spacing w:before="115" w:after="0" w:line="277" w:lineRule="exact"/>
        <w:ind w:right="72"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(1) The regulator may suspend an accreditation on a ground referred to in regulation 134 without giving notice under regulation 136 if satisfied that a person may be exposed to an imminent serious risk to his or her health or safety if the accreditation were not suspended.</w:t>
      </w:r>
    </w:p>
    <w:p>
      <w:pPr>
        <w:spacing w:before="119" w:after="0" w:line="274" w:lineRule="exact"/>
        <w:ind w:right="72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If the regulator decides to suspend an accreditation under this regulation:</w:t>
      </w:r>
    </w:p>
    <w:p>
      <w:pPr>
        <w:numPr>
          <w:ilvl w:val="0"/>
          <w:numId w:val="290"/>
        </w:numPr>
        <w:tabs>
          <w:tab w:val="clear" w:pos="360"/>
          <w:tab w:val="left" w:pos="1872"/>
        </w:tabs>
        <w:spacing w:before="124" w:after="0" w:line="274"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must give the accredited assessor written notice of the suspension and the reasons for the suspension; and</w:t>
      </w:r>
    </w:p>
    <w:p>
      <w:pPr>
        <w:numPr>
          <w:ilvl w:val="0"/>
          <w:numId w:val="290"/>
        </w:numPr>
        <w:tabs>
          <w:tab w:val="clear" w:pos="360"/>
          <w:tab w:val="left" w:pos="1872"/>
        </w:tabs>
        <w:spacing w:before="125" w:after="0" w:line="273" w:lineRule="exact"/>
        <w:ind w:right="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suspension takes effect on the giving of the notice.</w:t>
      </w:r>
    </w:p>
    <w:p>
      <w:pPr>
        <w:spacing w:before="121"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regulator must then:</w:t>
      </w:r>
    </w:p>
    <w:p>
      <w:pPr>
        <w:numPr>
          <w:ilvl w:val="0"/>
          <w:numId w:val="291"/>
        </w:numPr>
        <w:tabs>
          <w:tab w:val="clear" w:pos="360"/>
          <w:tab w:val="left" w:pos="1872"/>
        </w:tabs>
        <w:spacing w:before="124" w:after="0" w:line="274"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give notice under regulation 136 within 14 days after giving the notice under subregulation (2); and</w:t>
      </w:r>
    </w:p>
    <w:p>
      <w:pPr>
        <w:numPr>
          <w:ilvl w:val="0"/>
          <w:numId w:val="291"/>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make its decision under regulation 134.</w:t>
      </w:r>
    </w:p>
    <w:p>
      <w:pPr>
        <w:spacing w:before="116" w:after="0" w:line="278"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If the regulator does not give notice under subregulation (3), the suspension ends at the end of the 14 day period.</w:t>
      </w:r>
    </w:p>
    <w:p>
      <w:pPr>
        <w:spacing w:before="118" w:after="0" w:line="276"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If the regulator gives notice under subregulation (3), the accreditation remains suspended until the decision is made under regulation 134.</w:t>
      </w:r>
    </w:p>
    <w:p>
      <w:pPr>
        <w:spacing w:before="125"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139 Accredited assessor to return accreditation document</w:t>
      </w:r>
    </w:p>
    <w:p>
      <w:pPr>
        <w:spacing w:before="117" w:after="0" w:line="276" w:lineRule="exact"/>
        <w:ind w:right="144"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accredited assessor, on receiving a notice under regulation 137, must return the accreditation document to the regulator in accordance with that notice.</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5" w:after="156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corporate—$6 000.</w:t>
      </w:r>
    </w:p>
    <w:p>
      <w:pPr>
        <w:spacing w:before="125" w:after="1560"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114</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4.5	</w:t>
      </w:r>
      <w:r>
        <w:rPr>
          <w:rFonts w:ascii="Times New Roman" w:hAnsi="Times New Roman" w:eastAsia="Times New Roman"/>
          <w:color w:val="000000"/>
          <w:spacing w:val="0"/>
          <w:w w:val="100"/>
          <w:sz w:val="20"/>
          <w:vertAlign w:val="baseline"/>
          <w:lang w:val="en-US"/>
        </w:rPr>
        <w:t xml:space="preserve">High Risk Work</w:t>
      </w:r>
    </w:p>
    <w:p>
      <w:pPr>
        <w:spacing w:before="251" w:after="0" w:line="273"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2"/>
          <w:w w:val="100"/>
          <w:sz w:val="24"/>
          <w:vertAlign w:val="baseline"/>
          <w:lang w:val="en-US"/>
        </w:rPr>
        <w:t xml:space="preserve">140 Regulator to return accreditation document after suspension</w:t>
      </w:r>
    </w:p>
    <w:p>
      <w:pPr>
        <w:spacing w:before="123" w:after="0" w:line="275" w:lineRule="exact"/>
        <w:ind w:right="792" w:left="1368" w:firstLine="0"/>
        <w:jc w:val="both"/>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The regulator must return the accreditation document to the accredited assessor within 14 days after the suspension ends.</w:t>
      </w:r>
    </w:p>
    <w:p>
      <w:pPr>
        <w:spacing w:before="250" w:after="0" w:line="273"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Subdivision 6 Agreements with RTOs</w:t>
      </w:r>
    </w:p>
    <w:p>
      <w:pPr>
        <w:spacing w:before="115" w:after="0" w:line="273"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141 Regulator may enter into agreement with RTO</w:t>
      </w:r>
    </w:p>
    <w:p>
      <w:pPr>
        <w:spacing w:before="127" w:after="0" w:line="275" w:lineRule="exact"/>
        <w:ind w:right="144"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may enter into an agreement with an RTO to share information to assist the regulator in relation to the accreditation of assessors.</w:t>
      </w:r>
    </w:p>
    <w:p>
      <w:pPr>
        <w:spacing w:before="123"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8711" w:line="228"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333"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1.05pt,0.3pt" style="position:absolute;mso-position-horizontal-relative:text;mso-position-vertical-relative:text;">
            <v:stroke dashstyle="solid"/>
          </v:line>
        </w:pict>
      </w:r>
    </w:p>
    <w:p>
      <w:pPr>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115</w:t>
      </w:r>
    </w:p>
    <w:p>
      <w:pPr>
        <w:sectPr>
          <w:type w:val="continuous"/>
          <w:pgSz w:w="11909" w:h="16838" w:orient="portrait"/>
          <w:pgMar w:bottom="1082" w:top="1140" w:right="5814" w:left="1975" w:header="720" w:footer="720"/>
          <w:titlePg w:val="false"/>
          <w:textDirection w:val="lrTb"/>
        </w:sectPr>
      </w:pPr>
    </w:p>
    <w:p>
      <w:pPr>
        <w:spacing w:before="6"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2" w:after="223"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4.6	</w:t>
      </w:r>
      <w:r>
        <w:rPr>
          <w:rFonts w:ascii="Times New Roman" w:hAnsi="Times New Roman" w:eastAsia="Times New Roman"/>
          <w:color w:val="000000"/>
          <w:spacing w:val="0"/>
          <w:w w:val="100"/>
          <w:sz w:val="20"/>
          <w:vertAlign w:val="baseline"/>
          <w:lang w:val="en-US"/>
        </w:rPr>
        <w:t xml:space="preserve">Demolition Work</w:t>
      </w:r>
    </w:p>
    <w:p>
      <w:pPr>
        <w:spacing w:before="258" w:after="0" w:line="316" w:lineRule="exact"/>
        <w:ind w:right="0" w:left="0" w:firstLine="0"/>
        <w:jc w:val="left"/>
        <w:textAlignment w:val="baseline"/>
        <w:rPr>
          <w:rFonts w:ascii="Times New Roman" w:hAnsi="Times New Roman" w:eastAsia="Times New Roman"/>
          <w:b w:val="true"/>
          <w:color w:val="000000"/>
          <w:spacing w:val="10"/>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10"/>
          <w:w w:val="100"/>
          <w:sz w:val="28"/>
          <w:vertAlign w:val="baseline"/>
          <w:lang w:val="en-US"/>
        </w:rPr>
        <w:t xml:space="preserve">Part 4.6 Demolition Work</w:t>
      </w:r>
    </w:p>
    <w:p>
      <w:pPr>
        <w:tabs>
          <w:tab w:val="left" w:leader="none" w:pos="1584"/>
        </w:tabs>
        <w:spacing w:before="244" w:after="0" w:line="273"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1	</w:t>
      </w:r>
      <w:r>
        <w:rPr>
          <w:rFonts w:ascii="Times New Roman" w:hAnsi="Times New Roman" w:eastAsia="Times New Roman"/>
          <w:b w:val="true"/>
          <w:color w:val="000000"/>
          <w:spacing w:val="0"/>
          <w:w w:val="100"/>
          <w:sz w:val="24"/>
          <w:vertAlign w:val="baseline"/>
          <w:lang w:val="en-US"/>
        </w:rPr>
        <w:t xml:space="preserve">Notice of demolition work</w:t>
      </w:r>
    </w:p>
    <w:p>
      <w:pPr>
        <w:spacing w:before="124"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0" w:after="0" w:line="229"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18" w:after="0" w:line="273"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142 Notice of demolition work</w:t>
      </w:r>
    </w:p>
    <w:p>
      <w:pPr>
        <w:spacing w:before="123" w:after="0" w:line="276"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Subject to subregulation (4), a person conducting a business or undertaking who proposes to carry out any of the following demolition work must ensure that written notice is given to the regulator in accordance with this regulation at least 5 days before the work commences:</w:t>
      </w:r>
    </w:p>
    <w:p>
      <w:pPr>
        <w:numPr>
          <w:ilvl w:val="0"/>
          <w:numId w:val="292"/>
        </w:numPr>
        <w:tabs>
          <w:tab w:val="clear" w:pos="360"/>
          <w:tab w:val="left" w:pos="1872"/>
        </w:tabs>
        <w:spacing w:before="117"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demolition of a structure, or a part of a structure that is loadbearing or otherwise related to the physical integrity of the structure, that is at least 6 metres in height;</w:t>
      </w:r>
    </w:p>
    <w:p>
      <w:pPr>
        <w:numPr>
          <w:ilvl w:val="0"/>
          <w:numId w:val="292"/>
        </w:numPr>
        <w:tabs>
          <w:tab w:val="clear" w:pos="360"/>
          <w:tab w:val="left" w:pos="1872"/>
        </w:tabs>
        <w:spacing w:before="126" w:after="0" w:line="273" w:lineRule="exact"/>
        <w:ind w:right="72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demolition work involving load shifting machinery on a suspended floor;</w:t>
      </w:r>
    </w:p>
    <w:p>
      <w:pPr>
        <w:numPr>
          <w:ilvl w:val="0"/>
          <w:numId w:val="292"/>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demolition work involving explosives.</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29"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30" w:lineRule="exact"/>
        <w:ind w:right="864"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section 268 of the Act for offences relating to the giving of false or misleading information under the Act or these Regulations.</w:t>
      </w:r>
    </w:p>
    <w:p>
      <w:pPr>
        <w:spacing w:before="117" w:after="0" w:line="274"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notice must be given in the manner and form required by the regulator.</w:t>
      </w:r>
    </w:p>
    <w:p>
      <w:pPr>
        <w:spacing w:before="124" w:after="0"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Subregulation (4) applies to an emergency service organisation in relation to demolition work carried out or proposed to be carried out by an emergency service worker at the direction of the emergency service organisation in responding to an emergency.</w:t>
      </w:r>
    </w:p>
    <w:p>
      <w:pPr>
        <w:spacing w:before="122"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An emergency service organisation must give notice under subregulation (1) as soon as practicable (whether before or after the work is carried out).</w:t>
      </w:r>
    </w:p>
    <w:p>
      <w:pPr>
        <w:spacing w:before="118" w:after="916" w:line="276" w:lineRule="exact"/>
        <w:ind w:right="72" w:left="1368" w:hanging="360"/>
        <w:jc w:val="left"/>
        <w:textAlignment w:val="baseline"/>
        <w:rPr>
          <w:rFonts w:ascii="Times New Roman" w:hAnsi="Times New Roman" w:eastAsia="Times New Roman"/>
          <w:color w:val="000000"/>
          <w:spacing w:val="1"/>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1"/>
          <w:w w:val="100"/>
          <w:sz w:val="24"/>
          <w:vertAlign w:val="baseline"/>
          <w:lang w:val="en-US"/>
        </w:rPr>
        <w:t xml:space="preserve">(5) In this regulation a reference to the height of a structure is a reference to the height of the structure measured from the lowest level of the ground immediately adjacent to the base of the structure at the point at which the height is to be measured to its highest point.</w:t>
      </w:r>
    </w:p>
    <w:p>
      <w:pPr>
        <w:spacing w:before="118" w:after="916"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116</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4.6	</w:t>
      </w:r>
      <w:r>
        <w:rPr>
          <w:rFonts w:ascii="Times New Roman" w:hAnsi="Times New Roman" w:eastAsia="Times New Roman"/>
          <w:color w:val="000000"/>
          <w:spacing w:val="0"/>
          <w:w w:val="100"/>
          <w:sz w:val="20"/>
          <w:vertAlign w:val="baseline"/>
          <w:lang w:val="en-US"/>
        </w:rPr>
        <w:t xml:space="preserve">Demolition Work</w:t>
      </w:r>
    </w:p>
    <w:p>
      <w:pPr>
        <w:tabs>
          <w:tab w:val="left" w:leader="none" w:pos="1584"/>
        </w:tabs>
        <w:spacing w:before="256"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4"/>
          <w:vertAlign w:val="baseline"/>
          <w:lang w:val="en-US"/>
        </w:rPr>
        <w:t xml:space="preserve">Division 2	</w:t>
      </w:r>
      <w:r>
        <w:rPr>
          <w:rFonts w:ascii="Times New Roman" w:hAnsi="Times New Roman" w:eastAsia="Times New Roman"/>
          <w:b w:val="true"/>
          <w:color w:val="000000"/>
          <w:spacing w:val="0"/>
          <w:w w:val="100"/>
          <w:sz w:val="24"/>
          <w:vertAlign w:val="baseline"/>
          <w:lang w:val="en-US"/>
        </w:rPr>
        <w:t xml:space="preserve">Licensing of demolition work</w:t>
      </w:r>
    </w:p>
    <w:p>
      <w:pPr>
        <w:spacing w:before="22" w:after="0" w:line="360" w:lineRule="exact"/>
        <w:ind w:right="0" w:left="864" w:hanging="576"/>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143 Demolition work required to be licensed</w:t>
        <w:br/>
      </w:r>
      <w:r>
        <w:rPr>
          <w:rFonts w:ascii="Times New Roman" w:hAnsi="Times New Roman" w:eastAsia="Times New Roman"/>
          <w:b w:val="true"/>
          <w:color w:val="000000"/>
          <w:spacing w:val="0"/>
          <w:w w:val="100"/>
          <w:sz w:val="20"/>
          <w:vertAlign w:val="baseline"/>
          <w:lang w:val="en-US"/>
        </w:rPr>
        <w:t xml:space="preserve">Note</w:t>
      </w:r>
    </w:p>
    <w:p>
      <w:pPr>
        <w:spacing w:before="125" w:after="10847" w:line="228"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jurisdictional note in the Appendix.</w:t>
      </w:r>
    </w:p>
    <w:p>
      <w:pPr>
        <w:spacing w:before="333"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1.05pt,0.3pt" style="position:absolute;mso-position-horizontal-relative:text;mso-position-vertical-relative:text;">
            <v:stroke dashstyle="solid"/>
          </v:line>
        </w:pict>
      </w:r>
    </w:p>
    <w:p>
      <w:pPr>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117</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4.7	</w:t>
      </w:r>
      <w:r>
        <w:rPr>
          <w:rFonts w:ascii="Times New Roman" w:hAnsi="Times New Roman" w:eastAsia="Times New Roman"/>
          <w:color w:val="000000"/>
          <w:spacing w:val="0"/>
          <w:w w:val="100"/>
          <w:sz w:val="20"/>
          <w:vertAlign w:val="baseline"/>
          <w:lang w:val="en-US"/>
        </w:rPr>
        <w:t xml:space="preserve">General Electrical Safety in Workplaces and Energised Electrical Work</w:t>
      </w:r>
    </w:p>
    <w:p>
      <w:pPr>
        <w:spacing w:before="254" w:after="0" w:line="321" w:lineRule="exact"/>
        <w:ind w:right="144" w:left="1368" w:hanging="1368"/>
        <w:jc w:val="left"/>
        <w:textAlignment w:val="baseline"/>
        <w:rPr>
          <w:rFonts w:ascii="Times New Roman" w:hAnsi="Times New Roman" w:eastAsia="Times New Roman"/>
          <w:b w:val="true"/>
          <w:color w:val="000000"/>
          <w:spacing w:val="0"/>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8"/>
          <w:vertAlign w:val="baseline"/>
          <w:lang w:val="en-US"/>
        </w:rPr>
        <w:t xml:space="preserve">Part 4.7 General Electrical Safety in Workplaces and Energised Electrical Work</w:t>
      </w:r>
    </w:p>
    <w:p>
      <w:pPr>
        <w:tabs>
          <w:tab w:val="left" w:leader="none" w:pos="1584"/>
        </w:tabs>
        <w:spacing w:before="243"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1	</w:t>
      </w:r>
      <w:r>
        <w:rPr>
          <w:rFonts w:ascii="Times New Roman" w:hAnsi="Times New Roman" w:eastAsia="Times New Roman"/>
          <w:b w:val="true"/>
          <w:color w:val="000000"/>
          <w:spacing w:val="0"/>
          <w:w w:val="100"/>
          <w:sz w:val="24"/>
          <w:vertAlign w:val="baseline"/>
          <w:lang w:val="en-US"/>
        </w:rPr>
        <w:t xml:space="preserve">Preliminary</w:t>
      </w:r>
    </w:p>
    <w:p>
      <w:pPr>
        <w:spacing w:before="120"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144 Meaning of electrical equipment</w:t>
      </w:r>
    </w:p>
    <w:p>
      <w:pPr>
        <w:spacing w:before="114" w:after="0" w:line="278" w:lineRule="exact"/>
        <w:ind w:right="288"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(1) In this Part, </w:t>
      </w:r>
      <w:r>
        <w:rPr>
          <w:rFonts w:ascii="Times New Roman" w:hAnsi="Times New Roman" w:eastAsia="Times New Roman"/>
          <w:b w:val="true"/>
          <w:i w:val="true"/>
          <w:color w:val="000000"/>
          <w:spacing w:val="-1"/>
          <w:w w:val="100"/>
          <w:sz w:val="24"/>
          <w:vertAlign w:val="baseline"/>
          <w:lang w:val="en-US"/>
        </w:rPr>
        <w:t xml:space="preserve">electrical equipment </w:t>
      </w:r>
      <w:r>
        <w:rPr>
          <w:rFonts w:ascii="Times New Roman" w:hAnsi="Times New Roman" w:eastAsia="Times New Roman"/>
          <w:color w:val="000000"/>
          <w:spacing w:val="-1"/>
          <w:w w:val="100"/>
          <w:sz w:val="24"/>
          <w:vertAlign w:val="baseline"/>
          <w:lang w:val="en-US"/>
        </w:rPr>
        <w:t xml:space="preserve">means any apparatus, appliance, cable, conductor, fitting, insulator, material, meter or wire that:</w:t>
      </w:r>
    </w:p>
    <w:p>
      <w:pPr>
        <w:numPr>
          <w:ilvl w:val="0"/>
          <w:numId w:val="293"/>
        </w:numPr>
        <w:tabs>
          <w:tab w:val="clear" w:pos="360"/>
          <w:tab w:val="left" w:pos="1872"/>
        </w:tabs>
        <w:spacing w:before="118"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used for controlling, generating, supplying, transforming or transmitting electricity at a voltage greater than extra-low voltage; or</w:t>
      </w:r>
    </w:p>
    <w:p>
      <w:pPr>
        <w:numPr>
          <w:ilvl w:val="0"/>
          <w:numId w:val="293"/>
        </w:numPr>
        <w:tabs>
          <w:tab w:val="clear" w:pos="360"/>
          <w:tab w:val="left" w:pos="1872"/>
        </w:tabs>
        <w:spacing w:before="124" w:after="0" w:line="274"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operated by electricity at a voltage greater than extra-low voltage; or</w:t>
      </w:r>
    </w:p>
    <w:p>
      <w:pPr>
        <w:numPr>
          <w:ilvl w:val="0"/>
          <w:numId w:val="293"/>
        </w:numPr>
        <w:tabs>
          <w:tab w:val="clear" w:pos="360"/>
          <w:tab w:val="left" w:pos="1872"/>
        </w:tabs>
        <w:spacing w:before="122"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part of an electrical installation located in an area in which the atmosphere presents a risk to health and safety from fire or explosion; or</w:t>
      </w:r>
    </w:p>
    <w:p>
      <w:pPr>
        <w:numPr>
          <w:ilvl w:val="0"/>
          <w:numId w:val="293"/>
        </w:numPr>
        <w:tabs>
          <w:tab w:val="clear" w:pos="360"/>
          <w:tab w:val="left" w:pos="1872"/>
        </w:tabs>
        <w:spacing w:before="118"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or is part of, an active impressed current cathodic protection system within the meaning of AS 2832.1:2004 (Cathodic protection of metals—Pipes and cables).</w:t>
      </w:r>
    </w:p>
    <w:p>
      <w:pPr>
        <w:spacing w:before="122" w:after="0" w:line="276" w:lineRule="exact"/>
        <w:ind w:right="360"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(2) In this Part, </w:t>
      </w:r>
      <w:r>
        <w:rPr>
          <w:rFonts w:ascii="Times New Roman" w:hAnsi="Times New Roman" w:eastAsia="Times New Roman"/>
          <w:b w:val="true"/>
          <w:i w:val="true"/>
          <w:color w:val="000000"/>
          <w:spacing w:val="-1"/>
          <w:w w:val="100"/>
          <w:sz w:val="24"/>
          <w:vertAlign w:val="baseline"/>
          <w:lang w:val="en-US"/>
        </w:rPr>
        <w:t xml:space="preserve">electrical equipment </w:t>
      </w:r>
      <w:r>
        <w:rPr>
          <w:rFonts w:ascii="Times New Roman" w:hAnsi="Times New Roman" w:eastAsia="Times New Roman"/>
          <w:color w:val="000000"/>
          <w:spacing w:val="-1"/>
          <w:w w:val="100"/>
          <w:sz w:val="24"/>
          <w:vertAlign w:val="baseline"/>
          <w:lang w:val="en-US"/>
        </w:rPr>
        <w:t xml:space="preserve">does not include any apparatus, appliance, cable, conductor, fitting, insulator, material, meter or wire that is part of a vehicle that is a motor car or motorcycle if:</w:t>
      </w:r>
    </w:p>
    <w:p>
      <w:pPr>
        <w:numPr>
          <w:ilvl w:val="0"/>
          <w:numId w:val="294"/>
        </w:numPr>
        <w:tabs>
          <w:tab w:val="clear" w:pos="360"/>
          <w:tab w:val="left" w:pos="1872"/>
        </w:tabs>
        <w:spacing w:before="116" w:after="0" w:line="278" w:lineRule="exact"/>
        <w:ind w:right="57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equipment is part of a unit of the vehicle that provides propulsion for the vehicle; or</w:t>
      </w:r>
    </w:p>
    <w:p>
      <w:pPr>
        <w:numPr>
          <w:ilvl w:val="0"/>
          <w:numId w:val="294"/>
        </w:numPr>
        <w:tabs>
          <w:tab w:val="clear" w:pos="360"/>
          <w:tab w:val="left" w:pos="1872"/>
        </w:tabs>
        <w:spacing w:before="116" w:after="0" w:line="278"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electricity source for the equipment is a unit of the vehicle that provides propulsion for the vehicle.</w:t>
      </w:r>
    </w:p>
    <w:p>
      <w:pPr>
        <w:spacing w:before="125"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8"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19"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145 Meaning of electrical installation</w:t>
      </w:r>
    </w:p>
    <w:p>
      <w:pPr>
        <w:spacing w:before="114" w:after="0" w:line="278" w:lineRule="exact"/>
        <w:ind w:right="72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In this Part, </w:t>
      </w:r>
      <w:r>
        <w:rPr>
          <w:rFonts w:ascii="Times New Roman" w:hAnsi="Times New Roman" w:eastAsia="Times New Roman"/>
          <w:b w:val="true"/>
          <w:i w:val="true"/>
          <w:color w:val="000000"/>
          <w:spacing w:val="0"/>
          <w:w w:val="100"/>
          <w:sz w:val="24"/>
          <w:vertAlign w:val="baseline"/>
          <w:lang w:val="en-US"/>
        </w:rPr>
        <w:t xml:space="preserve">electrical installation </w:t>
      </w:r>
      <w:r>
        <w:rPr>
          <w:rFonts w:ascii="Times New Roman" w:hAnsi="Times New Roman" w:eastAsia="Times New Roman"/>
          <w:color w:val="000000"/>
          <w:spacing w:val="0"/>
          <w:w w:val="100"/>
          <w:sz w:val="24"/>
          <w:vertAlign w:val="baseline"/>
          <w:lang w:val="en-US"/>
        </w:rPr>
        <w:t xml:space="preserve">means a group of items of electrical equipment that:</w:t>
      </w:r>
    </w:p>
    <w:p>
      <w:pPr>
        <w:numPr>
          <w:ilvl w:val="0"/>
          <w:numId w:val="295"/>
        </w:numPr>
        <w:tabs>
          <w:tab w:val="clear" w:pos="360"/>
          <w:tab w:val="left" w:pos="1872"/>
        </w:tabs>
        <w:spacing w:before="122"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are permanently electrically connected together; and</w:t>
      </w:r>
    </w:p>
    <w:p>
      <w:pPr>
        <w:numPr>
          <w:ilvl w:val="0"/>
          <w:numId w:val="295"/>
        </w:numPr>
        <w:tabs>
          <w:tab w:val="clear" w:pos="360"/>
          <w:tab w:val="left" w:pos="1872"/>
        </w:tabs>
        <w:spacing w:before="124" w:after="0" w:line="274" w:lineRule="exact"/>
        <w:ind w:right="72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can be supplied with electricity from the works of an electricity supply authority or from a generating source.</w:t>
      </w:r>
    </w:p>
    <w:p>
      <w:pPr>
        <w:spacing w:before="124" w:after="1287" w:line="274" w:lineRule="exact"/>
        <w:ind w:right="936"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(2) An item of electrical equipment may be part of more than 1 electrical installation.</w:t>
      </w:r>
    </w:p>
    <w:p>
      <w:pPr>
        <w:spacing w:before="124" w:after="1287"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118</w:t>
      </w:r>
    </w:p>
    <w:p>
      <w:pPr>
        <w:sectPr>
          <w:type w:val="continuous"/>
          <w:pgSz w:w="11909" w:h="16838" w:orient="portrait"/>
          <w:pgMar w:bottom="1082" w:top="1140" w:right="5814" w:left="1975"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4.7	</w:t>
      </w:r>
      <w:r>
        <w:rPr>
          <w:rFonts w:ascii="Times New Roman" w:hAnsi="Times New Roman" w:eastAsia="Times New Roman"/>
          <w:color w:val="000000"/>
          <w:spacing w:val="0"/>
          <w:w w:val="100"/>
          <w:sz w:val="20"/>
          <w:vertAlign w:val="baseline"/>
          <w:lang w:val="en-US"/>
        </w:rPr>
        <w:t xml:space="preserve">General Electrical Safety in Workplaces and Energised Electrical Work</w:t>
      </w:r>
    </w:p>
    <w:p>
      <w:pPr>
        <w:spacing w:before="251" w:after="0" w:line="272"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(3) In subregulation (1)(a):</w:t>
      </w:r>
    </w:p>
    <w:p>
      <w:pPr>
        <w:numPr>
          <w:ilvl w:val="0"/>
          <w:numId w:val="296"/>
        </w:numPr>
        <w:tabs>
          <w:tab w:val="clear" w:pos="360"/>
          <w:tab w:val="left" w:pos="1872"/>
        </w:tabs>
        <w:spacing w:before="125" w:after="0" w:line="276"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item of electrical equipment connected to electricity by a plug and socket outlet is not </w:t>
      </w:r>
      <w:r>
        <w:rPr>
          <w:rFonts w:ascii="Times New Roman" w:hAnsi="Times New Roman" w:eastAsia="Times New Roman"/>
          <w:b w:val="true"/>
          <w:i w:val="true"/>
          <w:color w:val="000000"/>
          <w:spacing w:val="0"/>
          <w:w w:val="100"/>
          <w:sz w:val="24"/>
          <w:vertAlign w:val="baseline"/>
          <w:lang w:val="en-US"/>
        </w:rPr>
        <w:t xml:space="preserve">permanently electrically connected</w:t>
      </w:r>
      <w:r>
        <w:rPr>
          <w:rFonts w:ascii="Times New Roman" w:hAnsi="Times New Roman" w:eastAsia="Times New Roman"/>
          <w:color w:val="000000"/>
          <w:spacing w:val="0"/>
          <w:w w:val="100"/>
          <w:sz w:val="24"/>
          <w:vertAlign w:val="baseline"/>
          <w:lang w:val="en-US"/>
        </w:rPr>
        <w:t xml:space="preserve">; and</w:t>
      </w:r>
    </w:p>
    <w:p>
      <w:pPr>
        <w:numPr>
          <w:ilvl w:val="0"/>
          <w:numId w:val="296"/>
        </w:numPr>
        <w:tabs>
          <w:tab w:val="clear" w:pos="360"/>
          <w:tab w:val="left" w:pos="1872"/>
        </w:tabs>
        <w:spacing w:before="117"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connection achieved through using works of an electricity supply authority is not a consideration in determining whether or not electrical equipment is </w:t>
      </w:r>
      <w:r>
        <w:rPr>
          <w:rFonts w:ascii="Times New Roman" w:hAnsi="Times New Roman" w:eastAsia="Times New Roman"/>
          <w:b w:val="true"/>
          <w:i w:val="true"/>
          <w:color w:val="000000"/>
          <w:spacing w:val="0"/>
          <w:w w:val="100"/>
          <w:sz w:val="24"/>
          <w:vertAlign w:val="baseline"/>
          <w:lang w:val="en-US"/>
        </w:rPr>
        <w:t xml:space="preserve">electrically connected</w:t>
      </w:r>
      <w:r>
        <w:rPr>
          <w:rFonts w:ascii="Times New Roman" w:hAnsi="Times New Roman" w:eastAsia="Times New Roman"/>
          <w:color w:val="000000"/>
          <w:spacing w:val="0"/>
          <w:w w:val="100"/>
          <w:sz w:val="24"/>
          <w:vertAlign w:val="baseline"/>
          <w:lang w:val="en-US"/>
        </w:rPr>
        <w:t xml:space="preserve">.</w:t>
      </w:r>
    </w:p>
    <w:p>
      <w:pPr>
        <w:spacing w:before="125"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146 Meaning of </w:t>
      </w:r>
      <w:r>
        <w:rPr>
          <w:rFonts w:ascii="Times New Roman" w:hAnsi="Times New Roman" w:eastAsia="Times New Roman"/>
          <w:b w:val="true"/>
          <w:i w:val="true"/>
          <w:color w:val="000000"/>
          <w:spacing w:val="4"/>
          <w:w w:val="100"/>
          <w:sz w:val="24"/>
          <w:vertAlign w:val="baseline"/>
          <w:lang w:val="en-US"/>
        </w:rPr>
        <w:t xml:space="preserve">electrical work</w:t>
      </w:r>
    </w:p>
    <w:p>
      <w:pPr>
        <w:spacing w:before="119" w:after="0" w:line="274"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In this Part, </w:t>
      </w:r>
      <w:r>
        <w:rPr>
          <w:rFonts w:ascii="Times New Roman" w:hAnsi="Times New Roman" w:eastAsia="Times New Roman"/>
          <w:b w:val="true"/>
          <w:i w:val="true"/>
          <w:color w:val="000000"/>
          <w:spacing w:val="0"/>
          <w:w w:val="100"/>
          <w:sz w:val="24"/>
          <w:vertAlign w:val="baseline"/>
          <w:lang w:val="en-US"/>
        </w:rPr>
        <w:t xml:space="preserve">electrical work </w:t>
      </w:r>
      <w:r>
        <w:rPr>
          <w:rFonts w:ascii="Times New Roman" w:hAnsi="Times New Roman" w:eastAsia="Times New Roman"/>
          <w:color w:val="000000"/>
          <w:spacing w:val="0"/>
          <w:w w:val="100"/>
          <w:sz w:val="24"/>
          <w:vertAlign w:val="baseline"/>
          <w:lang w:val="en-US"/>
        </w:rPr>
        <w:t xml:space="preserve">means:</w:t>
      </w:r>
    </w:p>
    <w:p>
      <w:pPr>
        <w:numPr>
          <w:ilvl w:val="0"/>
          <w:numId w:val="297"/>
        </w:numPr>
        <w:tabs>
          <w:tab w:val="clear" w:pos="360"/>
          <w:tab w:val="left" w:pos="1872"/>
        </w:tabs>
        <w:spacing w:before="121"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connecting electricity supply wiring to electrical equipment or disconnecting electricity supply wiring from electrical equipment; or</w:t>
      </w:r>
    </w:p>
    <w:p>
      <w:pPr>
        <w:numPr>
          <w:ilvl w:val="0"/>
          <w:numId w:val="297"/>
        </w:numPr>
        <w:tabs>
          <w:tab w:val="clear" w:pos="360"/>
          <w:tab w:val="left" w:pos="1872"/>
        </w:tabs>
        <w:spacing w:before="117" w:after="0" w:line="276"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installing, removing, adding, testing, replacing, repairing, altering or maintaining electrical equipment or an electrical installation.</w:t>
      </w:r>
    </w:p>
    <w:p>
      <w:pPr>
        <w:spacing w:before="122"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In this Part, </w:t>
      </w:r>
      <w:r>
        <w:rPr>
          <w:rFonts w:ascii="Times New Roman" w:hAnsi="Times New Roman" w:eastAsia="Times New Roman"/>
          <w:b w:val="true"/>
          <w:i w:val="true"/>
          <w:color w:val="000000"/>
          <w:spacing w:val="0"/>
          <w:w w:val="100"/>
          <w:sz w:val="24"/>
          <w:vertAlign w:val="baseline"/>
          <w:lang w:val="en-US"/>
        </w:rPr>
        <w:t xml:space="preserve">electrical work </w:t>
      </w:r>
      <w:r>
        <w:rPr>
          <w:rFonts w:ascii="Times New Roman" w:hAnsi="Times New Roman" w:eastAsia="Times New Roman"/>
          <w:color w:val="000000"/>
          <w:spacing w:val="0"/>
          <w:w w:val="100"/>
          <w:sz w:val="24"/>
          <w:vertAlign w:val="baseline"/>
          <w:lang w:val="en-US"/>
        </w:rPr>
        <w:t xml:space="preserve">does not include the following:</w:t>
      </w:r>
    </w:p>
    <w:p>
      <w:pPr>
        <w:numPr>
          <w:ilvl w:val="0"/>
          <w:numId w:val="298"/>
        </w:numPr>
        <w:tabs>
          <w:tab w:val="clear" w:pos="360"/>
          <w:tab w:val="left" w:pos="1872"/>
        </w:tabs>
        <w:spacing w:before="120" w:after="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work that involves connecting electrical equipment to an electricity supply by means of a flexible cord plug and socket outlet;</w:t>
      </w:r>
    </w:p>
    <w:p>
      <w:pPr>
        <w:numPr>
          <w:ilvl w:val="0"/>
          <w:numId w:val="298"/>
        </w:numPr>
        <w:tabs>
          <w:tab w:val="clear" w:pos="360"/>
          <w:tab w:val="left" w:pos="1872"/>
        </w:tabs>
        <w:spacing w:before="118"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work on a non-electrical component of electrical equipment, if the person carrying out the work is not exposed to an electrical risk;</w:t>
      </w:r>
    </w:p>
    <w:p>
      <w:pPr>
        <w:spacing w:before="130"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Example</w:t>
      </w:r>
    </w:p>
    <w:p>
      <w:pPr>
        <w:spacing w:before="122" w:after="0" w:line="231"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Painting electrical equipment covers and repairing hydraulic components of an electrical motor.</w:t>
      </w:r>
    </w:p>
    <w:p>
      <w:pPr>
        <w:numPr>
          <w:ilvl w:val="0"/>
          <w:numId w:val="298"/>
        </w:numPr>
        <w:tabs>
          <w:tab w:val="clear" w:pos="360"/>
          <w:tab w:val="left" w:pos="1872"/>
        </w:tabs>
        <w:spacing w:before="115" w:after="0" w:line="276" w:lineRule="exact"/>
        <w:ind w:right="360" w:left="1872"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replacing electrical equipment or a component of electrical equipment if that task can be safely performed by a person who does not have expertise in carrying out electrical work;</w:t>
      </w:r>
    </w:p>
    <w:p>
      <w:pPr>
        <w:spacing w:before="125"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Example</w:t>
      </w:r>
    </w:p>
    <w:p>
      <w:pPr>
        <w:spacing w:before="125" w:after="0" w:line="228"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Replacing a fuse or a light bulb.</w:t>
      </w:r>
    </w:p>
    <w:p>
      <w:pPr>
        <w:numPr>
          <w:ilvl w:val="0"/>
          <w:numId w:val="298"/>
        </w:numPr>
        <w:tabs>
          <w:tab w:val="clear" w:pos="360"/>
          <w:tab w:val="left" w:pos="1872"/>
        </w:tabs>
        <w:spacing w:before="117" w:after="0" w:line="274" w:lineRule="exact"/>
        <w:ind w:right="93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assembling, making, modifying or repairing electrical equipment as part of a manufacturing process;</w:t>
      </w:r>
    </w:p>
    <w:p>
      <w:pPr>
        <w:numPr>
          <w:ilvl w:val="0"/>
          <w:numId w:val="298"/>
        </w:numPr>
        <w:tabs>
          <w:tab w:val="clear" w:pos="360"/>
          <w:tab w:val="left" w:pos="1872"/>
        </w:tabs>
        <w:spacing w:before="124" w:after="0" w:line="274" w:lineRule="exact"/>
        <w:ind w:right="86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building or repairing ducts, conduits or troughs, where electrical wiring is or will be installed if:</w:t>
      </w:r>
    </w:p>
    <w:p>
      <w:pPr>
        <w:spacing w:before="124" w:after="1085" w:line="274" w:lineRule="exact"/>
        <w:ind w:right="648" w:left="2376" w:hanging="288"/>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 the ducts, conduits or troughs are not intended to be earthed; and</w:t>
      </w:r>
    </w:p>
    <w:p>
      <w:pPr>
        <w:spacing w:before="124" w:after="1085"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119</w:t>
      </w:r>
    </w:p>
    <w:p>
      <w:pPr>
        <w:sectPr>
          <w:type w:val="continuous"/>
          <w:pgSz w:w="11909" w:h="16838" w:orient="portrait"/>
          <w:pgMar w:bottom="1082" w:top="1140" w:right="5812" w:left="1977" w:header="720" w:footer="720"/>
          <w:titlePg w:val="false"/>
          <w:textDirection w:val="lrTb"/>
        </w:sectPr>
      </w:pPr>
    </w:p>
    <w:p>
      <w:pPr>
        <w:spacing w:before="6"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5" w:after="226"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4.7	</w:t>
      </w:r>
      <w:r>
        <w:rPr>
          <w:rFonts w:ascii="Times New Roman" w:hAnsi="Times New Roman" w:eastAsia="Times New Roman"/>
          <w:color w:val="000000"/>
          <w:spacing w:val="0"/>
          <w:w w:val="100"/>
          <w:sz w:val="20"/>
          <w:vertAlign w:val="baseline"/>
          <w:lang w:val="en-US"/>
        </w:rPr>
        <w:t xml:space="preserve">General Electrical Safety in Workplaces and Energised Electrical Work</w:t>
      </w:r>
    </w:p>
    <w:p>
      <w:pPr>
        <w:numPr>
          <w:ilvl w:val="0"/>
          <w:numId w:val="299"/>
        </w:numPr>
        <w:tabs>
          <w:tab w:val="clear" w:pos="432"/>
          <w:tab w:val="left" w:pos="2376"/>
        </w:tabs>
        <w:spacing w:before="251" w:after="0" w:line="272"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wiring is not energised; and</w:t>
      </w:r>
    </w:p>
    <w:p>
      <w:pPr>
        <w:numPr>
          <w:ilvl w:val="0"/>
          <w:numId w:val="299"/>
        </w:numPr>
        <w:tabs>
          <w:tab w:val="clear" w:pos="432"/>
          <w:tab w:val="left" w:pos="2376"/>
        </w:tabs>
        <w:spacing w:before="126" w:after="0" w:line="273" w:lineRule="exact"/>
        <w:ind w:right="72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work is supervised by a [licensed or registered] electrical worker;</w:t>
      </w:r>
    </w:p>
    <w:p>
      <w:pPr>
        <w:spacing w:before="123" w:after="0" w:line="276" w:lineRule="exact"/>
        <w:ind w:right="72" w:left="1944" w:hanging="432"/>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(f) locating or mounting electrical equipment, or fixing electrical equipment in place, if this task is not performed in relation to the connection of electrical equipment to an electricity supply;</w:t>
      </w:r>
    </w:p>
    <w:p>
      <w:pPr>
        <w:spacing w:before="114" w:after="0" w:line="279" w:lineRule="exact"/>
        <w:ind w:right="360" w:left="1944"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 assisting a [licensed or registered] electrical worker to carry out electrical work if:</w:t>
      </w:r>
    </w:p>
    <w:p>
      <w:pPr>
        <w:numPr>
          <w:ilvl w:val="0"/>
          <w:numId w:val="300"/>
        </w:numPr>
        <w:tabs>
          <w:tab w:val="clear" w:pos="432"/>
          <w:tab w:val="left" w:pos="2376"/>
        </w:tabs>
        <w:spacing w:before="114" w:after="0" w:line="279" w:lineRule="exact"/>
        <w:ind w:right="504"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assistant is directly supervised by the [licensed or registered] electrical worker; and</w:t>
      </w:r>
    </w:p>
    <w:p>
      <w:pPr>
        <w:numPr>
          <w:ilvl w:val="0"/>
          <w:numId w:val="300"/>
        </w:numPr>
        <w:tabs>
          <w:tab w:val="clear" w:pos="432"/>
          <w:tab w:val="left" w:pos="2376"/>
        </w:tabs>
        <w:spacing w:before="114" w:after="0" w:line="279" w:lineRule="exact"/>
        <w:ind w:right="72"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assistance does not involve physical contact with any energised electrical equipment;</w:t>
      </w:r>
    </w:p>
    <w:p>
      <w:pPr>
        <w:spacing w:before="119" w:after="0" w:line="275" w:lineRule="exact"/>
        <w:ind w:right="216" w:left="1944" w:hanging="432"/>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(h) carrying out electrical work, other than work on energised electrical equipment, in order to meet eligibility requirements in relation to becoming a [licensed or registered] electrical worker.</w:t>
      </w:r>
    </w:p>
    <w:p>
      <w:pPr>
        <w:spacing w:before="130"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6"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notes in the Appendix.</w:t>
      </w:r>
    </w:p>
    <w:p>
      <w:pPr>
        <w:tabs>
          <w:tab w:val="left" w:leader="none" w:pos="1584"/>
        </w:tabs>
        <w:spacing w:before="246"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2	</w:t>
      </w:r>
      <w:r>
        <w:rPr>
          <w:rFonts w:ascii="Times New Roman" w:hAnsi="Times New Roman" w:eastAsia="Times New Roman"/>
          <w:b w:val="true"/>
          <w:color w:val="000000"/>
          <w:spacing w:val="0"/>
          <w:w w:val="100"/>
          <w:sz w:val="24"/>
          <w:vertAlign w:val="baseline"/>
          <w:lang w:val="en-US"/>
        </w:rPr>
        <w:t xml:space="preserve">General risk management</w:t>
      </w:r>
    </w:p>
    <w:p>
      <w:pPr>
        <w:spacing w:before="115" w:after="0" w:line="274" w:lineRule="exact"/>
        <w:ind w:right="0" w:left="288" w:firstLine="0"/>
        <w:jc w:val="left"/>
        <w:textAlignment w:val="baseline"/>
        <w:rPr>
          <w:rFonts w:ascii="Times New Roman" w:hAnsi="Times New Roman" w:eastAsia="Times New Roman"/>
          <w:b w:val="true"/>
          <w:color w:val="000000"/>
          <w:spacing w:val="7"/>
          <w:w w:val="100"/>
          <w:sz w:val="24"/>
          <w:vertAlign w:val="baseline"/>
          <w:lang w:val="en-US"/>
        </w:rPr>
      </w:pPr>
      <w:r>
        <w:rPr>
          <w:rFonts w:ascii="Times New Roman" w:hAnsi="Times New Roman" w:eastAsia="Times New Roman"/>
          <w:b w:val="true"/>
          <w:color w:val="000000"/>
          <w:spacing w:val="7"/>
          <w:w w:val="100"/>
          <w:sz w:val="24"/>
          <w:vertAlign w:val="baseline"/>
          <w:lang w:val="en-US"/>
        </w:rPr>
        <w:t xml:space="preserve">147 Risk management</w:t>
      </w:r>
    </w:p>
    <w:p>
      <w:pPr>
        <w:spacing w:before="120" w:after="0" w:line="276"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must manage risks to health and safety associated with electrical risks at the workplace, in accordance with Part 3.1.</w:t>
      </w:r>
    </w:p>
    <w:p>
      <w:pPr>
        <w:spacing w:before="125"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Example</w:t>
      </w:r>
    </w:p>
    <w:p>
      <w:pPr>
        <w:spacing w:before="122" w:after="0" w:line="230" w:lineRule="exact"/>
        <w:ind w:right="72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Electrical risks associated with the design, construction, installation, protection, maintenance and testing of electrical equipment and electrical installations at a workplace.</w:t>
      </w:r>
    </w:p>
    <w:p>
      <w:pPr>
        <w:spacing w:before="125"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6"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WHS Act—section 19 (see regulation 9).</w:t>
      </w:r>
    </w:p>
    <w:p>
      <w:pPr>
        <w:tabs>
          <w:tab w:val="left" w:leader="none" w:pos="1584"/>
        </w:tabs>
        <w:spacing w:before="246"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3	</w:t>
      </w:r>
      <w:r>
        <w:rPr>
          <w:rFonts w:ascii="Times New Roman" w:hAnsi="Times New Roman" w:eastAsia="Times New Roman"/>
          <w:b w:val="true"/>
          <w:color w:val="000000"/>
          <w:spacing w:val="0"/>
          <w:w w:val="100"/>
          <w:sz w:val="24"/>
          <w:vertAlign w:val="baseline"/>
          <w:lang w:val="en-US"/>
        </w:rPr>
        <w:t xml:space="preserve">Electrical equipment and electrical installations</w:t>
      </w:r>
    </w:p>
    <w:p>
      <w:pPr>
        <w:spacing w:before="111" w:after="0" w:line="278" w:lineRule="exact"/>
        <w:ind w:right="864"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148 Electrical equipment and electrical installations to which this Division applies</w:t>
      </w:r>
    </w:p>
    <w:p>
      <w:pPr>
        <w:spacing w:before="118" w:after="860" w:line="276"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this Division, a reference to </w:t>
      </w:r>
      <w:r>
        <w:rPr>
          <w:rFonts w:ascii="Times New Roman" w:hAnsi="Times New Roman" w:eastAsia="Times New Roman"/>
          <w:b w:val="true"/>
          <w:i w:val="true"/>
          <w:color w:val="000000"/>
          <w:spacing w:val="0"/>
          <w:w w:val="100"/>
          <w:sz w:val="24"/>
          <w:vertAlign w:val="baseline"/>
          <w:lang w:val="en-US"/>
        </w:rPr>
        <w:t xml:space="preserve">electrical equipment </w:t>
      </w:r>
      <w:r>
        <w:rPr>
          <w:rFonts w:ascii="Times New Roman" w:hAnsi="Times New Roman" w:eastAsia="Times New Roman"/>
          <w:color w:val="000000"/>
          <w:spacing w:val="0"/>
          <w:w w:val="100"/>
          <w:sz w:val="24"/>
          <w:vertAlign w:val="baseline"/>
          <w:lang w:val="en-US"/>
        </w:rPr>
        <w:t xml:space="preserve">or an </w:t>
      </w:r>
      <w:r>
        <w:rPr>
          <w:rFonts w:ascii="Times New Roman" w:hAnsi="Times New Roman" w:eastAsia="Times New Roman"/>
          <w:b w:val="true"/>
          <w:i w:val="true"/>
          <w:color w:val="000000"/>
          <w:spacing w:val="0"/>
          <w:w w:val="100"/>
          <w:sz w:val="24"/>
          <w:vertAlign w:val="baseline"/>
          <w:lang w:val="en-US"/>
        </w:rPr>
        <w:t xml:space="preserve">electrical installation </w:t>
      </w:r>
      <w:r>
        <w:rPr>
          <w:rFonts w:ascii="Times New Roman" w:hAnsi="Times New Roman" w:eastAsia="Times New Roman"/>
          <w:color w:val="000000"/>
          <w:spacing w:val="0"/>
          <w:w w:val="100"/>
          <w:sz w:val="24"/>
          <w:vertAlign w:val="baseline"/>
          <w:lang w:val="en-US"/>
        </w:rPr>
        <w:t xml:space="preserve">in relation to a person conducting a business or undertaking is a reference to electrical equipment or an electrical installation that is under the person's management or control.</w:t>
      </w:r>
    </w:p>
    <w:p>
      <w:pPr>
        <w:spacing w:before="118" w:after="860"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120</w:t>
      </w:r>
    </w:p>
    <w:p>
      <w:pPr>
        <w:sectPr>
          <w:type w:val="continuous"/>
          <w:pgSz w:w="11909" w:h="16838" w:orient="portrait"/>
          <w:pgMar w:bottom="1082" w:top="1140" w:right="5812" w:left="1977" w:header="720" w:footer="720"/>
          <w:titlePg w:val="false"/>
          <w:textDirection w:val="lrTb"/>
        </w:sectPr>
      </w:pPr>
    </w:p>
    <w:p>
      <w:pPr>
        <w:spacing w:before="6"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2" w:after="223"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4.7	</w:t>
      </w:r>
      <w:r>
        <w:rPr>
          <w:rFonts w:ascii="Times New Roman" w:hAnsi="Times New Roman" w:eastAsia="Times New Roman"/>
          <w:color w:val="000000"/>
          <w:spacing w:val="0"/>
          <w:w w:val="100"/>
          <w:sz w:val="20"/>
          <w:vertAlign w:val="baseline"/>
          <w:lang w:val="en-US"/>
        </w:rPr>
        <w:t xml:space="preserve">General Electrical Safety in Workplaces and Energised Electrical Work</w:t>
      </w:r>
    </w:p>
    <w:p>
      <w:pPr>
        <w:spacing w:before="251"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4"/>
          <w:w w:val="100"/>
          <w:sz w:val="24"/>
          <w:vertAlign w:val="baseline"/>
          <w:lang w:val="en-US"/>
        </w:rPr>
        <w:t xml:space="preserve">149 Unsafe electrical equipment</w:t>
      </w:r>
    </w:p>
    <w:p>
      <w:pPr>
        <w:spacing w:before="125" w:after="0" w:line="273" w:lineRule="exact"/>
        <w:ind w:right="144"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at a workplace must ensure that any unsafe electrical equipment at the workplace:</w:t>
      </w:r>
    </w:p>
    <w:p>
      <w:pPr>
        <w:numPr>
          <w:ilvl w:val="0"/>
          <w:numId w:val="301"/>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disconnected (or isolated) from its electricity supply; and</w:t>
      </w:r>
    </w:p>
    <w:p>
      <w:pPr>
        <w:numPr>
          <w:ilvl w:val="0"/>
          <w:numId w:val="301"/>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once disconnected (or isolated):</w:t>
      </w:r>
    </w:p>
    <w:p>
      <w:pPr>
        <w:numPr>
          <w:ilvl w:val="0"/>
          <w:numId w:val="302"/>
        </w:numPr>
        <w:tabs>
          <w:tab w:val="clear" w:pos="360"/>
          <w:tab w:val="left" w:pos="2376"/>
        </w:tabs>
        <w:spacing w:before="126" w:after="0" w:line="273" w:lineRule="exact"/>
        <w:ind w:right="216"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not reconnected until it is repaired or tested and found to be safe; or</w:t>
      </w:r>
    </w:p>
    <w:p>
      <w:pPr>
        <w:numPr>
          <w:ilvl w:val="0"/>
          <w:numId w:val="302"/>
        </w:numPr>
        <w:tabs>
          <w:tab w:val="clear" w:pos="360"/>
          <w:tab w:val="left" w:pos="2376"/>
        </w:tabs>
        <w:spacing w:before="126" w:after="0" w:line="273"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replaced or permanently removed from use.</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7" w:after="0" w:line="273"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For the purposes of this regulation, electrical equipment or a component of electrical equipment is </w:t>
      </w:r>
      <w:r>
        <w:rPr>
          <w:rFonts w:ascii="Times New Roman" w:hAnsi="Times New Roman" w:eastAsia="Times New Roman"/>
          <w:b w:val="true"/>
          <w:i w:val="true"/>
          <w:color w:val="000000"/>
          <w:spacing w:val="0"/>
          <w:w w:val="100"/>
          <w:sz w:val="24"/>
          <w:vertAlign w:val="baseline"/>
          <w:lang w:val="en-US"/>
        </w:rPr>
        <w:t xml:space="preserve">unsafe </w:t>
      </w:r>
      <w:r>
        <w:rPr>
          <w:rFonts w:ascii="Times New Roman" w:hAnsi="Times New Roman" w:eastAsia="Times New Roman"/>
          <w:color w:val="000000"/>
          <w:spacing w:val="0"/>
          <w:w w:val="100"/>
          <w:sz w:val="24"/>
          <w:vertAlign w:val="baseline"/>
          <w:lang w:val="en-US"/>
        </w:rPr>
        <w:t xml:space="preserve">if there are reasonable grounds for believing it to be unsafe.</w:t>
      </w:r>
    </w:p>
    <w:p>
      <w:pPr>
        <w:spacing w:before="125"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150 Inspection and testing of electrical equipment</w:t>
      </w:r>
    </w:p>
    <w:p>
      <w:pPr>
        <w:spacing w:before="117" w:after="0" w:line="276" w:lineRule="exact"/>
        <w:ind w:right="144"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at a workplace must ensure that electrical equipment is regularly inspected and tested by a competent person if the electrical equipment is:</w:t>
      </w:r>
    </w:p>
    <w:p>
      <w:pPr>
        <w:numPr>
          <w:ilvl w:val="0"/>
          <w:numId w:val="303"/>
        </w:numPr>
        <w:tabs>
          <w:tab w:val="clear" w:pos="360"/>
          <w:tab w:val="left" w:pos="1872"/>
        </w:tabs>
        <w:spacing w:before="124" w:after="0" w:line="274"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supplied with electricity through an electrical socket outlet; and</w:t>
      </w:r>
    </w:p>
    <w:p>
      <w:pPr>
        <w:numPr>
          <w:ilvl w:val="0"/>
          <w:numId w:val="303"/>
        </w:numPr>
        <w:tabs>
          <w:tab w:val="clear" w:pos="360"/>
          <w:tab w:val="left" w:pos="1872"/>
        </w:tabs>
        <w:spacing w:before="126" w:after="0" w:line="275"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16" w:after="0" w:line="278" w:lineRule="exact"/>
        <w:ind w:right="504"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(2) In the case of electrical equipment that is new and unused at the workplace, the person conducting the business or undertaking:</w:t>
      </w:r>
    </w:p>
    <w:p>
      <w:pPr>
        <w:numPr>
          <w:ilvl w:val="0"/>
          <w:numId w:val="304"/>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not required to comply with subregulation (1); and</w:t>
      </w:r>
    </w:p>
    <w:p>
      <w:pPr>
        <w:numPr>
          <w:ilvl w:val="0"/>
          <w:numId w:val="304"/>
        </w:numPr>
        <w:tabs>
          <w:tab w:val="clear" w:pos="360"/>
          <w:tab w:val="left" w:pos="1872"/>
        </w:tabs>
        <w:spacing w:before="124" w:after="1166" w:line="274" w:lineRule="exact"/>
        <w:ind w:right="792" w:left="1872" w:hanging="36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must ensure that the equipment is inspected for obvious damage before being used.</w:t>
      </w:r>
    </w:p>
    <w:p>
      <w:pPr>
        <w:spacing w:before="124" w:after="1166"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121</w:t>
      </w:r>
    </w:p>
    <w:p>
      <w:pPr>
        <w:sectPr>
          <w:type w:val="continuous"/>
          <w:pgSz w:w="11909" w:h="16838" w:orient="portrait"/>
          <w:pgMar w:bottom="1082" w:top="1140" w:right="5819" w:left="1970" w:header="720" w:footer="720"/>
          <w:titlePg w:val="false"/>
          <w:textDirection w:val="lrTb"/>
        </w:sectPr>
      </w:pPr>
    </w:p>
    <w:p>
      <w:pPr>
        <w:spacing w:before="6"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5" w:after="226"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4.7	</w:t>
      </w:r>
      <w:r>
        <w:rPr>
          <w:rFonts w:ascii="Times New Roman" w:hAnsi="Times New Roman" w:eastAsia="Times New Roman"/>
          <w:color w:val="000000"/>
          <w:spacing w:val="0"/>
          <w:w w:val="100"/>
          <w:sz w:val="20"/>
          <w:vertAlign w:val="baseline"/>
          <w:lang w:val="en-US"/>
        </w:rPr>
        <w:t xml:space="preserve">General Electrical Safety in Workplaces and Energised Electrical Work</w:t>
      </w:r>
    </w:p>
    <w:p>
      <w:pPr>
        <w:spacing w:before="25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2" w:after="0" w:line="230" w:lineRule="exact"/>
        <w:ind w:right="36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However, electrical equipment that is unsafe must not be used (see regulation 149).</w:t>
      </w:r>
    </w:p>
    <w:p>
      <w:pPr>
        <w:spacing w:before="115" w:after="0" w:line="279" w:lineRule="exact"/>
        <w:ind w:right="504"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(3) The person must ensure that a record of any testing carried out under subregulation (1) is kept until the electrical equipment is:</w:t>
      </w:r>
    </w:p>
    <w:p>
      <w:pPr>
        <w:numPr>
          <w:ilvl w:val="0"/>
          <w:numId w:val="305"/>
        </w:numPr>
        <w:tabs>
          <w:tab w:val="clear" w:pos="360"/>
          <w:tab w:val="left" w:pos="1872"/>
        </w:tabs>
        <w:spacing w:before="120"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next tested; or</w:t>
      </w:r>
    </w:p>
    <w:p>
      <w:pPr>
        <w:numPr>
          <w:ilvl w:val="0"/>
          <w:numId w:val="305"/>
        </w:numPr>
        <w:tabs>
          <w:tab w:val="clear" w:pos="360"/>
          <w:tab w:val="left" w:pos="1872"/>
        </w:tabs>
        <w:spacing w:before="126"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permanently removed from the workplace or disposed of.</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26"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The record of testing:</w:t>
      </w:r>
    </w:p>
    <w:p>
      <w:pPr>
        <w:spacing w:before="120"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must specify the following:</w:t>
      </w:r>
    </w:p>
    <w:p>
      <w:pPr>
        <w:numPr>
          <w:ilvl w:val="0"/>
          <w:numId w:val="306"/>
        </w:numPr>
        <w:tabs>
          <w:tab w:val="clear" w:pos="504"/>
          <w:tab w:val="left" w:pos="2376"/>
        </w:tabs>
        <w:spacing w:before="126" w:after="0" w:line="273" w:lineRule="exact"/>
        <w:ind w:right="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of the person who carried out the testing;</w:t>
      </w:r>
    </w:p>
    <w:p>
      <w:pPr>
        <w:numPr>
          <w:ilvl w:val="0"/>
          <w:numId w:val="306"/>
        </w:numPr>
        <w:tabs>
          <w:tab w:val="clear" w:pos="504"/>
          <w:tab w:val="left" w:pos="2376"/>
        </w:tabs>
        <w:spacing w:before="120" w:after="0" w:line="273" w:lineRule="exact"/>
        <w:ind w:right="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date of the testing;</w:t>
      </w:r>
    </w:p>
    <w:p>
      <w:pPr>
        <w:numPr>
          <w:ilvl w:val="0"/>
          <w:numId w:val="306"/>
        </w:numPr>
        <w:tabs>
          <w:tab w:val="clear" w:pos="504"/>
          <w:tab w:val="left" w:pos="2376"/>
        </w:tabs>
        <w:spacing w:before="126" w:after="0" w:line="273" w:lineRule="exact"/>
        <w:ind w:right="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outcome of the testing;</w:t>
      </w:r>
    </w:p>
    <w:p>
      <w:pPr>
        <w:numPr>
          <w:ilvl w:val="0"/>
          <w:numId w:val="306"/>
        </w:numPr>
        <w:tabs>
          <w:tab w:val="clear" w:pos="504"/>
          <w:tab w:val="left" w:pos="2376"/>
        </w:tabs>
        <w:spacing w:before="114" w:after="0" w:line="279" w:lineRule="exact"/>
        <w:ind w:right="36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date on which the next testing must be carried out; and</w:t>
      </w:r>
    </w:p>
    <w:p>
      <w:pPr>
        <w:spacing w:before="114" w:after="0" w:line="279" w:lineRule="exact"/>
        <w:ind w:right="108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may be in the form of a tag attached to the electrical equipment tested.</w:t>
      </w:r>
    </w:p>
    <w:p>
      <w:pPr>
        <w:spacing w:before="120"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151 Untested electrical equipment not to be used</w:t>
      </w:r>
    </w:p>
    <w:p>
      <w:pPr>
        <w:spacing w:before="122" w:after="0" w:line="276" w:lineRule="exact"/>
        <w:ind w:right="144"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must ensure, so far as is reasonably practicable, that electrical equipment is not used if the equipment:</w:t>
      </w:r>
    </w:p>
    <w:p>
      <w:pPr>
        <w:numPr>
          <w:ilvl w:val="0"/>
          <w:numId w:val="307"/>
        </w:numPr>
        <w:tabs>
          <w:tab w:val="clear" w:pos="360"/>
          <w:tab w:val="left" w:pos="1872"/>
        </w:tabs>
        <w:spacing w:before="120"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required to be tested under regulation 150; and</w:t>
      </w:r>
    </w:p>
    <w:p>
      <w:pPr>
        <w:numPr>
          <w:ilvl w:val="0"/>
          <w:numId w:val="307"/>
        </w:numPr>
        <w:tabs>
          <w:tab w:val="clear" w:pos="360"/>
          <w:tab w:val="left" w:pos="1872"/>
        </w:tabs>
        <w:spacing w:before="126"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has not been tested.</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0" w:after="1531"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corporate—$18 000.</w:t>
      </w:r>
    </w:p>
    <w:p>
      <w:pPr>
        <w:spacing w:before="120" w:after="1531"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122</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4.7	</w:t>
      </w:r>
      <w:r>
        <w:rPr>
          <w:rFonts w:ascii="Times New Roman" w:hAnsi="Times New Roman" w:eastAsia="Times New Roman"/>
          <w:color w:val="000000"/>
          <w:spacing w:val="0"/>
          <w:w w:val="100"/>
          <w:sz w:val="20"/>
          <w:vertAlign w:val="baseline"/>
          <w:lang w:val="en-US"/>
        </w:rPr>
        <w:t xml:space="preserve">General Electrical Safety in Workplaces and Energised Electrical Work</w:t>
      </w:r>
    </w:p>
    <w:p>
      <w:pPr>
        <w:tabs>
          <w:tab w:val="left" w:leader="none" w:pos="1584"/>
        </w:tabs>
        <w:spacing w:before="256"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4"/>
          <w:vertAlign w:val="baseline"/>
          <w:lang w:val="en-US"/>
        </w:rPr>
        <w:t xml:space="preserve">Division 4	</w:t>
      </w:r>
      <w:r>
        <w:rPr>
          <w:rFonts w:ascii="Times New Roman" w:hAnsi="Times New Roman" w:eastAsia="Times New Roman"/>
          <w:b w:val="true"/>
          <w:color w:val="000000"/>
          <w:spacing w:val="0"/>
          <w:w w:val="100"/>
          <w:sz w:val="24"/>
          <w:vertAlign w:val="baseline"/>
          <w:lang w:val="en-US"/>
        </w:rPr>
        <w:t xml:space="preserve">Electrical work on energised electrical equipment</w:t>
      </w:r>
    </w:p>
    <w:p>
      <w:pPr>
        <w:spacing w:before="120"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152 Application of Division 4</w:t>
      </w:r>
    </w:p>
    <w:p>
      <w:pPr>
        <w:spacing w:before="115" w:after="0" w:line="277"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Division does not apply to work carried out by or on behalf of an electricity supply authority on the electrical equipment, including electric line-associated equipment, controlled or operated by the authority to transform, transmit or supply electricity.</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8"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19" w:after="0" w:line="274" w:lineRule="exact"/>
        <w:ind w:right="144" w:left="288" w:firstLine="0"/>
        <w:jc w:val="both"/>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153 Persons conducting a business or undertaking to which this Division applies</w:t>
      </w:r>
    </w:p>
    <w:p>
      <w:pPr>
        <w:spacing w:before="123" w:after="0" w:line="275" w:lineRule="exact"/>
        <w:ind w:right="144"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this Division (except regulations 156, 159 and 160), a reference to a </w:t>
      </w:r>
      <w:r>
        <w:rPr>
          <w:rFonts w:ascii="Times New Roman" w:hAnsi="Times New Roman" w:eastAsia="Times New Roman"/>
          <w:b w:val="true"/>
          <w:i w:val="true"/>
          <w:color w:val="000000"/>
          <w:spacing w:val="0"/>
          <w:w w:val="100"/>
          <w:sz w:val="24"/>
          <w:vertAlign w:val="baseline"/>
          <w:lang w:val="en-US"/>
        </w:rPr>
        <w:t xml:space="preserve">person conducting a business or undertaking </w:t>
      </w:r>
      <w:r>
        <w:rPr>
          <w:rFonts w:ascii="Times New Roman" w:hAnsi="Times New Roman" w:eastAsia="Times New Roman"/>
          <w:color w:val="000000"/>
          <w:spacing w:val="0"/>
          <w:w w:val="100"/>
          <w:sz w:val="24"/>
          <w:vertAlign w:val="baseline"/>
          <w:lang w:val="en-US"/>
        </w:rPr>
        <w:t xml:space="preserve">in relation to electrical work is a reference to the person conducting the business or undertaking who is carrying out the electrical work.</w:t>
      </w:r>
    </w:p>
    <w:p>
      <w:pPr>
        <w:spacing w:before="125" w:after="0" w:line="274" w:lineRule="exact"/>
        <w:ind w:right="0" w:left="0" w:firstLine="0"/>
        <w:jc w:val="center"/>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154 Electrical work on energised electrical equipment—prohibited</w:t>
      </w:r>
    </w:p>
    <w:p>
      <w:pPr>
        <w:spacing w:before="115" w:after="0" w:line="278" w:lineRule="exact"/>
        <w:ind w:right="360" w:left="1368"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Subject to this Division, a person conducting a business or undertaking must ensure that electrical work is not carried out on</w:t>
      </w:r>
    </w:p>
    <w:p>
      <w:pPr>
        <w:spacing w:before="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electrical equipment while the equipment is energised.</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1"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155 Duty to determine whether equipment is energised</w:t>
      </w:r>
    </w:p>
    <w:p>
      <w:pPr>
        <w:numPr>
          <w:ilvl w:val="0"/>
          <w:numId w:val="308"/>
        </w:numPr>
        <w:tabs>
          <w:tab w:val="clear" w:pos="360"/>
          <w:tab w:val="left" w:pos="1368"/>
        </w:tabs>
        <w:spacing w:before="123" w:after="0" w:line="275"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must ensure that, before electrical work is carried out on electrical equipment, the equipment is tested by a competent person to determine whether or not it is energised.</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4" w:after="0" w:line="230" w:lineRule="exact"/>
        <w:ind w:right="144"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Regulation 157 allows electrical testing to be carried out on electrical equipment for the purposes of this regulation. Regulation 161 sets out how the testing is to be carried out.</w:t>
      </w:r>
    </w:p>
    <w:p>
      <w:pPr>
        <w:numPr>
          <w:ilvl w:val="0"/>
          <w:numId w:val="308"/>
        </w:numPr>
        <w:tabs>
          <w:tab w:val="clear" w:pos="360"/>
          <w:tab w:val="left" w:pos="1368"/>
        </w:tabs>
        <w:spacing w:before="119" w:after="0" w:line="273"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conducting a business or undertaking must ensure that:</w:t>
      </w:r>
    </w:p>
    <w:p>
      <w:pPr>
        <w:spacing w:before="116" w:after="768" w:line="278"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each exposed part is treated as energised until it is isolated and determined not to be energised; and</w:t>
      </w:r>
    </w:p>
    <w:p>
      <w:pPr>
        <w:spacing w:before="116" w:after="768"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123</w:t>
      </w:r>
    </w:p>
    <w:p>
      <w:pPr>
        <w:sectPr>
          <w:type w:val="continuous"/>
          <w:pgSz w:w="11909" w:h="16838" w:orient="portrait"/>
          <w:pgMar w:bottom="1082" w:top="1140" w:right="5817" w:left="1972"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4.7	</w:t>
      </w:r>
      <w:r>
        <w:rPr>
          <w:rFonts w:ascii="Times New Roman" w:hAnsi="Times New Roman" w:eastAsia="Times New Roman"/>
          <w:color w:val="000000"/>
          <w:spacing w:val="0"/>
          <w:w w:val="100"/>
          <w:sz w:val="20"/>
          <w:vertAlign w:val="baseline"/>
          <w:lang w:val="en-US"/>
        </w:rPr>
        <w:t xml:space="preserve">General Electrical Safety in Workplaces and Energised Electrical Work</w:t>
      </w:r>
    </w:p>
    <w:p>
      <w:pPr>
        <w:spacing w:before="245" w:after="0" w:line="279" w:lineRule="exact"/>
        <w:ind w:right="648"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(b) each high-voltage exposed part is earthed after being de-energised.</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6" w:after="0" w:line="274" w:lineRule="exact"/>
        <w:ind w:right="0" w:left="0" w:firstLine="0"/>
        <w:jc w:val="center"/>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156 De-energised equipment must not be inadvertently re-energised</w:t>
      </w:r>
    </w:p>
    <w:p>
      <w:pPr>
        <w:spacing w:before="115" w:after="0" w:line="277" w:lineRule="exact"/>
        <w:ind w:right="288"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must ensure that electrical equipment that has been de-energised to allow electrical work to be carried out on it is not inadvertently re-energised while the work is being carried out.</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1" w:after="0" w:line="274" w:lineRule="exact"/>
        <w:ind w:right="0" w:left="0" w:firstLine="0"/>
        <w:jc w:val="center"/>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157 Electrical work on energised electrical equipment—when permitted</w:t>
      </w:r>
    </w:p>
    <w:p>
      <w:pPr>
        <w:spacing w:before="121"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must ensure that electrical work on energised electrical equipment is not carried out unless:</w:t>
      </w:r>
    </w:p>
    <w:p>
      <w:pPr>
        <w:numPr>
          <w:ilvl w:val="0"/>
          <w:numId w:val="309"/>
        </w:numPr>
        <w:tabs>
          <w:tab w:val="clear" w:pos="360"/>
          <w:tab w:val="left" w:pos="1872"/>
        </w:tabs>
        <w:spacing w:before="118" w:after="0" w:line="276"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it is necessary in the interests of health and safety that the electrical work is carried out on the equipment while the equipment is energised; or</w:t>
      </w:r>
    </w:p>
    <w:p>
      <w:pPr>
        <w:spacing w:before="129"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Example</w:t>
      </w:r>
    </w:p>
    <w:p>
      <w:pPr>
        <w:spacing w:before="122" w:after="0" w:line="231" w:lineRule="exact"/>
        <w:ind w:right="576"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It may be necessary that life-saving equipment remain energised and operating while electrical work is carried out on the equipment.</w:t>
      </w:r>
    </w:p>
    <w:p>
      <w:pPr>
        <w:numPr>
          <w:ilvl w:val="0"/>
          <w:numId w:val="309"/>
        </w:numPr>
        <w:tabs>
          <w:tab w:val="clear" w:pos="360"/>
          <w:tab w:val="left" w:pos="1872"/>
        </w:tabs>
        <w:spacing w:before="119" w:after="0" w:line="273" w:lineRule="exact"/>
        <w:ind w:right="144" w:left="1872" w:hanging="360"/>
        <w:jc w:val="both"/>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it is necessary that the electrical equipment to be worked on is energised in order for the work to be carried out properly; or</w:t>
      </w:r>
    </w:p>
    <w:p>
      <w:pPr>
        <w:numPr>
          <w:ilvl w:val="0"/>
          <w:numId w:val="309"/>
        </w:numPr>
        <w:tabs>
          <w:tab w:val="clear" w:pos="360"/>
          <w:tab w:val="left" w:pos="1872"/>
        </w:tabs>
        <w:spacing w:before="126" w:after="0" w:line="273" w:lineRule="exact"/>
        <w:ind w:right="72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it is necessary for the purposes of testing required under regulation 155; or</w:t>
      </w:r>
    </w:p>
    <w:p>
      <w:pPr>
        <w:numPr>
          <w:ilvl w:val="0"/>
          <w:numId w:val="309"/>
        </w:numPr>
        <w:tabs>
          <w:tab w:val="clear" w:pos="360"/>
          <w:tab w:val="left" w:pos="1872"/>
        </w:tabs>
        <w:spacing w:before="126" w:after="0" w:line="273"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there is no reasonable alternative means of carrying out the work.</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7" w:after="907" w:line="276"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(2) The electrical work that may be carried out under subregulation (1)(a), (b) and (d) may include testing of the energised electrical equipment.</w:t>
      </w:r>
    </w:p>
    <w:p>
      <w:pPr>
        <w:spacing w:before="117" w:after="907"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124</w:t>
      </w:r>
    </w:p>
    <w:p>
      <w:pPr>
        <w:sectPr>
          <w:type w:val="continuous"/>
          <w:pgSz w:w="11909" w:h="16838" w:orient="portrait"/>
          <w:pgMar w:bottom="1082" w:top="1140" w:right="5812" w:left="1977" w:header="720" w:footer="720"/>
          <w:titlePg w:val="false"/>
          <w:textDirection w:val="lrTb"/>
        </w:sectPr>
      </w:pPr>
    </w:p>
    <w:p>
      <w:pPr>
        <w:spacing w:before="6" w:after="0" w:line="225"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6" w:after="227" w:line="225"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4.7	</w:t>
      </w:r>
      <w:r>
        <w:rPr>
          <w:rFonts w:ascii="Times New Roman" w:hAnsi="Times New Roman" w:eastAsia="Times New Roman"/>
          <w:color w:val="000000"/>
          <w:spacing w:val="0"/>
          <w:w w:val="100"/>
          <w:sz w:val="20"/>
          <w:vertAlign w:val="baseline"/>
          <w:lang w:val="en-US"/>
        </w:rPr>
        <w:t xml:space="preserve">General Electrical Safety in Workplaces and Energised Electrical Work</w:t>
      </w:r>
    </w:p>
    <w:p>
      <w:pPr>
        <w:spacing w:before="251" w:after="0" w:line="274" w:lineRule="exact"/>
        <w:ind w:right="0" w:left="288" w:firstLine="0"/>
        <w:jc w:val="left"/>
        <w:textAlignment w:val="baseline"/>
        <w:rPr>
          <w:rFonts w:ascii="Times New Roman" w:hAnsi="Times New Roman" w:eastAsia="Times New Roman"/>
          <w:b w:val="true"/>
          <w:color w:val="000000"/>
          <w:spacing w:val="6"/>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6"/>
          <w:w w:val="100"/>
          <w:sz w:val="24"/>
          <w:vertAlign w:val="baseline"/>
          <w:lang w:val="en-US"/>
        </w:rPr>
        <w:t xml:space="preserve">158 Preliminary steps</w:t>
      </w:r>
    </w:p>
    <w:p>
      <w:pPr>
        <w:spacing w:before="122"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must ensure the following before electrical work on energised electrical equipment commences:</w:t>
      </w:r>
    </w:p>
    <w:p>
      <w:pPr>
        <w:spacing w:before="114" w:after="0" w:line="279"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a risk assessment is conducted in relation to the proposed electrical work;</w:t>
      </w:r>
    </w:p>
    <w:p>
      <w:pPr>
        <w:spacing w:before="114" w:after="0" w:line="279"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the area where the electrical work is to be carried out is clear of obstructions so as to allow for easy access and exit;</w:t>
      </w:r>
    </w:p>
    <w:p>
      <w:pPr>
        <w:spacing w:before="114" w:after="0" w:line="279" w:lineRule="exact"/>
        <w:ind w:right="1008" w:left="1872"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(c) the point at which the electrical equipment can be disconnected or isolated from its electricity supply is:</w:t>
      </w:r>
    </w:p>
    <w:p>
      <w:pPr>
        <w:numPr>
          <w:ilvl w:val="0"/>
          <w:numId w:val="310"/>
        </w:numPr>
        <w:tabs>
          <w:tab w:val="clear" w:pos="504"/>
          <w:tab w:val="left" w:pos="2376"/>
        </w:tabs>
        <w:spacing w:before="120" w:after="0" w:line="273" w:lineRule="exact"/>
        <w:ind w:right="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clearly marked or labelled; and</w:t>
      </w:r>
    </w:p>
    <w:p>
      <w:pPr>
        <w:numPr>
          <w:ilvl w:val="0"/>
          <w:numId w:val="310"/>
        </w:numPr>
        <w:tabs>
          <w:tab w:val="clear" w:pos="504"/>
          <w:tab w:val="left" w:pos="2376"/>
        </w:tabs>
        <w:spacing w:before="127" w:after="0" w:line="273" w:lineRule="exact"/>
        <w:ind w:right="72"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clear of obstructions so as to allow for easy access and exit by the worker who is to carry out the electrical work or any other competent person; and</w:t>
      </w:r>
    </w:p>
    <w:p>
      <w:pPr>
        <w:numPr>
          <w:ilvl w:val="0"/>
          <w:numId w:val="310"/>
        </w:numPr>
        <w:tabs>
          <w:tab w:val="clear" w:pos="504"/>
          <w:tab w:val="left" w:pos="2376"/>
        </w:tabs>
        <w:spacing w:before="125" w:after="0" w:line="273" w:lineRule="exact"/>
        <w:ind w:right="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capable of being operated quickly;</w:t>
      </w:r>
    </w:p>
    <w:p>
      <w:pPr>
        <w:spacing w:before="116" w:after="0" w:line="278"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the person authorises the electrical work after consulting with the person with management or control of the workplace.</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74" w:lineRule="exact"/>
        <w:ind w:right="288"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For the purposes of subregulation (1)(a), the risk assessment must be:</w:t>
      </w:r>
    </w:p>
    <w:p>
      <w:pPr>
        <w:numPr>
          <w:ilvl w:val="0"/>
          <w:numId w:val="311"/>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conducted by a competent person; and</w:t>
      </w:r>
    </w:p>
    <w:p>
      <w:pPr>
        <w:numPr>
          <w:ilvl w:val="0"/>
          <w:numId w:val="311"/>
        </w:numPr>
        <w:tabs>
          <w:tab w:val="clear" w:pos="360"/>
          <w:tab w:val="left" w:pos="1872"/>
        </w:tabs>
        <w:spacing w:before="18" w:after="0" w:line="365"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recorded.</w:t>
        <w:br/>
      </w:r>
      <w:r>
        <w:rPr>
          <w:rFonts w:ascii="Times New Roman" w:hAnsi="Times New Roman" w:eastAsia="Times New Roman"/>
          <w:b w:val="true"/>
          <w:color w:val="000000"/>
          <w:spacing w:val="0"/>
          <w:w w:val="100"/>
          <w:sz w:val="20"/>
          <w:vertAlign w:val="baseline"/>
          <w:lang w:val="en-US"/>
        </w:rPr>
        <w:t xml:space="preserve">Note</w:t>
      </w:r>
    </w:p>
    <w:p>
      <w:pPr>
        <w:spacing w:before="119" w:after="0" w:line="231" w:lineRule="exact"/>
        <w:ind w:right="72"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Regulation 12 permits risk assessments to be conducted, in certain circumstances, in relation to a class of hazards, tasks, things or circumstances.</w:t>
      </w:r>
    </w:p>
    <w:p>
      <w:pPr>
        <w:spacing w:before="122" w:after="0" w:line="273"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Subregulation (1)(c) does not apply to electrical work on electrical equipment if:</w:t>
      </w:r>
    </w:p>
    <w:p>
      <w:pPr>
        <w:numPr>
          <w:ilvl w:val="0"/>
          <w:numId w:val="312"/>
        </w:numPr>
        <w:tabs>
          <w:tab w:val="clear" w:pos="360"/>
          <w:tab w:val="left" w:pos="1872"/>
        </w:tabs>
        <w:spacing w:before="126" w:after="0" w:line="273"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work is to be carried out on the supply side of the main switch on the main switchboard for the equipment; and</w:t>
      </w:r>
    </w:p>
    <w:p>
      <w:pPr>
        <w:numPr>
          <w:ilvl w:val="0"/>
          <w:numId w:val="312"/>
        </w:numPr>
        <w:tabs>
          <w:tab w:val="clear" w:pos="360"/>
          <w:tab w:val="left" w:pos="1872"/>
        </w:tabs>
        <w:spacing w:before="123" w:after="130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point at which the equipment can be disconnected from its electricity supply is not reasonably accessible from the work location.</w:t>
      </w:r>
    </w:p>
    <w:p>
      <w:pPr>
        <w:spacing w:before="123" w:after="1300"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125</w:t>
      </w:r>
    </w:p>
    <w:p>
      <w:pPr>
        <w:sectPr>
          <w:type w:val="continuous"/>
          <w:pgSz w:w="11909" w:h="16838" w:orient="portrait"/>
          <w:pgMar w:bottom="1082" w:top="1140" w:right="5814" w:left="1975" w:header="720" w:footer="720"/>
          <w:titlePg w:val="false"/>
          <w:textDirection w:val="lrTb"/>
        </w:sectPr>
      </w:pPr>
    </w:p>
    <w:p>
      <w:pPr>
        <w:spacing w:before="6"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2" w:after="223"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4.7	</w:t>
      </w:r>
      <w:r>
        <w:rPr>
          <w:rFonts w:ascii="Times New Roman" w:hAnsi="Times New Roman" w:eastAsia="Times New Roman"/>
          <w:color w:val="000000"/>
          <w:spacing w:val="0"/>
          <w:w w:val="100"/>
          <w:sz w:val="20"/>
          <w:vertAlign w:val="baseline"/>
          <w:lang w:val="en-US"/>
        </w:rPr>
        <w:t xml:space="preserve">General Electrical Safety in Workplaces and Energised Electrical Work</w:t>
      </w:r>
    </w:p>
    <w:p>
      <w:pPr>
        <w:spacing w:before="251"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2"/>
          <w:w w:val="100"/>
          <w:sz w:val="24"/>
          <w:vertAlign w:val="baseline"/>
          <w:lang w:val="en-US"/>
        </w:rPr>
        <w:t xml:space="preserve">159 Unauthorised access to equipment being worked on</w:t>
      </w:r>
    </w:p>
    <w:p>
      <w:pPr>
        <w:spacing w:before="123" w:after="0" w:line="275" w:lineRule="exact"/>
        <w:ind w:right="36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must ensure that only persons authorised by the person conducting the business or undertaking enter the immediate area in which electrical work on energised electrical equipment is being carried out.</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6"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0"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160 Contact with equipment being worked on</w:t>
      </w:r>
    </w:p>
    <w:p>
      <w:pPr>
        <w:spacing w:before="127" w:after="0" w:line="274"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must ensure that, while electrical work is being carried out on energised electrical equipment, all persons are prevented from creating an electrical risk by inadvertently making contact with an exposed energised component of the equipment.</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1"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161 How the work is to be carried out</w:t>
      </w:r>
    </w:p>
    <w:p>
      <w:pPr>
        <w:spacing w:before="123" w:after="0" w:line="274" w:lineRule="exact"/>
        <w:ind w:right="504" w:left="1368" w:hanging="360"/>
        <w:jc w:val="both"/>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(1) A person conducting a business or undertaking must ensure that electrical work on energised electrical equipment is carried out:</w:t>
      </w:r>
    </w:p>
    <w:p>
      <w:pPr>
        <w:spacing w:before="124" w:after="0" w:line="274"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by a competent person who has tools, testing equipment and personal protective equipment that:</w:t>
      </w:r>
    </w:p>
    <w:p>
      <w:pPr>
        <w:numPr>
          <w:ilvl w:val="0"/>
          <w:numId w:val="313"/>
        </w:numPr>
        <w:tabs>
          <w:tab w:val="clear" w:pos="504"/>
          <w:tab w:val="left" w:pos="2376"/>
        </w:tabs>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are suitable for the work; and</w:t>
      </w:r>
    </w:p>
    <w:p>
      <w:pPr>
        <w:numPr>
          <w:ilvl w:val="0"/>
          <w:numId w:val="313"/>
        </w:numPr>
        <w:tabs>
          <w:tab w:val="clear" w:pos="504"/>
          <w:tab w:val="left" w:pos="2376"/>
        </w:tabs>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have been properly tested; and</w:t>
      </w:r>
    </w:p>
    <w:p>
      <w:pPr>
        <w:numPr>
          <w:ilvl w:val="0"/>
          <w:numId w:val="313"/>
        </w:numPr>
        <w:tabs>
          <w:tab w:val="clear" w:pos="504"/>
          <w:tab w:val="left" w:pos="2376"/>
        </w:tabs>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are maintained in good working order; and</w:t>
      </w:r>
    </w:p>
    <w:p>
      <w:pPr>
        <w:spacing w:before="116" w:after="0" w:line="278"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in accordance with a safe work method statement prepared for the work; and</w:t>
      </w:r>
    </w:p>
    <w:p>
      <w:pPr>
        <w:spacing w:before="118" w:after="0" w:line="276"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subject to subregulation (5), with a safety observer present who has the competence and qualifications specified in subregulation (4).</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132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corporate—$30 000.</w:t>
      </w:r>
    </w:p>
    <w:p>
      <w:pPr>
        <w:spacing w:before="125" w:after="1320"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126</w:t>
      </w:r>
    </w:p>
    <w:p>
      <w:pPr>
        <w:sectPr>
          <w:type w:val="continuous"/>
          <w:pgSz w:w="11909" w:h="16838" w:orient="portrait"/>
          <w:pgMar w:bottom="1082" w:top="1140" w:right="5812" w:left="1977" w:header="720" w:footer="720"/>
          <w:titlePg w:val="false"/>
          <w:textDirection w:val="lrTb"/>
        </w:sectPr>
      </w:pPr>
    </w:p>
    <w:p>
      <w:pPr>
        <w:spacing w:before="6"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2" w:after="223"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4.7	</w:t>
      </w:r>
      <w:r>
        <w:rPr>
          <w:rFonts w:ascii="Times New Roman" w:hAnsi="Times New Roman" w:eastAsia="Times New Roman"/>
          <w:color w:val="000000"/>
          <w:spacing w:val="0"/>
          <w:w w:val="100"/>
          <w:sz w:val="20"/>
          <w:vertAlign w:val="baseline"/>
          <w:lang w:val="en-US"/>
        </w:rPr>
        <w:t xml:space="preserve">General Electrical Safety in Workplaces and Energised Electrical Work</w:t>
      </w:r>
    </w:p>
    <w:p>
      <w:pPr>
        <w:spacing w:before="247" w:after="0" w:line="277"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(2) The person conducting a business or undertaking must ensure, so far as is reasonably practicable, that the person who carries out the electrical work uses the tools, testing equipment and personal protective equipment properly.</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6" w:after="0" w:line="273" w:lineRule="exact"/>
        <w:ind w:right="50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For the purposes of subregulation (1)(b), the safe work method statement must:</w:t>
      </w:r>
    </w:p>
    <w:p>
      <w:pPr>
        <w:numPr>
          <w:ilvl w:val="0"/>
          <w:numId w:val="314"/>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identify the electrical work; and</w:t>
      </w:r>
    </w:p>
    <w:p>
      <w:pPr>
        <w:numPr>
          <w:ilvl w:val="0"/>
          <w:numId w:val="314"/>
        </w:numPr>
        <w:tabs>
          <w:tab w:val="clear" w:pos="360"/>
          <w:tab w:val="left" w:pos="1872"/>
        </w:tabs>
        <w:spacing w:before="114" w:after="0" w:line="279"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specify hazards associated with that electrical work and risks associated with those hazards; and</w:t>
      </w:r>
    </w:p>
    <w:p>
      <w:pPr>
        <w:numPr>
          <w:ilvl w:val="0"/>
          <w:numId w:val="314"/>
        </w:numPr>
        <w:tabs>
          <w:tab w:val="clear" w:pos="360"/>
          <w:tab w:val="left" w:pos="1872"/>
        </w:tabs>
        <w:spacing w:before="119" w:after="0" w:line="274"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describe the measures to be implemented to control the risks; and</w:t>
      </w:r>
    </w:p>
    <w:p>
      <w:pPr>
        <w:numPr>
          <w:ilvl w:val="0"/>
          <w:numId w:val="314"/>
        </w:numPr>
        <w:tabs>
          <w:tab w:val="clear" w:pos="360"/>
          <w:tab w:val="left" w:pos="1872"/>
        </w:tabs>
        <w:spacing w:before="124" w:after="0" w:line="274" w:lineRule="exact"/>
        <w:ind w:right="7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describe how the risk control measures are to be implemented, monitored and reviewed.</w:t>
      </w:r>
    </w:p>
    <w:p>
      <w:pPr>
        <w:spacing w:before="125"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For the purposes of subregulation (1)(c):</w:t>
      </w:r>
    </w:p>
    <w:p>
      <w:pPr>
        <w:spacing w:before="121"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the safety observer must be competent:</w:t>
      </w:r>
    </w:p>
    <w:p>
      <w:pPr>
        <w:numPr>
          <w:ilvl w:val="0"/>
          <w:numId w:val="315"/>
        </w:numPr>
        <w:tabs>
          <w:tab w:val="clear" w:pos="360"/>
          <w:tab w:val="left" w:pos="2376"/>
        </w:tabs>
        <w:spacing w:before="125" w:after="0" w:line="273"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to implement control measures in an emergency; and</w:t>
      </w:r>
    </w:p>
    <w:p>
      <w:pPr>
        <w:numPr>
          <w:ilvl w:val="0"/>
          <w:numId w:val="315"/>
        </w:numPr>
        <w:tabs>
          <w:tab w:val="clear" w:pos="360"/>
          <w:tab w:val="left" w:pos="2376"/>
        </w:tabs>
        <w:spacing w:before="116" w:after="0" w:line="278" w:lineRule="exact"/>
        <w:ind w:right="216"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to rescue and resuscitate the worker who is carrying out the work, if necessary; and</w:t>
      </w:r>
    </w:p>
    <w:p>
      <w:pPr>
        <w:spacing w:before="116" w:after="0" w:line="278"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the safety observer must have been assessed in the previous 12 months as competent to rescue and resuscitate a person.</w:t>
      </w:r>
    </w:p>
    <w:p>
      <w:pPr>
        <w:spacing w:before="121"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A safety observer is not required if:</w:t>
      </w:r>
    </w:p>
    <w:p>
      <w:pPr>
        <w:numPr>
          <w:ilvl w:val="0"/>
          <w:numId w:val="316"/>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work consists only of testing; and</w:t>
      </w:r>
    </w:p>
    <w:p>
      <w:pPr>
        <w:numPr>
          <w:ilvl w:val="0"/>
          <w:numId w:val="316"/>
        </w:numPr>
        <w:tabs>
          <w:tab w:val="clear" w:pos="360"/>
          <w:tab w:val="left" w:pos="1872"/>
        </w:tabs>
        <w:spacing w:before="120"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conducting the business or undertaking has conducted a risk assessment under regulation 158(1)(a) that shows that there is no serious risk associated with the proposed work.</w:t>
      </w:r>
    </w:p>
    <w:p>
      <w:pPr>
        <w:spacing w:before="121" w:after="0" w:line="274" w:lineRule="exact"/>
        <w:ind w:right="0" w:left="288" w:firstLine="0"/>
        <w:jc w:val="left"/>
        <w:textAlignment w:val="baseline"/>
        <w:rPr>
          <w:rFonts w:ascii="Times New Roman" w:hAnsi="Times New Roman" w:eastAsia="Times New Roman"/>
          <w:b w:val="true"/>
          <w:color w:val="000000"/>
          <w:spacing w:val="7"/>
          <w:w w:val="100"/>
          <w:sz w:val="24"/>
          <w:vertAlign w:val="baseline"/>
          <w:lang w:val="en-US"/>
        </w:rPr>
      </w:pPr>
      <w:r>
        <w:rPr>
          <w:rFonts w:ascii="Times New Roman" w:hAnsi="Times New Roman" w:eastAsia="Times New Roman"/>
          <w:b w:val="true"/>
          <w:color w:val="000000"/>
          <w:spacing w:val="7"/>
          <w:w w:val="100"/>
          <w:sz w:val="24"/>
          <w:vertAlign w:val="baseline"/>
          <w:lang w:val="en-US"/>
        </w:rPr>
        <w:t xml:space="preserve">162 Record keeping</w:t>
      </w:r>
    </w:p>
    <w:p>
      <w:pPr>
        <w:spacing w:before="123" w:after="0" w:line="274" w:lineRule="exact"/>
        <w:ind w:right="93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regulation applies if a person conducting a business or undertaking prepares:</w:t>
      </w:r>
    </w:p>
    <w:p>
      <w:pPr>
        <w:numPr>
          <w:ilvl w:val="0"/>
          <w:numId w:val="317"/>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risk assessment under regulation 158; or</w:t>
      </w:r>
    </w:p>
    <w:p>
      <w:pPr>
        <w:numPr>
          <w:ilvl w:val="0"/>
          <w:numId w:val="317"/>
        </w:numPr>
        <w:tabs>
          <w:tab w:val="clear" w:pos="360"/>
          <w:tab w:val="left" w:pos="1872"/>
        </w:tabs>
        <w:spacing w:before="121" w:after="1046"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safe work method statement under regulation 161.</w:t>
      </w:r>
    </w:p>
    <w:p>
      <w:pPr>
        <w:spacing w:before="121" w:after="1046"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127</w:t>
      </w:r>
    </w:p>
    <w:p>
      <w:pPr>
        <w:sectPr>
          <w:type w:val="continuous"/>
          <w:pgSz w:w="11909" w:h="16838" w:orient="portrait"/>
          <w:pgMar w:bottom="1082" w:top="1140" w:right="5812" w:left="1977" w:header="720" w:footer="720"/>
          <w:titlePg w:val="false"/>
          <w:textDirection w:val="lrTb"/>
        </w:sectPr>
      </w:pPr>
    </w:p>
    <w:p>
      <w:pPr>
        <w:spacing w:before="6"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2" w:after="223"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4.7	</w:t>
      </w:r>
      <w:r>
        <w:rPr>
          <w:rFonts w:ascii="Times New Roman" w:hAnsi="Times New Roman" w:eastAsia="Times New Roman"/>
          <w:color w:val="000000"/>
          <w:spacing w:val="0"/>
          <w:w w:val="100"/>
          <w:sz w:val="20"/>
          <w:vertAlign w:val="baseline"/>
          <w:lang w:val="en-US"/>
        </w:rPr>
        <w:t xml:space="preserve">General Electrical Safety in Workplaces and Energised Electrical Work</w:t>
      </w:r>
    </w:p>
    <w:p>
      <w:pPr>
        <w:spacing w:before="251"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(2) Subject to subregulation (3), the person must keep:</w:t>
      </w:r>
    </w:p>
    <w:p>
      <w:pPr>
        <w:numPr>
          <w:ilvl w:val="0"/>
          <w:numId w:val="318"/>
        </w:numPr>
        <w:tabs>
          <w:tab w:val="clear" w:pos="360"/>
          <w:tab w:val="left" w:pos="1872"/>
        </w:tabs>
        <w:spacing w:before="126" w:after="0" w:line="273"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copy of the risk assessment until at least 28 days after the work to which it relates is completed; and</w:t>
      </w:r>
    </w:p>
    <w:p>
      <w:pPr>
        <w:numPr>
          <w:ilvl w:val="0"/>
          <w:numId w:val="318"/>
        </w:numPr>
        <w:tabs>
          <w:tab w:val="clear" w:pos="360"/>
          <w:tab w:val="left" w:pos="1872"/>
        </w:tabs>
        <w:spacing w:before="126" w:after="0" w:line="273" w:lineRule="exact"/>
        <w:ind w:right="43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copy of the safe work method statement until the work to which it relates is completed.</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6"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16" w:after="0" w:line="277"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If a notifiable incident occurs in connection with the work to which the assessment or statement relates, the person must keep the assessment or statement (as applicable) for at least 2 years after the incident occurs.</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20" w:after="0" w:line="276" w:lineRule="exact"/>
        <w:ind w:right="216"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(4) The person must ensure that, for the period for which the assessment or statement must be kept under this regulation, a copy is readily accessible to any worker engaged by the person to carry out electrical work to which the assessment or statement relates.</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2"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The person must ensure that, for the period for which the assessment or statement must be kept under this regulation, a copy is available for inspection under the Act.</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tabs>
          <w:tab w:val="left" w:leader="none" w:pos="1584"/>
        </w:tabs>
        <w:spacing w:before="240" w:after="0" w:line="279" w:lineRule="exact"/>
        <w:ind w:right="720" w:left="1512" w:hanging="1512"/>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5	</w:t>
      </w:r>
      <w:r>
        <w:rPr>
          <w:rFonts w:ascii="Times New Roman" w:hAnsi="Times New Roman" w:eastAsia="Times New Roman"/>
          <w:b w:val="true"/>
          <w:color w:val="000000"/>
          <w:spacing w:val="0"/>
          <w:w w:val="100"/>
          <w:sz w:val="24"/>
          <w:vertAlign w:val="baseline"/>
          <w:lang w:val="en-US"/>
        </w:rPr>
        <w:t xml:space="preserve">Electrical equipment and installations and construction work—additional duties</w:t>
      </w:r>
    </w:p>
    <w:p>
      <w:pPr>
        <w:spacing w:before="119"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163 Duty of person conducting business or undertaking</w:t>
      </w:r>
    </w:p>
    <w:p>
      <w:pPr>
        <w:spacing w:before="115" w:after="1200" w:line="278"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(1) A person conducting a business or undertaking that includes the carrying out of construction work must comply with</w:t>
      </w:r>
    </w:p>
    <w:p>
      <w:pPr>
        <w:spacing w:before="115" w:after="1200"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128</w:t>
      </w:r>
    </w:p>
    <w:p>
      <w:pPr>
        <w:sectPr>
          <w:type w:val="continuous"/>
          <w:pgSz w:w="11909" w:h="16838" w:orient="portrait"/>
          <w:pgMar w:bottom="1082" w:top="1140" w:right="5814" w:left="1975" w:header="720" w:footer="720"/>
          <w:titlePg w:val="false"/>
          <w:textDirection w:val="lrTb"/>
        </w:sectPr>
      </w:pPr>
    </w:p>
    <w:p>
      <w:pPr>
        <w:spacing w:before="6"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2" w:after="223"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4.7	</w:t>
      </w:r>
      <w:r>
        <w:rPr>
          <w:rFonts w:ascii="Times New Roman" w:hAnsi="Times New Roman" w:eastAsia="Times New Roman"/>
          <w:color w:val="000000"/>
          <w:spacing w:val="0"/>
          <w:w w:val="100"/>
          <w:sz w:val="20"/>
          <w:vertAlign w:val="baseline"/>
          <w:lang w:val="en-US"/>
        </w:rPr>
        <w:t xml:space="preserve">General Electrical Safety in Workplaces and Energised Electrical Work</w:t>
      </w:r>
    </w:p>
    <w:p>
      <w:pPr>
        <w:spacing w:before="245" w:after="0" w:line="279" w:lineRule="exact"/>
        <w:ind w:right="504"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AS/NZS 3012:2010 (Electrical installations—Construction and demolition sites).</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319"/>
        </w:numPr>
        <w:tabs>
          <w:tab w:val="clear" w:pos="360"/>
          <w:tab w:val="left" w:pos="1368"/>
        </w:tabs>
        <w:spacing w:before="123"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the purposes of subregulation (1), AS/NZS 3012:2010 (Electrical installations—Construction and demolition sites) applies as if any term that is defined in that Standard and that is also defined in the Act or these Regulations has the same meaning as it has in the Act or these Regulations.</w:t>
      </w:r>
    </w:p>
    <w:p>
      <w:pPr>
        <w:numPr>
          <w:ilvl w:val="0"/>
          <w:numId w:val="319"/>
        </w:numPr>
        <w:tabs>
          <w:tab w:val="clear" w:pos="360"/>
          <w:tab w:val="left" w:pos="1368"/>
        </w:tabs>
        <w:spacing w:before="117"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any requirement in AS/NZS 3012:2010 (Electrical installations— Construction and demolition sites) deals with the same matter as a requirement under this Part, it is sufficient that the person conducting the business or undertaking complies with the requirement in AS/NZS 3012:2010 as modified by</w:t>
      </w:r>
    </w:p>
    <w:p>
      <w:pPr>
        <w:spacing w:before="1" w:after="0" w:line="273" w:lineRule="exact"/>
        <w:ind w:right="0" w:left="1368"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subregulation (2).</w:t>
      </w:r>
    </w:p>
    <w:p>
      <w:pPr>
        <w:tabs>
          <w:tab w:val="left" w:leader="none" w:pos="1584"/>
        </w:tabs>
        <w:spacing w:before="250"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6	</w:t>
      </w:r>
      <w:r>
        <w:rPr>
          <w:rFonts w:ascii="Times New Roman" w:hAnsi="Times New Roman" w:eastAsia="Times New Roman"/>
          <w:b w:val="true"/>
          <w:color w:val="000000"/>
          <w:spacing w:val="0"/>
          <w:w w:val="100"/>
          <w:sz w:val="24"/>
          <w:vertAlign w:val="baseline"/>
          <w:lang w:val="en-US"/>
        </w:rPr>
        <w:t xml:space="preserve">Residual current devices</w:t>
      </w:r>
    </w:p>
    <w:p>
      <w:pPr>
        <w:spacing w:before="115"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164 Use of socket outlets in hostile operating environment</w:t>
      </w:r>
    </w:p>
    <w:p>
      <w:pPr>
        <w:spacing w:before="124"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regulation applies in the following circumstances:</w:t>
      </w:r>
    </w:p>
    <w:p>
      <w:pPr>
        <w:numPr>
          <w:ilvl w:val="0"/>
          <w:numId w:val="320"/>
        </w:numPr>
        <w:tabs>
          <w:tab w:val="clear" w:pos="360"/>
          <w:tab w:val="left" w:pos="1872"/>
        </w:tabs>
        <w:spacing w:before="120" w:after="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numPr>
          <w:ilvl w:val="0"/>
          <w:numId w:val="320"/>
        </w:numPr>
        <w:tabs>
          <w:tab w:val="clear" w:pos="360"/>
          <w:tab w:val="left" w:pos="1872"/>
        </w:tabs>
        <w:spacing w:before="118"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electrical equipment is moved between different locations in circumstances where damage to the equipment or to a flexible electricity supply cord is reasonably likely;</w:t>
      </w:r>
    </w:p>
    <w:p>
      <w:pPr>
        <w:numPr>
          <w:ilvl w:val="0"/>
          <w:numId w:val="320"/>
        </w:numPr>
        <w:tabs>
          <w:tab w:val="clear" w:pos="360"/>
          <w:tab w:val="left" w:pos="1872"/>
        </w:tabs>
        <w:spacing w:before="124" w:after="0" w:line="274" w:lineRule="exact"/>
        <w:ind w:right="43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electrical equipment is frequently moved during its normal use;</w:t>
      </w:r>
    </w:p>
    <w:p>
      <w:pPr>
        <w:numPr>
          <w:ilvl w:val="0"/>
          <w:numId w:val="320"/>
        </w:numPr>
        <w:tabs>
          <w:tab w:val="clear" w:pos="360"/>
          <w:tab w:val="left" w:pos="1872"/>
        </w:tabs>
        <w:spacing w:before="124" w:after="0" w:line="274" w:lineRule="exact"/>
        <w:ind w:right="43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electrical equipment forms part of, or is used in connection with, an amusement device.</w:t>
      </w:r>
    </w:p>
    <w:p>
      <w:pPr>
        <w:spacing w:before="124" w:after="1214"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(2) In a circumstance set out in subregulation (1), a person conducting a business or undertaking at a workplace must ensure, so far as is reasonably practicable, that any electrical risk associated with the supply of electricity to the electrical equipment through a socket</w:t>
      </w:r>
    </w:p>
    <w:p>
      <w:pPr>
        <w:spacing w:before="124" w:after="1214" w:line="275"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129</w:t>
      </w:r>
    </w:p>
    <w:p>
      <w:pPr>
        <w:sectPr>
          <w:type w:val="continuous"/>
          <w:pgSz w:w="11909" w:h="16838" w:orient="portrait"/>
          <w:pgMar w:bottom="1082" w:top="1140" w:right="5812" w:left="1977"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4.7	</w:t>
      </w:r>
      <w:r>
        <w:rPr>
          <w:rFonts w:ascii="Times New Roman" w:hAnsi="Times New Roman" w:eastAsia="Times New Roman"/>
          <w:color w:val="000000"/>
          <w:spacing w:val="0"/>
          <w:w w:val="100"/>
          <w:sz w:val="20"/>
          <w:vertAlign w:val="baseline"/>
          <w:lang w:val="en-US"/>
        </w:rPr>
        <w:t xml:space="preserve">General Electrical Safety in Workplaces and Energised Electrical Work</w:t>
      </w:r>
    </w:p>
    <w:p>
      <w:pPr>
        <w:spacing w:before="245" w:after="0" w:line="279" w:lineRule="exact"/>
        <w:ind w:right="432"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outlet is minimised by the use of an appropriate residual current device.</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321"/>
        </w:numPr>
        <w:tabs>
          <w:tab w:val="clear" w:pos="360"/>
          <w:tab w:val="left" w:pos="1368"/>
        </w:tabs>
        <w:spacing w:before="124" w:after="0"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Without limiting subregulation (2), the residual current device must have a tripping current that does not exceed 30 milliamps if electricity is supplied to the equipment through a socket outlet not exceeding 20 amps.</w:t>
      </w:r>
    </w:p>
    <w:p>
      <w:pPr>
        <w:numPr>
          <w:ilvl w:val="0"/>
          <w:numId w:val="321"/>
        </w:numPr>
        <w:tabs>
          <w:tab w:val="clear" w:pos="360"/>
          <w:tab w:val="left" w:pos="1368"/>
        </w:tabs>
        <w:spacing w:before="126" w:after="0" w:line="273"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Subregulation (2) does not apply if the supply of electricity to the electrical equipment:</w:t>
      </w:r>
    </w:p>
    <w:p>
      <w:pPr>
        <w:numPr>
          <w:ilvl w:val="0"/>
          <w:numId w:val="322"/>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does not exceed 50 volts alternating current; or</w:t>
      </w:r>
    </w:p>
    <w:p>
      <w:pPr>
        <w:numPr>
          <w:ilvl w:val="0"/>
          <w:numId w:val="322"/>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direct current; or</w:t>
      </w:r>
    </w:p>
    <w:p>
      <w:pPr>
        <w:numPr>
          <w:ilvl w:val="0"/>
          <w:numId w:val="322"/>
        </w:numPr>
        <w:tabs>
          <w:tab w:val="clear" w:pos="360"/>
          <w:tab w:val="left" w:pos="1872"/>
        </w:tabs>
        <w:spacing w:before="116" w:after="0" w:line="278" w:lineRule="exact"/>
        <w:ind w:right="36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provided through an isolating transformer that provides at least an equivalent level of protection; or</w:t>
      </w:r>
    </w:p>
    <w:p>
      <w:pPr>
        <w:numPr>
          <w:ilvl w:val="0"/>
          <w:numId w:val="322"/>
        </w:numPr>
        <w:tabs>
          <w:tab w:val="clear" w:pos="360"/>
          <w:tab w:val="left" w:pos="1872"/>
        </w:tabs>
        <w:spacing w:before="118" w:after="0" w:line="276" w:lineRule="exact"/>
        <w:ind w:right="36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provided from a non-earthed socket outlet supplied by an isolated winding portable generator that provides at least an equivalent level of protection.</w:t>
      </w:r>
    </w:p>
    <w:p>
      <w:pPr>
        <w:spacing w:before="129"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Notes</w:t>
      </w:r>
    </w:p>
    <w:p>
      <w:pPr>
        <w:tabs>
          <w:tab w:val="left" w:leader="none" w:pos="1296"/>
        </w:tabs>
        <w:spacing w:before="125" w:after="0" w:line="227"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This regulation commences on 1 January 2013 (see regulation 2(2)).</w:t>
      </w:r>
    </w:p>
    <w:p>
      <w:pPr>
        <w:tabs>
          <w:tab w:val="left" w:leader="none" w:pos="1296"/>
        </w:tabs>
        <w:spacing w:before="0" w:after="0" w:line="372" w:lineRule="exact"/>
        <w:ind w:right="0" w:left="288" w:firstLine="576"/>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See the jurisdictional note in the Appendix.</w:t>
        <w:br/>
      </w:r>
      <w:r>
        <w:rPr>
          <w:rFonts w:ascii="Times New Roman" w:hAnsi="Times New Roman" w:eastAsia="Times New Roman"/>
          <w:b w:val="true"/>
          <w:color w:val="000000"/>
          <w:spacing w:val="0"/>
          <w:w w:val="100"/>
          <w:sz w:val="24"/>
          <w:vertAlign w:val="baseline"/>
          <w:lang w:val="en-US"/>
        </w:rPr>
        <w:t xml:space="preserve">165 Testing of residual current devices</w:t>
      </w:r>
    </w:p>
    <w:p>
      <w:pPr>
        <w:numPr>
          <w:ilvl w:val="0"/>
          <w:numId w:val="323"/>
        </w:numPr>
        <w:tabs>
          <w:tab w:val="clear" w:pos="360"/>
          <w:tab w:val="left" w:pos="1368"/>
        </w:tabs>
        <w:spacing w:before="116" w:after="0" w:line="277"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with management or control of a workplace must take all reasonable steps to ensure that residual current devices used at the workplace are tested regularly by a competent person to ensure that the devices are operating effectively.</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numPr>
          <w:ilvl w:val="0"/>
          <w:numId w:val="323"/>
        </w:numPr>
        <w:tabs>
          <w:tab w:val="clear" w:pos="360"/>
          <w:tab w:val="left" w:pos="1368"/>
        </w:tabs>
        <w:spacing w:before="123" w:after="0" w:line="276"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keep a record of all testing of a residual current device (other than any testing conducted daily) until the earlier of the following occurs:</w:t>
      </w:r>
    </w:p>
    <w:p>
      <w:pPr>
        <w:numPr>
          <w:ilvl w:val="0"/>
          <w:numId w:val="324"/>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device is next tested;</w:t>
      </w:r>
    </w:p>
    <w:p>
      <w:pPr>
        <w:numPr>
          <w:ilvl w:val="0"/>
          <w:numId w:val="324"/>
        </w:numPr>
        <w:tabs>
          <w:tab w:val="clear" w:pos="360"/>
          <w:tab w:val="left" w:pos="1872"/>
        </w:tabs>
        <w:spacing w:before="126" w:after="118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device is permanently removed from use.</w:t>
      </w:r>
    </w:p>
    <w:p>
      <w:pPr>
        <w:spacing w:before="126" w:after="1180"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130</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4.7	</w:t>
      </w:r>
      <w:r>
        <w:rPr>
          <w:rFonts w:ascii="Times New Roman" w:hAnsi="Times New Roman" w:eastAsia="Times New Roman"/>
          <w:color w:val="000000"/>
          <w:spacing w:val="0"/>
          <w:w w:val="100"/>
          <w:sz w:val="20"/>
          <w:vertAlign w:val="baseline"/>
          <w:lang w:val="en-US"/>
        </w:rPr>
        <w:t xml:space="preserve">General Electrical Safety in Workplaces and Energised Electrical Work</w:t>
      </w:r>
    </w:p>
    <w:p>
      <w:pPr>
        <w:spacing w:before="25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tabs>
          <w:tab w:val="left" w:leader="none" w:pos="1584"/>
        </w:tabs>
        <w:spacing w:before="251" w:after="0" w:line="273"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7	</w:t>
      </w:r>
      <w:r>
        <w:rPr>
          <w:rFonts w:ascii="Times New Roman" w:hAnsi="Times New Roman" w:eastAsia="Times New Roman"/>
          <w:b w:val="true"/>
          <w:color w:val="000000"/>
          <w:spacing w:val="0"/>
          <w:w w:val="100"/>
          <w:sz w:val="24"/>
          <w:vertAlign w:val="baseline"/>
          <w:lang w:val="en-US"/>
        </w:rPr>
        <w:t xml:space="preserve">Overhead and underground electric lines</w:t>
      </w:r>
    </w:p>
    <w:p>
      <w:pPr>
        <w:spacing w:before="115" w:after="0" w:line="273"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166 Duty of person conducting a business or undertaking</w:t>
      </w:r>
    </w:p>
    <w:p>
      <w:pPr>
        <w:numPr>
          <w:ilvl w:val="0"/>
          <w:numId w:val="325"/>
        </w:numPr>
        <w:tabs>
          <w:tab w:val="clear" w:pos="360"/>
          <w:tab w:val="left" w:pos="1368"/>
        </w:tabs>
        <w:spacing w:before="124" w:after="0"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must ensure, so far as is reasonably practicable, that no person, plant or thing at the workplace comes within an unsafe distance of an overhead or underground electric line.</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6"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325"/>
        </w:numPr>
        <w:tabs>
          <w:tab w:val="clear" w:pos="360"/>
          <w:tab w:val="left" w:pos="1368"/>
        </w:tabs>
        <w:spacing w:before="119" w:after="0" w:line="275"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it is not reasonably practicable to ensure the safe distance of a person, plant or thing from an overhead or underground electric line, the person conducting the business or undertaking at the workplace must ensure that:</w:t>
      </w:r>
    </w:p>
    <w:p>
      <w:pPr>
        <w:numPr>
          <w:ilvl w:val="0"/>
          <w:numId w:val="326"/>
        </w:numPr>
        <w:tabs>
          <w:tab w:val="clear" w:pos="360"/>
          <w:tab w:val="left" w:pos="1872"/>
        </w:tabs>
        <w:spacing w:before="124" w:after="0" w:line="274"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risk assessment is conducted in relation to the proposed work; and</w:t>
      </w:r>
    </w:p>
    <w:p>
      <w:pPr>
        <w:numPr>
          <w:ilvl w:val="0"/>
          <w:numId w:val="326"/>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control measures implemented are consistent with:</w:t>
      </w:r>
    </w:p>
    <w:p>
      <w:pPr>
        <w:numPr>
          <w:ilvl w:val="0"/>
          <w:numId w:val="327"/>
        </w:numPr>
        <w:tabs>
          <w:tab w:val="clear" w:pos="360"/>
          <w:tab w:val="left" w:pos="2376"/>
        </w:tabs>
        <w:spacing w:before="121" w:after="0" w:line="273"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risk assessment; and</w:t>
      </w:r>
    </w:p>
    <w:p>
      <w:pPr>
        <w:numPr>
          <w:ilvl w:val="0"/>
          <w:numId w:val="327"/>
        </w:numPr>
        <w:tabs>
          <w:tab w:val="clear" w:pos="360"/>
          <w:tab w:val="left" w:pos="2376"/>
        </w:tabs>
        <w:spacing w:before="124" w:after="0" w:line="274" w:lineRule="exact"/>
        <w:ind w:right="43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an electricity supply authority is responsible for the electric line, any requirements of the authority.</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Notes</w:t>
      </w:r>
    </w:p>
    <w:p>
      <w:pPr>
        <w:tabs>
          <w:tab w:val="left" w:leader="none" w:pos="1800"/>
        </w:tabs>
        <w:spacing w:before="124" w:after="0" w:line="230" w:lineRule="exact"/>
        <w:ind w:right="720" w:left="1872" w:hanging="50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[Relevant electricity safety legislation] will also apply to the person conducting the business or undertaking.</w:t>
      </w:r>
    </w:p>
    <w:p>
      <w:pPr>
        <w:tabs>
          <w:tab w:val="left" w:leader="none" w:pos="1800"/>
        </w:tabs>
        <w:spacing w:before="123" w:after="2604" w:line="228"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See the jurisdictional notes in the Appendix.</w:t>
      </w:r>
    </w:p>
    <w:p>
      <w:pPr>
        <w:spacing w:before="123" w:after="2604" w:line="22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131</w:t>
      </w:r>
    </w:p>
    <w:p>
      <w:pPr>
        <w:sectPr>
          <w:type w:val="continuous"/>
          <w:pgSz w:w="11909" w:h="16838" w:orient="portrait"/>
          <w:pgMar w:bottom="1082" w:top="1140" w:right="5819" w:left="1970"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4.8	</w:t>
      </w:r>
      <w:r>
        <w:rPr>
          <w:rFonts w:ascii="Times New Roman" w:hAnsi="Times New Roman" w:eastAsia="Times New Roman"/>
          <w:color w:val="000000"/>
          <w:spacing w:val="0"/>
          <w:w w:val="100"/>
          <w:sz w:val="20"/>
          <w:vertAlign w:val="baseline"/>
          <w:lang w:val="en-US"/>
        </w:rPr>
        <w:t xml:space="preserve">Diving Work</w:t>
      </w:r>
    </w:p>
    <w:p>
      <w:pPr>
        <w:spacing w:before="258" w:after="0" w:line="317" w:lineRule="exact"/>
        <w:ind w:right="0" w:left="0" w:firstLine="0"/>
        <w:jc w:val="left"/>
        <w:textAlignment w:val="baseline"/>
        <w:rPr>
          <w:rFonts w:ascii="Times New Roman" w:hAnsi="Times New Roman" w:eastAsia="Times New Roman"/>
          <w:b w:val="true"/>
          <w:color w:val="000000"/>
          <w:spacing w:val="12"/>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12"/>
          <w:w w:val="100"/>
          <w:sz w:val="28"/>
          <w:vertAlign w:val="baseline"/>
          <w:lang w:val="en-US"/>
        </w:rPr>
        <w:t xml:space="preserve">Part 4.8 Diving Work</w:t>
      </w:r>
    </w:p>
    <w:p>
      <w:pPr>
        <w:tabs>
          <w:tab w:val="left" w:leader="none" w:pos="1584"/>
        </w:tabs>
        <w:spacing w:before="243"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1	</w:t>
      </w:r>
      <w:r>
        <w:rPr>
          <w:rFonts w:ascii="Times New Roman" w:hAnsi="Times New Roman" w:eastAsia="Times New Roman"/>
          <w:b w:val="true"/>
          <w:color w:val="000000"/>
          <w:spacing w:val="0"/>
          <w:w w:val="100"/>
          <w:sz w:val="24"/>
          <w:vertAlign w:val="baseline"/>
          <w:lang w:val="en-US"/>
        </w:rPr>
        <w:t xml:space="preserve">Preliminary</w:t>
      </w:r>
    </w:p>
    <w:p>
      <w:pPr>
        <w:spacing w:before="119" w:after="0" w:line="274"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167 Purpose of Part 4.8</w:t>
      </w:r>
    </w:p>
    <w:p>
      <w:pPr>
        <w:spacing w:before="116" w:after="0" w:line="278" w:lineRule="exact"/>
        <w:ind w:right="144"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purpose of this Part is to impose duties on a person conducting a business or undertaking at a workplace to ensure:</w:t>
      </w:r>
    </w:p>
    <w:p>
      <w:pPr>
        <w:numPr>
          <w:ilvl w:val="0"/>
          <w:numId w:val="328"/>
        </w:numPr>
        <w:tabs>
          <w:tab w:val="clear" w:pos="360"/>
          <w:tab w:val="left" w:pos="1872"/>
        </w:tabs>
        <w:spacing w:before="116" w:after="0" w:line="278"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fitness and competence of persons who carry out general diving work and high risk diving work; and</w:t>
      </w:r>
    </w:p>
    <w:p>
      <w:pPr>
        <w:numPr>
          <w:ilvl w:val="0"/>
          <w:numId w:val="328"/>
        </w:numPr>
        <w:tabs>
          <w:tab w:val="clear" w:pos="360"/>
          <w:tab w:val="left" w:pos="1872"/>
        </w:tabs>
        <w:spacing w:before="116" w:after="0" w:line="278"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health and safety of persons who carry out general diving work and high risk diving work; and</w:t>
      </w:r>
    </w:p>
    <w:p>
      <w:pPr>
        <w:numPr>
          <w:ilvl w:val="0"/>
          <w:numId w:val="328"/>
        </w:numPr>
        <w:tabs>
          <w:tab w:val="clear" w:pos="360"/>
          <w:tab w:val="left" w:pos="1872"/>
        </w:tabs>
        <w:spacing w:before="116" w:after="0" w:line="278" w:lineRule="exact"/>
        <w:ind w:right="432" w:left="1872"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the health and safety of other persons at workplaces where general diving work or high risk diving work is carried out.</w:t>
      </w:r>
    </w:p>
    <w:p>
      <w:pPr>
        <w:tabs>
          <w:tab w:val="left" w:leader="none" w:pos="1584"/>
        </w:tabs>
        <w:spacing w:before="245"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2	</w:t>
      </w:r>
      <w:r>
        <w:rPr>
          <w:rFonts w:ascii="Times New Roman" w:hAnsi="Times New Roman" w:eastAsia="Times New Roman"/>
          <w:b w:val="true"/>
          <w:color w:val="000000"/>
          <w:spacing w:val="0"/>
          <w:w w:val="100"/>
          <w:sz w:val="24"/>
          <w:vertAlign w:val="baseline"/>
          <w:lang w:val="en-US"/>
        </w:rPr>
        <w:t xml:space="preserve">General diving work—Fitness and competence of worker</w:t>
      </w:r>
    </w:p>
    <w:p>
      <w:pPr>
        <w:spacing w:before="119" w:after="0" w:line="274" w:lineRule="exact"/>
        <w:ind w:right="36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168 Person conducting business or undertaking must ensure fitness of workers</w:t>
      </w:r>
    </w:p>
    <w:p>
      <w:pPr>
        <w:numPr>
          <w:ilvl w:val="0"/>
          <w:numId w:val="329"/>
        </w:numPr>
        <w:tabs>
          <w:tab w:val="clear" w:pos="360"/>
          <w:tab w:val="left" w:pos="1368"/>
        </w:tabs>
        <w:spacing w:before="124" w:after="0" w:line="275"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must not direct or allow a worker to carry out general diving work or undergo training for general diving work unless the worker holds a current certificate of medical fitness.</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4"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329"/>
        </w:numPr>
        <w:tabs>
          <w:tab w:val="clear" w:pos="360"/>
          <w:tab w:val="left" w:pos="1368"/>
        </w:tabs>
        <w:spacing w:before="120"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not direct or allow a worker to carry out general diving work or undergo training for diving work unless the work or training complies with any conditions on the current certificate of medical fitness of the worker.</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tabs>
          <w:tab w:val="left" w:leader="none" w:pos="864"/>
        </w:tabs>
        <w:spacing w:before="124"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169	</w:t>
      </w:r>
      <w:r>
        <w:rPr>
          <w:rFonts w:ascii="Times New Roman" w:hAnsi="Times New Roman" w:eastAsia="Times New Roman"/>
          <w:b w:val="true"/>
          <w:color w:val="000000"/>
          <w:spacing w:val="0"/>
          <w:w w:val="100"/>
          <w:sz w:val="24"/>
          <w:vertAlign w:val="baseline"/>
          <w:lang w:val="en-US"/>
        </w:rPr>
        <w:t xml:space="preserve">Certificate of medical fitness</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certificate of medical fitness must:</w:t>
      </w:r>
    </w:p>
    <w:p>
      <w:pPr>
        <w:spacing w:before="116" w:after="1429" w:line="278"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be issued by a registered medical practitioner with training in underwater medicine; and</w:t>
      </w:r>
    </w:p>
    <w:p>
      <w:pPr>
        <w:spacing w:before="116" w:after="1429"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132</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4.8	</w:t>
      </w:r>
      <w:r>
        <w:rPr>
          <w:rFonts w:ascii="Times New Roman" w:hAnsi="Times New Roman" w:eastAsia="Times New Roman"/>
          <w:color w:val="000000"/>
          <w:spacing w:val="0"/>
          <w:w w:val="100"/>
          <w:sz w:val="20"/>
          <w:vertAlign w:val="baseline"/>
          <w:lang w:val="en-US"/>
        </w:rPr>
        <w:t xml:space="preserve">Diving Work</w:t>
      </w:r>
    </w:p>
    <w:p>
      <w:pPr>
        <w:spacing w:before="251"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(b) state the following:</w:t>
      </w:r>
    </w:p>
    <w:p>
      <w:pPr>
        <w:numPr>
          <w:ilvl w:val="0"/>
          <w:numId w:val="330"/>
        </w:numPr>
        <w:tabs>
          <w:tab w:val="clear" w:pos="432"/>
          <w:tab w:val="left" w:pos="2376"/>
        </w:tabs>
        <w:spacing w:before="126" w:after="0" w:line="273"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of the person to whom it is issued;</w:t>
      </w:r>
    </w:p>
    <w:p>
      <w:pPr>
        <w:numPr>
          <w:ilvl w:val="0"/>
          <w:numId w:val="330"/>
        </w:numPr>
        <w:tabs>
          <w:tab w:val="clear" w:pos="432"/>
          <w:tab w:val="left" w:pos="2376"/>
        </w:tabs>
        <w:spacing w:before="120" w:after="0" w:line="273"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its date of issue and its expiry date;</w:t>
      </w:r>
    </w:p>
    <w:p>
      <w:pPr>
        <w:numPr>
          <w:ilvl w:val="0"/>
          <w:numId w:val="330"/>
        </w:numPr>
        <w:tabs>
          <w:tab w:val="clear" w:pos="432"/>
          <w:tab w:val="left" w:pos="2376"/>
        </w:tabs>
        <w:spacing w:before="123" w:after="0" w:line="276" w:lineRule="exact"/>
        <w:ind w:right="144"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whether or not the person to whom it is issued is, in accordance with the fitness criteria, medically fit to carry out diving work;</w:t>
      </w:r>
    </w:p>
    <w:p>
      <w:pPr>
        <w:numPr>
          <w:ilvl w:val="0"/>
          <w:numId w:val="330"/>
        </w:numPr>
        <w:tabs>
          <w:tab w:val="clear" w:pos="432"/>
          <w:tab w:val="left" w:pos="2376"/>
        </w:tabs>
        <w:spacing w:before="120" w:after="0" w:line="276" w:lineRule="exact"/>
        <w:ind w:right="216"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conditions in relation to the type of diving work the person to whom it is issued is fit to carry out, or the circumstances in which the person is fit to carry out general diving work, including, in the case of a person who is under 18 years of age, any particular conditions applicable to the age of the person.</w:t>
      </w:r>
    </w:p>
    <w:p>
      <w:pPr>
        <w:spacing w:before="120"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170 Duty to keep certificate of medical fitness</w:t>
      </w:r>
    </w:p>
    <w:p>
      <w:pPr>
        <w:spacing w:before="117" w:after="0" w:line="276" w:lineRule="exact"/>
        <w:ind w:right="144" w:left="1368"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A person conducting a business or undertaking at a workplace must keep the certificate of medical fitness of a worker who carries out general diving work for 1 year after the work is carried out.</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944"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In the case of an individual—$1 250.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21" w:after="0" w:line="274" w:lineRule="exact"/>
        <w:ind w:right="0" w:left="0" w:firstLine="0"/>
        <w:jc w:val="center"/>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171 Competence of worker—general diving work—qualifications</w:t>
      </w:r>
    </w:p>
    <w:p>
      <w:pPr>
        <w:numPr>
          <w:ilvl w:val="0"/>
          <w:numId w:val="331"/>
        </w:numPr>
        <w:tabs>
          <w:tab w:val="clear" w:pos="360"/>
          <w:tab w:val="left" w:pos="1368"/>
        </w:tabs>
        <w:spacing w:before="123" w:after="0" w:line="275" w:lineRule="exact"/>
        <w:ind w:right="72"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numPr>
          <w:ilvl w:val="0"/>
          <w:numId w:val="331"/>
        </w:numPr>
        <w:tabs>
          <w:tab w:val="clear" w:pos="360"/>
          <w:tab w:val="left" w:pos="1368"/>
        </w:tabs>
        <w:spacing w:before="124" w:after="0" w:line="274" w:lineRule="exact"/>
        <w:ind w:right="144"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regulation does not apply in relation to incidental diving work or limited scientific diving work.</w:t>
      </w:r>
    </w:p>
    <w:p>
      <w:pPr>
        <w:numPr>
          <w:ilvl w:val="0"/>
          <w:numId w:val="331"/>
        </w:numPr>
        <w:tabs>
          <w:tab w:val="clear" w:pos="360"/>
          <w:tab w:val="left" w:pos="1368"/>
        </w:tabs>
        <w:spacing w:before="124" w:after="0" w:line="275"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subregulation (1), </w:t>
      </w:r>
      <w:r>
        <w:rPr>
          <w:rFonts w:ascii="Times New Roman" w:hAnsi="Times New Roman" w:eastAsia="Times New Roman"/>
          <w:b w:val="true"/>
          <w:i w:val="true"/>
          <w:color w:val="000000"/>
          <w:spacing w:val="0"/>
          <w:w w:val="100"/>
          <w:sz w:val="24"/>
          <w:vertAlign w:val="baseline"/>
          <w:lang w:val="en-US"/>
        </w:rPr>
        <w:t xml:space="preserve">relevant competencies </w:t>
      </w:r>
      <w:r>
        <w:rPr>
          <w:rFonts w:ascii="Times New Roman" w:hAnsi="Times New Roman" w:eastAsia="Times New Roman"/>
          <w:color w:val="000000"/>
          <w:spacing w:val="0"/>
          <w:w w:val="100"/>
          <w:sz w:val="24"/>
          <w:vertAlign w:val="baseline"/>
          <w:lang w:val="en-US"/>
        </w:rPr>
        <w:t xml:space="preserve">means the competencies specified in AS/NZS 2815 (Training and certification of occupational divers) that are relevant to the type of general diving work to which subregulation (1) applies.</w:t>
      </w:r>
    </w:p>
    <w:p>
      <w:pPr>
        <w:spacing w:before="129"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Notes</w:t>
      </w:r>
    </w:p>
    <w:p>
      <w:pPr>
        <w:tabs>
          <w:tab w:val="left" w:leader="none" w:pos="1152"/>
        </w:tabs>
        <w:spacing w:before="125" w:after="0" w:line="228" w:lineRule="exact"/>
        <w:ind w:right="0" w:left="864"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1	</w:t>
      </w:r>
      <w:r>
        <w:rPr>
          <w:rFonts w:ascii="Times New Roman" w:hAnsi="Times New Roman" w:eastAsia="Times New Roman"/>
          <w:color w:val="000000"/>
          <w:spacing w:val="-1"/>
          <w:w w:val="100"/>
          <w:sz w:val="20"/>
          <w:vertAlign w:val="baseline"/>
          <w:lang w:val="en-US"/>
        </w:rPr>
        <w:t xml:space="preserve">See section 44 of the Act.</w:t>
      </w:r>
    </w:p>
    <w:p>
      <w:pPr>
        <w:tabs>
          <w:tab w:val="left" w:leader="none" w:pos="1152"/>
        </w:tabs>
        <w:spacing w:before="123" w:after="1932" w:line="228"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23" w:after="1932" w:line="22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133</w:t>
      </w:r>
    </w:p>
    <w:p>
      <w:pPr>
        <w:sectPr>
          <w:type w:val="continuous"/>
          <w:pgSz w:w="11909" w:h="16838" w:orient="portrait"/>
          <w:pgMar w:bottom="1082" w:top="1140" w:right="5817" w:left="1972"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4.8	</w:t>
      </w:r>
      <w:r>
        <w:rPr>
          <w:rFonts w:ascii="Times New Roman" w:hAnsi="Times New Roman" w:eastAsia="Times New Roman"/>
          <w:color w:val="000000"/>
          <w:spacing w:val="0"/>
          <w:w w:val="100"/>
          <w:sz w:val="20"/>
          <w:vertAlign w:val="baseline"/>
          <w:lang w:val="en-US"/>
        </w:rPr>
        <w:t xml:space="preserve">Diving Work</w:t>
      </w:r>
    </w:p>
    <w:p>
      <w:pPr>
        <w:spacing w:before="251" w:after="0" w:line="274" w:lineRule="exact"/>
        <w:ind w:right="0" w:left="0" w:firstLine="0"/>
        <w:jc w:val="center"/>
        <w:textAlignment w:val="baseline"/>
        <w:rPr>
          <w:rFonts w:ascii="Times New Roman" w:hAnsi="Times New Roman" w:eastAsia="Times New Roman"/>
          <w:b w:val="true"/>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4"/>
          <w:vertAlign w:val="baseline"/>
          <w:lang w:val="en-US"/>
        </w:rPr>
        <w:t xml:space="preserve">171A Competence of worker—general diving work—knowledge and skill</w:t>
      </w:r>
    </w:p>
    <w:p>
      <w:pPr>
        <w:spacing w:before="122"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must not carry out general diving work unless the person has, through training, qualification or experience, acquired sound knowledge and skill in relation to the following:</w:t>
      </w:r>
    </w:p>
    <w:p>
      <w:pPr>
        <w:numPr>
          <w:ilvl w:val="0"/>
          <w:numId w:val="332"/>
        </w:numPr>
        <w:tabs>
          <w:tab w:val="clear" w:pos="288"/>
          <w:tab w:val="left" w:pos="1872"/>
        </w:tabs>
        <w:spacing w:before="120"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application of diving physics;</w:t>
      </w:r>
    </w:p>
    <w:p>
      <w:pPr>
        <w:numPr>
          <w:ilvl w:val="0"/>
          <w:numId w:val="332"/>
        </w:numPr>
        <w:tabs>
          <w:tab w:val="clear" w:pos="288"/>
          <w:tab w:val="left" w:pos="1872"/>
        </w:tabs>
        <w:spacing w:before="123" w:after="0" w:line="276" w:lineRule="exact"/>
        <w:ind w:right="72"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use, inspection and maintenance of diving equipment (including emergency equipment) and air supply of the type to be used in the proposed general diving work;</w:t>
      </w:r>
    </w:p>
    <w:p>
      <w:pPr>
        <w:numPr>
          <w:ilvl w:val="0"/>
          <w:numId w:val="332"/>
        </w:numPr>
        <w:tabs>
          <w:tab w:val="clear" w:pos="288"/>
          <w:tab w:val="left" w:pos="1872"/>
        </w:tabs>
        <w:spacing w:before="120"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use of decompression tables or dive computers;</w:t>
      </w:r>
    </w:p>
    <w:p>
      <w:pPr>
        <w:numPr>
          <w:ilvl w:val="0"/>
          <w:numId w:val="332"/>
        </w:numPr>
        <w:tabs>
          <w:tab w:val="clear" w:pos="288"/>
          <w:tab w:val="left" w:pos="1872"/>
        </w:tabs>
        <w:spacing w:before="126"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dive planning;</w:t>
      </w:r>
    </w:p>
    <w:p>
      <w:pPr>
        <w:numPr>
          <w:ilvl w:val="0"/>
          <w:numId w:val="332"/>
        </w:numPr>
        <w:tabs>
          <w:tab w:val="clear" w:pos="288"/>
          <w:tab w:val="left" w:pos="1872"/>
        </w:tabs>
        <w:spacing w:before="114" w:after="0" w:line="279" w:lineRule="exact"/>
        <w:ind w:right="72"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ways of communicating with another diver and with persons at the surface during general diving work;</w:t>
      </w:r>
    </w:p>
    <w:p>
      <w:pPr>
        <w:numPr>
          <w:ilvl w:val="0"/>
          <w:numId w:val="332"/>
        </w:numPr>
        <w:tabs>
          <w:tab w:val="clear" w:pos="288"/>
          <w:tab w:val="left" w:pos="1872"/>
        </w:tabs>
        <w:spacing w:before="119" w:after="0" w:line="274" w:lineRule="exact"/>
        <w:ind w:right="792"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how to safely carry out general diving work of the type proposed to be carried out;</w:t>
      </w:r>
    </w:p>
    <w:p>
      <w:pPr>
        <w:numPr>
          <w:ilvl w:val="0"/>
          <w:numId w:val="332"/>
        </w:numPr>
        <w:tabs>
          <w:tab w:val="clear" w:pos="288"/>
          <w:tab w:val="left" w:pos="1872"/>
        </w:tabs>
        <w:spacing w:before="125"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diving physiology, emergency procedures and first aid.</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30"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section 44 of the Act.</w:t>
      </w:r>
    </w:p>
    <w:p>
      <w:pPr>
        <w:spacing w:before="117"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(Repealed)</w:t>
      </w:r>
    </w:p>
    <w:p>
      <w:pPr>
        <w:spacing w:before="125"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172 Competence of worker—incidental diving work</w:t>
      </w:r>
    </w:p>
    <w:p>
      <w:pPr>
        <w:spacing w:before="115" w:after="0" w:line="278" w:lineRule="exact"/>
        <w:ind w:right="64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must not carry out incidental diving work unless the person:</w:t>
      </w:r>
    </w:p>
    <w:p>
      <w:pPr>
        <w:numPr>
          <w:ilvl w:val="0"/>
          <w:numId w:val="333"/>
        </w:numPr>
        <w:tabs>
          <w:tab w:val="clear" w:pos="288"/>
          <w:tab w:val="left" w:pos="1872"/>
        </w:tabs>
        <w:spacing w:before="116" w:after="0" w:line="278" w:lineRule="exact"/>
        <w:ind w:right="432"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has the knowledge and skill referred to in regulation 171A; and</w:t>
      </w:r>
    </w:p>
    <w:p>
      <w:pPr>
        <w:numPr>
          <w:ilvl w:val="0"/>
          <w:numId w:val="333"/>
        </w:numPr>
        <w:tabs>
          <w:tab w:val="clear" w:pos="288"/>
          <w:tab w:val="left" w:pos="1872"/>
        </w:tabs>
        <w:spacing w:before="121"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has relevant diving experience; and</w:t>
      </w:r>
    </w:p>
    <w:p>
      <w:pPr>
        <w:numPr>
          <w:ilvl w:val="0"/>
          <w:numId w:val="333"/>
        </w:numPr>
        <w:tabs>
          <w:tab w:val="clear" w:pos="288"/>
          <w:tab w:val="left" w:pos="1872"/>
        </w:tabs>
        <w:spacing w:before="124" w:after="0" w:line="274" w:lineRule="exact"/>
        <w:ind w:right="288"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accompanied and supervised in the water by a person who has the competencies referred to in regulation 171.</w:t>
      </w:r>
    </w:p>
    <w:p>
      <w:pPr>
        <w:spacing w:before="129"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30"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section 44 of the Act.</w:t>
      </w:r>
    </w:p>
    <w:p>
      <w:pPr>
        <w:spacing w:before="114" w:after="1622"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(2) In this regulation, a person has </w:t>
      </w:r>
      <w:r>
        <w:rPr>
          <w:rFonts w:ascii="Times New Roman" w:hAnsi="Times New Roman" w:eastAsia="Times New Roman"/>
          <w:b w:val="true"/>
          <w:i w:val="true"/>
          <w:color w:val="000000"/>
          <w:spacing w:val="0"/>
          <w:w w:val="100"/>
          <w:sz w:val="24"/>
          <w:vertAlign w:val="baseline"/>
          <w:lang w:val="en-US"/>
        </w:rPr>
        <w:t xml:space="preserve">relevant diving experience </w:t>
      </w:r>
      <w:r>
        <w:rPr>
          <w:rFonts w:ascii="Times New Roman" w:hAnsi="Times New Roman" w:eastAsia="Times New Roman"/>
          <w:color w:val="000000"/>
          <w:spacing w:val="0"/>
          <w:w w:val="100"/>
          <w:sz w:val="24"/>
          <w:vertAlign w:val="baseline"/>
          <w:lang w:val="en-US"/>
        </w:rPr>
        <w:t xml:space="preserve">if the person has logged at least 15 hours of diving, of which at least 8 hours and 20 minutes were spent diving between 10 metres above and any depth below the maximum depth at which the diving work is to be carried out.</w:t>
      </w:r>
    </w:p>
    <w:p>
      <w:pPr>
        <w:spacing w:before="114" w:after="1622"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134</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4.8	</w:t>
      </w:r>
      <w:r>
        <w:rPr>
          <w:rFonts w:ascii="Times New Roman" w:hAnsi="Times New Roman" w:eastAsia="Times New Roman"/>
          <w:color w:val="000000"/>
          <w:spacing w:val="0"/>
          <w:w w:val="100"/>
          <w:sz w:val="20"/>
          <w:vertAlign w:val="baseline"/>
          <w:lang w:val="en-US"/>
        </w:rPr>
        <w:t xml:space="preserve">Diving Work</w:t>
      </w:r>
    </w:p>
    <w:p>
      <w:pPr>
        <w:spacing w:before="251" w:after="0" w:line="273"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2"/>
          <w:w w:val="100"/>
          <w:sz w:val="24"/>
          <w:vertAlign w:val="baseline"/>
          <w:lang w:val="en-US"/>
        </w:rPr>
        <w:t xml:space="preserve">173 Competence of worker—limited scientific diving work</w:t>
      </w:r>
    </w:p>
    <w:p>
      <w:pPr>
        <w:spacing w:before="126" w:after="0" w:line="273"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must not carry out limited scientific diving work unless the person has:</w:t>
      </w:r>
    </w:p>
    <w:p>
      <w:pPr>
        <w:numPr>
          <w:ilvl w:val="0"/>
          <w:numId w:val="334"/>
        </w:numPr>
        <w:tabs>
          <w:tab w:val="clear" w:pos="360"/>
          <w:tab w:val="left" w:pos="1872"/>
        </w:tabs>
        <w:spacing w:before="126" w:after="0" w:line="273" w:lineRule="exact"/>
        <w:ind w:right="100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training, qualification or experience referred to in regulation 171A; and</w:t>
      </w:r>
    </w:p>
    <w:p>
      <w:pPr>
        <w:numPr>
          <w:ilvl w:val="0"/>
          <w:numId w:val="334"/>
        </w:numPr>
        <w:tabs>
          <w:tab w:val="clear" w:pos="360"/>
          <w:tab w:val="left" w:pos="1872"/>
        </w:tabs>
        <w:spacing w:before="123" w:after="0" w:line="276"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person is not permanently resident in Australia—relevant diving experience, including relevant diving experience obtained outside Australia.</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30"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section 44 of the Act.</w:t>
      </w:r>
    </w:p>
    <w:p>
      <w:pPr>
        <w:spacing w:before="114"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In this regulation, a person has </w:t>
      </w:r>
      <w:r>
        <w:rPr>
          <w:rFonts w:ascii="Times New Roman" w:hAnsi="Times New Roman" w:eastAsia="Times New Roman"/>
          <w:b w:val="true"/>
          <w:i w:val="true"/>
          <w:color w:val="000000"/>
          <w:spacing w:val="0"/>
          <w:w w:val="100"/>
          <w:sz w:val="24"/>
          <w:vertAlign w:val="baseline"/>
          <w:lang w:val="en-US"/>
        </w:rPr>
        <w:t xml:space="preserve">relevant diving experience </w:t>
      </w:r>
      <w:r>
        <w:rPr>
          <w:rFonts w:ascii="Times New Roman" w:hAnsi="Times New Roman" w:eastAsia="Times New Roman"/>
          <w:color w:val="000000"/>
          <w:spacing w:val="0"/>
          <w:w w:val="100"/>
          <w:sz w:val="24"/>
          <w:vertAlign w:val="baseline"/>
          <w:lang w:val="en-US"/>
        </w:rPr>
        <w:t xml:space="preserve">if the person has logged at least 60 hours diving of which at least 8 hours and 20 minutes were spent diving between 10 metres above and any depth below the maximum depth at which the limited scientific diving work is to be carried out.</w:t>
      </w:r>
    </w:p>
    <w:p>
      <w:pPr>
        <w:spacing w:before="121" w:after="0" w:line="273" w:lineRule="exact"/>
        <w:ind w:right="0" w:left="0" w:firstLine="0"/>
        <w:jc w:val="center"/>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174 Competence of competent person supervising general diving work</w:t>
      </w:r>
    </w:p>
    <w:p>
      <w:pPr>
        <w:spacing w:before="124" w:after="0" w:line="274" w:lineRule="exact"/>
        <w:ind w:right="432" w:left="1368"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A person appointed under regulation 177 must not perform any function associated with that appointment unless the person has:</w:t>
      </w:r>
    </w:p>
    <w:p>
      <w:pPr>
        <w:numPr>
          <w:ilvl w:val="0"/>
          <w:numId w:val="335"/>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qualification specified in regulation 171; and</w:t>
      </w:r>
    </w:p>
    <w:p>
      <w:pPr>
        <w:numPr>
          <w:ilvl w:val="0"/>
          <w:numId w:val="335"/>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experience in the type of diving work to be supervised.</w:t>
      </w:r>
    </w:p>
    <w:p>
      <w:pPr>
        <w:spacing w:before="129"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30"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section 44 of the Act.</w:t>
      </w:r>
    </w:p>
    <w:p>
      <w:pPr>
        <w:spacing w:before="116" w:after="0" w:line="274" w:lineRule="exact"/>
        <w:ind w:right="504"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175 Evidence of competence—duty of person conducting business or undertaking</w:t>
      </w:r>
    </w:p>
    <w:p>
      <w:pPr>
        <w:numPr>
          <w:ilvl w:val="0"/>
          <w:numId w:val="336"/>
        </w:numPr>
        <w:tabs>
          <w:tab w:val="clear" w:pos="360"/>
          <w:tab w:val="left" w:pos="1368"/>
        </w:tabs>
        <w:spacing w:before="124" w:after="0"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numPr>
          <w:ilvl w:val="0"/>
          <w:numId w:val="336"/>
        </w:numPr>
        <w:tabs>
          <w:tab w:val="clear" w:pos="360"/>
          <w:tab w:val="left" w:pos="1368"/>
        </w:tabs>
        <w:spacing w:before="120" w:after="119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person conducting a business or undertaking at a workplace must not direct or allow a person appointed under regulation 177 to perform any of the functions associated with that appointment unless the person conducting the business or undertaking sees</w:t>
      </w:r>
    </w:p>
    <w:p>
      <w:pPr>
        <w:spacing w:before="120" w:after="1190"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135</w:t>
      </w:r>
    </w:p>
    <w:p>
      <w:pPr>
        <w:sectPr>
          <w:type w:val="continuous"/>
          <w:pgSz w:w="11909" w:h="16838" w:orient="portrait"/>
          <w:pgMar w:bottom="1082" w:top="1140" w:right="5814" w:left="1975"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4.8	</w:t>
      </w:r>
      <w:r>
        <w:rPr>
          <w:rFonts w:ascii="Times New Roman" w:hAnsi="Times New Roman" w:eastAsia="Times New Roman"/>
          <w:color w:val="000000"/>
          <w:spacing w:val="0"/>
          <w:w w:val="100"/>
          <w:sz w:val="20"/>
          <w:vertAlign w:val="baseline"/>
          <w:lang w:val="en-US"/>
        </w:rPr>
        <w:t xml:space="preserve">Diving Work</w:t>
      </w:r>
    </w:p>
    <w:p>
      <w:pPr>
        <w:spacing w:before="246" w:after="0" w:line="279" w:lineRule="exact"/>
        <w:ind w:right="288" w:left="1368" w:firstLine="0"/>
        <w:jc w:val="left"/>
        <w:textAlignment w:val="baseline"/>
        <w:rPr>
          <w:rFonts w:ascii="Times New Roman" w:hAnsi="Times New Roman" w:eastAsia="Times New Roman"/>
          <w:color w:val="000000"/>
          <w:spacing w:val="-1"/>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1"/>
          <w:w w:val="100"/>
          <w:sz w:val="24"/>
          <w:vertAlign w:val="baseline"/>
          <w:lang w:val="en-US"/>
        </w:rPr>
        <w:t xml:space="preserve">written evidence provided by the person appointed that the person appointed has the competence required under regulation 174.</w:t>
      </w:r>
    </w:p>
    <w:p>
      <w:pPr>
        <w:spacing w:before="119"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19"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26" w:after="0" w:line="273" w:lineRule="exact"/>
        <w:ind w:right="72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A person conducting a business or undertaking must keep the written evidence given to the person:</w:t>
      </w:r>
    </w:p>
    <w:p>
      <w:pPr>
        <w:numPr>
          <w:ilvl w:val="0"/>
          <w:numId w:val="337"/>
        </w:numPr>
        <w:tabs>
          <w:tab w:val="clear" w:pos="360"/>
          <w:tab w:val="left" w:pos="1872"/>
        </w:tabs>
        <w:spacing w:before="126" w:after="0" w:line="273"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under subregulation (1)—for at least 1 year after the diving work is carried out;</w:t>
      </w:r>
    </w:p>
    <w:p>
      <w:pPr>
        <w:numPr>
          <w:ilvl w:val="0"/>
          <w:numId w:val="337"/>
        </w:numPr>
        <w:tabs>
          <w:tab w:val="clear" w:pos="360"/>
          <w:tab w:val="left" w:pos="1872"/>
        </w:tabs>
        <w:spacing w:before="123" w:after="0" w:line="276"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under subregulation (2)—for at least 1 year after the last occasion on which the person performs a function associated with the appointment.</w:t>
      </w:r>
    </w:p>
    <w:p>
      <w:pPr>
        <w:spacing w:before="119"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4"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tabs>
          <w:tab w:val="left" w:leader="none" w:pos="1584"/>
        </w:tabs>
        <w:spacing w:before="126" w:after="0" w:line="393" w:lineRule="exact"/>
        <w:ind w:right="0" w:left="288" w:hanging="288"/>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3	</w:t>
      </w:r>
      <w:r>
        <w:rPr>
          <w:rFonts w:ascii="Times New Roman" w:hAnsi="Times New Roman" w:eastAsia="Times New Roman"/>
          <w:b w:val="true"/>
          <w:color w:val="000000"/>
          <w:spacing w:val="0"/>
          <w:w w:val="100"/>
          <w:sz w:val="24"/>
          <w:vertAlign w:val="baseline"/>
          <w:lang w:val="en-US"/>
        </w:rPr>
        <w:t xml:space="preserve">Managing risks—general diving work</w:t>
        <w:br/>
      </w:r>
      <w:r>
        <w:rPr>
          <w:rFonts w:ascii="Times New Roman" w:hAnsi="Times New Roman" w:eastAsia="Times New Roman"/>
          <w:b w:val="true"/>
          <w:color w:val="000000"/>
          <w:spacing w:val="0"/>
          <w:w w:val="100"/>
          <w:sz w:val="24"/>
          <w:vertAlign w:val="baseline"/>
          <w:lang w:val="en-US"/>
        </w:rPr>
        <w:t xml:space="preserve">176 Management of risks to health and safety</w:t>
      </w:r>
    </w:p>
    <w:p>
      <w:pPr>
        <w:numPr>
          <w:ilvl w:val="0"/>
          <w:numId w:val="338"/>
        </w:numPr>
        <w:tabs>
          <w:tab w:val="clear" w:pos="360"/>
          <w:tab w:val="left" w:pos="1368"/>
        </w:tabs>
        <w:spacing w:before="118"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must manage risks to health and safety associated with general diving work, in accordance with Part 3.1.</w:t>
      </w:r>
    </w:p>
    <w:p>
      <w:pPr>
        <w:spacing w:before="128"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8"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WHS Act—section 19 (see regulation 9).</w:t>
      </w:r>
    </w:p>
    <w:p>
      <w:pPr>
        <w:numPr>
          <w:ilvl w:val="0"/>
          <w:numId w:val="338"/>
        </w:numPr>
        <w:tabs>
          <w:tab w:val="clear" w:pos="360"/>
          <w:tab w:val="left" w:pos="1368"/>
        </w:tabs>
        <w:spacing w:before="117" w:after="0" w:line="276"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must ensure that a risk assessment is conducted by a competent person for the purposes of subregulation (1).</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0"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numPr>
          <w:ilvl w:val="0"/>
          <w:numId w:val="338"/>
        </w:numPr>
        <w:tabs>
          <w:tab w:val="clear" w:pos="360"/>
          <w:tab w:val="left" w:pos="1368"/>
        </w:tabs>
        <w:spacing w:before="124" w:after="0" w:line="274" w:lineRule="exact"/>
        <w:ind w:right="50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ensure that a risk assessment conducted under subregulation (2) is recorded in writing.</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4" w:after="105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corporate—$6 000.</w:t>
      </w:r>
    </w:p>
    <w:p>
      <w:pPr>
        <w:spacing w:before="124" w:after="1050"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136</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4.8	</w:t>
      </w:r>
      <w:r>
        <w:rPr>
          <w:rFonts w:ascii="Times New Roman" w:hAnsi="Times New Roman" w:eastAsia="Times New Roman"/>
          <w:color w:val="000000"/>
          <w:spacing w:val="0"/>
          <w:w w:val="100"/>
          <w:sz w:val="20"/>
          <w:vertAlign w:val="baseline"/>
          <w:lang w:val="en-US"/>
        </w:rPr>
        <w:t xml:space="preserve">Diving Work</w:t>
      </w:r>
    </w:p>
    <w:p>
      <w:pPr>
        <w:spacing w:before="251"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2"/>
          <w:w w:val="100"/>
          <w:sz w:val="24"/>
          <w:vertAlign w:val="baseline"/>
          <w:lang w:val="en-US"/>
        </w:rPr>
        <w:t xml:space="preserve">177 Appointment of competent person to supervise diving work</w:t>
      </w:r>
    </w:p>
    <w:p>
      <w:pPr>
        <w:spacing w:before="125" w:after="0" w:line="273" w:lineRule="exact"/>
        <w:ind w:right="144"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must appoint 1 or more competent persons to:</w:t>
      </w:r>
    </w:p>
    <w:p>
      <w:pPr>
        <w:numPr>
          <w:ilvl w:val="0"/>
          <w:numId w:val="339"/>
        </w:numPr>
        <w:tabs>
          <w:tab w:val="clear" w:pos="288"/>
          <w:tab w:val="left" w:pos="1872"/>
        </w:tabs>
        <w:spacing w:before="126" w:after="0" w:line="273" w:lineRule="exact"/>
        <w:ind w:right="36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supervise general diving work carried out in the business or undertaking; and</w:t>
      </w:r>
    </w:p>
    <w:p>
      <w:pPr>
        <w:numPr>
          <w:ilvl w:val="0"/>
          <w:numId w:val="339"/>
        </w:numPr>
        <w:tabs>
          <w:tab w:val="clear" w:pos="288"/>
          <w:tab w:val="left" w:pos="1872"/>
        </w:tabs>
        <w:spacing w:before="126" w:after="0" w:line="273"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perform other functions under this Division.</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8"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regulation 174 for the qualifications of the competent person.</w:t>
      </w:r>
    </w:p>
    <w:p>
      <w:pPr>
        <w:spacing w:before="119"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178 Additional control—dive plan</w:t>
      </w:r>
    </w:p>
    <w:p>
      <w:pPr>
        <w:spacing w:before="121"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at a workplace must not direct or allow general diving work to be carried out unless a dive plan for the dive:</w:t>
      </w:r>
    </w:p>
    <w:p>
      <w:pPr>
        <w:numPr>
          <w:ilvl w:val="0"/>
          <w:numId w:val="340"/>
        </w:numPr>
        <w:tabs>
          <w:tab w:val="clear" w:pos="288"/>
          <w:tab w:val="left" w:pos="1872"/>
        </w:tabs>
        <w:spacing w:before="116" w:after="0" w:line="278" w:lineRule="exact"/>
        <w:ind w:right="144"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prepared by a competent person appointed under regulation 177; or</w:t>
      </w:r>
    </w:p>
    <w:p>
      <w:pPr>
        <w:numPr>
          <w:ilvl w:val="0"/>
          <w:numId w:val="340"/>
        </w:numPr>
        <w:tabs>
          <w:tab w:val="clear" w:pos="288"/>
          <w:tab w:val="left" w:pos="1872"/>
        </w:tabs>
        <w:spacing w:before="116" w:after="0" w:line="278" w:lineRule="exact"/>
        <w:ind w:right="504"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has been prepared by a competent person appointed under regulation 177 on an earlier occasion for a similar dive.</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5"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 dive plan must state the following:</w:t>
      </w:r>
    </w:p>
    <w:p>
      <w:pPr>
        <w:numPr>
          <w:ilvl w:val="0"/>
          <w:numId w:val="341"/>
        </w:numPr>
        <w:tabs>
          <w:tab w:val="clear" w:pos="288"/>
          <w:tab w:val="left" w:pos="1872"/>
        </w:tabs>
        <w:spacing w:before="121"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method of carrying out the diving work to which it relates;</w:t>
      </w:r>
    </w:p>
    <w:p>
      <w:pPr>
        <w:numPr>
          <w:ilvl w:val="0"/>
          <w:numId w:val="341"/>
        </w:numPr>
        <w:tabs>
          <w:tab w:val="clear" w:pos="288"/>
          <w:tab w:val="left" w:pos="1872"/>
        </w:tabs>
        <w:spacing w:before="125"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tasks and duties of each person involved in the dive;</w:t>
      </w:r>
    </w:p>
    <w:p>
      <w:pPr>
        <w:numPr>
          <w:ilvl w:val="0"/>
          <w:numId w:val="341"/>
        </w:numPr>
        <w:tabs>
          <w:tab w:val="clear" w:pos="288"/>
          <w:tab w:val="left" w:pos="1872"/>
        </w:tabs>
        <w:spacing w:before="116" w:after="0" w:line="278" w:lineRule="exact"/>
        <w:ind w:right="36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diving equipment, breathing gases and procedures to be used in the dive;</w:t>
      </w:r>
    </w:p>
    <w:p>
      <w:pPr>
        <w:numPr>
          <w:ilvl w:val="0"/>
          <w:numId w:val="341"/>
        </w:numPr>
        <w:tabs>
          <w:tab w:val="clear" w:pos="288"/>
          <w:tab w:val="left" w:pos="1872"/>
        </w:tabs>
        <w:spacing w:before="116" w:after="0" w:line="278" w:lineRule="exact"/>
        <w:ind w:right="504"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as applicable, dive times, bottom times and decompression profiles;</w:t>
      </w:r>
    </w:p>
    <w:p>
      <w:pPr>
        <w:numPr>
          <w:ilvl w:val="0"/>
          <w:numId w:val="341"/>
        </w:numPr>
        <w:tabs>
          <w:tab w:val="clear" w:pos="288"/>
          <w:tab w:val="left" w:pos="1872"/>
        </w:tabs>
        <w:spacing w:before="116" w:after="0" w:line="278" w:lineRule="exact"/>
        <w:ind w:right="72"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hazards relating to the dive and measures to be implemented in the control of risks associated with those hazards;</w:t>
      </w:r>
    </w:p>
    <w:p>
      <w:pPr>
        <w:numPr>
          <w:ilvl w:val="0"/>
          <w:numId w:val="341"/>
        </w:numPr>
        <w:tabs>
          <w:tab w:val="clear" w:pos="288"/>
          <w:tab w:val="left" w:pos="1872"/>
        </w:tabs>
        <w:spacing w:before="121" w:after="1449"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emergency procedures.</w:t>
      </w:r>
    </w:p>
    <w:p>
      <w:pPr>
        <w:spacing w:before="121" w:after="1449"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137</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4.8	</w:t>
      </w:r>
      <w:r>
        <w:rPr>
          <w:rFonts w:ascii="Times New Roman" w:hAnsi="Times New Roman" w:eastAsia="Times New Roman"/>
          <w:color w:val="000000"/>
          <w:spacing w:val="0"/>
          <w:w w:val="100"/>
          <w:sz w:val="20"/>
          <w:vertAlign w:val="baseline"/>
          <w:lang w:val="en-US"/>
        </w:rPr>
        <w:t xml:space="preserve">Diving Work</w:t>
      </w:r>
    </w:p>
    <w:p>
      <w:pPr>
        <w:spacing w:before="251"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3"/>
          <w:w w:val="100"/>
          <w:sz w:val="24"/>
          <w:vertAlign w:val="baseline"/>
          <w:lang w:val="en-US"/>
        </w:rPr>
        <w:t xml:space="preserve">179 Dive plan must be complied with</w:t>
      </w:r>
    </w:p>
    <w:p>
      <w:pPr>
        <w:numPr>
          <w:ilvl w:val="0"/>
          <w:numId w:val="342"/>
        </w:numPr>
        <w:tabs>
          <w:tab w:val="clear" w:pos="360"/>
          <w:tab w:val="left" w:pos="1368"/>
        </w:tabs>
        <w:spacing w:before="122"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must ensure, so far as is reasonably practicable, that general diving work is carried out in accordance with the dive plan prepared for it.</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342"/>
        </w:numPr>
        <w:tabs>
          <w:tab w:val="clear" w:pos="360"/>
          <w:tab w:val="left" w:pos="1368"/>
        </w:tabs>
        <w:spacing w:before="124" w:after="0" w:line="275"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must ensure that a competent person appointed by the person under regulation 177 gives workers instruction in relation to the dive plan before commencing the diving work to which the plan relates.</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5"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180 Additional control—dive safety log to be kept</w:t>
      </w:r>
    </w:p>
    <w:p>
      <w:pPr>
        <w:spacing w:before="119" w:after="0" w:line="276"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where general diving work is carried out must keep a dive safety log that contains the following information about each dive carried out by a worker:</w:t>
      </w:r>
    </w:p>
    <w:p>
      <w:pPr>
        <w:numPr>
          <w:ilvl w:val="0"/>
          <w:numId w:val="343"/>
        </w:numPr>
        <w:tabs>
          <w:tab w:val="clear" w:pos="288"/>
          <w:tab w:val="left" w:pos="1872"/>
        </w:tabs>
        <w:spacing w:before="121"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of the worker who carries out the dive;</w:t>
      </w:r>
    </w:p>
    <w:p>
      <w:pPr>
        <w:numPr>
          <w:ilvl w:val="0"/>
          <w:numId w:val="343"/>
        </w:numPr>
        <w:tabs>
          <w:tab w:val="clear" w:pos="288"/>
          <w:tab w:val="left" w:pos="1872"/>
        </w:tabs>
        <w:spacing w:before="124" w:after="0" w:line="274" w:lineRule="exact"/>
        <w:ind w:right="36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of any other person with whom the dive is carried out;</w:t>
      </w:r>
    </w:p>
    <w:p>
      <w:pPr>
        <w:numPr>
          <w:ilvl w:val="0"/>
          <w:numId w:val="343"/>
        </w:numPr>
        <w:tabs>
          <w:tab w:val="clear" w:pos="288"/>
          <w:tab w:val="left" w:pos="1872"/>
        </w:tabs>
        <w:spacing w:before="124" w:after="0" w:line="274" w:lineRule="exact"/>
        <w:ind w:right="144"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of the competent person appointed under regulation 177 to supervise the diving work;</w:t>
      </w:r>
    </w:p>
    <w:p>
      <w:pPr>
        <w:numPr>
          <w:ilvl w:val="0"/>
          <w:numId w:val="343"/>
        </w:numPr>
        <w:tabs>
          <w:tab w:val="clear" w:pos="288"/>
          <w:tab w:val="left" w:pos="1872"/>
        </w:tabs>
        <w:spacing w:before="125" w:after="0" w:line="273"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date and location of the dive;</w:t>
      </w:r>
    </w:p>
    <w:p>
      <w:pPr>
        <w:numPr>
          <w:ilvl w:val="0"/>
          <w:numId w:val="343"/>
        </w:numPr>
        <w:tabs>
          <w:tab w:val="clear" w:pos="288"/>
          <w:tab w:val="left" w:pos="1872"/>
        </w:tabs>
        <w:spacing w:before="121" w:after="0" w:line="273"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time each diver enters and leaves the water;</w:t>
      </w:r>
    </w:p>
    <w:p>
      <w:pPr>
        <w:numPr>
          <w:ilvl w:val="0"/>
          <w:numId w:val="343"/>
        </w:numPr>
        <w:tabs>
          <w:tab w:val="clear" w:pos="288"/>
          <w:tab w:val="left" w:pos="1872"/>
        </w:tabs>
        <w:spacing w:before="125" w:after="0" w:line="273"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maximum depth of the dive;</w:t>
      </w:r>
    </w:p>
    <w:p>
      <w:pPr>
        <w:numPr>
          <w:ilvl w:val="0"/>
          <w:numId w:val="343"/>
        </w:numPr>
        <w:tabs>
          <w:tab w:val="clear" w:pos="288"/>
          <w:tab w:val="left" w:pos="1872"/>
        </w:tabs>
        <w:spacing w:before="116" w:after="0" w:line="278" w:lineRule="exact"/>
        <w:ind w:right="288"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incident, difficulty, discomfort or injury that occurs or is experienced during the dive;</w:t>
      </w:r>
    </w:p>
    <w:p>
      <w:pPr>
        <w:numPr>
          <w:ilvl w:val="0"/>
          <w:numId w:val="343"/>
        </w:numPr>
        <w:tabs>
          <w:tab w:val="clear" w:pos="288"/>
          <w:tab w:val="left" w:pos="1872"/>
        </w:tabs>
        <w:spacing w:before="116" w:after="0" w:line="278" w:lineRule="exact"/>
        <w:ind w:right="36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dive was carried out using a dive computer—the dive time;</w:t>
      </w:r>
    </w:p>
    <w:p>
      <w:pPr>
        <w:numPr>
          <w:ilvl w:val="0"/>
          <w:numId w:val="343"/>
        </w:numPr>
        <w:tabs>
          <w:tab w:val="clear" w:pos="288"/>
          <w:tab w:val="left" w:pos="1872"/>
        </w:tabs>
        <w:spacing w:before="118" w:after="1166" w:line="276" w:lineRule="exact"/>
        <w:ind w:right="144" w:left="1872" w:hanging="288"/>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if the dive was carried out using dive tables—the repetitive dive group, if available, and either the bottom time or the dive time;</w:t>
      </w:r>
    </w:p>
    <w:p>
      <w:pPr>
        <w:spacing w:before="118" w:after="1166"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138</w:t>
      </w:r>
    </w:p>
    <w:p>
      <w:pPr>
        <w:sectPr>
          <w:type w:val="continuous"/>
          <w:pgSz w:w="11909" w:h="16838" w:orient="portrait"/>
          <w:pgMar w:bottom="1082" w:top="1140" w:right="5814" w:left="1975"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4.8	</w:t>
      </w:r>
      <w:r>
        <w:rPr>
          <w:rFonts w:ascii="Times New Roman" w:hAnsi="Times New Roman" w:eastAsia="Times New Roman"/>
          <w:color w:val="000000"/>
          <w:spacing w:val="0"/>
          <w:w w:val="100"/>
          <w:sz w:val="20"/>
          <w:vertAlign w:val="baseline"/>
          <w:lang w:val="en-US"/>
        </w:rPr>
        <w:t xml:space="preserve">Diving Work</w:t>
      </w:r>
    </w:p>
    <w:p>
      <w:pPr>
        <w:spacing w:before="245" w:after="0" w:line="279" w:lineRule="exact"/>
        <w:ind w:right="72" w:left="1944" w:hanging="432"/>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(j) if the repetitive group and surface interval result in a repetitive factor—the surface interval and the repetitive factor;</w:t>
      </w:r>
    </w:p>
    <w:p>
      <w:pPr>
        <w:spacing w:before="120"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(k) if the dive is carried out using EANx:</w:t>
      </w:r>
    </w:p>
    <w:p>
      <w:pPr>
        <w:numPr>
          <w:ilvl w:val="0"/>
          <w:numId w:val="344"/>
        </w:numPr>
        <w:tabs>
          <w:tab w:val="clear" w:pos="432"/>
          <w:tab w:val="left" w:pos="2376"/>
        </w:tabs>
        <w:spacing w:before="126" w:after="0" w:line="273"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oxygen content of the EANx; and</w:t>
      </w:r>
    </w:p>
    <w:p>
      <w:pPr>
        <w:numPr>
          <w:ilvl w:val="0"/>
          <w:numId w:val="344"/>
        </w:numPr>
        <w:tabs>
          <w:tab w:val="clear" w:pos="432"/>
          <w:tab w:val="left" w:pos="2376"/>
        </w:tabs>
        <w:spacing w:before="120" w:after="0" w:line="273"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maximum operating depth of the EANx;</w:t>
      </w:r>
    </w:p>
    <w:p>
      <w:pPr>
        <w:spacing w:before="126"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(l) if the dive is carried out using mixed gas:</w:t>
      </w:r>
    </w:p>
    <w:p>
      <w:pPr>
        <w:numPr>
          <w:ilvl w:val="0"/>
          <w:numId w:val="345"/>
        </w:numPr>
        <w:tabs>
          <w:tab w:val="clear" w:pos="432"/>
          <w:tab w:val="left" w:pos="2376"/>
        </w:tabs>
        <w:spacing w:before="114" w:after="0" w:line="279" w:lineRule="exact"/>
        <w:ind w:right="288"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oxygen content and the nitrogen content (if any) of the gas; and</w:t>
      </w:r>
    </w:p>
    <w:p>
      <w:pPr>
        <w:numPr>
          <w:ilvl w:val="0"/>
          <w:numId w:val="345"/>
        </w:numPr>
        <w:tabs>
          <w:tab w:val="clear" w:pos="432"/>
          <w:tab w:val="left" w:pos="2376"/>
        </w:tabs>
        <w:spacing w:before="120" w:after="0" w:line="273"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maximum operating depth of the mixed gas; and</w:t>
      </w:r>
    </w:p>
    <w:p>
      <w:pPr>
        <w:numPr>
          <w:ilvl w:val="0"/>
          <w:numId w:val="345"/>
        </w:numPr>
        <w:tabs>
          <w:tab w:val="clear" w:pos="432"/>
          <w:tab w:val="left" w:pos="2376"/>
        </w:tabs>
        <w:spacing w:before="126" w:after="0" w:line="273"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minimum operating depth of the bottom mix.</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944"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In the case of an individual—$1 250.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tabs>
          <w:tab w:val="left" w:leader="none" w:pos="864"/>
        </w:tabs>
        <w:spacing w:before="121"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181	</w:t>
      </w:r>
      <w:r>
        <w:rPr>
          <w:rFonts w:ascii="Times New Roman" w:hAnsi="Times New Roman" w:eastAsia="Times New Roman"/>
          <w:b w:val="true"/>
          <w:color w:val="000000"/>
          <w:spacing w:val="0"/>
          <w:w w:val="100"/>
          <w:sz w:val="24"/>
          <w:vertAlign w:val="baseline"/>
          <w:lang w:val="en-US"/>
        </w:rPr>
        <w:t xml:space="preserve">Use of dive safety log</w:t>
      </w:r>
    </w:p>
    <w:p>
      <w:pPr>
        <w:spacing w:before="121" w:after="0" w:line="276"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regulation applies to a person conducting a business or undertaking at a workplace where general diving work is carried out.</w:t>
      </w:r>
    </w:p>
    <w:p>
      <w:pPr>
        <w:spacing w:before="120"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person conducting the business or undertaking must ensure that, after each dive carried out in connection with the general diving work is completed, the return of each diver is verified in the dive safety log, as soon as practicable after the return, by:</w:t>
      </w:r>
    </w:p>
    <w:p>
      <w:pPr>
        <w:numPr>
          <w:ilvl w:val="0"/>
          <w:numId w:val="346"/>
        </w:numPr>
        <w:tabs>
          <w:tab w:val="clear" w:pos="432"/>
          <w:tab w:val="left" w:pos="1944"/>
        </w:tabs>
        <w:spacing w:before="121" w:after="0" w:line="273" w:lineRule="exact"/>
        <w:ind w:right="0" w:left="1944" w:hanging="432"/>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the diver; and</w:t>
      </w:r>
    </w:p>
    <w:p>
      <w:pPr>
        <w:numPr>
          <w:ilvl w:val="0"/>
          <w:numId w:val="346"/>
        </w:numPr>
        <w:tabs>
          <w:tab w:val="clear" w:pos="432"/>
          <w:tab w:val="left" w:pos="1944"/>
        </w:tabs>
        <w:spacing w:before="124" w:after="0" w:line="274" w:lineRule="exact"/>
        <w:ind w:right="864" w:left="1944" w:hanging="432"/>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competent person appointed under regulation 177 to supervise the diving work.</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944"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In the case of an individual—$1 250.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18"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w:t>
      </w:r>
    </w:p>
    <w:p>
      <w:pPr>
        <w:spacing w:before="125" w:after="132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before the diving work commences; and</w:t>
      </w:r>
    </w:p>
    <w:p>
      <w:pPr>
        <w:spacing w:before="125" w:after="1320"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139</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4.8	</w:t>
      </w:r>
      <w:r>
        <w:rPr>
          <w:rFonts w:ascii="Times New Roman" w:hAnsi="Times New Roman" w:eastAsia="Times New Roman"/>
          <w:color w:val="000000"/>
          <w:spacing w:val="0"/>
          <w:w w:val="100"/>
          <w:sz w:val="20"/>
          <w:vertAlign w:val="baseline"/>
          <w:lang w:val="en-US"/>
        </w:rPr>
        <w:t xml:space="preserve">Diving Work</w:t>
      </w:r>
    </w:p>
    <w:p>
      <w:pPr>
        <w:spacing w:before="245" w:after="0" w:line="279"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(b) before the vessel leaves the location after the diving work is completed.</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numPr>
          <w:ilvl w:val="0"/>
          <w:numId w:val="347"/>
        </w:numPr>
        <w:tabs>
          <w:tab w:val="clear" w:pos="360"/>
          <w:tab w:val="left" w:pos="1368"/>
        </w:tabs>
        <w:spacing w:before="123"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conducting the business or undertaking must ensure that the dive safety log is kept for at least 1 year after the last entry is made.</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numPr>
          <w:ilvl w:val="0"/>
          <w:numId w:val="347"/>
        </w:numPr>
        <w:tabs>
          <w:tab w:val="clear" w:pos="360"/>
          <w:tab w:val="left" w:pos="1368"/>
        </w:tabs>
        <w:spacing w:before="126" w:after="0" w:line="274"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this regulation, an event is </w:t>
      </w:r>
      <w:r>
        <w:rPr>
          <w:rFonts w:ascii="Times New Roman" w:hAnsi="Times New Roman" w:eastAsia="Times New Roman"/>
          <w:b w:val="true"/>
          <w:i w:val="true"/>
          <w:color w:val="000000"/>
          <w:spacing w:val="0"/>
          <w:w w:val="100"/>
          <w:sz w:val="24"/>
          <w:vertAlign w:val="baseline"/>
          <w:lang w:val="en-US"/>
        </w:rPr>
        <w:t xml:space="preserve">verified </w:t>
      </w:r>
      <w:r>
        <w:rPr>
          <w:rFonts w:ascii="Times New Roman" w:hAnsi="Times New Roman" w:eastAsia="Times New Roman"/>
          <w:color w:val="000000"/>
          <w:spacing w:val="0"/>
          <w:w w:val="100"/>
          <w:sz w:val="24"/>
          <w:vertAlign w:val="baseline"/>
          <w:lang w:val="en-US"/>
        </w:rPr>
        <w:t xml:space="preserve">in the dive safety log:</w:t>
      </w:r>
    </w:p>
    <w:p>
      <w:pPr>
        <w:numPr>
          <w:ilvl w:val="0"/>
          <w:numId w:val="348"/>
        </w:numPr>
        <w:tabs>
          <w:tab w:val="clear" w:pos="360"/>
          <w:tab w:val="left" w:pos="1872"/>
        </w:tabs>
        <w:spacing w:before="119"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by signing; or</w:t>
      </w:r>
    </w:p>
    <w:p>
      <w:pPr>
        <w:numPr>
          <w:ilvl w:val="0"/>
          <w:numId w:val="348"/>
        </w:numPr>
        <w:tabs>
          <w:tab w:val="clear" w:pos="360"/>
          <w:tab w:val="left" w:pos="1872"/>
        </w:tabs>
        <w:spacing w:before="116" w:after="0" w:line="278" w:lineRule="exact"/>
        <w:ind w:right="86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log is electronic, by entering the verifier's unique identifier.</w:t>
      </w:r>
    </w:p>
    <w:p>
      <w:pPr>
        <w:spacing w:before="121" w:after="0" w:line="274" w:lineRule="exact"/>
        <w:ind w:right="0" w:left="288" w:firstLine="0"/>
        <w:jc w:val="left"/>
        <w:textAlignment w:val="baseline"/>
        <w:rPr>
          <w:rFonts w:ascii="Times New Roman" w:hAnsi="Times New Roman" w:eastAsia="Times New Roman"/>
          <w:b w:val="true"/>
          <w:color w:val="000000"/>
          <w:spacing w:val="7"/>
          <w:w w:val="100"/>
          <w:sz w:val="24"/>
          <w:vertAlign w:val="baseline"/>
          <w:lang w:val="en-US"/>
        </w:rPr>
      </w:pPr>
      <w:r>
        <w:rPr>
          <w:rFonts w:ascii="Times New Roman" w:hAnsi="Times New Roman" w:eastAsia="Times New Roman"/>
          <w:b w:val="true"/>
          <w:color w:val="000000"/>
          <w:spacing w:val="7"/>
          <w:w w:val="100"/>
          <w:sz w:val="24"/>
          <w:vertAlign w:val="baseline"/>
          <w:lang w:val="en-US"/>
        </w:rPr>
        <w:t xml:space="preserve">182 Record keeping</w:t>
      </w:r>
    </w:p>
    <w:p>
      <w:pPr>
        <w:spacing w:before="123" w:after="0" w:line="274" w:lineRule="exact"/>
        <w:ind w:right="93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regulation applies if a person conducting a business or undertaking prepares:</w:t>
      </w:r>
    </w:p>
    <w:p>
      <w:pPr>
        <w:numPr>
          <w:ilvl w:val="0"/>
          <w:numId w:val="349"/>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risk assessment under regulation 176; or</w:t>
      </w:r>
    </w:p>
    <w:p>
      <w:pPr>
        <w:numPr>
          <w:ilvl w:val="0"/>
          <w:numId w:val="349"/>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dive plan under regulation 178.</w:t>
      </w:r>
    </w:p>
    <w:p>
      <w:pPr>
        <w:spacing w:before="125"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Subject to subregulation (3), the person must keep:</w:t>
      </w:r>
    </w:p>
    <w:p>
      <w:pPr>
        <w:numPr>
          <w:ilvl w:val="0"/>
          <w:numId w:val="350"/>
        </w:numPr>
        <w:tabs>
          <w:tab w:val="clear" w:pos="360"/>
          <w:tab w:val="left" w:pos="1872"/>
        </w:tabs>
        <w:spacing w:before="116" w:after="0" w:line="278"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copy of the risk assessment until at least 28 days after the work to which it relates is completed; and</w:t>
      </w:r>
    </w:p>
    <w:p>
      <w:pPr>
        <w:numPr>
          <w:ilvl w:val="0"/>
          <w:numId w:val="350"/>
        </w:numPr>
        <w:tabs>
          <w:tab w:val="clear" w:pos="360"/>
          <w:tab w:val="left" w:pos="1872"/>
        </w:tabs>
        <w:spacing w:before="116" w:after="0" w:line="278"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copy of the dive plan until the work to which it relates is completed.</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24" w:after="1478"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(3) If a notifiable incident occurs in connection with the work to which the assessment or dive plan relates, the person must keep the assessment or dive plan (as applicable) for at least 2 years after the incident occurs.</w:t>
      </w:r>
    </w:p>
    <w:p>
      <w:pPr>
        <w:spacing w:before="124" w:after="1478" w:line="275"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140</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4.8	</w:t>
      </w:r>
      <w:r>
        <w:rPr>
          <w:rFonts w:ascii="Times New Roman" w:hAnsi="Times New Roman" w:eastAsia="Times New Roman"/>
          <w:color w:val="000000"/>
          <w:spacing w:val="0"/>
          <w:w w:val="100"/>
          <w:sz w:val="20"/>
          <w:vertAlign w:val="baseline"/>
          <w:lang w:val="en-US"/>
        </w:rPr>
        <w:t xml:space="preserve">Diving Work</w:t>
      </w:r>
    </w:p>
    <w:p>
      <w:pPr>
        <w:spacing w:before="25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numPr>
          <w:ilvl w:val="0"/>
          <w:numId w:val="351"/>
        </w:numPr>
        <w:tabs>
          <w:tab w:val="clear" w:pos="360"/>
          <w:tab w:val="left" w:pos="1368"/>
        </w:tabs>
        <w:spacing w:before="124" w:after="0" w:line="275"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ensure that, for the period for which the assessment or dive plan must be kept under this regulation, a copy is readily accessible to any worker engaged by the person to carry out the work to which the assessment or dive plan relates.</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6"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numPr>
          <w:ilvl w:val="0"/>
          <w:numId w:val="351"/>
        </w:numPr>
        <w:tabs>
          <w:tab w:val="clear" w:pos="360"/>
          <w:tab w:val="left" w:pos="1368"/>
        </w:tabs>
        <w:spacing w:before="117"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ensure that, for the period for which the assessment or dive plan must be kept under this regulation, a copy is available for inspection under the Act.</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tabs>
          <w:tab w:val="left" w:leader="none" w:pos="1584"/>
        </w:tabs>
        <w:spacing w:before="250"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4	</w:t>
      </w:r>
      <w:r>
        <w:rPr>
          <w:rFonts w:ascii="Times New Roman" w:hAnsi="Times New Roman" w:eastAsia="Times New Roman"/>
          <w:b w:val="true"/>
          <w:color w:val="000000"/>
          <w:spacing w:val="0"/>
          <w:w w:val="100"/>
          <w:sz w:val="24"/>
          <w:vertAlign w:val="baseline"/>
          <w:lang w:val="en-US"/>
        </w:rPr>
        <w:t xml:space="preserve">High risk diving work</w:t>
      </w:r>
    </w:p>
    <w:p>
      <w:pPr>
        <w:spacing w:before="118"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8"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19"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183 Duties of person conducting business or undertaking</w:t>
      </w:r>
    </w:p>
    <w:p>
      <w:pPr>
        <w:spacing w:before="123" w:after="0" w:line="275" w:lineRule="exact"/>
        <w:ind w:right="360" w:left="1368"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A person conducting a business or undertaking at a workplace where high risk diving work is carried out must ensure that the following are in accordance with AS/NZS 2299.1:2015 (Occupational diving operations—Standard operational practice):</w:t>
      </w:r>
    </w:p>
    <w:p>
      <w:pPr>
        <w:numPr>
          <w:ilvl w:val="0"/>
          <w:numId w:val="352"/>
        </w:numPr>
        <w:tabs>
          <w:tab w:val="clear" w:pos="360"/>
          <w:tab w:val="left" w:pos="1872"/>
        </w:tabs>
        <w:spacing w:before="125"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fitness of persons carrying out the work;</w:t>
      </w:r>
    </w:p>
    <w:p>
      <w:pPr>
        <w:numPr>
          <w:ilvl w:val="0"/>
          <w:numId w:val="352"/>
        </w:numPr>
        <w:tabs>
          <w:tab w:val="clear" w:pos="360"/>
          <w:tab w:val="left" w:pos="1872"/>
        </w:tabs>
        <w:spacing w:before="121"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competence of persons carrying out the work;</w:t>
      </w:r>
    </w:p>
    <w:p>
      <w:pPr>
        <w:spacing w:before="129"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8"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section 44 of the Act.</w:t>
      </w:r>
    </w:p>
    <w:p>
      <w:pPr>
        <w:numPr>
          <w:ilvl w:val="0"/>
          <w:numId w:val="352"/>
        </w:numPr>
        <w:tabs>
          <w:tab w:val="clear" w:pos="360"/>
          <w:tab w:val="left" w:pos="1872"/>
        </w:tabs>
        <w:spacing w:before="119"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carrying out of the work.</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130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corporate—$30 000.</w:t>
      </w:r>
    </w:p>
    <w:p>
      <w:pPr>
        <w:spacing w:before="121" w:after="1300"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141</w:t>
      </w:r>
    </w:p>
    <w:p>
      <w:pPr>
        <w:sectPr>
          <w:type w:val="continuous"/>
          <w:pgSz w:w="11909" w:h="16838" w:orient="portrait"/>
          <w:pgMar w:bottom="1082" w:top="1140" w:right="5819" w:left="1970"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4.8	</w:t>
      </w:r>
      <w:r>
        <w:rPr>
          <w:rFonts w:ascii="Times New Roman" w:hAnsi="Times New Roman" w:eastAsia="Times New Roman"/>
          <w:color w:val="000000"/>
          <w:spacing w:val="0"/>
          <w:w w:val="100"/>
          <w:sz w:val="20"/>
          <w:vertAlign w:val="baseline"/>
          <w:lang w:val="en-US"/>
        </w:rPr>
        <w:t xml:space="preserve">Diving Work</w:t>
      </w:r>
    </w:p>
    <w:p>
      <w:pPr>
        <w:spacing w:before="251"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4"/>
          <w:w w:val="100"/>
          <w:sz w:val="24"/>
          <w:vertAlign w:val="baseline"/>
          <w:lang w:val="en-US"/>
        </w:rPr>
        <w:t xml:space="preserve">184 Duty of worker—competence</w:t>
      </w:r>
    </w:p>
    <w:p>
      <w:pPr>
        <w:spacing w:before="123" w:after="0" w:line="276"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must not carry out high risk diving work unless the person has the qualifications, knowledge, skills and experience required by AS/NZS 2299.1:2015 (Occupational diving operations—Standard operational practice) for work of the kind to be carried out by the person.</w:t>
      </w:r>
    </w:p>
    <w:p>
      <w:pPr>
        <w:spacing w:before="123"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9741" w:line="230"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pict>
          <v:line strokeweight="0.7pt" strokecolor="#000000" from="243.6pt,258.95pt" to="352.15pt,258.95pt" style="position:absolute;mso-position-horizontal-relative:page;mso-position-vertical-relative:page;">
            <v:stroke dashstyle="solid"/>
          </v:line>
        </w:pict>
      </w: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See section 44 of the Act.</w:t>
      </w:r>
    </w:p>
    <w:p>
      <w:pPr>
        <w:spacing w:before="321" w:after="0" w:line="288" w:lineRule="exact"/>
        <w:ind w:right="0" w:left="0" w:firstLine="0"/>
        <w:jc w:val="left"/>
        <w:textAlignment w:val="baseline"/>
        <w:rPr>
          <w:rFonts w:ascii="Times New Roman" w:hAnsi="Times New Roman" w:eastAsia="Times New Roman"/>
          <w:color w:val="000000"/>
          <w:w w:val="100"/>
          <w:sz w:val="24"/>
          <w:vertAlign w:val="baseline"/>
          <w:lang w:val="en-US"/>
        </w:rPr>
      </w:pPr>
    </w:p>
    <w:p>
      <w:pPr>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142</w:t>
      </w:r>
    </w:p>
    <w:p>
      <w:pPr>
        <w:sectPr>
          <w:type w:val="continuous"/>
          <w:pgSz w:w="11909" w:h="16838" w:orient="portrait"/>
          <w:pgMar w:bottom="1082" w:top="1140" w:right="5812" w:left="1977" w:header="720" w:footer="720"/>
          <w:titlePg w:val="false"/>
          <w:textDirection w:val="lrTb"/>
        </w:sectPr>
      </w:pPr>
    </w:p>
    <w:p>
      <w:pPr>
        <w:spacing w:before="6"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5" w:after="226"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5.1	</w:t>
      </w:r>
      <w:r>
        <w:rPr>
          <w:rFonts w:ascii="Times New Roman" w:hAnsi="Times New Roman" w:eastAsia="Times New Roman"/>
          <w:color w:val="000000"/>
          <w:spacing w:val="0"/>
          <w:w w:val="100"/>
          <w:sz w:val="20"/>
          <w:vertAlign w:val="baseline"/>
          <w:lang w:val="en-US"/>
        </w:rPr>
        <w:t xml:space="preserve">General Duties for Plant and Structures</w:t>
      </w:r>
    </w:p>
    <w:p>
      <w:pPr>
        <w:spacing w:before="269" w:after="0" w:line="287" w:lineRule="exact"/>
        <w:ind w:right="0" w:left="0" w:firstLine="0"/>
        <w:jc w:val="left"/>
        <w:textAlignment w:val="baseline"/>
        <w:rPr>
          <w:rFonts w:ascii="Times New Roman" w:hAnsi="Times New Roman" w:eastAsia="Times New Roman"/>
          <w:b w:val="true"/>
          <w:color w:val="000000"/>
          <w:spacing w:val="10"/>
          <w:w w:val="100"/>
          <w:sz w:val="25"/>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10"/>
          <w:w w:val="100"/>
          <w:sz w:val="25"/>
          <w:vertAlign w:val="baseline"/>
          <w:lang w:val="en-US"/>
        </w:rPr>
        <w:t xml:space="preserve">CHAPTER 5 PLANT AND STRUCTURES</w:t>
      </w:r>
    </w:p>
    <w:p>
      <w:pPr>
        <w:spacing w:before="239" w:after="0" w:line="316" w:lineRule="exact"/>
        <w:ind w:right="0" w:left="0" w:firstLine="0"/>
        <w:jc w:val="left"/>
        <w:textAlignment w:val="baseline"/>
        <w:rPr>
          <w:rFonts w:ascii="Times New Roman" w:hAnsi="Times New Roman" w:eastAsia="Times New Roman"/>
          <w:b w:val="true"/>
          <w:color w:val="000000"/>
          <w:spacing w:val="5"/>
          <w:w w:val="100"/>
          <w:sz w:val="28"/>
          <w:vertAlign w:val="baseline"/>
          <w:lang w:val="en-US"/>
        </w:rPr>
      </w:pPr>
      <w:r>
        <w:rPr>
          <w:rFonts w:ascii="Times New Roman" w:hAnsi="Times New Roman" w:eastAsia="Times New Roman"/>
          <w:b w:val="true"/>
          <w:color w:val="000000"/>
          <w:spacing w:val="5"/>
          <w:w w:val="100"/>
          <w:sz w:val="28"/>
          <w:vertAlign w:val="baseline"/>
          <w:lang w:val="en-US"/>
        </w:rPr>
        <w:t xml:space="preserve">Part 5.1 General Duties for Plant and Structures</w:t>
      </w:r>
    </w:p>
    <w:p>
      <w:pPr>
        <w:spacing w:before="123"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0" w:after="0" w:line="231"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If a jurisdiction enacts Schedule 1 of the Act, this Part will extend to plant outside the workplace as provided for in that Schedule.</w:t>
      </w:r>
    </w:p>
    <w:p>
      <w:pPr>
        <w:tabs>
          <w:tab w:val="left" w:leader="none" w:pos="1584"/>
        </w:tabs>
        <w:spacing w:before="246"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1	</w:t>
      </w:r>
      <w:r>
        <w:rPr>
          <w:rFonts w:ascii="Times New Roman" w:hAnsi="Times New Roman" w:eastAsia="Times New Roman"/>
          <w:b w:val="true"/>
          <w:color w:val="000000"/>
          <w:spacing w:val="0"/>
          <w:w w:val="100"/>
          <w:sz w:val="24"/>
          <w:vertAlign w:val="baseline"/>
          <w:lang w:val="en-US"/>
        </w:rPr>
        <w:t xml:space="preserve">Preliminary</w:t>
      </w:r>
    </w:p>
    <w:p>
      <w:pPr>
        <w:spacing w:before="119"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185 Application of Part 5.1 to plant</w:t>
      </w:r>
    </w:p>
    <w:p>
      <w:pPr>
        <w:spacing w:before="120" w:after="0" w:line="272"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Subject to this regulation, this Part applies to all plant.</w:t>
      </w:r>
    </w:p>
    <w:p>
      <w:pPr>
        <w:spacing w:before="126" w:after="0" w:line="272" w:lineRule="exact"/>
        <w:ind w:right="216" w:left="0" w:firstLine="0"/>
        <w:jc w:val="righ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Subject to subregulation (3), this Part does not apply to plant that:</w:t>
      </w:r>
    </w:p>
    <w:p>
      <w:pPr>
        <w:numPr>
          <w:ilvl w:val="0"/>
          <w:numId w:val="353"/>
        </w:numPr>
        <w:tabs>
          <w:tab w:val="clear" w:pos="360"/>
          <w:tab w:val="left" w:pos="1872"/>
        </w:tabs>
        <w:spacing w:before="122"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relies exclusively on manual power for its operation; and</w:t>
      </w:r>
    </w:p>
    <w:p>
      <w:pPr>
        <w:numPr>
          <w:ilvl w:val="0"/>
          <w:numId w:val="353"/>
        </w:numPr>
        <w:tabs>
          <w:tab w:val="clear" w:pos="360"/>
          <w:tab w:val="left" w:pos="1872"/>
        </w:tabs>
        <w:spacing w:before="126"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designed to be primarily supported by hand.</w:t>
      </w:r>
    </w:p>
    <w:p>
      <w:pPr>
        <w:spacing w:before="116" w:after="0" w:line="278"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This Part applies to explosive power tools that are designed to be supported by hand.</w:t>
      </w:r>
    </w:p>
    <w:p>
      <w:pPr>
        <w:spacing w:before="122"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186 Application of Part 5.1 to structures</w:t>
      </w:r>
    </w:p>
    <w:p>
      <w:pPr>
        <w:spacing w:before="124" w:after="0" w:line="272"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Part applies to structures as provided in this Part.</w:t>
      </w:r>
    </w:p>
    <w:p>
      <w:pPr>
        <w:tabs>
          <w:tab w:val="left" w:leader="none" w:pos="1584"/>
        </w:tabs>
        <w:spacing w:before="233" w:after="0" w:line="283" w:lineRule="exact"/>
        <w:ind w:right="144" w:left="1512" w:hanging="1512"/>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2	</w:t>
      </w:r>
      <w:r>
        <w:rPr>
          <w:rFonts w:ascii="Times New Roman" w:hAnsi="Times New Roman" w:eastAsia="Times New Roman"/>
          <w:b w:val="true"/>
          <w:color w:val="000000"/>
          <w:spacing w:val="0"/>
          <w:w w:val="100"/>
          <w:sz w:val="24"/>
          <w:vertAlign w:val="baseline"/>
          <w:lang w:val="en-US"/>
        </w:rPr>
        <w:t xml:space="preserve">Duties of persons conducting businesses or undertakings that design plant</w:t>
      </w:r>
    </w:p>
    <w:p>
      <w:pPr>
        <w:spacing w:before="115"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187 Provision of information to manufacturer</w:t>
      </w:r>
    </w:p>
    <w:p>
      <w:pPr>
        <w:spacing w:before="124" w:after="0" w:line="272"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designer of plant must ensure, when the design of the plant is</w:t>
      </w:r>
    </w:p>
    <w:p>
      <w:pPr>
        <w:spacing w:before="0" w:after="0" w:line="276" w:lineRule="exact"/>
        <w:ind w:right="1224"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made available to the manufacturer of the plant, that the manufacturer is provided with:</w:t>
      </w:r>
    </w:p>
    <w:p>
      <w:pPr>
        <w:numPr>
          <w:ilvl w:val="0"/>
          <w:numId w:val="354"/>
        </w:numPr>
        <w:tabs>
          <w:tab w:val="clear" w:pos="360"/>
          <w:tab w:val="left" w:pos="1872"/>
        </w:tabs>
        <w:spacing w:before="116" w:after="0" w:line="278" w:lineRule="exact"/>
        <w:ind w:right="93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information to enable the plant to be manufactured in accordance with the design specifications; and</w:t>
      </w:r>
    </w:p>
    <w:p>
      <w:pPr>
        <w:numPr>
          <w:ilvl w:val="0"/>
          <w:numId w:val="354"/>
        </w:numPr>
        <w:tabs>
          <w:tab w:val="clear" w:pos="360"/>
          <w:tab w:val="left" w:pos="1872"/>
        </w:tabs>
        <w:spacing w:before="122"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applicable, information about:</w:t>
      </w:r>
    </w:p>
    <w:p>
      <w:pPr>
        <w:numPr>
          <w:ilvl w:val="0"/>
          <w:numId w:val="355"/>
        </w:numPr>
        <w:tabs>
          <w:tab w:val="clear" w:pos="360"/>
          <w:tab w:val="left" w:pos="2376"/>
        </w:tabs>
        <w:spacing w:before="122" w:after="0" w:line="276" w:lineRule="exact"/>
        <w:ind w:right="288"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installation, commissioning, decommissioning, use, handling, storage and, if the plant is capable of being dismantled, dismantling of the plant; and</w:t>
      </w:r>
    </w:p>
    <w:p>
      <w:pPr>
        <w:numPr>
          <w:ilvl w:val="0"/>
          <w:numId w:val="355"/>
        </w:numPr>
        <w:tabs>
          <w:tab w:val="clear" w:pos="360"/>
          <w:tab w:val="left" w:pos="2376"/>
        </w:tabs>
        <w:spacing w:before="116" w:after="0" w:line="278" w:lineRule="exact"/>
        <w:ind w:right="14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hazards and risks associated with the use of the plant that the designer has identified; and</w:t>
      </w:r>
    </w:p>
    <w:p>
      <w:pPr>
        <w:numPr>
          <w:ilvl w:val="0"/>
          <w:numId w:val="355"/>
        </w:numPr>
        <w:tabs>
          <w:tab w:val="clear" w:pos="360"/>
          <w:tab w:val="left" w:pos="2376"/>
        </w:tabs>
        <w:spacing w:before="122" w:after="0" w:line="272"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testing or inspections to be carried out on the plant; and</w:t>
      </w:r>
    </w:p>
    <w:p>
      <w:pPr>
        <w:numPr>
          <w:ilvl w:val="0"/>
          <w:numId w:val="355"/>
        </w:numPr>
        <w:tabs>
          <w:tab w:val="clear" w:pos="360"/>
          <w:tab w:val="left" w:pos="2376"/>
        </w:tabs>
        <w:spacing w:before="124" w:after="1186" w:line="274"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systems of work and competency of operators that are necessary for the safe use of the plant; and</w:t>
      </w:r>
    </w:p>
    <w:p>
      <w:pPr>
        <w:spacing w:before="124" w:after="1186"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143</w:t>
      </w:r>
    </w:p>
    <w:p>
      <w:pPr>
        <w:sectPr>
          <w:type w:val="continuous"/>
          <w:pgSz w:w="11909" w:h="16838" w:orient="portrait"/>
          <w:pgMar w:bottom="1082" w:top="1140" w:right="5817" w:left="1972"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5.1	</w:t>
      </w:r>
      <w:r>
        <w:rPr>
          <w:rFonts w:ascii="Times New Roman" w:hAnsi="Times New Roman" w:eastAsia="Times New Roman"/>
          <w:color w:val="000000"/>
          <w:spacing w:val="0"/>
          <w:w w:val="100"/>
          <w:sz w:val="20"/>
          <w:vertAlign w:val="baseline"/>
          <w:lang w:val="en-US"/>
        </w:rPr>
        <w:t xml:space="preserve">General Duties for Plant and Structures</w:t>
      </w:r>
    </w:p>
    <w:p>
      <w:pPr>
        <w:spacing w:before="245" w:after="0" w:line="279" w:lineRule="exact"/>
        <w:ind w:right="144" w:left="2376"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(v) the emergency procedures (if any) that are required to be implemented if there is a malfunction of the plant.</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4"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30"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designer also has duties under section 22 of the Act.</w:t>
      </w:r>
    </w:p>
    <w:p>
      <w:pPr>
        <w:spacing w:before="117"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188 Hazard identified in design during manufacture</w:t>
      </w:r>
    </w:p>
    <w:p>
      <w:pPr>
        <w:spacing w:before="121" w:after="0" w:line="276" w:lineRule="exact"/>
        <w:ind w:right="36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a manufacturer of plant informs the designer of the plant that there is a hazard in the design of plant for which the designer has not provided a control measure, the designer must:</w:t>
      </w:r>
    </w:p>
    <w:p>
      <w:pPr>
        <w:spacing w:before="116" w:after="0" w:line="278"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revise the information originally supplied to the manufacturer to ensure that:</w:t>
      </w:r>
    </w:p>
    <w:p>
      <w:pPr>
        <w:numPr>
          <w:ilvl w:val="0"/>
          <w:numId w:val="356"/>
        </w:numPr>
        <w:tabs>
          <w:tab w:val="clear" w:pos="360"/>
          <w:tab w:val="left" w:pos="2376"/>
        </w:tabs>
        <w:spacing w:before="116" w:after="0" w:line="278" w:lineRule="exact"/>
        <w:ind w:right="216"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risk is eliminated so far as is reasonably practicable; or</w:t>
      </w:r>
    </w:p>
    <w:p>
      <w:pPr>
        <w:numPr>
          <w:ilvl w:val="0"/>
          <w:numId w:val="356"/>
        </w:numPr>
        <w:tabs>
          <w:tab w:val="clear" w:pos="360"/>
          <w:tab w:val="left" w:pos="2376"/>
        </w:tabs>
        <w:spacing w:before="116" w:after="0" w:line="278" w:lineRule="exact"/>
        <w:ind w:right="72" w:left="2376"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if it is not reasonably practicable to eliminate the risk, the risk is minimised so far as is reasonably practicable; or</w:t>
      </w:r>
    </w:p>
    <w:p>
      <w:pPr>
        <w:spacing w:before="120" w:after="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notify the manufacturer, in writing, that the designer is of the opinion that it is not necessary to revise the information originally supplied to the manufacturer to ensure compliance with this Part.</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9"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30"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designer also has duties under section 22 of the Act.</w:t>
      </w:r>
    </w:p>
    <w:p>
      <w:pPr>
        <w:spacing w:before="117" w:after="0" w:line="274" w:lineRule="exact"/>
        <w:ind w:right="0" w:left="288" w:firstLine="0"/>
        <w:jc w:val="left"/>
        <w:textAlignment w:val="baseline"/>
        <w:rPr>
          <w:rFonts w:ascii="Times New Roman" w:hAnsi="Times New Roman" w:eastAsia="Times New Roman"/>
          <w:b w:val="true"/>
          <w:color w:val="000000"/>
          <w:spacing w:val="10"/>
          <w:w w:val="100"/>
          <w:sz w:val="24"/>
          <w:vertAlign w:val="baseline"/>
          <w:lang w:val="en-US"/>
        </w:rPr>
      </w:pPr>
      <w:r>
        <w:rPr>
          <w:rFonts w:ascii="Times New Roman" w:hAnsi="Times New Roman" w:eastAsia="Times New Roman"/>
          <w:b w:val="true"/>
          <w:color w:val="000000"/>
          <w:spacing w:val="10"/>
          <w:w w:val="100"/>
          <w:sz w:val="24"/>
          <w:vertAlign w:val="baseline"/>
          <w:lang w:val="en-US"/>
        </w:rPr>
        <w:t xml:space="preserve">189 Guarding</w:t>
      </w:r>
    </w:p>
    <w:p>
      <w:pPr>
        <w:numPr>
          <w:ilvl w:val="0"/>
          <w:numId w:val="357"/>
        </w:numPr>
        <w:tabs>
          <w:tab w:val="clear" w:pos="360"/>
          <w:tab w:val="left" w:pos="1368"/>
        </w:tabs>
        <w:spacing w:before="115" w:after="0" w:line="278" w:lineRule="exact"/>
        <w:ind w:right="50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regulation applies if a designer of plant uses guarding as a control measure.</w:t>
      </w:r>
    </w:p>
    <w:p>
      <w:pPr>
        <w:numPr>
          <w:ilvl w:val="0"/>
          <w:numId w:val="357"/>
        </w:numPr>
        <w:tabs>
          <w:tab w:val="clear" w:pos="360"/>
          <w:tab w:val="left" w:pos="1368"/>
        </w:tabs>
        <w:spacing w:before="118" w:after="0" w:line="276"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designer must ensure, so far as is reasonably practicable, that the guarding designed for that purpose will prevent access to the danger point or danger area of the plant.</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71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corporate—$30 000.</w:t>
      </w:r>
    </w:p>
    <w:p>
      <w:pPr>
        <w:spacing w:before="125" w:after="710"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144</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5.1	</w:t>
      </w:r>
      <w:r>
        <w:rPr>
          <w:rFonts w:ascii="Times New Roman" w:hAnsi="Times New Roman" w:eastAsia="Times New Roman"/>
          <w:color w:val="000000"/>
          <w:spacing w:val="0"/>
          <w:w w:val="100"/>
          <w:sz w:val="20"/>
          <w:vertAlign w:val="baseline"/>
          <w:lang w:val="en-US"/>
        </w:rPr>
        <w:t xml:space="preserve">General Duties for Plant and Structures</w:t>
      </w:r>
    </w:p>
    <w:p>
      <w:pPr>
        <w:spacing w:before="251"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(3) The designer must ensure that:</w:t>
      </w:r>
    </w:p>
    <w:p>
      <w:pPr>
        <w:numPr>
          <w:ilvl w:val="0"/>
          <w:numId w:val="358"/>
        </w:numPr>
        <w:tabs>
          <w:tab w:val="clear" w:pos="360"/>
          <w:tab w:val="left" w:pos="1872"/>
        </w:tabs>
        <w:spacing w:before="123"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access to the area of the plant requiring guarding is not necessary during operation, maintenance or cleaning of the plant—the guarding is a permanently fixed physical barrier; or</w:t>
      </w:r>
    </w:p>
    <w:p>
      <w:pPr>
        <w:numPr>
          <w:ilvl w:val="0"/>
          <w:numId w:val="358"/>
        </w:numPr>
        <w:tabs>
          <w:tab w:val="clear" w:pos="360"/>
          <w:tab w:val="left" w:pos="1872"/>
        </w:tabs>
        <w:spacing w:before="120" w:after="0" w:line="276" w:lineRule="exact"/>
        <w:ind w:right="72" w:left="1872"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if access to the area of the plant requiring guarding is necessary during operation, maintenance or cleaning of the plant—the guarding is an interlocked physical barrier that allows access to the area being guarded at times when that area does not present a risk and prevents access to that area at any other time; or</w:t>
      </w:r>
    </w:p>
    <w:p>
      <w:pPr>
        <w:numPr>
          <w:ilvl w:val="0"/>
          <w:numId w:val="358"/>
        </w:numPr>
        <w:tabs>
          <w:tab w:val="clear" w:pos="360"/>
          <w:tab w:val="left" w:pos="1872"/>
        </w:tabs>
        <w:spacing w:before="117"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it is not reasonably practicable to use guarding referred to in paragraph (a) or (b)—the guarding used is a physical barrier that can only be altered or removed by the use of tools; or</w:t>
      </w:r>
    </w:p>
    <w:p>
      <w:pPr>
        <w:numPr>
          <w:ilvl w:val="0"/>
          <w:numId w:val="358"/>
        </w:numPr>
        <w:tabs>
          <w:tab w:val="clear" w:pos="360"/>
          <w:tab w:val="left" w:pos="1872"/>
        </w:tabs>
        <w:spacing w:before="118"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it is not reasonably practicable to use guarding referred to in paragraph (a), (b) or (c)—the design includes a presence-sensing safeguarding system that eliminates any risk arising from the area of the plant requiring guarding while a person or any part of a person is in the area being guarded.</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The designer must ensure that the guarding is designed:</w:t>
      </w:r>
    </w:p>
    <w:p>
      <w:pPr>
        <w:numPr>
          <w:ilvl w:val="0"/>
          <w:numId w:val="359"/>
        </w:numPr>
        <w:tabs>
          <w:tab w:val="clear" w:pos="360"/>
          <w:tab w:val="left" w:pos="1872"/>
        </w:tabs>
        <w:spacing w:before="124" w:after="0" w:line="274" w:lineRule="exact"/>
        <w:ind w:right="7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to be of solid construction and securely mounted so as to resist impact or shock; and</w:t>
      </w:r>
    </w:p>
    <w:p>
      <w:pPr>
        <w:numPr>
          <w:ilvl w:val="0"/>
          <w:numId w:val="359"/>
        </w:numPr>
        <w:tabs>
          <w:tab w:val="clear" w:pos="360"/>
          <w:tab w:val="left" w:pos="1872"/>
        </w:tabs>
        <w:spacing w:before="122" w:after="0" w:line="276" w:lineRule="exact"/>
        <w:ind w:right="72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to make bypassing or disabling of the guarding, whether deliberately or by accident, as difficult as is reasonably practicable; and</w:t>
      </w:r>
    </w:p>
    <w:p>
      <w:pPr>
        <w:numPr>
          <w:ilvl w:val="0"/>
          <w:numId w:val="359"/>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so as not to cause a risk in itself.</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8" w:after="1094"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(5) 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spacing w:before="118" w:after="1094"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145</w:t>
      </w:r>
    </w:p>
    <w:p>
      <w:pPr>
        <w:sectPr>
          <w:type w:val="continuous"/>
          <w:pgSz w:w="11909" w:h="16838" w:orient="portrait"/>
          <w:pgMar w:bottom="1082" w:top="1140" w:right="5814" w:left="1975"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5.1	</w:t>
      </w:r>
      <w:r>
        <w:rPr>
          <w:rFonts w:ascii="Times New Roman" w:hAnsi="Times New Roman" w:eastAsia="Times New Roman"/>
          <w:color w:val="000000"/>
          <w:spacing w:val="0"/>
          <w:w w:val="100"/>
          <w:sz w:val="20"/>
          <w:vertAlign w:val="baseline"/>
          <w:lang w:val="en-US"/>
        </w:rPr>
        <w:t xml:space="preserve">General Duties for Plant and Structures</w:t>
      </w:r>
    </w:p>
    <w:p>
      <w:pPr>
        <w:spacing w:before="25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6" w:after="0" w:line="273" w:lineRule="exact"/>
        <w:ind w:right="50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(6) Despite anything to the contrary in this regulation, the designer must ensure:</w:t>
      </w:r>
    </w:p>
    <w:p>
      <w:pPr>
        <w:numPr>
          <w:ilvl w:val="0"/>
          <w:numId w:val="360"/>
        </w:numPr>
        <w:tabs>
          <w:tab w:val="clear" w:pos="360"/>
          <w:tab w:val="left" w:pos="1872"/>
        </w:tabs>
        <w:spacing w:before="123" w:after="0" w:line="276" w:lineRule="exact"/>
        <w:ind w:right="50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the guarding is of a kind that can be removed to allow maintenance and cleaning of the plant at any time that the plant is not in normal operation; and</w:t>
      </w:r>
    </w:p>
    <w:p>
      <w:pPr>
        <w:numPr>
          <w:ilvl w:val="0"/>
          <w:numId w:val="360"/>
        </w:numPr>
        <w:tabs>
          <w:tab w:val="clear" w:pos="360"/>
          <w:tab w:val="left" w:pos="1872"/>
        </w:tabs>
        <w:spacing w:before="117"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guarding is removed, that, so far as is reasonably practicable, the plant cannot be restarted unless the guarding is replaced.</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5"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190 Operational controls</w:t>
      </w:r>
    </w:p>
    <w:p>
      <w:pPr>
        <w:spacing w:before="115" w:after="0" w:line="278"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designer of plant must ensure that the design provides for any operator's controls for the plant to be:</w:t>
      </w:r>
    </w:p>
    <w:p>
      <w:pPr>
        <w:numPr>
          <w:ilvl w:val="0"/>
          <w:numId w:val="361"/>
        </w:numPr>
        <w:tabs>
          <w:tab w:val="clear" w:pos="360"/>
          <w:tab w:val="left" w:pos="1872"/>
        </w:tabs>
        <w:spacing w:before="116" w:after="0" w:line="278" w:lineRule="exact"/>
        <w:ind w:right="79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identified on the plant so as to indicate their nature and function and direction of operation; and</w:t>
      </w:r>
    </w:p>
    <w:p>
      <w:pPr>
        <w:numPr>
          <w:ilvl w:val="0"/>
          <w:numId w:val="361"/>
        </w:numPr>
        <w:tabs>
          <w:tab w:val="clear" w:pos="360"/>
          <w:tab w:val="left" w:pos="1872"/>
        </w:tabs>
        <w:spacing w:before="116" w:after="0" w:line="278"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located so as to be readily and conveniently operated by each person using the plant; and</w:t>
      </w:r>
    </w:p>
    <w:p>
      <w:pPr>
        <w:numPr>
          <w:ilvl w:val="0"/>
          <w:numId w:val="361"/>
        </w:numPr>
        <w:tabs>
          <w:tab w:val="clear" w:pos="360"/>
          <w:tab w:val="left" w:pos="1872"/>
        </w:tabs>
        <w:spacing w:before="121" w:after="0" w:line="273" w:lineRule="exact"/>
        <w:ind w:right="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located or guarded to prevent unintentional activation; and</w:t>
      </w:r>
    </w:p>
    <w:p>
      <w:pPr>
        <w:numPr>
          <w:ilvl w:val="0"/>
          <w:numId w:val="361"/>
        </w:numPr>
        <w:tabs>
          <w:tab w:val="clear" w:pos="360"/>
          <w:tab w:val="left" w:pos="1872"/>
        </w:tabs>
        <w:spacing w:before="124" w:after="0" w:line="274" w:lineRule="exact"/>
        <w:ind w:right="1008"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able to be locked into the "off" position to enable the disconnection of all motive power.</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8" w:after="0" w:line="276" w:lineRule="exact"/>
        <w:ind w:right="216"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If the need for plant to be operated during maintenance or cleaning cannot be eliminated, the designer of the plant must ensure that the design provides for operator's controls that:</w:t>
      </w:r>
    </w:p>
    <w:p>
      <w:pPr>
        <w:numPr>
          <w:ilvl w:val="0"/>
          <w:numId w:val="362"/>
        </w:numPr>
        <w:tabs>
          <w:tab w:val="clear" w:pos="360"/>
          <w:tab w:val="left" w:pos="1872"/>
        </w:tabs>
        <w:spacing w:before="124" w:after="0" w:line="274"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permit operation of the plant while a person is undertaking the maintenance or cleaning of the plant; and</w:t>
      </w:r>
    </w:p>
    <w:p>
      <w:pPr>
        <w:numPr>
          <w:ilvl w:val="0"/>
          <w:numId w:val="362"/>
        </w:numPr>
        <w:tabs>
          <w:tab w:val="clear" w:pos="360"/>
          <w:tab w:val="left" w:pos="1872"/>
        </w:tabs>
        <w:spacing w:before="122" w:after="768"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while the plant is being maintained or cleaned, cannot be operated by any person other than the person who is carrying out the maintenance or cleaning of the plant; and</w:t>
      </w:r>
    </w:p>
    <w:p>
      <w:pPr>
        <w:spacing w:before="122" w:after="768"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146</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5.1	</w:t>
      </w:r>
      <w:r>
        <w:rPr>
          <w:rFonts w:ascii="Times New Roman" w:hAnsi="Times New Roman" w:eastAsia="Times New Roman"/>
          <w:color w:val="000000"/>
          <w:spacing w:val="0"/>
          <w:w w:val="100"/>
          <w:sz w:val="20"/>
          <w:vertAlign w:val="baseline"/>
          <w:lang w:val="en-US"/>
        </w:rPr>
        <w:t xml:space="preserve">General Duties for Plant and Structures</w:t>
      </w:r>
    </w:p>
    <w:p>
      <w:pPr>
        <w:spacing w:before="248" w:after="0" w:line="276"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(c) will allow operation of the plant in such a way that any risk associated with the activities in relation to any person who is carrying out the maintenance or cleaning:</w:t>
      </w:r>
    </w:p>
    <w:p>
      <w:pPr>
        <w:numPr>
          <w:ilvl w:val="0"/>
          <w:numId w:val="363"/>
        </w:numPr>
        <w:tabs>
          <w:tab w:val="clear" w:pos="360"/>
          <w:tab w:val="left" w:pos="2376"/>
        </w:tabs>
        <w:spacing w:before="126" w:after="0" w:line="273"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eliminated so far as is reasonably practicable; or</w:t>
      </w:r>
    </w:p>
    <w:p>
      <w:pPr>
        <w:numPr>
          <w:ilvl w:val="0"/>
          <w:numId w:val="363"/>
        </w:numPr>
        <w:tabs>
          <w:tab w:val="clear" w:pos="360"/>
          <w:tab w:val="left" w:pos="2376"/>
        </w:tabs>
        <w:spacing w:before="114" w:after="0" w:line="279" w:lineRule="exact"/>
        <w:ind w:right="216"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it is not reasonably practicable to eliminate the risk, is minimised so far as is reasonably practicable.</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6"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191 Emergency stop controls</w:t>
      </w:r>
    </w:p>
    <w:p>
      <w:pPr>
        <w:numPr>
          <w:ilvl w:val="0"/>
          <w:numId w:val="364"/>
        </w:numPr>
        <w:tabs>
          <w:tab w:val="clear" w:pos="360"/>
          <w:tab w:val="left" w:pos="1368"/>
        </w:tabs>
        <w:spacing w:before="120" w:after="0" w:line="275" w:lineRule="exact"/>
        <w:ind w:right="360" w:left="1368" w:hanging="360"/>
        <w:jc w:val="both"/>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If plant is designed to be operated or attended by more than 1 person and more than 1 emergency stop control is fitted, the designer of the plant must ensure that the design provides for the multiple emergency stop controls to be of the "stop and lock-off" type so that the plant cannot be restarted after an emergency stop control has been used unless that emergency stop control is reset.</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364"/>
        </w:numPr>
        <w:tabs>
          <w:tab w:val="clear" w:pos="360"/>
          <w:tab w:val="left" w:pos="1368"/>
        </w:tabs>
        <w:spacing w:before="116" w:after="0" w:line="278" w:lineRule="exact"/>
        <w:ind w:right="72" w:left="1368" w:hanging="360"/>
        <w:jc w:val="both"/>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If the design of the plant includes an emergency stop control for the plant, the designer of the plant must ensure that the design provides:</w:t>
      </w:r>
    </w:p>
    <w:p>
      <w:pPr>
        <w:numPr>
          <w:ilvl w:val="0"/>
          <w:numId w:val="365"/>
        </w:numPr>
        <w:tabs>
          <w:tab w:val="clear" w:pos="360"/>
          <w:tab w:val="left" w:pos="1872"/>
        </w:tabs>
        <w:spacing w:before="118" w:after="0" w:line="276"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the stop control to be prominent, clearly and durably marked and immediately accessible to each operator of the plant; and</w:t>
      </w:r>
    </w:p>
    <w:p>
      <w:pPr>
        <w:numPr>
          <w:ilvl w:val="0"/>
          <w:numId w:val="365"/>
        </w:numPr>
        <w:tabs>
          <w:tab w:val="clear" w:pos="360"/>
          <w:tab w:val="left" w:pos="1872"/>
        </w:tabs>
        <w:spacing w:before="124" w:after="0" w:line="274"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any handle, bar or push button associated with the stop control to be coloured red; and</w:t>
      </w:r>
    </w:p>
    <w:p>
      <w:pPr>
        <w:numPr>
          <w:ilvl w:val="0"/>
          <w:numId w:val="365"/>
        </w:numPr>
        <w:tabs>
          <w:tab w:val="clear" w:pos="360"/>
          <w:tab w:val="left" w:pos="1872"/>
        </w:tabs>
        <w:spacing w:before="124" w:after="0" w:line="274"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the stop control cannot be adversely affected by electrical or electronic circuit malfunction.</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1"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192 Warning devices</w:t>
      </w:r>
    </w:p>
    <w:p>
      <w:pPr>
        <w:spacing w:before="121" w:after="888"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(1) This regulation applies if the design of plant includes an emergency warning device or it is necessary to include an emergency warning device to minimise risk.</w:t>
      </w:r>
    </w:p>
    <w:p>
      <w:pPr>
        <w:spacing w:before="121" w:after="888"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147</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5.1	</w:t>
      </w:r>
      <w:r>
        <w:rPr>
          <w:rFonts w:ascii="Times New Roman" w:hAnsi="Times New Roman" w:eastAsia="Times New Roman"/>
          <w:color w:val="000000"/>
          <w:spacing w:val="0"/>
          <w:w w:val="100"/>
          <w:sz w:val="20"/>
          <w:vertAlign w:val="baseline"/>
          <w:lang w:val="en-US"/>
        </w:rPr>
        <w:t xml:space="preserve">General Duties for Plant and Structures</w:t>
      </w:r>
    </w:p>
    <w:p>
      <w:pPr>
        <w:spacing w:before="248" w:after="0" w:line="276"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(2) The designer of the plant must ensure that the design provides for the device to be positioned on the plant to ensure the device will work to best effect.</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tabs>
          <w:tab w:val="left" w:leader="none" w:pos="1584"/>
        </w:tabs>
        <w:spacing w:before="229" w:after="0" w:line="284" w:lineRule="exact"/>
        <w:ind w:right="144" w:left="1512" w:hanging="1512"/>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3	</w:t>
      </w:r>
      <w:r>
        <w:rPr>
          <w:rFonts w:ascii="Times New Roman" w:hAnsi="Times New Roman" w:eastAsia="Times New Roman"/>
          <w:b w:val="true"/>
          <w:color w:val="000000"/>
          <w:spacing w:val="0"/>
          <w:w w:val="100"/>
          <w:sz w:val="24"/>
          <w:vertAlign w:val="baseline"/>
          <w:lang w:val="en-US"/>
        </w:rPr>
        <w:t xml:space="preserve">Duties of persons conducting businesses or undertakings that manufacture plant</w:t>
      </w:r>
    </w:p>
    <w:p>
      <w:pPr>
        <w:tabs>
          <w:tab w:val="left" w:leader="none" w:pos="864"/>
        </w:tabs>
        <w:spacing w:before="115" w:after="0" w:line="273"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193	</w:t>
      </w:r>
      <w:r>
        <w:rPr>
          <w:rFonts w:ascii="Times New Roman" w:hAnsi="Times New Roman" w:eastAsia="Times New Roman"/>
          <w:b w:val="true"/>
          <w:color w:val="000000"/>
          <w:spacing w:val="0"/>
          <w:w w:val="100"/>
          <w:sz w:val="24"/>
          <w:vertAlign w:val="baseline"/>
          <w:lang w:val="en-US"/>
        </w:rPr>
        <w:t xml:space="preserve">Control of risk</w:t>
      </w:r>
    </w:p>
    <w:p>
      <w:pPr>
        <w:spacing w:before="126"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manufacturer of plant must ensure the following:</w:t>
      </w:r>
    </w:p>
    <w:p>
      <w:pPr>
        <w:numPr>
          <w:ilvl w:val="0"/>
          <w:numId w:val="366"/>
        </w:numPr>
        <w:tabs>
          <w:tab w:val="clear" w:pos="360"/>
          <w:tab w:val="left" w:pos="1872"/>
        </w:tabs>
        <w:spacing w:before="117" w:after="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the plant is manufactured and inspected having regard to the information provided to the manufacturer by the designer of the plant under the Act and these Regulations;</w:t>
      </w:r>
    </w:p>
    <w:p>
      <w:pPr>
        <w:numPr>
          <w:ilvl w:val="0"/>
          <w:numId w:val="366"/>
        </w:numPr>
        <w:tabs>
          <w:tab w:val="clear" w:pos="360"/>
          <w:tab w:val="left" w:pos="1872"/>
        </w:tabs>
        <w:spacing w:before="120" w:after="0" w:line="276"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information provided to the manufacturer by the designer of the plant under the Act and these Regulations requires the plant to be tested—that the plant is tested in accordance with that information;</w:t>
      </w:r>
    </w:p>
    <w:p>
      <w:pPr>
        <w:numPr>
          <w:ilvl w:val="0"/>
          <w:numId w:val="366"/>
        </w:numPr>
        <w:tabs>
          <w:tab w:val="clear" w:pos="360"/>
          <w:tab w:val="left" w:pos="1872"/>
        </w:tabs>
        <w:spacing w:before="118" w:after="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during the manufacturing process, any hazard is identified in the design of the plant for which the designer has not provided a control measure:</w:t>
      </w:r>
    </w:p>
    <w:p>
      <w:pPr>
        <w:numPr>
          <w:ilvl w:val="0"/>
          <w:numId w:val="367"/>
        </w:numPr>
        <w:tabs>
          <w:tab w:val="clear" w:pos="504"/>
          <w:tab w:val="left" w:pos="2376"/>
        </w:tabs>
        <w:spacing w:before="124" w:after="0" w:line="274" w:lineRule="exact"/>
        <w:ind w:right="216"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the hazard is not incorporated into the manufacture of the plant; and</w:t>
      </w:r>
    </w:p>
    <w:p>
      <w:pPr>
        <w:numPr>
          <w:ilvl w:val="0"/>
          <w:numId w:val="367"/>
        </w:numPr>
        <w:tabs>
          <w:tab w:val="clear" w:pos="504"/>
          <w:tab w:val="left" w:pos="2376"/>
        </w:tabs>
        <w:spacing w:before="124" w:after="0" w:line="274" w:lineRule="exact"/>
        <w:ind w:right="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the designer of the plant is given written notice of the hazard as soon as practicable; and</w:t>
      </w:r>
    </w:p>
    <w:p>
      <w:pPr>
        <w:numPr>
          <w:ilvl w:val="0"/>
          <w:numId w:val="367"/>
        </w:numPr>
        <w:tabs>
          <w:tab w:val="clear" w:pos="504"/>
          <w:tab w:val="left" w:pos="2376"/>
        </w:tabs>
        <w:spacing w:before="122" w:after="0" w:line="276" w:lineRule="exact"/>
        <w:ind w:right="432"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all reasonable steps are taken to consult with the designer of the plant in relation to the alteration of the design to rectify the hazard.</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2" w:after="0" w:line="276" w:lineRule="exact"/>
        <w:ind w:right="50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 manufacturer of plant must ensure that, if it is not possible to inform the designer about the hazard in accordance with subregulation (1):</w:t>
      </w:r>
    </w:p>
    <w:p>
      <w:pPr>
        <w:spacing w:before="121" w:after="1286"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the risk is eliminated, so far as is reasonably practicable; or</w:t>
      </w:r>
    </w:p>
    <w:p>
      <w:pPr>
        <w:spacing w:before="121" w:after="1286"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148</w:t>
      </w:r>
    </w:p>
    <w:p>
      <w:pPr>
        <w:sectPr>
          <w:type w:val="continuous"/>
          <w:pgSz w:w="11909" w:h="16838" w:orient="portrait"/>
          <w:pgMar w:bottom="1082" w:top="1140" w:right="5814" w:left="1975"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5.1	</w:t>
      </w:r>
      <w:r>
        <w:rPr>
          <w:rFonts w:ascii="Times New Roman" w:hAnsi="Times New Roman" w:eastAsia="Times New Roman"/>
          <w:color w:val="000000"/>
          <w:spacing w:val="0"/>
          <w:w w:val="100"/>
          <w:sz w:val="20"/>
          <w:vertAlign w:val="baseline"/>
          <w:lang w:val="en-US"/>
        </w:rPr>
        <w:t xml:space="preserve">General Duties for Plant and Structures</w:t>
      </w:r>
    </w:p>
    <w:p>
      <w:pPr>
        <w:spacing w:before="245" w:after="0" w:line="279"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(b) if it is not reasonably practicable to eliminate the risk, the risk is minimised so far as is reasonably practicable.</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7"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WHS Act—section 23 (see regulation 9).</w:t>
      </w:r>
    </w:p>
    <w:p>
      <w:pPr>
        <w:spacing w:before="119" w:after="0" w:line="274" w:lineRule="exact"/>
        <w:ind w:right="57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A manufacturer to whom subregulation (1)(c) applies must not manufacture the plant until:</w:t>
      </w:r>
    </w:p>
    <w:p>
      <w:pPr>
        <w:numPr>
          <w:ilvl w:val="0"/>
          <w:numId w:val="368"/>
        </w:numPr>
        <w:tabs>
          <w:tab w:val="clear" w:pos="360"/>
          <w:tab w:val="left" w:pos="1872"/>
        </w:tabs>
        <w:spacing w:before="124" w:after="0" w:line="274"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designer gives the manufacturer the revised information or written instruction under regulation 188; or</w:t>
      </w:r>
    </w:p>
    <w:p>
      <w:pPr>
        <w:numPr>
          <w:ilvl w:val="0"/>
          <w:numId w:val="368"/>
        </w:numPr>
        <w:tabs>
          <w:tab w:val="clear" w:pos="360"/>
          <w:tab w:val="left" w:pos="1872"/>
        </w:tabs>
        <w:spacing w:before="124" w:after="0" w:line="274" w:lineRule="exact"/>
        <w:ind w:right="72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manufacturer eliminates or minimises the risk under subregulation (2).</w:t>
      </w:r>
    </w:p>
    <w:p>
      <w:pPr>
        <w:spacing w:before="129"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7"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WHS Act—section 23 (see regulation 9).</w:t>
      </w:r>
    </w:p>
    <w:p>
      <w:pPr>
        <w:spacing w:before="117" w:after="0" w:line="276" w:lineRule="exact"/>
        <w:ind w:right="50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If the designer notifies a manufacturer of plant under regulation 188, the manufacturer may proceed in accordance with the designer's original information.</w:t>
      </w:r>
    </w:p>
    <w:p>
      <w:pPr>
        <w:spacing w:before="121" w:after="0" w:line="273" w:lineRule="exact"/>
        <w:ind w:right="0" w:left="288" w:firstLine="0"/>
        <w:jc w:val="left"/>
        <w:textAlignment w:val="baseline"/>
        <w:rPr>
          <w:rFonts w:ascii="Times New Roman" w:hAnsi="Times New Roman" w:eastAsia="Times New Roman"/>
          <w:b w:val="true"/>
          <w:color w:val="000000"/>
          <w:spacing w:val="10"/>
          <w:w w:val="100"/>
          <w:sz w:val="24"/>
          <w:vertAlign w:val="baseline"/>
          <w:lang w:val="en-US"/>
        </w:rPr>
      </w:pPr>
      <w:r>
        <w:rPr>
          <w:rFonts w:ascii="Times New Roman" w:hAnsi="Times New Roman" w:eastAsia="Times New Roman"/>
          <w:b w:val="true"/>
          <w:color w:val="000000"/>
          <w:spacing w:val="10"/>
          <w:w w:val="100"/>
          <w:sz w:val="24"/>
          <w:vertAlign w:val="baseline"/>
          <w:lang w:val="en-US"/>
        </w:rPr>
        <w:t xml:space="preserve">194 Guarding</w:t>
      </w:r>
    </w:p>
    <w:p>
      <w:pPr>
        <w:numPr>
          <w:ilvl w:val="0"/>
          <w:numId w:val="369"/>
        </w:numPr>
        <w:tabs>
          <w:tab w:val="clear" w:pos="360"/>
          <w:tab w:val="left" w:pos="1368"/>
        </w:tabs>
        <w:spacing w:before="122" w:after="0" w:line="276" w:lineRule="exact"/>
        <w:ind w:right="72"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manufacturer of plant must ensure that guarding used as a control measure is of solid construction and securely mounted so as to resist impact or shock.</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369"/>
        </w:numPr>
        <w:tabs>
          <w:tab w:val="clear" w:pos="360"/>
          <w:tab w:val="left" w:pos="1368"/>
        </w:tabs>
        <w:spacing w:before="125" w:after="0" w:line="273"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manufacturer of plant must ensure:</w:t>
      </w:r>
    </w:p>
    <w:p>
      <w:pPr>
        <w:numPr>
          <w:ilvl w:val="0"/>
          <w:numId w:val="370"/>
        </w:numPr>
        <w:tabs>
          <w:tab w:val="clear" w:pos="360"/>
          <w:tab w:val="left" w:pos="1872"/>
        </w:tabs>
        <w:spacing w:before="120"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any guarding used as a control measure in relation to plant is of a kind that can be removed to allow maintenance and cleaning of the plant at any time that the plant is not in normal operation; and</w:t>
      </w:r>
    </w:p>
    <w:p>
      <w:pPr>
        <w:numPr>
          <w:ilvl w:val="0"/>
          <w:numId w:val="370"/>
        </w:numPr>
        <w:tabs>
          <w:tab w:val="clear" w:pos="360"/>
          <w:tab w:val="left" w:pos="1872"/>
        </w:tabs>
        <w:spacing w:before="118"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guarding is removed—that, so far as is reasonably practicable, the plant cannot be restarted unless the guarding is replaced.</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0" w:after="830" w:line="396" w:lineRule="exact"/>
        <w:ind w:right="0" w:left="1368" w:hanging="1080"/>
        <w:jc w:val="left"/>
        <w:textAlignment w:val="baseline"/>
        <w:rPr>
          <w:rFonts w:ascii="Times New Roman" w:hAnsi="Times New Roman" w:eastAsia="Times New Roman"/>
          <w:b w:val="true"/>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b w:val="true"/>
          <w:color w:val="000000"/>
          <w:spacing w:val="0"/>
          <w:w w:val="100"/>
          <w:sz w:val="24"/>
          <w:vertAlign w:val="baseline"/>
          <w:lang w:val="en-US"/>
        </w:rPr>
        <w:t xml:space="preserve">195 Information must be obtained and provided</w:t>
        <w:br/>
      </w:r>
      <w:r>
        <w:rPr>
          <w:rFonts w:ascii="Times New Roman" w:hAnsi="Times New Roman" w:eastAsia="Times New Roman"/>
          <w:color w:val="000000"/>
          <w:spacing w:val="0"/>
          <w:w w:val="100"/>
          <w:sz w:val="24"/>
          <w:vertAlign w:val="baseline"/>
          <w:lang w:val="en-US"/>
        </w:rPr>
        <w:t xml:space="preserve">A manufacturer of plant must:</w:t>
      </w:r>
    </w:p>
    <w:p>
      <w:pPr>
        <w:spacing w:before="0" w:after="830" w:line="39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149</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5.1	</w:t>
      </w:r>
      <w:r>
        <w:rPr>
          <w:rFonts w:ascii="Times New Roman" w:hAnsi="Times New Roman" w:eastAsia="Times New Roman"/>
          <w:color w:val="000000"/>
          <w:spacing w:val="0"/>
          <w:w w:val="100"/>
          <w:sz w:val="20"/>
          <w:vertAlign w:val="baseline"/>
          <w:lang w:val="en-US"/>
        </w:rPr>
        <w:t xml:space="preserve">General Duties for Plant and Structures</w:t>
      </w:r>
    </w:p>
    <w:p>
      <w:pPr>
        <w:numPr>
          <w:ilvl w:val="0"/>
          <w:numId w:val="371"/>
        </w:numPr>
        <w:tabs>
          <w:tab w:val="clear" w:pos="360"/>
          <w:tab w:val="left" w:pos="1872"/>
        </w:tabs>
        <w:spacing w:before="247" w:after="0" w:line="277"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take all reasonable steps to obtain the information required to be provided to the manufacturer by the designer of the plant under section 22(4)(a) and (c) of the Act and regulations 187 and 188; and</w:t>
      </w:r>
    </w:p>
    <w:p>
      <w:pPr>
        <w:numPr>
          <w:ilvl w:val="0"/>
          <w:numId w:val="371"/>
        </w:numPr>
        <w:tabs>
          <w:tab w:val="clear" w:pos="360"/>
          <w:tab w:val="left" w:pos="1872"/>
        </w:tabs>
        <w:spacing w:before="117" w:after="0" w:line="276"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ensure that a person to whom the manufacturer supplies the plant is, at the time of supply, provided with the information provided to the manufacturer by the designer under</w:t>
      </w:r>
    </w:p>
    <w:p>
      <w:pPr>
        <w:spacing w:before="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section 22(4)(a) and (c) of the Act and regulation 187; and</w:t>
      </w:r>
    </w:p>
    <w:p>
      <w:pPr>
        <w:numPr>
          <w:ilvl w:val="0"/>
          <w:numId w:val="371"/>
        </w:numPr>
        <w:tabs>
          <w:tab w:val="clear" w:pos="360"/>
          <w:tab w:val="left" w:pos="1872"/>
        </w:tabs>
        <w:spacing w:before="117"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manufacturer acts in accordance with regulation 193(1)(c), ensure that a person to whom the manufacturer supplies the plant is provided with the information, applicable to the plant, that is required to be provided by the designer under sections 22(4)(a) and (c) of the Act and regulation 188.</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tabs>
          <w:tab w:val="right" w:leader="none" w:pos="7920"/>
        </w:tabs>
        <w:spacing w:before="245"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4	</w:t>
      </w:r>
      <w:r>
        <w:rPr>
          <w:rFonts w:ascii="Times New Roman" w:hAnsi="Times New Roman" w:eastAsia="Times New Roman"/>
          <w:b w:val="true"/>
          <w:color w:val="000000"/>
          <w:spacing w:val="0"/>
          <w:w w:val="100"/>
          <w:sz w:val="24"/>
          <w:vertAlign w:val="baseline"/>
          <w:lang w:val="en-US"/>
        </w:rPr>
        <w:t xml:space="preserve">Duties of persons conducting businesses or undertakings that</w:t>
      </w:r>
    </w:p>
    <w:p>
      <w:pPr>
        <w:spacing w:before="5" w:after="0" w:line="274" w:lineRule="exact"/>
        <w:ind w:right="0" w:left="1512"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import plant</w:t>
      </w:r>
    </w:p>
    <w:p>
      <w:pPr>
        <w:spacing w:before="0" w:after="0" w:line="393" w:lineRule="exact"/>
        <w:ind w:right="1656" w:left="1368" w:hanging="108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196 Information to be obtained and provided by importer </w:t>
      </w:r>
      <w:r>
        <w:rPr>
          <w:rFonts w:ascii="Times New Roman" w:hAnsi="Times New Roman" w:eastAsia="Times New Roman"/>
          <w:color w:val="000000"/>
          <w:spacing w:val="0"/>
          <w:w w:val="100"/>
          <w:sz w:val="24"/>
          <w:vertAlign w:val="baseline"/>
          <w:lang w:val="en-US"/>
        </w:rPr>
        <w:t xml:space="preserve">An importer of plant must:</w:t>
      </w:r>
    </w:p>
    <w:p>
      <w:pPr>
        <w:spacing w:before="125"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take all reasonable steps to obtain:</w:t>
      </w:r>
    </w:p>
    <w:p>
      <w:pPr>
        <w:numPr>
          <w:ilvl w:val="0"/>
          <w:numId w:val="372"/>
        </w:numPr>
        <w:tabs>
          <w:tab w:val="clear" w:pos="360"/>
          <w:tab w:val="left" w:pos="2376"/>
        </w:tabs>
        <w:spacing w:before="118" w:after="0" w:line="276" w:lineRule="exact"/>
        <w:ind w:right="144" w:left="2376"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information that would be required to be provided by a manufacturer under section 23(4)(a) and (c) of the Act; and</w:t>
      </w:r>
    </w:p>
    <w:p>
      <w:pPr>
        <w:numPr>
          <w:ilvl w:val="0"/>
          <w:numId w:val="372"/>
        </w:numPr>
        <w:tabs>
          <w:tab w:val="clear" w:pos="360"/>
          <w:tab w:val="left" w:pos="2376"/>
        </w:tabs>
        <w:spacing w:before="122" w:after="0" w:line="276" w:lineRule="exact"/>
        <w:ind w:right="14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information that would be required to be provided by the designer of the plant to the manufacturer under regulations 187 and 188; and</w:t>
      </w:r>
    </w:p>
    <w:p>
      <w:pPr>
        <w:spacing w:before="116" w:after="0" w:line="278"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give that information to any person to whom the importer supplies the plant.</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1" w:after="2078"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corporate—$18 000.</w:t>
      </w:r>
    </w:p>
    <w:p>
      <w:pPr>
        <w:spacing w:before="121" w:after="2078"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150</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5.1	</w:t>
      </w:r>
      <w:r>
        <w:rPr>
          <w:rFonts w:ascii="Times New Roman" w:hAnsi="Times New Roman" w:eastAsia="Times New Roman"/>
          <w:color w:val="000000"/>
          <w:spacing w:val="0"/>
          <w:w w:val="100"/>
          <w:sz w:val="20"/>
          <w:vertAlign w:val="baseline"/>
          <w:lang w:val="en-US"/>
        </w:rPr>
        <w:t xml:space="preserve">General Duties for Plant and Structures</w:t>
      </w:r>
    </w:p>
    <w:p>
      <w:pPr>
        <w:spacing w:before="251" w:after="0" w:line="274" w:lineRule="exact"/>
        <w:ind w:right="0" w:left="288" w:firstLine="0"/>
        <w:jc w:val="left"/>
        <w:textAlignment w:val="baseline"/>
        <w:rPr>
          <w:rFonts w:ascii="Times New Roman" w:hAnsi="Times New Roman" w:eastAsia="Times New Roman"/>
          <w:b w:val="true"/>
          <w:color w:val="000000"/>
          <w:spacing w:val="6"/>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6"/>
          <w:w w:val="100"/>
          <w:sz w:val="24"/>
          <w:vertAlign w:val="baseline"/>
          <w:lang w:val="en-US"/>
        </w:rPr>
        <w:t xml:space="preserve">197 Control of risk</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importer of plant must:</w:t>
      </w:r>
    </w:p>
    <w:p>
      <w:pPr>
        <w:spacing w:before="114" w:after="0" w:line="279" w:lineRule="exact"/>
        <w:ind w:right="100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ensure that the plant is inspected having regard to the information provided by the manufacturer; and</w:t>
      </w:r>
    </w:p>
    <w:p>
      <w:pPr>
        <w:spacing w:before="117"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if the information provided by the manufacturer requires the plant to be tested—ensure that the plant is tested in accordance with that information; and</w:t>
      </w:r>
    </w:p>
    <w:p>
      <w:pPr>
        <w:spacing w:before="126"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if any hazards are identified:</w:t>
      </w:r>
    </w:p>
    <w:p>
      <w:pPr>
        <w:numPr>
          <w:ilvl w:val="0"/>
          <w:numId w:val="373"/>
        </w:numPr>
        <w:tabs>
          <w:tab w:val="clear" w:pos="360"/>
          <w:tab w:val="left" w:pos="2376"/>
        </w:tabs>
        <w:spacing w:before="114" w:after="0" w:line="279" w:lineRule="exact"/>
        <w:ind w:right="288"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ensure that the plant is not supplied until the risks have been eliminated so far as is reasonably practicable; and</w:t>
      </w:r>
    </w:p>
    <w:p>
      <w:pPr>
        <w:numPr>
          <w:ilvl w:val="0"/>
          <w:numId w:val="373"/>
        </w:numPr>
        <w:tabs>
          <w:tab w:val="clear" w:pos="360"/>
          <w:tab w:val="left" w:pos="2376"/>
        </w:tabs>
        <w:spacing w:before="117" w:after="0" w:line="276" w:lineRule="exact"/>
        <w:ind w:right="7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it is not reasonably practicable to eliminate the risks, inform the person to whom the plant is supplied about the risks; and</w:t>
      </w:r>
    </w:p>
    <w:p>
      <w:pPr>
        <w:spacing w:before="118" w:after="0" w:line="276" w:lineRule="exact"/>
        <w:ind w:right="64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take all reasonable steps to ensure that the designer and manufacturer of the plant are consulted in relation to any alteration made to the plant to control the risk.</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tabs>
          <w:tab w:val="right" w:leader="none" w:pos="7920"/>
        </w:tabs>
        <w:spacing w:before="241"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5	</w:t>
      </w:r>
      <w:r>
        <w:rPr>
          <w:rFonts w:ascii="Times New Roman" w:hAnsi="Times New Roman" w:eastAsia="Times New Roman"/>
          <w:b w:val="true"/>
          <w:color w:val="000000"/>
          <w:spacing w:val="0"/>
          <w:w w:val="100"/>
          <w:sz w:val="24"/>
          <w:vertAlign w:val="baseline"/>
          <w:lang w:val="en-US"/>
        </w:rPr>
        <w:t xml:space="preserve">Duties of persons conducting businesses or undertakings that</w:t>
      </w:r>
    </w:p>
    <w:p>
      <w:pPr>
        <w:spacing w:before="9" w:after="0" w:line="274" w:lineRule="exact"/>
        <w:ind w:right="0" w:left="1512"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supply plant</w:t>
      </w:r>
    </w:p>
    <w:p>
      <w:pPr>
        <w:spacing w:before="0" w:after="0" w:line="393" w:lineRule="exact"/>
        <w:ind w:right="1656" w:left="1368" w:hanging="108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198 Information to be obtained and provided by supplier </w:t>
      </w:r>
      <w:r>
        <w:rPr>
          <w:rFonts w:ascii="Times New Roman" w:hAnsi="Times New Roman" w:eastAsia="Times New Roman"/>
          <w:color w:val="000000"/>
          <w:spacing w:val="0"/>
          <w:w w:val="100"/>
          <w:sz w:val="24"/>
          <w:vertAlign w:val="baseline"/>
          <w:lang w:val="en-US"/>
        </w:rPr>
        <w:t xml:space="preserve">A supplier of plant must:</w:t>
      </w:r>
    </w:p>
    <w:p>
      <w:pPr>
        <w:numPr>
          <w:ilvl w:val="0"/>
          <w:numId w:val="374"/>
        </w:numPr>
        <w:tabs>
          <w:tab w:val="clear" w:pos="360"/>
          <w:tab w:val="left" w:pos="1872"/>
        </w:tabs>
        <w:spacing w:before="118"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take all reasonable steps to obtain the information required to be provided by the manufacturer under section 23(4)(a) and (c) of the Act and these Regulations; and</w:t>
      </w:r>
    </w:p>
    <w:p>
      <w:pPr>
        <w:numPr>
          <w:ilvl w:val="0"/>
          <w:numId w:val="374"/>
        </w:numPr>
        <w:tabs>
          <w:tab w:val="clear" w:pos="360"/>
          <w:tab w:val="left" w:pos="1872"/>
        </w:tabs>
        <w:spacing w:before="122"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ensure that, when the plant is supplied, the person to whom the plant is supplied is given the information obtained by the supplier under paragraph (a).</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1" w:after="1718"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corporate—$18 000.</w:t>
      </w:r>
    </w:p>
    <w:p>
      <w:pPr>
        <w:spacing w:before="121" w:after="1718"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151</w:t>
      </w:r>
    </w:p>
    <w:p>
      <w:pPr>
        <w:sectPr>
          <w:type w:val="continuous"/>
          <w:pgSz w:w="11909" w:h="16838" w:orient="portrait"/>
          <w:pgMar w:bottom="1082" w:top="1140" w:right="5819" w:left="1970"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5.1	</w:t>
      </w:r>
      <w:r>
        <w:rPr>
          <w:rFonts w:ascii="Times New Roman" w:hAnsi="Times New Roman" w:eastAsia="Times New Roman"/>
          <w:color w:val="000000"/>
          <w:spacing w:val="0"/>
          <w:w w:val="100"/>
          <w:sz w:val="20"/>
          <w:vertAlign w:val="baseline"/>
          <w:lang w:val="en-US"/>
        </w:rPr>
        <w:t xml:space="preserve">General Duties for Plant and Structures</w:t>
      </w:r>
    </w:p>
    <w:p>
      <w:pPr>
        <w:spacing w:before="251" w:after="0" w:line="273"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2"/>
          <w:w w:val="100"/>
          <w:sz w:val="24"/>
          <w:vertAlign w:val="baseline"/>
          <w:lang w:val="en-US"/>
        </w:rPr>
        <w:t xml:space="preserve">199 Supply of second-hand plant—duties of supplier</w:t>
      </w:r>
    </w:p>
    <w:p>
      <w:pPr>
        <w:spacing w:before="126" w:after="0" w:line="273"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supplier of second-hand plant must ensure, so far as is reasonably practicable, that any faults in the plant are identified.</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6"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7" w:after="0" w:line="276"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 supplier of second-hand plant must ensure that the person to whom the plant is supplied is, before the plant is supplied, given written notice:</w:t>
      </w:r>
    </w:p>
    <w:p>
      <w:pPr>
        <w:numPr>
          <w:ilvl w:val="0"/>
          <w:numId w:val="375"/>
        </w:numPr>
        <w:tabs>
          <w:tab w:val="clear" w:pos="288"/>
          <w:tab w:val="left" w:pos="1872"/>
        </w:tabs>
        <w:spacing w:before="126"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of the condition of the plant; and</w:t>
      </w:r>
    </w:p>
    <w:p>
      <w:pPr>
        <w:numPr>
          <w:ilvl w:val="0"/>
          <w:numId w:val="375"/>
        </w:numPr>
        <w:tabs>
          <w:tab w:val="clear" w:pos="288"/>
          <w:tab w:val="left" w:pos="1872"/>
        </w:tabs>
        <w:spacing w:before="120"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of any faults identified under subregulation (1); and</w:t>
      </w:r>
    </w:p>
    <w:p>
      <w:pPr>
        <w:numPr>
          <w:ilvl w:val="0"/>
          <w:numId w:val="375"/>
        </w:numPr>
        <w:tabs>
          <w:tab w:val="clear" w:pos="288"/>
          <w:tab w:val="left" w:pos="1872"/>
        </w:tabs>
        <w:spacing w:before="126" w:after="0" w:line="273" w:lineRule="exact"/>
        <w:ind w:right="144"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appropriate, that the plant should not be used until the faults are rectified.</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74" w:lineRule="exact"/>
        <w:ind w:right="144"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This regulation does not apply to plant to be used for scrap or spare parts.</w:t>
      </w:r>
    </w:p>
    <w:p>
      <w:pPr>
        <w:spacing w:before="125" w:after="0" w:line="273"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200 Second-hand plant to be used for scrap or spare parts</w:t>
      </w:r>
    </w:p>
    <w:p>
      <w:pPr>
        <w:spacing w:before="118" w:after="0" w:line="276" w:lineRule="exact"/>
        <w:ind w:right="216"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tabs>
          <w:tab w:val="right" w:leader="none" w:pos="7920"/>
        </w:tabs>
        <w:spacing w:before="241" w:after="0" w:line="273"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6	</w:t>
      </w:r>
      <w:r>
        <w:rPr>
          <w:rFonts w:ascii="Times New Roman" w:hAnsi="Times New Roman" w:eastAsia="Times New Roman"/>
          <w:b w:val="true"/>
          <w:color w:val="000000"/>
          <w:spacing w:val="0"/>
          <w:w w:val="100"/>
          <w:sz w:val="24"/>
          <w:vertAlign w:val="baseline"/>
          <w:lang w:val="en-US"/>
        </w:rPr>
        <w:t xml:space="preserve">Duties of persons conducting businesses or undertakings that</w:t>
      </w:r>
    </w:p>
    <w:p>
      <w:pPr>
        <w:spacing w:before="10" w:after="0" w:line="273" w:lineRule="exact"/>
        <w:ind w:right="0" w:left="0" w:firstLine="0"/>
        <w:jc w:val="center"/>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install, construct or commission plant or structures</w:t>
      </w:r>
    </w:p>
    <w:p>
      <w:pPr>
        <w:tabs>
          <w:tab w:val="right" w:leader="none" w:pos="7920"/>
        </w:tabs>
        <w:spacing w:before="116" w:after="0" w:line="273"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201	</w:t>
      </w:r>
      <w:r>
        <w:rPr>
          <w:rFonts w:ascii="Times New Roman" w:hAnsi="Times New Roman" w:eastAsia="Times New Roman"/>
          <w:b w:val="true"/>
          <w:color w:val="000000"/>
          <w:spacing w:val="0"/>
          <w:w w:val="100"/>
          <w:sz w:val="24"/>
          <w:vertAlign w:val="baseline"/>
          <w:lang w:val="en-US"/>
        </w:rPr>
        <w:t xml:space="preserve">Duties of persons conducting businesses or undertakings that install,</w:t>
      </w:r>
    </w:p>
    <w:p>
      <w:pPr>
        <w:spacing w:before="5" w:after="0" w:line="273"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construct or commission plant</w:t>
      </w:r>
    </w:p>
    <w:p>
      <w:pPr>
        <w:spacing w:before="116" w:after="1200" w:line="278" w:lineRule="exact"/>
        <w:ind w:right="216" w:left="1368" w:hanging="360"/>
        <w:jc w:val="left"/>
        <w:textAlignment w:val="baseline"/>
        <w:rPr>
          <w:rFonts w:ascii="Times New Roman" w:hAnsi="Times New Roman" w:eastAsia="Times New Roman"/>
          <w:color w:val="000000"/>
          <w:spacing w:val="-1"/>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1"/>
          <w:w w:val="100"/>
          <w:sz w:val="24"/>
          <w:vertAlign w:val="baseline"/>
          <w:lang w:val="en-US"/>
        </w:rPr>
        <w:t xml:space="preserve">(1) This regulation applies to a person who conducts a business or undertaking that installs, constructs or commissions plant that is to</w:t>
      </w:r>
    </w:p>
    <w:p>
      <w:pPr>
        <w:spacing w:before="116" w:after="1200"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152</w:t>
      </w:r>
    </w:p>
    <w:p>
      <w:pPr>
        <w:sectPr>
          <w:type w:val="continuous"/>
          <w:pgSz w:w="11909" w:h="16838" w:orient="portrait"/>
          <w:pgMar w:bottom="1082" w:top="1140" w:right="5812" w:left="1977" w:header="720" w:footer="720"/>
          <w:titlePg w:val="false"/>
          <w:textDirection w:val="lrTb"/>
        </w:sectPr>
      </w:pPr>
    </w:p>
    <w:p>
      <w:pPr>
        <w:spacing w:before="3"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5"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5.1	</w:t>
      </w:r>
      <w:r>
        <w:rPr>
          <w:rFonts w:ascii="Times New Roman" w:hAnsi="Times New Roman" w:eastAsia="Times New Roman"/>
          <w:color w:val="000000"/>
          <w:spacing w:val="0"/>
          <w:w w:val="100"/>
          <w:sz w:val="20"/>
          <w:vertAlign w:val="baseline"/>
          <w:lang w:val="en-US"/>
        </w:rPr>
        <w:t xml:space="preserve">General Duties for Plant and Structures</w:t>
      </w:r>
    </w:p>
    <w:p>
      <w:pPr>
        <w:spacing w:before="245" w:after="0" w:line="279" w:lineRule="exact"/>
        <w:ind w:right="504"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be used, or could reasonably be expected to be used, as, or at, a workplace.</w:t>
      </w:r>
    </w:p>
    <w:p>
      <w:pPr>
        <w:spacing w:before="114" w:after="0" w:line="279"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person must ensure that the plant is installed, constructed or commissioned having regard to:</w:t>
      </w:r>
    </w:p>
    <w:p>
      <w:pPr>
        <w:numPr>
          <w:ilvl w:val="0"/>
          <w:numId w:val="376"/>
        </w:numPr>
        <w:tabs>
          <w:tab w:val="clear" w:pos="360"/>
          <w:tab w:val="left" w:pos="1872"/>
        </w:tabs>
        <w:spacing w:before="117" w:after="0" w:line="276" w:lineRule="exact"/>
        <w:ind w:right="72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information provided by the designer, manufacturer, importer or supplier of the plant under the Act and these Regulations; or</w:t>
      </w:r>
    </w:p>
    <w:p>
      <w:pPr>
        <w:numPr>
          <w:ilvl w:val="0"/>
          <w:numId w:val="376"/>
        </w:numPr>
        <w:tabs>
          <w:tab w:val="clear" w:pos="360"/>
          <w:tab w:val="left" w:pos="1872"/>
        </w:tabs>
        <w:spacing w:before="126" w:after="0" w:line="273"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instructions provided by a competent person to the extent that those instructions relate to health and safety.</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tabs>
          <w:tab w:val="left" w:leader="none" w:pos="864"/>
        </w:tabs>
        <w:spacing w:before="115" w:after="0" w:line="276" w:lineRule="exact"/>
        <w:ind w:right="72"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202	</w:t>
      </w:r>
      <w:r>
        <w:rPr>
          <w:rFonts w:ascii="Times New Roman" w:hAnsi="Times New Roman" w:eastAsia="Times New Roman"/>
          <w:b w:val="true"/>
          <w:color w:val="000000"/>
          <w:spacing w:val="0"/>
          <w:w w:val="100"/>
          <w:sz w:val="24"/>
          <w:vertAlign w:val="baseline"/>
          <w:lang w:val="en-US"/>
        </w:rPr>
        <w:t xml:space="preserve">Duties of persons conducting businesses or undertakings that install, construct or commission structures</w:t>
      </w:r>
    </w:p>
    <w:p>
      <w:pPr>
        <w:numPr>
          <w:ilvl w:val="0"/>
          <w:numId w:val="377"/>
        </w:numPr>
        <w:tabs>
          <w:tab w:val="clear" w:pos="360"/>
          <w:tab w:val="left" w:pos="1368"/>
        </w:tabs>
        <w:spacing w:before="124" w:after="0"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regulation applies to a person who conducts a business or undertaking that installs, constructs or commissions a structure that is to be used, or could reasonably be expected to be used, as or at, a workplace.</w:t>
      </w:r>
    </w:p>
    <w:p>
      <w:pPr>
        <w:numPr>
          <w:ilvl w:val="0"/>
          <w:numId w:val="377"/>
        </w:numPr>
        <w:tabs>
          <w:tab w:val="clear" w:pos="360"/>
          <w:tab w:val="left" w:pos="1368"/>
        </w:tabs>
        <w:spacing w:before="124" w:after="0" w:line="274" w:lineRule="exact"/>
        <w:ind w:right="72"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ensure that the structure is installed, constructed or commissioned having regard to:</w:t>
      </w:r>
    </w:p>
    <w:p>
      <w:pPr>
        <w:numPr>
          <w:ilvl w:val="0"/>
          <w:numId w:val="378"/>
        </w:numPr>
        <w:tabs>
          <w:tab w:val="clear" w:pos="360"/>
          <w:tab w:val="left" w:pos="1872"/>
        </w:tabs>
        <w:spacing w:before="122" w:after="0" w:line="276"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information provided by the designer, manufacturer, importer or supplier of the structure under the Act and these Regulations; or</w:t>
      </w:r>
    </w:p>
    <w:p>
      <w:pPr>
        <w:numPr>
          <w:ilvl w:val="0"/>
          <w:numId w:val="378"/>
        </w:numPr>
        <w:tabs>
          <w:tab w:val="clear" w:pos="360"/>
          <w:tab w:val="left" w:pos="1872"/>
        </w:tabs>
        <w:spacing w:before="116" w:after="0" w:line="278"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instructions provided by a competent person to the extent that those instructions relate to health and safety.</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tabs>
          <w:tab w:val="left" w:leader="none" w:pos="1584"/>
        </w:tabs>
        <w:spacing w:before="245" w:after="0" w:line="276" w:lineRule="exact"/>
        <w:ind w:right="432" w:left="1512" w:hanging="1512"/>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7	</w:t>
      </w:r>
      <w:r>
        <w:rPr>
          <w:rFonts w:ascii="Times New Roman" w:hAnsi="Times New Roman" w:eastAsia="Times New Roman"/>
          <w:b w:val="true"/>
          <w:color w:val="000000"/>
          <w:spacing w:val="0"/>
          <w:w w:val="100"/>
          <w:sz w:val="24"/>
          <w:vertAlign w:val="baseline"/>
          <w:lang w:val="en-US"/>
        </w:rPr>
        <w:t xml:space="preserve">General duties of a person conducting a business or undertaking involving the management or control of plant</w:t>
      </w:r>
    </w:p>
    <w:p>
      <w:pPr>
        <w:spacing w:before="124"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19" w:after="1007" w:line="230" w:lineRule="exact"/>
        <w:ind w:right="72" w:left="864"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rFonts w:ascii="Times New Roman" w:hAnsi="Times New Roman" w:eastAsia="Times New Roman"/>
          <w:b w:val="true"/>
          <w:i w:val="true"/>
          <w:color w:val="000000"/>
          <w:spacing w:val="0"/>
          <w:w w:val="100"/>
          <w:sz w:val="21"/>
          <w:vertAlign w:val="baseline"/>
          <w:lang w:val="en-US"/>
        </w:rPr>
        <w:t xml:space="preserve">person with management or control of plant at a workplace </w:t>
      </w:r>
      <w:r>
        <w:rPr>
          <w:rFonts w:ascii="Times New Roman" w:hAnsi="Times New Roman" w:eastAsia="Times New Roman"/>
          <w:color w:val="000000"/>
          <w:spacing w:val="0"/>
          <w:w w:val="100"/>
          <w:sz w:val="20"/>
          <w:vertAlign w:val="baseline"/>
          <w:lang w:val="en-US"/>
        </w:rPr>
        <w:t xml:space="preserve">in regulation 5(1) and section 21 of the Act.</w:t>
      </w:r>
    </w:p>
    <w:p>
      <w:pPr>
        <w:spacing w:before="119" w:after="1007" w:line="230"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153</w:t>
      </w:r>
    </w:p>
    <w:p>
      <w:pPr>
        <w:sectPr>
          <w:type w:val="continuous"/>
          <w:pgSz w:w="11909" w:h="16838" w:orient="portrait"/>
          <w:pgMar w:bottom="1082" w:top="1140" w:right="5817" w:left="1972"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5.1	</w:t>
      </w:r>
      <w:r>
        <w:rPr>
          <w:rFonts w:ascii="Times New Roman" w:hAnsi="Times New Roman" w:eastAsia="Times New Roman"/>
          <w:color w:val="000000"/>
          <w:spacing w:val="0"/>
          <w:w w:val="100"/>
          <w:sz w:val="20"/>
          <w:vertAlign w:val="baseline"/>
          <w:lang w:val="en-US"/>
        </w:rPr>
        <w:t xml:space="preserve">General Duties for Plant and Structures</w:t>
      </w:r>
    </w:p>
    <w:p>
      <w:pPr>
        <w:spacing w:before="256" w:after="0" w:line="273"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4"/>
          <w:vertAlign w:val="baseline"/>
          <w:lang w:val="en-US"/>
        </w:rPr>
        <w:t xml:space="preserve">Subdivision 1 Management of risks</w:t>
      </w:r>
    </w:p>
    <w:p>
      <w:pPr>
        <w:spacing w:before="121" w:after="0" w:line="273"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203 Management of risks to health and safety</w:t>
      </w:r>
    </w:p>
    <w:p>
      <w:pPr>
        <w:spacing w:before="117" w:after="0" w:line="276" w:lineRule="exact"/>
        <w:ind w:right="144"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with management or control of plant at a workplace must manage risks to health and safety associated with plant, in accordance with Part 3.1.</w:t>
      </w:r>
    </w:p>
    <w:p>
      <w:pPr>
        <w:spacing w:before="124"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8"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WHS Act—section 21 (see regulation 9).</w:t>
      </w:r>
    </w:p>
    <w:p>
      <w:pPr>
        <w:spacing w:before="244" w:after="0" w:line="273"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Subdivision 2 Additional control measures for general plant</w:t>
      </w:r>
    </w:p>
    <w:p>
      <w:pPr>
        <w:tabs>
          <w:tab w:val="left" w:leader="none" w:pos="864"/>
        </w:tabs>
        <w:spacing w:before="120" w:after="0" w:line="273"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204	</w:t>
      </w:r>
      <w:r>
        <w:rPr>
          <w:rFonts w:ascii="Times New Roman" w:hAnsi="Times New Roman" w:eastAsia="Times New Roman"/>
          <w:b w:val="true"/>
          <w:color w:val="000000"/>
          <w:spacing w:val="0"/>
          <w:w w:val="100"/>
          <w:sz w:val="24"/>
          <w:vertAlign w:val="baseline"/>
          <w:lang w:val="en-US"/>
        </w:rPr>
        <w:t xml:space="preserve">Control of risks arising from installation or commissioning</w:t>
      </w:r>
    </w:p>
    <w:p>
      <w:pPr>
        <w:numPr>
          <w:ilvl w:val="0"/>
          <w:numId w:val="379"/>
        </w:numPr>
        <w:tabs>
          <w:tab w:val="clear" w:pos="360"/>
          <w:tab w:val="left" w:pos="1368"/>
        </w:tabs>
        <w:spacing w:before="120"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with management or control of plant at a workplace must not commission the plant unless the person has established that the plant is, so far as is reasonably practicable, without risks to the health and safety of any person.</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379"/>
        </w:numPr>
        <w:tabs>
          <w:tab w:val="clear" w:pos="360"/>
          <w:tab w:val="left" w:pos="1368"/>
        </w:tabs>
        <w:spacing w:before="122"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with management or control of plant at a workplace must not decommission or dismantle the plant unless the decommissioning or dismantling can be carried out, so far as is reasonably practicable, without risks to the health and safety of any person.</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379"/>
        </w:numPr>
        <w:tabs>
          <w:tab w:val="clear" w:pos="360"/>
          <w:tab w:val="left" w:pos="1368"/>
        </w:tabs>
        <w:spacing w:before="124" w:after="0" w:line="275"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with management or control of plant at a workplace must ensure that a person who installs, assembles, constructs, commissions or decommissions or dismantles the plant is a competent person.</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379"/>
        </w:numPr>
        <w:tabs>
          <w:tab w:val="clear" w:pos="360"/>
          <w:tab w:val="left" w:pos="1368"/>
        </w:tabs>
        <w:spacing w:before="118" w:after="1137"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person with management or control of plant at a workplace must ensure that a person who installs, assembles, constructs, commissions or decommissions or dismantles the plant is provided</w:t>
      </w:r>
    </w:p>
    <w:p>
      <w:pPr>
        <w:spacing w:before="118" w:after="1137"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154</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5.1	</w:t>
      </w:r>
      <w:r>
        <w:rPr>
          <w:rFonts w:ascii="Times New Roman" w:hAnsi="Times New Roman" w:eastAsia="Times New Roman"/>
          <w:color w:val="000000"/>
          <w:spacing w:val="0"/>
          <w:w w:val="100"/>
          <w:sz w:val="20"/>
          <w:vertAlign w:val="baseline"/>
          <w:lang w:val="en-US"/>
        </w:rPr>
        <w:t xml:space="preserve">General Duties for Plant and Structures</w:t>
      </w:r>
    </w:p>
    <w:p>
      <w:pPr>
        <w:spacing w:before="245" w:after="0" w:line="279"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with the available information for eliminating or minimising risks to health or safety.</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3"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1" w:after="0" w:line="274" w:lineRule="exact"/>
        <w:ind w:right="0" w:left="0" w:firstLine="0"/>
        <w:jc w:val="center"/>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205 Preventing unauthorised alterations to or interference with plant</w:t>
      </w:r>
    </w:p>
    <w:p>
      <w:pPr>
        <w:spacing w:before="121" w:after="0" w:line="276" w:lineRule="exact"/>
        <w:ind w:right="36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with management or control of plant at a workplace must, so far as is reasonably practicable, prevent alterations to or interference with the plant that are not authorised by the person.</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tabs>
          <w:tab w:val="left" w:leader="none" w:pos="864"/>
        </w:tabs>
        <w:spacing w:before="125"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206	</w:t>
      </w:r>
      <w:r>
        <w:rPr>
          <w:rFonts w:ascii="Times New Roman" w:hAnsi="Times New Roman" w:eastAsia="Times New Roman"/>
          <w:b w:val="true"/>
          <w:color w:val="000000"/>
          <w:spacing w:val="0"/>
          <w:w w:val="100"/>
          <w:sz w:val="24"/>
          <w:vertAlign w:val="baseline"/>
          <w:lang w:val="en-US"/>
        </w:rPr>
        <w:t xml:space="preserve">Proper use of plant and controls</w:t>
      </w:r>
    </w:p>
    <w:p>
      <w:pPr>
        <w:numPr>
          <w:ilvl w:val="0"/>
          <w:numId w:val="380"/>
        </w:numPr>
        <w:tabs>
          <w:tab w:val="clear" w:pos="360"/>
          <w:tab w:val="left" w:pos="1368"/>
        </w:tabs>
        <w:spacing w:before="117" w:after="0" w:line="276" w:lineRule="exact"/>
        <w:ind w:right="72"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380"/>
        </w:numPr>
        <w:tabs>
          <w:tab w:val="clear" w:pos="360"/>
          <w:tab w:val="left" w:pos="1368"/>
        </w:tabs>
        <w:spacing w:before="120"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determining whether or not a proposed use of plant increases the risk to health or safety, the person with management or control of the plant must ensure that the risk associated with the proposed use is assessed by a competent person.</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768"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768"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155</w:t>
      </w:r>
    </w:p>
    <w:p>
      <w:pPr>
        <w:sectPr>
          <w:type w:val="continuous"/>
          <w:pgSz w:w="11909" w:h="16838" w:orient="portrait"/>
          <w:pgMar w:bottom="1082" w:top="1140" w:right="5814" w:left="1975"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5.1	</w:t>
      </w:r>
      <w:r>
        <w:rPr>
          <w:rFonts w:ascii="Times New Roman" w:hAnsi="Times New Roman" w:eastAsia="Times New Roman"/>
          <w:color w:val="000000"/>
          <w:spacing w:val="0"/>
          <w:w w:val="100"/>
          <w:sz w:val="20"/>
          <w:vertAlign w:val="baseline"/>
          <w:lang w:val="en-US"/>
        </w:rPr>
        <w:t xml:space="preserve">General Duties for Plant and Structures</w:t>
      </w:r>
    </w:p>
    <w:p>
      <w:pPr>
        <w:spacing w:before="25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corporate—$30 000.</w:t>
      </w:r>
    </w:p>
    <w:p>
      <w:pPr>
        <w:spacing w:before="126" w:after="0" w:line="275"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0" w:after="0" w:line="274" w:lineRule="exact"/>
        <w:ind w:right="0" w:left="288" w:firstLine="0"/>
        <w:jc w:val="left"/>
        <w:textAlignment w:val="baseline"/>
        <w:rPr>
          <w:rFonts w:ascii="Times New Roman" w:hAnsi="Times New Roman" w:eastAsia="Times New Roman"/>
          <w:b w:val="true"/>
          <w:color w:val="000000"/>
          <w:spacing w:val="6"/>
          <w:w w:val="100"/>
          <w:sz w:val="24"/>
          <w:vertAlign w:val="baseline"/>
          <w:lang w:val="en-US"/>
        </w:rPr>
      </w:pPr>
      <w:r>
        <w:rPr>
          <w:rFonts w:ascii="Times New Roman" w:hAnsi="Times New Roman" w:eastAsia="Times New Roman"/>
          <w:b w:val="true"/>
          <w:color w:val="000000"/>
          <w:spacing w:val="6"/>
          <w:w w:val="100"/>
          <w:sz w:val="24"/>
          <w:vertAlign w:val="baseline"/>
          <w:lang w:val="en-US"/>
        </w:rPr>
        <w:t xml:space="preserve">207 Plant not in use</w:t>
      </w:r>
    </w:p>
    <w:p>
      <w:pPr>
        <w:spacing w:before="123" w:after="0" w:line="275"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with management or control of plant at a workplace must ensure, so far as is reasonably practicable, that plant that is not in use is left in a state that does not create a risk to the health or safety of any person.</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5" w:after="0" w:line="274" w:lineRule="exact"/>
        <w:ind w:right="0" w:left="288" w:firstLine="0"/>
        <w:jc w:val="left"/>
        <w:textAlignment w:val="baseline"/>
        <w:rPr>
          <w:rFonts w:ascii="Times New Roman" w:hAnsi="Times New Roman" w:eastAsia="Times New Roman"/>
          <w:b w:val="true"/>
          <w:color w:val="000000"/>
          <w:spacing w:val="11"/>
          <w:w w:val="100"/>
          <w:sz w:val="24"/>
          <w:vertAlign w:val="baseline"/>
          <w:lang w:val="en-US"/>
        </w:rPr>
      </w:pPr>
      <w:r>
        <w:rPr>
          <w:rFonts w:ascii="Times New Roman" w:hAnsi="Times New Roman" w:eastAsia="Times New Roman"/>
          <w:b w:val="true"/>
          <w:color w:val="000000"/>
          <w:spacing w:val="11"/>
          <w:w w:val="100"/>
          <w:sz w:val="24"/>
          <w:vertAlign w:val="baseline"/>
          <w:lang w:val="en-US"/>
        </w:rPr>
        <w:t xml:space="preserve">208 Guarding</w:t>
      </w:r>
    </w:p>
    <w:p>
      <w:pPr>
        <w:spacing w:before="115" w:after="0" w:line="278"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regulation applies if guarding is used as a control measure in relation to plant at a workplace.</w:t>
      </w:r>
    </w:p>
    <w:p>
      <w:pPr>
        <w:spacing w:before="116" w:after="0" w:line="278" w:lineRule="exact"/>
        <w:ind w:right="432"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person with management or control of the plant must ensure that:</w:t>
      </w:r>
    </w:p>
    <w:p>
      <w:pPr>
        <w:numPr>
          <w:ilvl w:val="0"/>
          <w:numId w:val="381"/>
        </w:numPr>
        <w:tabs>
          <w:tab w:val="clear" w:pos="360"/>
          <w:tab w:val="left" w:pos="1872"/>
        </w:tabs>
        <w:spacing w:before="118" w:after="0" w:line="276" w:lineRule="exact"/>
        <w:ind w:right="216" w:left="1872"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if access to the area of the plant requiring guarding is not necessary during operation, maintenance or cleaning of the plant, the guarding is a permanently fixed physical barrier; or</w:t>
      </w:r>
    </w:p>
    <w:p>
      <w:pPr>
        <w:numPr>
          <w:ilvl w:val="0"/>
          <w:numId w:val="381"/>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access to the area of the plant requiring guarding is</w:t>
      </w:r>
    </w:p>
    <w:p>
      <w:pPr>
        <w:spacing w:before="0" w:after="0" w:line="275"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necessary during operation, maintenance or cleaning of the plant, the guarding is an interlocked physical barrier that allows access to the area being guarded at times when that area does not present a risk and prevents access to that area at any other time; or</w:t>
      </w:r>
    </w:p>
    <w:p>
      <w:pPr>
        <w:numPr>
          <w:ilvl w:val="0"/>
          <w:numId w:val="381"/>
        </w:numPr>
        <w:tabs>
          <w:tab w:val="clear" w:pos="360"/>
          <w:tab w:val="left" w:pos="1872"/>
        </w:tabs>
        <w:spacing w:before="122" w:after="1368"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if it is not reasonably practicable to use guarding referred to in paragraph (a) or (b), the guarding used is a physical barrier that can only be altered or removed by the use of tools; or</w:t>
      </w:r>
    </w:p>
    <w:p>
      <w:pPr>
        <w:spacing w:before="122" w:after="1368"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156</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5.1	</w:t>
      </w:r>
      <w:r>
        <w:rPr>
          <w:rFonts w:ascii="Times New Roman" w:hAnsi="Times New Roman" w:eastAsia="Times New Roman"/>
          <w:color w:val="000000"/>
          <w:spacing w:val="0"/>
          <w:w w:val="100"/>
          <w:sz w:val="20"/>
          <w:vertAlign w:val="baseline"/>
          <w:lang w:val="en-US"/>
        </w:rPr>
        <w:t xml:space="preserve">General Duties for Plant and Structures</w:t>
      </w:r>
    </w:p>
    <w:p>
      <w:pPr>
        <w:spacing w:before="248"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(d) if it is not reasonably practicable to use guarding referred to in paragraph (a), (b) or (c), the guarding includes a presence-sensing safeguarding system that eliminates any risk arising from the area of the plant requiring guarding while a person or any part of a person is in the area being guarded.</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4" w:after="0" w:line="279"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person with management or control of the plant must ensure that the guarding:</w:t>
      </w:r>
    </w:p>
    <w:p>
      <w:pPr>
        <w:numPr>
          <w:ilvl w:val="0"/>
          <w:numId w:val="382"/>
        </w:numPr>
        <w:tabs>
          <w:tab w:val="clear" w:pos="360"/>
          <w:tab w:val="left" w:pos="1872"/>
        </w:tabs>
        <w:spacing w:before="114" w:after="0" w:line="279"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of solid construction and securely mounted so as to resist impact or shock; and</w:t>
      </w:r>
    </w:p>
    <w:p>
      <w:pPr>
        <w:numPr>
          <w:ilvl w:val="0"/>
          <w:numId w:val="382"/>
        </w:numPr>
        <w:tabs>
          <w:tab w:val="clear" w:pos="360"/>
          <w:tab w:val="left" w:pos="1872"/>
        </w:tabs>
        <w:spacing w:before="117" w:after="0" w:line="276" w:lineRule="exact"/>
        <w:ind w:right="79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makes bypassing or disabling of the guarding, whether deliberately or by accident, as difficult as is reasonably practicable; and</w:t>
      </w:r>
    </w:p>
    <w:p>
      <w:pPr>
        <w:numPr>
          <w:ilvl w:val="0"/>
          <w:numId w:val="382"/>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does not create a risk in itself; and</w:t>
      </w:r>
    </w:p>
    <w:p>
      <w:pPr>
        <w:numPr>
          <w:ilvl w:val="0"/>
          <w:numId w:val="382"/>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properly maintained.</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2"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74"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Despite anything to the contrary in this regulation, the person with management or control of the plant must ensure:</w:t>
      </w:r>
    </w:p>
    <w:p>
      <w:pPr>
        <w:numPr>
          <w:ilvl w:val="0"/>
          <w:numId w:val="383"/>
        </w:numPr>
        <w:tabs>
          <w:tab w:val="clear" w:pos="360"/>
          <w:tab w:val="left" w:pos="1872"/>
        </w:tabs>
        <w:spacing w:before="122" w:after="0" w:line="276"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the guarding is of a kind that can be removed to allow maintenance and cleaning of the plant at any time that the plant is not in normal operation; and</w:t>
      </w:r>
    </w:p>
    <w:p>
      <w:pPr>
        <w:numPr>
          <w:ilvl w:val="0"/>
          <w:numId w:val="383"/>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guarding is removed, that, so far as is reasonably</w:t>
      </w:r>
    </w:p>
    <w:p>
      <w:pPr>
        <w:spacing w:before="4" w:after="734" w:line="274" w:lineRule="exact"/>
        <w:ind w:right="72"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practicable, the plant cannot be restarted unless the guarding is replaced.</w:t>
      </w:r>
    </w:p>
    <w:p>
      <w:pPr>
        <w:spacing w:before="4" w:after="734"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157</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5.1	</w:t>
      </w:r>
      <w:r>
        <w:rPr>
          <w:rFonts w:ascii="Times New Roman" w:hAnsi="Times New Roman" w:eastAsia="Times New Roman"/>
          <w:color w:val="000000"/>
          <w:spacing w:val="0"/>
          <w:w w:val="100"/>
          <w:sz w:val="20"/>
          <w:vertAlign w:val="baseline"/>
          <w:lang w:val="en-US"/>
        </w:rPr>
        <w:t xml:space="preserve">General Duties for Plant and Structures</w:t>
      </w:r>
    </w:p>
    <w:p>
      <w:pPr>
        <w:spacing w:before="25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6"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209 Guarding and insulation from heat and cold</w:t>
      </w:r>
    </w:p>
    <w:p>
      <w:pPr>
        <w:spacing w:before="116" w:after="0" w:line="276" w:lineRule="exact"/>
        <w:ind w:right="72" w:left="1368"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6"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0" w:after="0" w:line="274"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210 Operational controls</w:t>
      </w:r>
    </w:p>
    <w:p>
      <w:pPr>
        <w:spacing w:before="115" w:after="0" w:line="278" w:lineRule="exact"/>
        <w:ind w:right="504"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person with management or control of plant at a workplace must ensure that any operator's controls are:</w:t>
      </w:r>
    </w:p>
    <w:p>
      <w:pPr>
        <w:numPr>
          <w:ilvl w:val="0"/>
          <w:numId w:val="384"/>
        </w:numPr>
        <w:tabs>
          <w:tab w:val="clear" w:pos="360"/>
          <w:tab w:val="left" w:pos="1872"/>
        </w:tabs>
        <w:spacing w:before="116" w:after="0" w:line="278" w:lineRule="exact"/>
        <w:ind w:right="79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identified on the plant so as to indicate their nature and function and direction of operation; and</w:t>
      </w:r>
    </w:p>
    <w:p>
      <w:pPr>
        <w:numPr>
          <w:ilvl w:val="0"/>
          <w:numId w:val="384"/>
        </w:numPr>
        <w:tabs>
          <w:tab w:val="clear" w:pos="360"/>
          <w:tab w:val="left" w:pos="1872"/>
        </w:tabs>
        <w:spacing w:before="116" w:after="0" w:line="278"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located so as to be readily and conveniently operated by each person using the plant; and</w:t>
      </w:r>
    </w:p>
    <w:p>
      <w:pPr>
        <w:numPr>
          <w:ilvl w:val="0"/>
          <w:numId w:val="384"/>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located or guarded to prevent unintentional activation; and</w:t>
      </w:r>
    </w:p>
    <w:p>
      <w:pPr>
        <w:numPr>
          <w:ilvl w:val="0"/>
          <w:numId w:val="384"/>
        </w:numPr>
        <w:tabs>
          <w:tab w:val="clear" w:pos="360"/>
          <w:tab w:val="left" w:pos="1872"/>
        </w:tabs>
        <w:spacing w:before="124" w:after="0" w:line="274" w:lineRule="exact"/>
        <w:ind w:right="100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able to be locked into the "off" position to enable the disconnection of all motive power.</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8"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If the need for plant to be operated during maintenance or cleaning cannot be eliminated, the person with management or control of the plant at a workplace must ensure that the operator's controls:</w:t>
      </w:r>
    </w:p>
    <w:p>
      <w:pPr>
        <w:numPr>
          <w:ilvl w:val="0"/>
          <w:numId w:val="385"/>
        </w:numPr>
        <w:tabs>
          <w:tab w:val="clear" w:pos="360"/>
          <w:tab w:val="left" w:pos="1872"/>
        </w:tabs>
        <w:spacing w:before="124" w:after="0" w:line="274"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permit operation of the plant while a person is undertaking the maintenance or cleaning of the plant; and</w:t>
      </w:r>
    </w:p>
    <w:p>
      <w:pPr>
        <w:numPr>
          <w:ilvl w:val="0"/>
          <w:numId w:val="385"/>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while the plant is being maintained or cleaned, either:</w:t>
      </w:r>
    </w:p>
    <w:p>
      <w:pPr>
        <w:spacing w:before="118" w:after="1046" w:line="276" w:lineRule="exact"/>
        <w:ind w:right="288" w:left="2376" w:hanging="288"/>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 cannot be operated by any person other than the person who is carrying out the maintenance or cleaning of the plant; or</w:t>
      </w:r>
    </w:p>
    <w:p>
      <w:pPr>
        <w:spacing w:before="118" w:after="1046"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158</w:t>
      </w:r>
    </w:p>
    <w:p>
      <w:pPr>
        <w:sectPr>
          <w:type w:val="continuous"/>
          <w:pgSz w:w="11909" w:h="16838" w:orient="portrait"/>
          <w:pgMar w:bottom="1082" w:top="1140" w:right="5814" w:left="1975"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5.1	</w:t>
      </w:r>
      <w:r>
        <w:rPr>
          <w:rFonts w:ascii="Times New Roman" w:hAnsi="Times New Roman" w:eastAsia="Times New Roman"/>
          <w:color w:val="000000"/>
          <w:spacing w:val="0"/>
          <w:w w:val="100"/>
          <w:sz w:val="20"/>
          <w:vertAlign w:val="baseline"/>
          <w:lang w:val="en-US"/>
        </w:rPr>
        <w:t xml:space="preserve">General Duties for Plant and Structures</w:t>
      </w:r>
    </w:p>
    <w:p>
      <w:pPr>
        <w:spacing w:before="251" w:after="0" w:line="276" w:lineRule="exact"/>
        <w:ind w:right="144" w:left="2376"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(ii) 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and</w:t>
      </w:r>
    </w:p>
    <w:p>
      <w:pPr>
        <w:spacing w:before="117" w:after="0" w:line="276"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will allow operation of the plant in such a way that any risk associated with the activities in relation to any person who is carrying out the maintenance or cleaning:</w:t>
      </w:r>
    </w:p>
    <w:p>
      <w:pPr>
        <w:numPr>
          <w:ilvl w:val="0"/>
          <w:numId w:val="386"/>
        </w:numPr>
        <w:tabs>
          <w:tab w:val="clear" w:pos="360"/>
          <w:tab w:val="left" w:pos="2376"/>
        </w:tabs>
        <w:spacing w:before="126" w:after="0" w:line="273"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eliminated so far as is reasonably practicable; or</w:t>
      </w:r>
    </w:p>
    <w:p>
      <w:pPr>
        <w:numPr>
          <w:ilvl w:val="0"/>
          <w:numId w:val="386"/>
        </w:numPr>
        <w:tabs>
          <w:tab w:val="clear" w:pos="360"/>
          <w:tab w:val="left" w:pos="2376"/>
        </w:tabs>
        <w:spacing w:before="114" w:after="0" w:line="279" w:lineRule="exact"/>
        <w:ind w:right="216"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it is not reasonably practicable to eliminate the risk, is minimised so far as is reasonably practicable.</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1" w:after="0" w:line="274" w:lineRule="exact"/>
        <w:ind w:right="0" w:left="288" w:firstLine="0"/>
        <w:jc w:val="left"/>
        <w:textAlignment w:val="baseline"/>
        <w:rPr>
          <w:rFonts w:ascii="Times New Roman" w:hAnsi="Times New Roman" w:eastAsia="Times New Roman"/>
          <w:b w:val="true"/>
          <w:color w:val="000000"/>
          <w:spacing w:val="6"/>
          <w:w w:val="100"/>
          <w:sz w:val="24"/>
          <w:vertAlign w:val="baseline"/>
          <w:lang w:val="en-US"/>
        </w:rPr>
      </w:pPr>
      <w:r>
        <w:rPr>
          <w:rFonts w:ascii="Times New Roman" w:hAnsi="Times New Roman" w:eastAsia="Times New Roman"/>
          <w:b w:val="true"/>
          <w:color w:val="000000"/>
          <w:spacing w:val="6"/>
          <w:w w:val="100"/>
          <w:sz w:val="24"/>
          <w:vertAlign w:val="baseline"/>
          <w:lang w:val="en-US"/>
        </w:rPr>
        <w:t xml:space="preserve">211 Emergency stops</w:t>
      </w:r>
    </w:p>
    <w:p>
      <w:pPr>
        <w:numPr>
          <w:ilvl w:val="0"/>
          <w:numId w:val="387"/>
        </w:numPr>
        <w:tabs>
          <w:tab w:val="clear" w:pos="360"/>
          <w:tab w:val="left" w:pos="1368"/>
        </w:tabs>
        <w:spacing w:before="121"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plant at a workplace is designed to be operated or attended by more than 1 person and more than 1 emergency stop control is fitted, the person with management or control of plant at the workplace must ensure that the multiple emergency stop controls are of the "stop and lock-off" type so that the plant cannot be restarted after an emergency stop control has been used unless that emergency stop control is reset.</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387"/>
        </w:numPr>
        <w:tabs>
          <w:tab w:val="clear" w:pos="360"/>
          <w:tab w:val="left" w:pos="1368"/>
        </w:tabs>
        <w:spacing w:before="122" w:after="0" w:line="276"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design of plant at a workplace includes an emergency stop control, the person with management or control of the plant at the workplace must ensure that:</w:t>
      </w:r>
    </w:p>
    <w:p>
      <w:pPr>
        <w:numPr>
          <w:ilvl w:val="0"/>
          <w:numId w:val="388"/>
        </w:numPr>
        <w:tabs>
          <w:tab w:val="clear" w:pos="360"/>
          <w:tab w:val="left" w:pos="1872"/>
        </w:tabs>
        <w:spacing w:before="116" w:after="0" w:line="278"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stop control is prominent, clearly and durably marked and immediately accessible to each operator of the plant; and</w:t>
      </w:r>
    </w:p>
    <w:p>
      <w:pPr>
        <w:numPr>
          <w:ilvl w:val="0"/>
          <w:numId w:val="388"/>
        </w:numPr>
        <w:tabs>
          <w:tab w:val="clear" w:pos="360"/>
          <w:tab w:val="left" w:pos="1872"/>
        </w:tabs>
        <w:spacing w:before="116" w:after="0" w:line="278"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handle, bar or push button associated with the stop control is coloured red; and</w:t>
      </w:r>
    </w:p>
    <w:p>
      <w:pPr>
        <w:numPr>
          <w:ilvl w:val="0"/>
          <w:numId w:val="388"/>
        </w:numPr>
        <w:tabs>
          <w:tab w:val="clear" w:pos="360"/>
          <w:tab w:val="left" w:pos="1872"/>
        </w:tabs>
        <w:spacing w:before="116" w:after="1368" w:line="278"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stop control cannot be adversely affected by electrical or electronic circuit malfunction.</w:t>
      </w:r>
    </w:p>
    <w:p>
      <w:pPr>
        <w:spacing w:before="116" w:after="1368"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159</w:t>
      </w:r>
    </w:p>
    <w:p>
      <w:pPr>
        <w:sectPr>
          <w:type w:val="continuous"/>
          <w:pgSz w:w="11909" w:h="16838" w:orient="portrait"/>
          <w:pgMar w:bottom="1082" w:top="1140" w:right="5812" w:left="1977" w:header="720" w:footer="720"/>
          <w:titlePg w:val="false"/>
          <w:textDirection w:val="lrTb"/>
        </w:sectPr>
      </w:pPr>
    </w:p>
    <w:p>
      <w:pPr>
        <w:spacing w:before="2"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6"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5.1	</w:t>
      </w:r>
      <w:r>
        <w:rPr>
          <w:rFonts w:ascii="Times New Roman" w:hAnsi="Times New Roman" w:eastAsia="Times New Roman"/>
          <w:color w:val="000000"/>
          <w:spacing w:val="0"/>
          <w:w w:val="100"/>
          <w:sz w:val="20"/>
          <w:vertAlign w:val="baseline"/>
          <w:lang w:val="en-US"/>
        </w:rPr>
        <w:t xml:space="preserve">General Duties for Plant and Structures</w:t>
      </w:r>
    </w:p>
    <w:p>
      <w:pPr>
        <w:spacing w:before="25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6" w:after="0" w:line="274" w:lineRule="exact"/>
        <w:ind w:right="0" w:left="288" w:firstLine="0"/>
        <w:jc w:val="left"/>
        <w:textAlignment w:val="baseline"/>
        <w:rPr>
          <w:rFonts w:ascii="Times New Roman" w:hAnsi="Times New Roman" w:eastAsia="Times New Roman"/>
          <w:b w:val="true"/>
          <w:color w:val="000000"/>
          <w:spacing w:val="7"/>
          <w:w w:val="100"/>
          <w:sz w:val="24"/>
          <w:vertAlign w:val="baseline"/>
          <w:lang w:val="en-US"/>
        </w:rPr>
      </w:pPr>
      <w:r>
        <w:rPr>
          <w:rFonts w:ascii="Times New Roman" w:hAnsi="Times New Roman" w:eastAsia="Times New Roman"/>
          <w:b w:val="true"/>
          <w:color w:val="000000"/>
          <w:spacing w:val="7"/>
          <w:w w:val="100"/>
          <w:sz w:val="24"/>
          <w:vertAlign w:val="baseline"/>
          <w:lang w:val="en-US"/>
        </w:rPr>
        <w:t xml:space="preserve">212 Warning devices</w:t>
      </w:r>
    </w:p>
    <w:p>
      <w:pPr>
        <w:numPr>
          <w:ilvl w:val="0"/>
          <w:numId w:val="389"/>
        </w:numPr>
        <w:tabs>
          <w:tab w:val="clear" w:pos="360"/>
          <w:tab w:val="left" w:pos="1368"/>
        </w:tabs>
        <w:spacing w:before="116"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regulation applies if the design of plant includes an emergency warning device or it is necessary to include an emergency warning device to minimise risk.</w:t>
      </w:r>
    </w:p>
    <w:p>
      <w:pPr>
        <w:numPr>
          <w:ilvl w:val="0"/>
          <w:numId w:val="389"/>
        </w:numPr>
        <w:tabs>
          <w:tab w:val="clear" w:pos="360"/>
          <w:tab w:val="left" w:pos="1368"/>
        </w:tabs>
        <w:spacing w:before="123" w:after="0" w:line="276"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with management or control of the plant must ensure that the device is positioned on the plant to ensure that the device will work to best effect.</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tabs>
          <w:tab w:val="left" w:leader="none" w:pos="864"/>
        </w:tabs>
        <w:spacing w:before="121"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213	</w:t>
      </w:r>
      <w:r>
        <w:rPr>
          <w:rFonts w:ascii="Times New Roman" w:hAnsi="Times New Roman" w:eastAsia="Times New Roman"/>
          <w:b w:val="true"/>
          <w:color w:val="000000"/>
          <w:spacing w:val="0"/>
          <w:w w:val="100"/>
          <w:sz w:val="24"/>
          <w:vertAlign w:val="baseline"/>
          <w:lang w:val="en-US"/>
        </w:rPr>
        <w:t xml:space="preserve">Maintenance and inspection of plant</w:t>
      </w:r>
    </w:p>
    <w:p>
      <w:pPr>
        <w:numPr>
          <w:ilvl w:val="0"/>
          <w:numId w:val="390"/>
        </w:numPr>
        <w:tabs>
          <w:tab w:val="clear" w:pos="360"/>
          <w:tab w:val="left" w:pos="1368"/>
        </w:tabs>
        <w:spacing w:before="121" w:after="0" w:line="276" w:lineRule="exact"/>
        <w:ind w:right="504"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The person with management or control of plant at a workplace must ensure that the maintenance, inspection and, if necessary, testing of the plant is carried out by a competent person.</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numPr>
          <w:ilvl w:val="0"/>
          <w:numId w:val="390"/>
        </w:numPr>
        <w:tabs>
          <w:tab w:val="clear" w:pos="360"/>
          <w:tab w:val="left" w:pos="1368"/>
        </w:tabs>
        <w:spacing w:before="125" w:after="0" w:line="273"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maintenance, inspection and testing must be carried out:</w:t>
      </w:r>
    </w:p>
    <w:p>
      <w:pPr>
        <w:numPr>
          <w:ilvl w:val="0"/>
          <w:numId w:val="391"/>
        </w:numPr>
        <w:tabs>
          <w:tab w:val="clear" w:pos="288"/>
          <w:tab w:val="left" w:pos="1872"/>
        </w:tabs>
        <w:spacing w:before="116" w:after="0" w:line="278" w:lineRule="exact"/>
        <w:ind w:right="36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accordance with the manufacturer's recommendations, if any; or</w:t>
      </w:r>
    </w:p>
    <w:p>
      <w:pPr>
        <w:numPr>
          <w:ilvl w:val="0"/>
          <w:numId w:val="391"/>
        </w:numPr>
        <w:tabs>
          <w:tab w:val="clear" w:pos="288"/>
          <w:tab w:val="left" w:pos="1872"/>
        </w:tabs>
        <w:spacing w:before="116" w:after="0" w:line="278" w:lineRule="exact"/>
        <w:ind w:right="72"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there are no manufacturer's recommendations, in accordance with the recommendations of a competent person; or</w:t>
      </w:r>
    </w:p>
    <w:p>
      <w:pPr>
        <w:numPr>
          <w:ilvl w:val="0"/>
          <w:numId w:val="391"/>
        </w:numPr>
        <w:tabs>
          <w:tab w:val="clear" w:pos="288"/>
          <w:tab w:val="left" w:pos="1872"/>
        </w:tabs>
        <w:spacing w:before="116" w:after="0" w:line="278" w:lineRule="exact"/>
        <w:ind w:right="288"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relation to inspection, if it is not reasonably practicable to comply with paragraph (a) or (b), annually.</w:t>
      </w:r>
    </w:p>
    <w:p>
      <w:pPr>
        <w:spacing w:before="246"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Subdivision 3 Additional control measures for certain plant</w:t>
      </w:r>
    </w:p>
    <w:p>
      <w:pPr>
        <w:spacing w:before="123"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18" w:after="1200" w:line="230"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rFonts w:ascii="Times New Roman" w:hAnsi="Times New Roman" w:eastAsia="Times New Roman"/>
          <w:b w:val="true"/>
          <w:i w:val="true"/>
          <w:color w:val="000000"/>
          <w:spacing w:val="0"/>
          <w:w w:val="100"/>
          <w:sz w:val="21"/>
          <w:vertAlign w:val="baseline"/>
          <w:lang w:val="en-US"/>
        </w:rPr>
        <w:t xml:space="preserve">person with management or control of plant at a workplace </w:t>
      </w:r>
      <w:r>
        <w:rPr>
          <w:rFonts w:ascii="Times New Roman" w:hAnsi="Times New Roman" w:eastAsia="Times New Roman"/>
          <w:color w:val="000000"/>
          <w:spacing w:val="0"/>
          <w:w w:val="100"/>
          <w:sz w:val="20"/>
          <w:vertAlign w:val="baseline"/>
          <w:lang w:val="en-US"/>
        </w:rPr>
        <w:t xml:space="preserve">in regulation 5(1) and section 21 of the Act.</w:t>
      </w:r>
    </w:p>
    <w:p>
      <w:pPr>
        <w:spacing w:before="118" w:after="1200" w:line="230"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160</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5.1	</w:t>
      </w:r>
      <w:r>
        <w:rPr>
          <w:rFonts w:ascii="Times New Roman" w:hAnsi="Times New Roman" w:eastAsia="Times New Roman"/>
          <w:color w:val="000000"/>
          <w:spacing w:val="0"/>
          <w:w w:val="100"/>
          <w:sz w:val="20"/>
          <w:vertAlign w:val="baseline"/>
          <w:lang w:val="en-US"/>
        </w:rPr>
        <w:t xml:space="preserve">General Duties for Plant and Structures</w:t>
      </w:r>
    </w:p>
    <w:p>
      <w:pPr>
        <w:spacing w:before="251"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3"/>
          <w:w w:val="100"/>
          <w:sz w:val="24"/>
          <w:vertAlign w:val="baseline"/>
          <w:lang w:val="en-US"/>
        </w:rPr>
        <w:t xml:space="preserve">214 Powered mobile plant—general control of risk</w:t>
      </w:r>
    </w:p>
    <w:p>
      <w:pPr>
        <w:spacing w:before="122" w:after="0" w:line="276"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with management or control of powered mobile plant at a workplace must in accordance with Part 3.1, manage risks to health and safety associated with the following:</w:t>
      </w:r>
    </w:p>
    <w:p>
      <w:pPr>
        <w:numPr>
          <w:ilvl w:val="0"/>
          <w:numId w:val="392"/>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plant overturning;</w:t>
      </w:r>
    </w:p>
    <w:p>
      <w:pPr>
        <w:numPr>
          <w:ilvl w:val="0"/>
          <w:numId w:val="392"/>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things falling on the operator of the plant;</w:t>
      </w:r>
    </w:p>
    <w:p>
      <w:pPr>
        <w:numPr>
          <w:ilvl w:val="0"/>
          <w:numId w:val="392"/>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operator being ejected from the plant;</w:t>
      </w:r>
    </w:p>
    <w:p>
      <w:pPr>
        <w:numPr>
          <w:ilvl w:val="0"/>
          <w:numId w:val="392"/>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plant colliding with any person or thing;</w:t>
      </w:r>
    </w:p>
    <w:p>
      <w:pPr>
        <w:numPr>
          <w:ilvl w:val="0"/>
          <w:numId w:val="392"/>
        </w:numPr>
        <w:tabs>
          <w:tab w:val="clear" w:pos="360"/>
          <w:tab w:val="left" w:pos="1872"/>
        </w:tabs>
        <w:spacing w:before="114" w:after="0" w:line="279"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mechanical failure of pressurised elements of plant that may release fluids that pose a risk to health and safety.</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8"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WHS Act—section 21 (see regulation 9).</w:t>
      </w:r>
    </w:p>
    <w:p>
      <w:pPr>
        <w:spacing w:before="119"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215 Powered mobile plant—specific control measures</w:t>
      </w:r>
    </w:p>
    <w:p>
      <w:pPr>
        <w:numPr>
          <w:ilvl w:val="0"/>
          <w:numId w:val="393"/>
        </w:numPr>
        <w:tabs>
          <w:tab w:val="clear" w:pos="360"/>
          <w:tab w:val="left" w:pos="1368"/>
        </w:tabs>
        <w:spacing w:before="115" w:after="0" w:line="278"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regulation applies to a person with management or control of powered mobile plant at a workplace.</w:t>
      </w:r>
    </w:p>
    <w:p>
      <w:pPr>
        <w:numPr>
          <w:ilvl w:val="0"/>
          <w:numId w:val="393"/>
        </w:numPr>
        <w:tabs>
          <w:tab w:val="clear" w:pos="360"/>
          <w:tab w:val="left" w:pos="1368"/>
        </w:tabs>
        <w:spacing w:before="118"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ensure, so far as is reasonably practicable, that a suitable combination of operator protective devices for the plant is provided, maintained and used.</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393"/>
        </w:numPr>
        <w:tabs>
          <w:tab w:val="clear" w:pos="360"/>
          <w:tab w:val="left" w:pos="1368"/>
        </w:tabs>
        <w:spacing w:before="120"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ensure, so far as is reasonably practicable, that no person other than the operator rides on the plant unless the person is provided with a level of protection that is equivalent to that provided to the operator.</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393"/>
        </w:numPr>
        <w:tabs>
          <w:tab w:val="clear" w:pos="360"/>
          <w:tab w:val="left" w:pos="1368"/>
        </w:tabs>
        <w:spacing w:before="124" w:after="0" w:line="274" w:lineRule="exact"/>
        <w:ind w:right="93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ensure that the plant does not collide with pedestrians or other powered mobile plant.</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1171"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corporate—$30 000.</w:t>
      </w:r>
    </w:p>
    <w:p>
      <w:pPr>
        <w:spacing w:before="125" w:after="1171"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161</w:t>
      </w:r>
    </w:p>
    <w:p>
      <w:pPr>
        <w:sectPr>
          <w:type w:val="continuous"/>
          <w:pgSz w:w="11909" w:h="16838" w:orient="portrait"/>
          <w:pgMar w:bottom="1082" w:top="1140" w:right="5819" w:left="1970" w:header="720" w:footer="720"/>
          <w:titlePg w:val="false"/>
          <w:textDirection w:val="lrTb"/>
        </w:sectPr>
      </w:pPr>
    </w:p>
    <w:p>
      <w:pPr>
        <w:spacing w:before="6"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5" w:after="226"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5.1	</w:t>
      </w:r>
      <w:r>
        <w:rPr>
          <w:rFonts w:ascii="Times New Roman" w:hAnsi="Times New Roman" w:eastAsia="Times New Roman"/>
          <w:color w:val="000000"/>
          <w:spacing w:val="0"/>
          <w:w w:val="100"/>
          <w:sz w:val="20"/>
          <w:vertAlign w:val="baseline"/>
          <w:lang w:val="en-US"/>
        </w:rPr>
        <w:t xml:space="preserve">General Duties for Plant and Structures</w:t>
      </w:r>
    </w:p>
    <w:p>
      <w:pPr>
        <w:spacing w:before="247" w:after="0" w:line="277" w:lineRule="exact"/>
        <w:ind w:right="216" w:left="1368" w:hanging="360"/>
        <w:jc w:val="left"/>
        <w:textAlignment w:val="baseline"/>
        <w:rPr>
          <w:rFonts w:ascii="Times New Roman" w:hAnsi="Times New Roman" w:eastAsia="Times New Roman"/>
          <w:color w:val="000000"/>
          <w:spacing w:val="-1"/>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1"/>
          <w:w w:val="100"/>
          <w:sz w:val="24"/>
          <w:vertAlign w:val="baseline"/>
          <w:lang w:val="en-US"/>
        </w:rPr>
        <w:t xml:space="preserve">(5) Without limiting subregulation (4), if there is a possibility of the plant colliding with pedestrians or other powered mobile plant, the person must ensure that the plant has a warning device that will warn persons who may be at risk from the movement of the plant.</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6"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216 Roll-over protection on tractors</w:t>
      </w:r>
    </w:p>
    <w:p>
      <w:pPr>
        <w:spacing w:before="116"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person with management or control of a tractor at a workplace must ensure that the tractor is not used unless it is securely fitted with a roll-over protective structure.</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2"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If a tractor is used in a place that is too low for the tractor to work while it is fitted with a roll-over protective structure, the structure may be lowered or removed for the period during which the tractor is used in such a situation (but only if other measures to minimise the risk of roll-over are in place).</w:t>
      </w:r>
    </w:p>
    <w:p>
      <w:pPr>
        <w:spacing w:before="121"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This regulation does not apply if the tractor is:</w:t>
      </w:r>
    </w:p>
    <w:p>
      <w:pPr>
        <w:numPr>
          <w:ilvl w:val="0"/>
          <w:numId w:val="394"/>
        </w:numPr>
        <w:tabs>
          <w:tab w:val="clear" w:pos="360"/>
          <w:tab w:val="left" w:pos="1872"/>
        </w:tabs>
        <w:spacing w:before="124" w:after="0" w:line="274"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installed in a fixed position, and in a manner which would no longer permit it to be used as powered mobile plant; or</w:t>
      </w:r>
    </w:p>
    <w:p>
      <w:pPr>
        <w:numPr>
          <w:ilvl w:val="0"/>
          <w:numId w:val="394"/>
        </w:numPr>
        <w:tabs>
          <w:tab w:val="clear" w:pos="360"/>
          <w:tab w:val="left" w:pos="1872"/>
        </w:tabs>
        <w:spacing w:before="124" w:after="0" w:line="274"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tractor with a mass of less than 560 kilograms or a mass of 15 000 kilograms or more; or</w:t>
      </w:r>
    </w:p>
    <w:p>
      <w:pPr>
        <w:numPr>
          <w:ilvl w:val="0"/>
          <w:numId w:val="394"/>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being used for a historical purpose or activity.</w:t>
      </w:r>
    </w:p>
    <w:p>
      <w:pPr>
        <w:spacing w:before="121"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In this regulation:</w:t>
      </w:r>
    </w:p>
    <w:p>
      <w:pPr>
        <w:spacing w:before="124" w:after="0" w:line="274" w:lineRule="exact"/>
        <w:ind w:right="504"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historical purpose or activity</w:t>
      </w:r>
      <w:r>
        <w:rPr>
          <w:rFonts w:ascii="Times New Roman" w:hAnsi="Times New Roman" w:eastAsia="Times New Roman"/>
          <w:color w:val="000000"/>
          <w:spacing w:val="0"/>
          <w:w w:val="100"/>
          <w:sz w:val="24"/>
          <w:vertAlign w:val="baseline"/>
          <w:lang w:val="en-US"/>
        </w:rPr>
        <w:t xml:space="preserve">, in relation to the use of a tractor, includes an activity ancillary to a historical activity.</w:t>
      </w:r>
    </w:p>
    <w:p>
      <w:pPr>
        <w:spacing w:before="129"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Examples</w:t>
      </w:r>
    </w:p>
    <w:p>
      <w:pPr>
        <w:tabs>
          <w:tab w:val="left" w:leader="none" w:pos="2304"/>
        </w:tabs>
        <w:spacing w:before="120" w:after="0" w:line="231" w:lineRule="exact"/>
        <w:ind w:right="288" w:left="2304" w:hanging="432"/>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i w:val="true"/>
          <w:color w:val="000000"/>
          <w:spacing w:val="0"/>
          <w:w w:val="100"/>
          <w:sz w:val="21"/>
          <w:vertAlign w:val="baseline"/>
          <w:lang w:val="en-US"/>
        </w:rPr>
        <w:t xml:space="preserve">Historical activity</w:t>
      </w:r>
      <w:r>
        <w:rPr>
          <w:rFonts w:ascii="Times New Roman" w:hAnsi="Times New Roman" w:eastAsia="Times New Roman"/>
          <w:color w:val="000000"/>
          <w:spacing w:val="0"/>
          <w:w w:val="100"/>
          <w:sz w:val="20"/>
          <w:vertAlign w:val="baseline"/>
          <w:lang w:val="en-US"/>
        </w:rPr>
        <w:t xml:space="preserve">: a historical display, parade, demonstration or re</w:t>
        <w:softHyphen/>
      </w:r>
      <w:r>
        <w:rPr>
          <w:rFonts w:ascii="Times New Roman" w:hAnsi="Times New Roman" w:eastAsia="Times New Roman"/>
          <w:color w:val="000000"/>
          <w:spacing w:val="0"/>
          <w:w w:val="100"/>
          <w:sz w:val="20"/>
          <w:vertAlign w:val="baseline"/>
          <w:lang w:val="en-US"/>
        </w:rPr>
        <w:t xml:space="preserve">enactment.</w:t>
      </w:r>
    </w:p>
    <w:p>
      <w:pPr>
        <w:tabs>
          <w:tab w:val="left" w:leader="none" w:pos="2304"/>
        </w:tabs>
        <w:spacing w:before="122" w:after="1560" w:line="228" w:lineRule="exact"/>
        <w:ind w:right="432" w:left="2304" w:hanging="432"/>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i w:val="true"/>
          <w:color w:val="000000"/>
          <w:spacing w:val="0"/>
          <w:w w:val="100"/>
          <w:sz w:val="21"/>
          <w:vertAlign w:val="baseline"/>
          <w:lang w:val="en-US"/>
        </w:rPr>
        <w:t xml:space="preserve">Activity ancillary to a historical activity</w:t>
      </w:r>
      <w:r>
        <w:rPr>
          <w:rFonts w:ascii="Times New Roman" w:hAnsi="Times New Roman" w:eastAsia="Times New Roman"/>
          <w:color w:val="000000"/>
          <w:spacing w:val="0"/>
          <w:w w:val="100"/>
          <w:sz w:val="20"/>
          <w:vertAlign w:val="baseline"/>
          <w:lang w:val="en-US"/>
        </w:rPr>
        <w:t xml:space="preserve">: restoring, maintaining, modifying or housing a tractor used, or to be used, for a historical activity.</w:t>
      </w:r>
    </w:p>
    <w:p>
      <w:pPr>
        <w:spacing w:before="122" w:after="1560" w:line="22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162</w:t>
      </w:r>
    </w:p>
    <w:p>
      <w:pPr>
        <w:sectPr>
          <w:type w:val="continuous"/>
          <w:pgSz w:w="11909" w:h="16838" w:orient="portrait"/>
          <w:pgMar w:bottom="1082" w:top="1140" w:right="5812" w:left="1977" w:header="720" w:footer="720"/>
          <w:titlePg w:val="false"/>
          <w:textDirection w:val="lrTb"/>
        </w:sectPr>
      </w:pPr>
    </w:p>
    <w:p>
      <w:pPr>
        <w:spacing w:before="6"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2" w:after="223"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5.1	</w:t>
      </w:r>
      <w:r>
        <w:rPr>
          <w:rFonts w:ascii="Times New Roman" w:hAnsi="Times New Roman" w:eastAsia="Times New Roman"/>
          <w:color w:val="000000"/>
          <w:spacing w:val="0"/>
          <w:w w:val="100"/>
          <w:sz w:val="20"/>
          <w:vertAlign w:val="baseline"/>
          <w:lang w:val="en-US"/>
        </w:rPr>
        <w:t xml:space="preserve">General Duties for Plant and Structures</w:t>
      </w:r>
    </w:p>
    <w:p>
      <w:pPr>
        <w:spacing w:before="249" w:after="0" w:line="276" w:lineRule="exact"/>
        <w:ind w:right="144" w:left="1872" w:hanging="504"/>
        <w:jc w:val="left"/>
        <w:textAlignment w:val="baseline"/>
        <w:rPr>
          <w:rFonts w:ascii="Times New Roman" w:hAnsi="Times New Roman" w:eastAsia="Times New Roman"/>
          <w:b w:val="true"/>
          <w:i w:val="true"/>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i w:val="true"/>
          <w:color w:val="000000"/>
          <w:spacing w:val="0"/>
          <w:w w:val="100"/>
          <w:sz w:val="24"/>
          <w:vertAlign w:val="baseline"/>
          <w:lang w:val="en-US"/>
        </w:rPr>
        <w:t xml:space="preserve">roll-over protective structure </w:t>
      </w:r>
      <w:r>
        <w:rPr>
          <w:rFonts w:ascii="Times New Roman" w:hAnsi="Times New Roman" w:eastAsia="Times New Roman"/>
          <w:color w:val="000000"/>
          <w:spacing w:val="0"/>
          <w:w w:val="100"/>
          <w:sz w:val="24"/>
          <w:vertAlign w:val="baseline"/>
          <w:lang w:val="en-US"/>
        </w:rPr>
        <w:t xml:space="preserve">means a structure designed to protect a tractor operator from injury if the tractor rolls over in any direction.</w:t>
      </w:r>
    </w:p>
    <w:p>
      <w:pPr>
        <w:spacing w:before="123"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9"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Regulations 214 and 215 also apply to a tractor.</w:t>
      </w:r>
    </w:p>
    <w:p>
      <w:pPr>
        <w:spacing w:before="0" w:after="0" w:line="394" w:lineRule="exact"/>
        <w:ind w:right="0" w:left="360" w:firstLine="0"/>
        <w:jc w:val="left"/>
        <w:textAlignment w:val="baseline"/>
        <w:rPr>
          <w:rFonts w:ascii="Times New Roman" w:hAnsi="Times New Roman" w:eastAsia="Times New Roman"/>
          <w:i w:val="true"/>
          <w:color w:val="000000"/>
          <w:spacing w:val="0"/>
          <w:w w:val="100"/>
          <w:sz w:val="24"/>
          <w:vertAlign w:val="baseline"/>
          <w:lang w:val="en-US"/>
        </w:rPr>
      </w:pPr>
      <w:r>
        <w:rPr>
          <w:rFonts w:ascii="Times New Roman" w:hAnsi="Times New Roman" w:eastAsia="Times New Roman"/>
          <w:i w:val="true"/>
          <w:color w:val="000000"/>
          <w:spacing w:val="0"/>
          <w:w w:val="100"/>
          <w:sz w:val="24"/>
          <w:vertAlign w:val="baseline"/>
          <w:lang w:val="en-US"/>
        </w:rPr>
        <w:t xml:space="preserve">[</w:t>
      </w:r>
      <w:r>
        <w:rPr>
          <w:rFonts w:ascii="Times New Roman" w:hAnsi="Times New Roman" w:eastAsia="Times New Roman"/>
          <w:b w:val="true"/>
          <w:i w:val="true"/>
          <w:color w:val="000000"/>
          <w:spacing w:val="0"/>
          <w:w w:val="100"/>
          <w:sz w:val="24"/>
          <w:vertAlign w:val="baseline"/>
          <w:lang w:val="en-US"/>
        </w:rPr>
        <w:t xml:space="preserve">217 </w:t>
      </w:r>
      <w:r>
        <w:rPr>
          <w:rFonts w:ascii="Times New Roman" w:hAnsi="Times New Roman" w:eastAsia="Times New Roman"/>
          <w:i w:val="true"/>
          <w:color w:val="000000"/>
          <w:spacing w:val="0"/>
          <w:w w:val="100"/>
          <w:sz w:val="24"/>
          <w:vertAlign w:val="baseline"/>
          <w:lang w:val="en-US"/>
        </w:rPr>
        <w:t xml:space="preserve">This regulation has been deleted.]</w:t>
        <w:br/>
      </w:r>
      <w:r>
        <w:rPr>
          <w:rFonts w:ascii="Times New Roman" w:hAnsi="Times New Roman" w:eastAsia="Times New Roman"/>
          <w:b w:val="true"/>
          <w:color w:val="000000"/>
          <w:spacing w:val="0"/>
          <w:w w:val="100"/>
          <w:sz w:val="24"/>
          <w:vertAlign w:val="baseline"/>
          <w:lang w:val="en-US"/>
        </w:rPr>
        <w:t xml:space="preserve">218 Industrial lift trucks</w:t>
      </w:r>
    </w:p>
    <w:p>
      <w:pPr>
        <w:spacing w:before="117" w:after="0" w:line="278" w:lineRule="exact"/>
        <w:ind w:right="144"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person with management or control of an industrial lift truck at a workplace must ensure that the truck is:</w:t>
      </w:r>
    </w:p>
    <w:p>
      <w:pPr>
        <w:numPr>
          <w:ilvl w:val="0"/>
          <w:numId w:val="395"/>
        </w:numPr>
        <w:tabs>
          <w:tab w:val="clear" w:pos="360"/>
          <w:tab w:val="left" w:pos="1872"/>
        </w:tabs>
        <w:spacing w:before="116" w:after="0" w:line="278"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equipped with lifting attachments that are suitable for the load to be lifted or moved by the truck; and</w:t>
      </w:r>
    </w:p>
    <w:p>
      <w:pPr>
        <w:numPr>
          <w:ilvl w:val="0"/>
          <w:numId w:val="395"/>
        </w:numPr>
        <w:tabs>
          <w:tab w:val="clear" w:pos="360"/>
          <w:tab w:val="left" w:pos="1872"/>
        </w:tabs>
        <w:spacing w:before="120"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operated in a manner that ensures that the risks to the operator of the truck and other persons at or near the workplace that arise from systems of work and the environment in which the truck is used:</w:t>
      </w:r>
    </w:p>
    <w:p>
      <w:pPr>
        <w:numPr>
          <w:ilvl w:val="0"/>
          <w:numId w:val="396"/>
        </w:numPr>
        <w:tabs>
          <w:tab w:val="clear" w:pos="360"/>
          <w:tab w:val="left" w:pos="2376"/>
        </w:tabs>
        <w:spacing w:before="120" w:after="0" w:line="274"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are eliminated so far as is reasonably practicable; or</w:t>
      </w:r>
    </w:p>
    <w:p>
      <w:pPr>
        <w:numPr>
          <w:ilvl w:val="0"/>
          <w:numId w:val="396"/>
        </w:numPr>
        <w:tabs>
          <w:tab w:val="clear" w:pos="360"/>
          <w:tab w:val="left" w:pos="2376"/>
        </w:tabs>
        <w:spacing w:before="124" w:after="0" w:line="274" w:lineRule="exact"/>
        <w:ind w:right="360" w:left="2376"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if it is not reasonably practicable to eliminate the risks, are minimised so far as is reasonably practicable.</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8"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person with management or control of an industrial lift truck at a workplace must ensure that the truck is not used to carry a passenger unless:</w:t>
      </w:r>
    </w:p>
    <w:p>
      <w:pPr>
        <w:numPr>
          <w:ilvl w:val="0"/>
          <w:numId w:val="397"/>
        </w:numPr>
        <w:tabs>
          <w:tab w:val="clear" w:pos="360"/>
          <w:tab w:val="left" w:pos="1872"/>
        </w:tabs>
        <w:spacing w:before="124" w:after="0" w:line="274"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truck is designed to carry a seated passenger; and</w:t>
      </w:r>
    </w:p>
    <w:p>
      <w:pPr>
        <w:numPr>
          <w:ilvl w:val="0"/>
          <w:numId w:val="397"/>
        </w:numPr>
        <w:tabs>
          <w:tab w:val="clear" w:pos="360"/>
          <w:tab w:val="left" w:pos="1872"/>
        </w:tabs>
        <w:spacing w:before="120" w:after="0" w:line="274"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passenger seat is:</w:t>
      </w:r>
    </w:p>
    <w:p>
      <w:pPr>
        <w:numPr>
          <w:ilvl w:val="0"/>
          <w:numId w:val="398"/>
        </w:numPr>
        <w:tabs>
          <w:tab w:val="clear" w:pos="360"/>
          <w:tab w:val="left" w:pos="2376"/>
        </w:tabs>
        <w:spacing w:before="124" w:after="0" w:line="274"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fitted with suitable seat restraints; and</w:t>
      </w:r>
    </w:p>
    <w:p>
      <w:pPr>
        <w:numPr>
          <w:ilvl w:val="0"/>
          <w:numId w:val="398"/>
        </w:numPr>
        <w:tabs>
          <w:tab w:val="clear" w:pos="360"/>
          <w:tab w:val="left" w:pos="2376"/>
        </w:tabs>
        <w:spacing w:before="118" w:after="0" w:line="276" w:lineRule="exact"/>
        <w:ind w:right="216" w:left="2376"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located within the zone of protection that is provided by the operator protective device required to be fitted to the industrial lift truck.</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6" w:after="738" w:line="278" w:lineRule="exact"/>
        <w:ind w:right="144" w:left="1368" w:hanging="36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(3) The person with management or control of an industrial lift truck at a workplace must take all reasonable steps to ensure that a</w:t>
      </w:r>
    </w:p>
    <w:p>
      <w:pPr>
        <w:spacing w:before="116" w:after="738"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163</w:t>
      </w:r>
    </w:p>
    <w:p>
      <w:pPr>
        <w:sectPr>
          <w:type w:val="continuous"/>
          <w:pgSz w:w="11909" w:h="16838" w:orient="portrait"/>
          <w:pgMar w:bottom="1082" w:top="1140" w:right="5817" w:left="1972" w:header="720" w:footer="720"/>
          <w:titlePg w:val="false"/>
          <w:textDirection w:val="lrTb"/>
        </w:sectPr>
      </w:pPr>
    </w:p>
    <w:p>
      <w:pPr>
        <w:spacing w:before="6"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2" w:after="223"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5.1	</w:t>
      </w:r>
      <w:r>
        <w:rPr>
          <w:rFonts w:ascii="Times New Roman" w:hAnsi="Times New Roman" w:eastAsia="Times New Roman"/>
          <w:color w:val="000000"/>
          <w:spacing w:val="0"/>
          <w:w w:val="100"/>
          <w:sz w:val="20"/>
          <w:vertAlign w:val="baseline"/>
          <w:lang w:val="en-US"/>
        </w:rPr>
        <w:t xml:space="preserve">General Duties for Plant and Structures</w:t>
      </w:r>
    </w:p>
    <w:p>
      <w:pPr>
        <w:spacing w:before="246" w:after="0" w:line="279" w:lineRule="exact"/>
        <w:ind w:right="216"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passenger in an industrial lift truck is seated in a seat that complies with subregulation (2)(b).</w:t>
      </w:r>
    </w:p>
    <w:p>
      <w:pPr>
        <w:spacing w:before="119"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19"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3"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9"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Regulations 214 and 215 also apply to an industrial lift truck.</w:t>
      </w:r>
    </w:p>
    <w:p>
      <w:pPr>
        <w:spacing w:before="118"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219 Plant that lifts or suspends loads</w:t>
      </w:r>
    </w:p>
    <w:p>
      <w:pPr>
        <w:spacing w:before="124" w:after="0" w:line="274" w:lineRule="exact"/>
        <w:ind w:right="57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regulation applies in relation to plant that is used to lift or suspend persons or things.</w:t>
      </w:r>
    </w:p>
    <w:p>
      <w:pPr>
        <w:spacing w:before="122"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person with management or control of plant at a workplace must ensure, so far as is reasonably practicable, that the plant used is specifically designed to lift or suspend the load.</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74" w:lineRule="exact"/>
        <w:ind w:right="432"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(3) If it is not reasonably practicable to use plant that is specifically designed to lift or suspend the load, the person must ensure that:</w:t>
      </w:r>
    </w:p>
    <w:p>
      <w:pPr>
        <w:numPr>
          <w:ilvl w:val="0"/>
          <w:numId w:val="399"/>
        </w:numPr>
        <w:tabs>
          <w:tab w:val="clear" w:pos="360"/>
          <w:tab w:val="left" w:pos="1872"/>
        </w:tabs>
        <w:spacing w:before="124" w:after="0" w:line="274"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plant does not cause a greater risk to health and safety than if specifically designed plant were used; and</w:t>
      </w:r>
    </w:p>
    <w:p>
      <w:pPr>
        <w:numPr>
          <w:ilvl w:val="0"/>
          <w:numId w:val="399"/>
        </w:numPr>
        <w:tabs>
          <w:tab w:val="clear" w:pos="360"/>
          <w:tab w:val="left" w:pos="1872"/>
        </w:tabs>
        <w:spacing w:before="124" w:after="0" w:line="274"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plant is lifting or suspending persons, the use of the plant complies with regulation 220.</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4"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6" w:after="0" w:line="278"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The person must ensure that the lifting and suspending is carried out:</w:t>
      </w:r>
    </w:p>
    <w:p>
      <w:pPr>
        <w:numPr>
          <w:ilvl w:val="0"/>
          <w:numId w:val="400"/>
        </w:numPr>
        <w:tabs>
          <w:tab w:val="clear" w:pos="360"/>
          <w:tab w:val="left" w:pos="1872"/>
        </w:tabs>
        <w:spacing w:before="116" w:after="0" w:line="278"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with lifting attachments that are suitable for the load being lifted or suspended; and</w:t>
      </w:r>
    </w:p>
    <w:p>
      <w:pPr>
        <w:numPr>
          <w:ilvl w:val="0"/>
          <w:numId w:val="400"/>
        </w:numPr>
        <w:tabs>
          <w:tab w:val="clear" w:pos="360"/>
          <w:tab w:val="left" w:pos="1872"/>
        </w:tabs>
        <w:spacing w:before="120" w:after="0" w:line="274"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within the safe working limits of the plant.</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4" w:after="105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1050"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164</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5.1	</w:t>
      </w:r>
      <w:r>
        <w:rPr>
          <w:rFonts w:ascii="Times New Roman" w:hAnsi="Times New Roman" w:eastAsia="Times New Roman"/>
          <w:color w:val="000000"/>
          <w:spacing w:val="0"/>
          <w:w w:val="100"/>
          <w:sz w:val="20"/>
          <w:vertAlign w:val="baseline"/>
          <w:lang w:val="en-US"/>
        </w:rPr>
        <w:t xml:space="preserve">General Duties for Plant and Structures</w:t>
      </w:r>
    </w:p>
    <w:p>
      <w:pPr>
        <w:numPr>
          <w:ilvl w:val="0"/>
          <w:numId w:val="401"/>
        </w:numPr>
        <w:tabs>
          <w:tab w:val="clear" w:pos="360"/>
          <w:tab w:val="left" w:pos="1368"/>
        </w:tabs>
        <w:spacing w:before="248"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person must ensure, so far as is reasonably practicable, that no loads are suspended or travel over a person unless the plant is specifically designed for that purpose.</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401"/>
        </w:numPr>
        <w:tabs>
          <w:tab w:val="clear" w:pos="360"/>
          <w:tab w:val="left" w:pos="1368"/>
        </w:tabs>
        <w:spacing w:before="117" w:after="0" w:line="276" w:lineRule="exact"/>
        <w:ind w:right="50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ensure, so far as is reasonably practicable, that loads are lifted or suspended in a way that ensures that the load remains under control during the activity.</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401"/>
        </w:numPr>
        <w:tabs>
          <w:tab w:val="clear" w:pos="360"/>
          <w:tab w:val="left" w:pos="1368"/>
        </w:tabs>
        <w:spacing w:before="119" w:after="0"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ensure, so far as is reasonably practicable, that no load is lifted simultaneously by more than 1 item of plant unless the method of lifting ensures that the load placed on each item of plant does not exceed the design capacity of the plant.</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1" w:after="0" w:line="274" w:lineRule="exact"/>
        <w:ind w:right="0" w:left="0" w:firstLine="0"/>
        <w:jc w:val="center"/>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220 Exception—Plant not specifically designed to lift or suspend a person</w:t>
      </w:r>
    </w:p>
    <w:p>
      <w:pPr>
        <w:spacing w:before="123" w:after="0" w:line="274" w:lineRule="exact"/>
        <w:ind w:right="72"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(1) For the purposes of regulation 219(3)(b), the person with management or control of the plant at a workplace must ensure that:</w:t>
      </w:r>
    </w:p>
    <w:p>
      <w:pPr>
        <w:numPr>
          <w:ilvl w:val="0"/>
          <w:numId w:val="402"/>
        </w:numPr>
        <w:tabs>
          <w:tab w:val="clear" w:pos="360"/>
          <w:tab w:val="left" w:pos="1872"/>
        </w:tabs>
        <w:spacing w:before="124" w:after="0" w:line="274" w:lineRule="exact"/>
        <w:ind w:right="72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persons are lifted or suspended in a work box that is securely attached to the plant; and</w:t>
      </w:r>
    </w:p>
    <w:p>
      <w:pPr>
        <w:numPr>
          <w:ilvl w:val="0"/>
          <w:numId w:val="402"/>
        </w:numPr>
        <w:tabs>
          <w:tab w:val="clear" w:pos="360"/>
          <w:tab w:val="left" w:pos="1872"/>
        </w:tabs>
        <w:spacing w:before="124" w:after="0" w:line="274"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persons in the work box remain substantially within the work box while they are being lifted or suspended; and</w:t>
      </w:r>
    </w:p>
    <w:p>
      <w:pPr>
        <w:numPr>
          <w:ilvl w:val="0"/>
          <w:numId w:val="402"/>
        </w:numPr>
        <w:tabs>
          <w:tab w:val="clear" w:pos="360"/>
          <w:tab w:val="left" w:pos="1872"/>
        </w:tabs>
        <w:spacing w:before="124" w:after="0" w:line="275"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there is a risk of a person falling from a height, a safety harness is provided and worn by the person in order to prevent, so far as is reasonably practicable, injury to the person as a result of the fall; and</w:t>
      </w:r>
    </w:p>
    <w:p>
      <w:pPr>
        <w:numPr>
          <w:ilvl w:val="0"/>
          <w:numId w:val="402"/>
        </w:numPr>
        <w:tabs>
          <w:tab w:val="clear" w:pos="360"/>
          <w:tab w:val="left" w:pos="1872"/>
        </w:tabs>
        <w:spacing w:before="122" w:after="0" w:line="276"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means are provided by which the persons being lifted or suspended can safely exit from the plant in the event of a failure in its normal operation.</w:t>
      </w:r>
    </w:p>
    <w:p>
      <w:pPr>
        <w:spacing w:before="0" w:after="888" w:line="396" w:lineRule="exact"/>
        <w:ind w:right="504" w:left="1512" w:hanging="504"/>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(2) This regulation does not apply to plant used in connection with: (a) the performance of stunt work; or</w:t>
      </w:r>
    </w:p>
    <w:p>
      <w:pPr>
        <w:spacing w:before="0" w:after="888" w:line="39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165</w:t>
      </w:r>
    </w:p>
    <w:p>
      <w:pPr>
        <w:sectPr>
          <w:type w:val="continuous"/>
          <w:pgSz w:w="11909" w:h="16838" w:orient="portrait"/>
          <w:pgMar w:bottom="1082" w:top="1140" w:right="5814" w:left="1975"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5.1	</w:t>
      </w:r>
      <w:r>
        <w:rPr>
          <w:rFonts w:ascii="Times New Roman" w:hAnsi="Times New Roman" w:eastAsia="Times New Roman"/>
          <w:color w:val="000000"/>
          <w:spacing w:val="0"/>
          <w:w w:val="100"/>
          <w:sz w:val="20"/>
          <w:vertAlign w:val="baseline"/>
          <w:lang w:val="en-US"/>
        </w:rPr>
        <w:t xml:space="preserve">General Duties for Plant and Structures</w:t>
      </w:r>
    </w:p>
    <w:p>
      <w:pPr>
        <w:numPr>
          <w:ilvl w:val="0"/>
          <w:numId w:val="403"/>
        </w:numPr>
        <w:tabs>
          <w:tab w:val="clear" w:pos="360"/>
          <w:tab w:val="left" w:pos="1872"/>
        </w:tabs>
        <w:spacing w:before="25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performance of acrobatics; or</w:t>
      </w:r>
    </w:p>
    <w:p>
      <w:pPr>
        <w:numPr>
          <w:ilvl w:val="0"/>
          <w:numId w:val="403"/>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theatrical performances.</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8"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4.4 (except regulation 79) applies to the matters in subregulation (2).</w:t>
      </w:r>
    </w:p>
    <w:p>
      <w:pPr>
        <w:spacing w:before="119"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221 Plant used in connection with tree lopping</w:t>
      </w:r>
    </w:p>
    <w:p>
      <w:pPr>
        <w:spacing w:before="115" w:after="0" w:line="278"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Regulation 220(1)(a) and (b) do not apply in connection with tree lopping if:</w:t>
      </w:r>
    </w:p>
    <w:p>
      <w:pPr>
        <w:numPr>
          <w:ilvl w:val="0"/>
          <w:numId w:val="404"/>
        </w:numPr>
        <w:tabs>
          <w:tab w:val="clear" w:pos="360"/>
          <w:tab w:val="left" w:pos="1872"/>
        </w:tabs>
        <w:spacing w:before="118" w:after="0" w:line="276"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numPr>
          <w:ilvl w:val="0"/>
          <w:numId w:val="404"/>
        </w:numPr>
        <w:tabs>
          <w:tab w:val="clear" w:pos="360"/>
          <w:tab w:val="left" w:pos="1872"/>
        </w:tabs>
        <w:spacing w:before="122" w:after="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tree lopping is carried out by a person who is a competent person in the use of the harness referred to in paragraph (a); and</w:t>
      </w:r>
    </w:p>
    <w:p>
      <w:pPr>
        <w:numPr>
          <w:ilvl w:val="0"/>
          <w:numId w:val="404"/>
        </w:numPr>
        <w:tabs>
          <w:tab w:val="clear" w:pos="360"/>
          <w:tab w:val="left" w:pos="1872"/>
        </w:tabs>
        <w:spacing w:before="116" w:after="0" w:line="278" w:lineRule="exact"/>
        <w:ind w:right="7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crane is used to put the competent person in the tree to lop it; and</w:t>
      </w:r>
    </w:p>
    <w:p>
      <w:pPr>
        <w:numPr>
          <w:ilvl w:val="0"/>
          <w:numId w:val="404"/>
        </w:numPr>
        <w:tabs>
          <w:tab w:val="clear" w:pos="360"/>
          <w:tab w:val="left" w:pos="1872"/>
        </w:tabs>
        <w:spacing w:before="116" w:after="0" w:line="278" w:lineRule="exact"/>
        <w:ind w:right="72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crane has safety mechanisms that would prevent the competent person from inadvertently falling; and</w:t>
      </w:r>
    </w:p>
    <w:p>
      <w:pPr>
        <w:numPr>
          <w:ilvl w:val="0"/>
          <w:numId w:val="404"/>
        </w:numPr>
        <w:tabs>
          <w:tab w:val="clear" w:pos="360"/>
          <w:tab w:val="left" w:pos="1872"/>
        </w:tabs>
        <w:spacing w:before="116" w:after="0" w:line="278" w:lineRule="exact"/>
        <w:ind w:right="216" w:left="1872" w:hanging="360"/>
        <w:jc w:val="both"/>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while attached to the crane, the competent person is in visual, audio or radio communication with the crane operator.</w:t>
      </w:r>
    </w:p>
    <w:p>
      <w:pPr>
        <w:spacing w:before="120"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In this regulation, </w:t>
      </w:r>
      <w:r>
        <w:rPr>
          <w:rFonts w:ascii="Times New Roman" w:hAnsi="Times New Roman" w:eastAsia="Times New Roman"/>
          <w:b w:val="true"/>
          <w:i w:val="true"/>
          <w:color w:val="000000"/>
          <w:spacing w:val="0"/>
          <w:w w:val="100"/>
          <w:sz w:val="24"/>
          <w:vertAlign w:val="baseline"/>
          <w:lang w:val="en-US"/>
        </w:rPr>
        <w:t xml:space="preserve">harness </w:t>
      </w:r>
      <w:r>
        <w:rPr>
          <w:rFonts w:ascii="Times New Roman" w:hAnsi="Times New Roman" w:eastAsia="Times New Roman"/>
          <w:color w:val="000000"/>
          <w:spacing w:val="0"/>
          <w:w w:val="100"/>
          <w:sz w:val="24"/>
          <w:vertAlign w:val="baseline"/>
          <w:lang w:val="en-US"/>
        </w:rPr>
        <w:t xml:space="preserve">means a work positioning harness that is designed and certified, in accordance with AS/NZS 1891.1:2007 (Industrial fall-arrest systems—Harnesses and ancillary equipment), for the purpose of lifting and suspending a person.</w:t>
      </w:r>
    </w:p>
    <w:p>
      <w:pPr>
        <w:spacing w:before="121" w:after="0" w:line="274" w:lineRule="exact"/>
        <w:ind w:right="0" w:left="288" w:firstLine="0"/>
        <w:jc w:val="left"/>
        <w:textAlignment w:val="baseline"/>
        <w:rPr>
          <w:rFonts w:ascii="Times New Roman" w:hAnsi="Times New Roman" w:eastAsia="Times New Roman"/>
          <w:b w:val="true"/>
          <w:color w:val="000000"/>
          <w:spacing w:val="6"/>
          <w:w w:val="100"/>
          <w:sz w:val="24"/>
          <w:vertAlign w:val="baseline"/>
          <w:lang w:val="en-US"/>
        </w:rPr>
      </w:pPr>
      <w:r>
        <w:rPr>
          <w:rFonts w:ascii="Times New Roman" w:hAnsi="Times New Roman" w:eastAsia="Times New Roman"/>
          <w:b w:val="true"/>
          <w:color w:val="000000"/>
          <w:spacing w:val="6"/>
          <w:w w:val="100"/>
          <w:sz w:val="24"/>
          <w:vertAlign w:val="baseline"/>
          <w:lang w:val="en-US"/>
        </w:rPr>
        <w:t xml:space="preserve">222 Industrial robots</w:t>
      </w:r>
    </w:p>
    <w:p>
      <w:pPr>
        <w:numPr>
          <w:ilvl w:val="0"/>
          <w:numId w:val="405"/>
        </w:numPr>
        <w:tabs>
          <w:tab w:val="clear" w:pos="360"/>
          <w:tab w:val="left" w:pos="1368"/>
        </w:tabs>
        <w:spacing w:before="121"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regulation applies to a person with management or control of an industrial robot or other remotely or automatically energised plant at a workplace.</w:t>
      </w:r>
    </w:p>
    <w:p>
      <w:pPr>
        <w:numPr>
          <w:ilvl w:val="0"/>
          <w:numId w:val="405"/>
        </w:numPr>
        <w:tabs>
          <w:tab w:val="clear" w:pos="360"/>
          <w:tab w:val="left" w:pos="1368"/>
        </w:tabs>
        <w:spacing w:before="120"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not direct or allow a worker to work in the immediate vicinity of the plant if it could start without warning and cause a hazard, unless suitable control measures are in place to control the risks to health and safety.</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945"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corporate—$30 000.</w:t>
      </w:r>
    </w:p>
    <w:p>
      <w:pPr>
        <w:spacing w:before="121" w:after="945"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166</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5.1	</w:t>
      </w:r>
      <w:r>
        <w:rPr>
          <w:rFonts w:ascii="Times New Roman" w:hAnsi="Times New Roman" w:eastAsia="Times New Roman"/>
          <w:color w:val="000000"/>
          <w:spacing w:val="0"/>
          <w:w w:val="100"/>
          <w:sz w:val="20"/>
          <w:vertAlign w:val="baseline"/>
          <w:lang w:val="en-US"/>
        </w:rPr>
        <w:t xml:space="preserve">General Duties for Plant and Structures</w:t>
      </w:r>
    </w:p>
    <w:p>
      <w:pPr>
        <w:spacing w:before="248"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(3) If the remote or automatic energising of the plant could lead to risks to health and safety, the person must ensure that access to the area in the immediate vicinity of the plant is controlled at all times:</w:t>
      </w:r>
    </w:p>
    <w:p>
      <w:pPr>
        <w:numPr>
          <w:ilvl w:val="0"/>
          <w:numId w:val="406"/>
        </w:numPr>
        <w:tabs>
          <w:tab w:val="clear" w:pos="432"/>
          <w:tab w:val="left" w:pos="1944"/>
        </w:tabs>
        <w:spacing w:before="126" w:after="0" w:line="273" w:lineRule="exact"/>
        <w:ind w:right="0" w:left="1512"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by isolating the area; or</w:t>
      </w:r>
    </w:p>
    <w:p>
      <w:pPr>
        <w:numPr>
          <w:ilvl w:val="0"/>
          <w:numId w:val="406"/>
        </w:numPr>
        <w:tabs>
          <w:tab w:val="clear" w:pos="432"/>
          <w:tab w:val="left" w:pos="1944"/>
        </w:tabs>
        <w:spacing w:before="120" w:after="0" w:line="273" w:lineRule="exact"/>
        <w:ind w:right="0" w:left="1512" w:firstLine="0"/>
        <w:jc w:val="left"/>
        <w:textAlignment w:val="baseline"/>
        <w:rPr>
          <w:rFonts w:ascii="Times New Roman" w:hAnsi="Times New Roman" w:eastAsia="Times New Roman"/>
          <w:color w:val="000000"/>
          <w:spacing w:val="-13"/>
          <w:w w:val="100"/>
          <w:sz w:val="24"/>
          <w:vertAlign w:val="baseline"/>
          <w:lang w:val="en-US"/>
        </w:rPr>
      </w:pPr>
      <w:r>
        <w:rPr>
          <w:rFonts w:ascii="Times New Roman" w:hAnsi="Times New Roman" w:eastAsia="Times New Roman"/>
          <w:color w:val="000000"/>
          <w:spacing w:val="-13"/>
          <w:w w:val="100"/>
          <w:sz w:val="24"/>
          <w:vertAlign w:val="baseline"/>
          <w:lang w:val="en-US"/>
        </w:rPr>
        <w:t xml:space="preserve">by:</w:t>
      </w:r>
    </w:p>
    <w:p>
      <w:pPr>
        <w:numPr>
          <w:ilvl w:val="0"/>
          <w:numId w:val="407"/>
        </w:numPr>
        <w:tabs>
          <w:tab w:val="clear" w:pos="432"/>
          <w:tab w:val="left" w:pos="2376"/>
        </w:tabs>
        <w:spacing w:before="126" w:after="0" w:line="273" w:lineRule="exact"/>
        <w:ind w:right="0" w:left="1944"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providing interlocked guards; or</w:t>
      </w:r>
    </w:p>
    <w:p>
      <w:pPr>
        <w:numPr>
          <w:ilvl w:val="0"/>
          <w:numId w:val="407"/>
        </w:numPr>
        <w:tabs>
          <w:tab w:val="clear" w:pos="432"/>
          <w:tab w:val="left" w:pos="2376"/>
        </w:tabs>
        <w:spacing w:before="120" w:after="0" w:line="273" w:lineRule="exact"/>
        <w:ind w:right="0" w:left="1944"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a risk remains, providing presence-sensing devices; or</w:t>
      </w:r>
    </w:p>
    <w:p>
      <w:pPr>
        <w:numPr>
          <w:ilvl w:val="0"/>
          <w:numId w:val="407"/>
        </w:numPr>
        <w:tabs>
          <w:tab w:val="clear" w:pos="432"/>
          <w:tab w:val="left" w:pos="2376"/>
        </w:tabs>
        <w:spacing w:before="126" w:after="0" w:line="273" w:lineRule="exact"/>
        <w:ind w:right="0" w:left="1944"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a risk then remains, providing permit to work systems.</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944"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In the case of an individual—$6 000.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6" w:after="0" w:line="273" w:lineRule="exact"/>
        <w:ind w:right="0" w:left="288" w:firstLine="0"/>
        <w:jc w:val="left"/>
        <w:textAlignment w:val="baseline"/>
        <w:rPr>
          <w:rFonts w:ascii="Times New Roman" w:hAnsi="Times New Roman" w:eastAsia="Times New Roman"/>
          <w:b w:val="true"/>
          <w:color w:val="000000"/>
          <w:spacing w:val="12"/>
          <w:w w:val="100"/>
          <w:sz w:val="24"/>
          <w:vertAlign w:val="baseline"/>
          <w:lang w:val="en-US"/>
        </w:rPr>
      </w:pPr>
      <w:r>
        <w:rPr>
          <w:rFonts w:ascii="Times New Roman" w:hAnsi="Times New Roman" w:eastAsia="Times New Roman"/>
          <w:b w:val="true"/>
          <w:color w:val="000000"/>
          <w:spacing w:val="12"/>
          <w:w w:val="100"/>
          <w:sz w:val="24"/>
          <w:vertAlign w:val="baseline"/>
          <w:lang w:val="en-US"/>
        </w:rPr>
        <w:t xml:space="preserve">223 Lasers</w:t>
      </w:r>
    </w:p>
    <w:p>
      <w:pPr>
        <w:numPr>
          <w:ilvl w:val="0"/>
          <w:numId w:val="408"/>
        </w:numPr>
        <w:tabs>
          <w:tab w:val="clear" w:pos="360"/>
          <w:tab w:val="left" w:pos="1368"/>
        </w:tabs>
        <w:spacing w:before="117"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regulation applies to the person with management or control, at a workplace, of laser equipment that may create a risk to health and safety.</w:t>
      </w:r>
    </w:p>
    <w:p>
      <w:pPr>
        <w:numPr>
          <w:ilvl w:val="0"/>
          <w:numId w:val="408"/>
        </w:numPr>
        <w:tabs>
          <w:tab w:val="clear" w:pos="360"/>
          <w:tab w:val="left" w:pos="1368"/>
        </w:tabs>
        <w:spacing w:before="118" w:after="0" w:line="276"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ensure that laser equipment intended for use on plant is designed, constructed and installed so as to prevent accidental irradiation of any person.</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944"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408"/>
        </w:numPr>
        <w:tabs>
          <w:tab w:val="clear" w:pos="360"/>
          <w:tab w:val="left" w:pos="1368"/>
        </w:tabs>
        <w:spacing w:before="120" w:after="0" w:line="276"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ensure that laser equipment on plant is protected so that any operator of the plant or other person is not exposed to direct radiation, radiation produced by reflection or diffusion or secondary radiation.</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944"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In the case of an individual—$6 000.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408"/>
        </w:numPr>
        <w:tabs>
          <w:tab w:val="clear" w:pos="360"/>
          <w:tab w:val="left" w:pos="1368"/>
        </w:tabs>
        <w:spacing w:before="122" w:after="0" w:line="276" w:lineRule="exact"/>
        <w:ind w:right="57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ensure that the visual equipment used for the observation or adjustment of laser equipment on plant does not create a risk to health or safety from laser rays.</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944"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In the case of an individual—$6 000.</w:t>
      </w:r>
    </w:p>
    <w:p>
      <w:pPr>
        <w:spacing w:before="121" w:after="806"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corporate—$30 000.</w:t>
      </w:r>
    </w:p>
    <w:p>
      <w:pPr>
        <w:spacing w:before="121" w:after="806"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167</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5.1	</w:t>
      </w:r>
      <w:r>
        <w:rPr>
          <w:rFonts w:ascii="Times New Roman" w:hAnsi="Times New Roman" w:eastAsia="Times New Roman"/>
          <w:color w:val="000000"/>
          <w:spacing w:val="0"/>
          <w:w w:val="100"/>
          <w:sz w:val="20"/>
          <w:vertAlign w:val="baseline"/>
          <w:lang w:val="en-US"/>
        </w:rPr>
        <w:t xml:space="preserve">General Duties for Plant and Structures</w:t>
      </w:r>
    </w:p>
    <w:p>
      <w:pPr>
        <w:numPr>
          <w:ilvl w:val="0"/>
          <w:numId w:val="408"/>
        </w:numPr>
        <w:tabs>
          <w:tab w:val="clear" w:pos="360"/>
          <w:tab w:val="left" w:pos="1368"/>
        </w:tabs>
        <w:spacing w:before="246" w:after="0" w:line="279" w:lineRule="exact"/>
        <w:ind w:right="504"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person must ensure that the workers operating the laser equipment are trained in the proper operation of the equipment.</w:t>
      </w:r>
    </w:p>
    <w:p>
      <w:pPr>
        <w:spacing w:before="119"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19"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408"/>
        </w:numPr>
        <w:tabs>
          <w:tab w:val="clear" w:pos="360"/>
          <w:tab w:val="left" w:pos="1368"/>
        </w:tabs>
        <w:spacing w:before="123"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ensure that Class 3B and Class 4 lasers (within the meaning of AS 2397:2015—Safe use of lasers in the building and construction industry) are not used in construction work.</w:t>
      </w:r>
    </w:p>
    <w:p>
      <w:pPr>
        <w:spacing w:before="119"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19"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5" w:after="0" w:line="274" w:lineRule="exact"/>
        <w:ind w:right="0" w:left="288" w:firstLine="0"/>
        <w:jc w:val="left"/>
        <w:textAlignment w:val="baseline"/>
        <w:rPr>
          <w:rFonts w:ascii="Times New Roman" w:hAnsi="Times New Roman" w:eastAsia="Times New Roman"/>
          <w:b w:val="true"/>
          <w:color w:val="000000"/>
          <w:spacing w:val="6"/>
          <w:w w:val="100"/>
          <w:sz w:val="24"/>
          <w:vertAlign w:val="baseline"/>
          <w:lang w:val="en-US"/>
        </w:rPr>
      </w:pPr>
      <w:r>
        <w:rPr>
          <w:rFonts w:ascii="Times New Roman" w:hAnsi="Times New Roman" w:eastAsia="Times New Roman"/>
          <w:b w:val="true"/>
          <w:color w:val="000000"/>
          <w:spacing w:val="6"/>
          <w:w w:val="100"/>
          <w:sz w:val="24"/>
          <w:vertAlign w:val="baseline"/>
          <w:lang w:val="en-US"/>
        </w:rPr>
        <w:t xml:space="preserve">224 Pressure equipment</w:t>
      </w:r>
    </w:p>
    <w:p>
      <w:pPr>
        <w:spacing w:before="119" w:after="0" w:line="274"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person with management or control of pressure equipment at a workplace must ensure that:</w:t>
      </w:r>
    </w:p>
    <w:p>
      <w:pPr>
        <w:numPr>
          <w:ilvl w:val="0"/>
          <w:numId w:val="409"/>
        </w:numPr>
        <w:tabs>
          <w:tab w:val="clear" w:pos="360"/>
          <w:tab w:val="left" w:pos="1872"/>
        </w:tabs>
        <w:spacing w:before="124" w:after="0" w:line="274"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equipment is inspected on a regular basis by a competent person; and</w:t>
      </w:r>
    </w:p>
    <w:p>
      <w:pPr>
        <w:numPr>
          <w:ilvl w:val="0"/>
          <w:numId w:val="409"/>
        </w:numPr>
        <w:tabs>
          <w:tab w:val="clear" w:pos="360"/>
          <w:tab w:val="left" w:pos="1872"/>
        </w:tabs>
        <w:spacing w:before="122" w:after="0" w:line="276"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gas cylinder that is inspected is marked with a current inspection mark showing the date of the most recent inspection.</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4" w:after="0" w:line="274" w:lineRule="exact"/>
        <w:ind w:right="50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person with management or control of gas cylinders at a workplace that is a gas cylinder filling station must ensure that:</w:t>
      </w:r>
    </w:p>
    <w:p>
      <w:pPr>
        <w:numPr>
          <w:ilvl w:val="0"/>
          <w:numId w:val="410"/>
        </w:numPr>
        <w:tabs>
          <w:tab w:val="clear" w:pos="360"/>
          <w:tab w:val="left" w:pos="1872"/>
        </w:tabs>
        <w:spacing w:before="124" w:after="0" w:line="274"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gas cylinder is not filled with gas unless it bears a current inspection mark; and</w:t>
      </w:r>
    </w:p>
    <w:p>
      <w:pPr>
        <w:numPr>
          <w:ilvl w:val="0"/>
          <w:numId w:val="410"/>
        </w:numPr>
        <w:tabs>
          <w:tab w:val="clear" w:pos="360"/>
          <w:tab w:val="left" w:pos="1872"/>
        </w:tabs>
        <w:spacing w:before="124" w:after="0" w:line="274"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gas cylinder is only filled with gas for which that cylinder is designed.</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4" w:after="1871"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corporate—$18 000.</w:t>
      </w:r>
    </w:p>
    <w:p>
      <w:pPr>
        <w:spacing w:before="124" w:after="1871"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168</w:t>
      </w:r>
    </w:p>
    <w:p>
      <w:pPr>
        <w:sectPr>
          <w:type w:val="continuous"/>
          <w:pgSz w:w="11909" w:h="16838" w:orient="portrait"/>
          <w:pgMar w:bottom="1082" w:top="1140" w:right="5814" w:left="1975"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5.1	</w:t>
      </w:r>
      <w:r>
        <w:rPr>
          <w:rFonts w:ascii="Times New Roman" w:hAnsi="Times New Roman" w:eastAsia="Times New Roman"/>
          <w:color w:val="000000"/>
          <w:spacing w:val="0"/>
          <w:w w:val="100"/>
          <w:sz w:val="20"/>
          <w:vertAlign w:val="baseline"/>
          <w:lang w:val="en-US"/>
        </w:rPr>
        <w:t xml:space="preserve">General Duties for Plant and Structures</w:t>
      </w:r>
    </w:p>
    <w:p>
      <w:pPr>
        <w:spacing w:before="251" w:after="0" w:line="273" w:lineRule="exact"/>
        <w:ind w:right="0" w:left="288" w:firstLine="0"/>
        <w:jc w:val="left"/>
        <w:textAlignment w:val="baseline"/>
        <w:rPr>
          <w:rFonts w:ascii="Times New Roman" w:hAnsi="Times New Roman" w:eastAsia="Times New Roman"/>
          <w:b w:val="true"/>
          <w:color w:val="000000"/>
          <w:spacing w:val="1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10"/>
          <w:w w:val="100"/>
          <w:sz w:val="24"/>
          <w:vertAlign w:val="baseline"/>
          <w:lang w:val="en-US"/>
        </w:rPr>
        <w:t xml:space="preserve">225 Scaffolds</w:t>
      </w:r>
    </w:p>
    <w:p>
      <w:pPr>
        <w:spacing w:before="126"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regulation applies in relation to:</w:t>
      </w:r>
    </w:p>
    <w:p>
      <w:pPr>
        <w:numPr>
          <w:ilvl w:val="0"/>
          <w:numId w:val="411"/>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suspended scaffold; and</w:t>
      </w:r>
    </w:p>
    <w:p>
      <w:pPr>
        <w:numPr>
          <w:ilvl w:val="0"/>
          <w:numId w:val="411"/>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cantilevered scaffold; and</w:t>
      </w:r>
    </w:p>
    <w:p>
      <w:pPr>
        <w:numPr>
          <w:ilvl w:val="0"/>
          <w:numId w:val="411"/>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spur scaffold; and</w:t>
      </w:r>
    </w:p>
    <w:p>
      <w:pPr>
        <w:numPr>
          <w:ilvl w:val="0"/>
          <w:numId w:val="411"/>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hung scaffold; and</w:t>
      </w:r>
    </w:p>
    <w:p>
      <w:pPr>
        <w:numPr>
          <w:ilvl w:val="0"/>
          <w:numId w:val="411"/>
        </w:numPr>
        <w:tabs>
          <w:tab w:val="clear" w:pos="360"/>
          <w:tab w:val="left" w:pos="1872"/>
        </w:tabs>
        <w:spacing w:before="114" w:after="0" w:line="279"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other scaffold from which a person or thing could fall more than 4 metres.</w:t>
      </w:r>
    </w:p>
    <w:p>
      <w:pPr>
        <w:spacing w:before="116" w:after="0" w:line="277" w:lineRule="exact"/>
        <w:ind w:right="72"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(2) 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8"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person with management or control of a scaffold at a workplace must ensure that the scaffold and its supporting structure are inspected by a competent person:</w:t>
      </w:r>
    </w:p>
    <w:p>
      <w:pPr>
        <w:numPr>
          <w:ilvl w:val="0"/>
          <w:numId w:val="412"/>
        </w:numPr>
        <w:tabs>
          <w:tab w:val="clear" w:pos="360"/>
          <w:tab w:val="left" w:pos="1872"/>
        </w:tabs>
        <w:spacing w:before="122" w:after="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before use of the scaffold is resumed after an incident occurs that may reasonably be expected to affect the stability of the scaffold; and</w:t>
      </w:r>
    </w:p>
    <w:p>
      <w:pPr>
        <w:numPr>
          <w:ilvl w:val="0"/>
          <w:numId w:val="412"/>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before use of the scaffold is resumed after repairs; and</w:t>
      </w:r>
    </w:p>
    <w:p>
      <w:pPr>
        <w:numPr>
          <w:ilvl w:val="0"/>
          <w:numId w:val="412"/>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at least every 30 days.</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2" w:after="0" w:line="276"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If an inspection indicates that a scaffold at a workplace or its supporting structure creates a risk to health or safety, the person with management or control of the scaffold must ensure that:</w:t>
      </w:r>
    </w:p>
    <w:p>
      <w:pPr>
        <w:numPr>
          <w:ilvl w:val="0"/>
          <w:numId w:val="413"/>
        </w:numPr>
        <w:tabs>
          <w:tab w:val="clear" w:pos="360"/>
          <w:tab w:val="left" w:pos="1872"/>
        </w:tabs>
        <w:spacing w:before="116" w:after="0" w:line="278"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necessary repairs, alterations and additions are made or carried out; and</w:t>
      </w:r>
    </w:p>
    <w:p>
      <w:pPr>
        <w:numPr>
          <w:ilvl w:val="0"/>
          <w:numId w:val="413"/>
        </w:numPr>
        <w:tabs>
          <w:tab w:val="clear" w:pos="360"/>
          <w:tab w:val="left" w:pos="1872"/>
        </w:tabs>
        <w:spacing w:before="116" w:after="1320" w:line="278" w:lineRule="exact"/>
        <w:ind w:right="72" w:left="1872" w:hanging="36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scaffold and its supporting structure are inspected again by a competent person before use of the scaffold is resumed.</w:t>
      </w:r>
    </w:p>
    <w:p>
      <w:pPr>
        <w:spacing w:before="116" w:after="1320"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169</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5.1	</w:t>
      </w:r>
      <w:r>
        <w:rPr>
          <w:rFonts w:ascii="Times New Roman" w:hAnsi="Times New Roman" w:eastAsia="Times New Roman"/>
          <w:color w:val="000000"/>
          <w:spacing w:val="0"/>
          <w:w w:val="100"/>
          <w:sz w:val="20"/>
          <w:vertAlign w:val="baseline"/>
          <w:lang w:val="en-US"/>
        </w:rPr>
        <w:t xml:space="preserve">General Duties for Plant and Structures</w:t>
      </w:r>
    </w:p>
    <w:p>
      <w:pPr>
        <w:spacing w:before="251"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Maximum penalty:</w:t>
      </w:r>
    </w:p>
    <w:p>
      <w:pPr>
        <w:spacing w:before="125"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19"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3"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The person with management or control of a scaffold at a workplace must ensure that unauthorised access to the scaffold is prevented while the scaffold is incomplete or unattended.</w:t>
      </w:r>
    </w:p>
    <w:p>
      <w:pPr>
        <w:spacing w:before="119"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19"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3" w:after="0" w:line="226"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Example</w:t>
      </w:r>
    </w:p>
    <w:p>
      <w:pPr>
        <w:spacing w:before="125" w:after="0" w:line="230"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Danger tags and other warning signs.</w:t>
      </w:r>
    </w:p>
    <w:p>
      <w:pPr>
        <w:spacing w:before="117"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226 Plant with presence-sensing safeguarding system—records</w:t>
      </w:r>
    </w:p>
    <w:p>
      <w:pPr>
        <w:spacing w:before="122"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person with management or control of plant with a presence-sensing safeguarding system at a workplace must keep a record of safety integrity tests, inspections, maintenance, commissioning, decommissioning, dismantling and alterations of the plant for the period set out in subregulation (2).</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0"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24" w:after="0" w:line="274"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record must be kept for:</w:t>
      </w:r>
    </w:p>
    <w:p>
      <w:pPr>
        <w:numPr>
          <w:ilvl w:val="0"/>
          <w:numId w:val="414"/>
        </w:numPr>
        <w:tabs>
          <w:tab w:val="clear" w:pos="360"/>
          <w:tab w:val="left" w:pos="1872"/>
        </w:tabs>
        <w:spacing w:before="120" w:after="0" w:line="274"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years unless paragraph (b) applies; or</w:t>
      </w:r>
    </w:p>
    <w:p>
      <w:pPr>
        <w:numPr>
          <w:ilvl w:val="0"/>
          <w:numId w:val="414"/>
        </w:numPr>
        <w:tabs>
          <w:tab w:val="clear" w:pos="360"/>
          <w:tab w:val="left" w:pos="1872"/>
        </w:tabs>
        <w:spacing w:before="124" w:after="0" w:line="274"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life of the plant or until the person relinquishes control of the plant if the plant is registered plant or has been altered.</w:t>
      </w:r>
    </w:p>
    <w:p>
      <w:pPr>
        <w:spacing w:before="124" w:after="0" w:line="274" w:lineRule="exact"/>
        <w:ind w:right="216"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person must keep the record available for inspection under the Act.</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4"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16" w:after="1842" w:line="278" w:lineRule="exact"/>
        <w:ind w:right="216" w:left="1368" w:hanging="36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(4) The person must make the record available to any person to whom the person relinquishes control of the plant.</w:t>
      </w:r>
    </w:p>
    <w:p>
      <w:pPr>
        <w:spacing w:before="116" w:after="1842"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170</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5.1	</w:t>
      </w:r>
      <w:r>
        <w:rPr>
          <w:rFonts w:ascii="Times New Roman" w:hAnsi="Times New Roman" w:eastAsia="Times New Roman"/>
          <w:color w:val="000000"/>
          <w:spacing w:val="0"/>
          <w:w w:val="100"/>
          <w:sz w:val="20"/>
          <w:vertAlign w:val="baseline"/>
          <w:lang w:val="en-US"/>
        </w:rPr>
        <w:t xml:space="preserve">General Duties for Plant and Structures</w:t>
      </w:r>
    </w:p>
    <w:p>
      <w:pPr>
        <w:spacing w:before="251"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Maximum penalty:</w:t>
      </w:r>
    </w:p>
    <w:p>
      <w:pPr>
        <w:spacing w:before="125"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19" w:after="11155"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333"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1.05pt,0.3pt" style="position:absolute;mso-position-horizontal-relative:text;mso-position-vertical-relative:text;">
            <v:stroke dashstyle="solid"/>
          </v:line>
        </w:pict>
      </w:r>
    </w:p>
    <w:p>
      <w:pPr>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171</w:t>
      </w:r>
    </w:p>
    <w:p>
      <w:pPr>
        <w:sectPr>
          <w:type w:val="continuous"/>
          <w:pgSz w:w="11909" w:h="16838" w:orient="portrait"/>
          <w:pgMar w:bottom="1082" w:top="1140" w:right="5819" w:left="1970" w:header="720" w:footer="720"/>
          <w:titlePg w:val="false"/>
          <w:textDirection w:val="lrTb"/>
        </w:sectPr>
      </w:pPr>
    </w:p>
    <w:p>
      <w:pPr>
        <w:spacing w:before="6"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5" w:after="226"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5.2	</w:t>
      </w:r>
      <w:r>
        <w:rPr>
          <w:rFonts w:ascii="Times New Roman" w:hAnsi="Times New Roman" w:eastAsia="Times New Roman"/>
          <w:color w:val="000000"/>
          <w:spacing w:val="0"/>
          <w:w w:val="100"/>
          <w:sz w:val="20"/>
          <w:vertAlign w:val="baseline"/>
          <w:lang w:val="en-US"/>
        </w:rPr>
        <w:t xml:space="preserve">Additional Duties Relating to Registered Plant and Plant Designs</w:t>
      </w:r>
    </w:p>
    <w:p>
      <w:pPr>
        <w:spacing w:before="254" w:after="0" w:line="321" w:lineRule="exact"/>
        <w:ind w:right="648" w:left="1296" w:hanging="1296"/>
        <w:jc w:val="left"/>
        <w:textAlignment w:val="baseline"/>
        <w:rPr>
          <w:rFonts w:ascii="Times New Roman" w:hAnsi="Times New Roman" w:eastAsia="Times New Roman"/>
          <w:b w:val="true"/>
          <w:color w:val="000000"/>
          <w:spacing w:val="0"/>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8"/>
          <w:vertAlign w:val="baseline"/>
          <w:lang w:val="en-US"/>
        </w:rPr>
        <w:t xml:space="preserve">Part 5.2 Additional Duties Relating to Registered Plant and Plant Designs</w:t>
      </w:r>
    </w:p>
    <w:p>
      <w:pPr>
        <w:spacing w:before="122"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Notes</w:t>
      </w:r>
    </w:p>
    <w:p>
      <w:pPr>
        <w:tabs>
          <w:tab w:val="left" w:leader="none" w:pos="1296"/>
        </w:tabs>
        <w:spacing w:before="124" w:after="0" w:line="230" w:lineRule="exact"/>
        <w:ind w:right="144" w:left="1296" w:hanging="432"/>
        <w:jc w:val="left"/>
        <w:textAlignment w:val="baseline"/>
        <w:rPr>
          <w:rFonts w:ascii="Times New Roman" w:hAnsi="Times New Roman" w:eastAsia="Times New Roman"/>
          <w:color w:val="000000"/>
          <w:spacing w:val="-2"/>
          <w:w w:val="100"/>
          <w:sz w:val="20"/>
          <w:vertAlign w:val="baseline"/>
          <w:lang w:val="en-US"/>
        </w:rPr>
      </w:pPr>
      <w:r>
        <w:rPr>
          <w:rFonts w:ascii="Times New Roman" w:hAnsi="Times New Roman" w:eastAsia="Times New Roman"/>
          <w:color w:val="000000"/>
          <w:spacing w:val="-2"/>
          <w:w w:val="100"/>
          <w:sz w:val="20"/>
          <w:vertAlign w:val="baseline"/>
          <w:lang w:val="en-US"/>
        </w:rPr>
        <w:t xml:space="preserve">1	</w:t>
      </w:r>
      <w:r>
        <w:rPr>
          <w:rFonts w:ascii="Times New Roman" w:hAnsi="Times New Roman" w:eastAsia="Times New Roman"/>
          <w:color w:val="000000"/>
          <w:spacing w:val="-2"/>
          <w:w w:val="100"/>
          <w:sz w:val="20"/>
          <w:vertAlign w:val="baseline"/>
          <w:lang w:val="en-US"/>
        </w:rPr>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rFonts w:ascii="Times New Roman" w:hAnsi="Times New Roman" w:eastAsia="Times New Roman"/>
          <w:b w:val="true"/>
          <w:i w:val="true"/>
          <w:color w:val="000000"/>
          <w:spacing w:val="-2"/>
          <w:w w:val="100"/>
          <w:sz w:val="21"/>
          <w:vertAlign w:val="baseline"/>
          <w:lang w:val="en-US"/>
        </w:rPr>
        <w:t xml:space="preserve">person with management or control of plant at a workplace </w:t>
      </w:r>
      <w:r>
        <w:rPr>
          <w:rFonts w:ascii="Times New Roman" w:hAnsi="Times New Roman" w:eastAsia="Times New Roman"/>
          <w:color w:val="000000"/>
          <w:spacing w:val="-2"/>
          <w:w w:val="100"/>
          <w:sz w:val="20"/>
          <w:vertAlign w:val="baseline"/>
          <w:lang w:val="en-US"/>
        </w:rPr>
        <w:t xml:space="preserve">in regulation 5(1) and section 21 of the Act.</w:t>
      </w:r>
    </w:p>
    <w:p>
      <w:pPr>
        <w:tabs>
          <w:tab w:val="left" w:leader="none" w:pos="1296"/>
        </w:tabs>
        <w:spacing w:before="123" w:after="0" w:line="226"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This Part applies in addition to Part 5.1.</w:t>
      </w:r>
    </w:p>
    <w:p>
      <w:pPr>
        <w:tabs>
          <w:tab w:val="left" w:leader="none" w:pos="1296"/>
        </w:tabs>
        <w:spacing w:before="123" w:after="0" w:line="229"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	</w:t>
      </w:r>
      <w:r>
        <w:rPr>
          <w:rFonts w:ascii="Times New Roman" w:hAnsi="Times New Roman" w:eastAsia="Times New Roman"/>
          <w:color w:val="000000"/>
          <w:spacing w:val="0"/>
          <w:w w:val="100"/>
          <w:sz w:val="20"/>
          <w:vertAlign w:val="baseline"/>
          <w:lang w:val="en-US"/>
        </w:rPr>
        <w:t xml:space="preserve">In this Part, </w:t>
      </w:r>
      <w:r>
        <w:rPr>
          <w:rFonts w:ascii="Times New Roman" w:hAnsi="Times New Roman" w:eastAsia="Times New Roman"/>
          <w:b w:val="true"/>
          <w:i w:val="true"/>
          <w:color w:val="000000"/>
          <w:spacing w:val="0"/>
          <w:w w:val="100"/>
          <w:sz w:val="21"/>
          <w:vertAlign w:val="baseline"/>
          <w:lang w:val="en-US"/>
        </w:rPr>
        <w:t xml:space="preserve">plant </w:t>
      </w:r>
      <w:r>
        <w:rPr>
          <w:rFonts w:ascii="Times New Roman" w:hAnsi="Times New Roman" w:eastAsia="Times New Roman"/>
          <w:color w:val="000000"/>
          <w:spacing w:val="0"/>
          <w:w w:val="100"/>
          <w:sz w:val="20"/>
          <w:vertAlign w:val="baseline"/>
          <w:lang w:val="en-US"/>
        </w:rPr>
        <w:t xml:space="preserve">includes a structure (see definition of </w:t>
      </w:r>
      <w:r>
        <w:rPr>
          <w:rFonts w:ascii="Times New Roman" w:hAnsi="Times New Roman" w:eastAsia="Times New Roman"/>
          <w:b w:val="true"/>
          <w:i w:val="true"/>
          <w:color w:val="000000"/>
          <w:spacing w:val="0"/>
          <w:w w:val="100"/>
          <w:sz w:val="21"/>
          <w:vertAlign w:val="baseline"/>
          <w:lang w:val="en-US"/>
        </w:rPr>
        <w:t xml:space="preserve">plant </w:t>
      </w:r>
      <w:r>
        <w:rPr>
          <w:rFonts w:ascii="Times New Roman" w:hAnsi="Times New Roman" w:eastAsia="Times New Roman"/>
          <w:color w:val="000000"/>
          <w:spacing w:val="0"/>
          <w:w w:val="100"/>
          <w:sz w:val="20"/>
          <w:vertAlign w:val="baseline"/>
          <w:lang w:val="en-US"/>
        </w:rPr>
        <w:t xml:space="preserve">in regulation 5(1)).</w:t>
      </w:r>
    </w:p>
    <w:p>
      <w:pPr>
        <w:tabs>
          <w:tab w:val="left" w:leader="none" w:pos="1584"/>
        </w:tabs>
        <w:spacing w:before="245" w:after="0" w:line="273"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1	</w:t>
      </w:r>
      <w:r>
        <w:rPr>
          <w:rFonts w:ascii="Times New Roman" w:hAnsi="Times New Roman" w:eastAsia="Times New Roman"/>
          <w:b w:val="true"/>
          <w:color w:val="000000"/>
          <w:spacing w:val="0"/>
          <w:w w:val="100"/>
          <w:sz w:val="24"/>
          <w:vertAlign w:val="baseline"/>
          <w:lang w:val="en-US"/>
        </w:rPr>
        <w:t xml:space="preserve">Application of Part 5.2</w:t>
      </w:r>
    </w:p>
    <w:p>
      <w:pPr>
        <w:spacing w:before="115" w:after="0" w:line="273"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227 Application of Part 5.2</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Part applies to:</w:t>
      </w:r>
    </w:p>
    <w:p>
      <w:pPr>
        <w:numPr>
          <w:ilvl w:val="0"/>
          <w:numId w:val="415"/>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plant that is required to be registered under Part 5.3; or</w:t>
      </w:r>
    </w:p>
    <w:p>
      <w:pPr>
        <w:numPr>
          <w:ilvl w:val="0"/>
          <w:numId w:val="415"/>
        </w:numPr>
        <w:tabs>
          <w:tab w:val="clear" w:pos="360"/>
          <w:tab w:val="left" w:pos="1872"/>
        </w:tabs>
        <w:spacing w:before="116" w:after="0" w:line="278"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plant the design of which is required to be registered under Part 5.3.</w:t>
      </w:r>
    </w:p>
    <w:p>
      <w:pPr>
        <w:tabs>
          <w:tab w:val="left" w:leader="none" w:pos="1584"/>
        </w:tabs>
        <w:spacing w:before="231" w:after="0" w:line="283" w:lineRule="exact"/>
        <w:ind w:right="504" w:left="1512" w:hanging="1512"/>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2	</w:t>
      </w:r>
      <w:r>
        <w:rPr>
          <w:rFonts w:ascii="Times New Roman" w:hAnsi="Times New Roman" w:eastAsia="Times New Roman"/>
          <w:b w:val="true"/>
          <w:color w:val="000000"/>
          <w:spacing w:val="0"/>
          <w:w w:val="100"/>
          <w:sz w:val="24"/>
          <w:vertAlign w:val="baseline"/>
          <w:lang w:val="en-US"/>
        </w:rPr>
        <w:t xml:space="preserve">Duty of person conducting a business or undertaking who designs plant to record plant design</w:t>
      </w:r>
    </w:p>
    <w:p>
      <w:pPr>
        <w:spacing w:before="116" w:after="0" w:line="273"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228 Records and information</w:t>
      </w:r>
    </w:p>
    <w:p>
      <w:pPr>
        <w:spacing w:before="125" w:after="0" w:line="273" w:lineRule="exact"/>
        <w:ind w:right="72" w:left="0" w:firstLine="0"/>
        <w:jc w:val="righ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design of plant is required to be registered under Part 5.3, the</w:t>
      </w:r>
    </w:p>
    <w:p>
      <w:pPr>
        <w:spacing w:before="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designer of that plant must make a record that contains:</w:t>
      </w:r>
    </w:p>
    <w:p>
      <w:pPr>
        <w:numPr>
          <w:ilvl w:val="0"/>
          <w:numId w:val="416"/>
        </w:numPr>
        <w:tabs>
          <w:tab w:val="clear" w:pos="360"/>
          <w:tab w:val="left" w:pos="1872"/>
        </w:tabs>
        <w:spacing w:before="122" w:after="0" w:line="276"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method used to determine the control measures for the plant and the control measures that result from that determination; and</w:t>
      </w:r>
    </w:p>
    <w:p>
      <w:pPr>
        <w:numPr>
          <w:ilvl w:val="0"/>
          <w:numId w:val="416"/>
        </w:numPr>
        <w:tabs>
          <w:tab w:val="clear" w:pos="360"/>
          <w:tab w:val="left" w:pos="1872"/>
        </w:tabs>
        <w:spacing w:before="116" w:after="0" w:line="278"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copy of the information provided to a manufacturer under section 22 of the Act in relation to that plant; and</w:t>
      </w:r>
    </w:p>
    <w:p>
      <w:pPr>
        <w:numPr>
          <w:ilvl w:val="0"/>
          <w:numId w:val="416"/>
        </w:numPr>
        <w:tabs>
          <w:tab w:val="clear" w:pos="360"/>
          <w:tab w:val="left" w:pos="1872"/>
        </w:tabs>
        <w:spacing w:before="116" w:after="0" w:line="278"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copy of the information provided to a manufacturer under regulation 187 in relation to that plant; and</w:t>
      </w:r>
    </w:p>
    <w:p>
      <w:pPr>
        <w:numPr>
          <w:ilvl w:val="0"/>
          <w:numId w:val="416"/>
        </w:numPr>
        <w:tabs>
          <w:tab w:val="clear" w:pos="360"/>
          <w:tab w:val="left" w:pos="1872"/>
        </w:tabs>
        <w:spacing w:before="116" w:after="0" w:line="278" w:lineRule="exact"/>
        <w:ind w:right="504" w:left="1872"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if applicable, a copy of the information provided to a manufacturer under regulation 188 in relation to that plant.</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1" w:after="1478"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corporate—$6 000.</w:t>
      </w:r>
    </w:p>
    <w:p>
      <w:pPr>
        <w:spacing w:before="121" w:after="1478"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172</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5.2	</w:t>
      </w:r>
      <w:r>
        <w:rPr>
          <w:rFonts w:ascii="Times New Roman" w:hAnsi="Times New Roman" w:eastAsia="Times New Roman"/>
          <w:color w:val="000000"/>
          <w:spacing w:val="0"/>
          <w:w w:val="100"/>
          <w:sz w:val="20"/>
          <w:vertAlign w:val="baseline"/>
          <w:lang w:val="en-US"/>
        </w:rPr>
        <w:t xml:space="preserve">Additional Duties Relating to Registered Plant and Plant Designs</w:t>
      </w:r>
    </w:p>
    <w:p>
      <w:pPr>
        <w:spacing w:before="251"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2"/>
          <w:w w:val="100"/>
          <w:sz w:val="24"/>
          <w:vertAlign w:val="baseline"/>
          <w:lang w:val="en-US"/>
        </w:rPr>
        <w:t xml:space="preserve">229 Record of standards or engineering principles used</w:t>
      </w:r>
    </w:p>
    <w:p>
      <w:pPr>
        <w:numPr>
          <w:ilvl w:val="0"/>
          <w:numId w:val="417"/>
        </w:numPr>
        <w:tabs>
          <w:tab w:val="clear" w:pos="360"/>
          <w:tab w:val="left" w:pos="1368"/>
        </w:tabs>
        <w:spacing w:before="124" w:after="0" w:line="275"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design of plant is required to be registered under Part 5.3, the designer of the plant must record any published technical standard, including any part of a published technical standard, that was used to design the plant.</w:t>
      </w:r>
    </w:p>
    <w:p>
      <w:pPr>
        <w:spacing w:before="125"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19"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5"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numPr>
          <w:ilvl w:val="0"/>
          <w:numId w:val="417"/>
        </w:numPr>
        <w:tabs>
          <w:tab w:val="clear" w:pos="360"/>
          <w:tab w:val="left" w:pos="1368"/>
        </w:tabs>
        <w:spacing w:before="117" w:after="0" w:line="276" w:lineRule="exact"/>
        <w:ind w:right="93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designer of the plant has not used published technical standards to design the plant, the designer must record any engineering principles used to design the plant.</w:t>
      </w:r>
    </w:p>
    <w:p>
      <w:pPr>
        <w:spacing w:before="125"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19"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0"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24"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230 Records to be available for inspection</w:t>
      </w:r>
    </w:p>
    <w:p>
      <w:pPr>
        <w:numPr>
          <w:ilvl w:val="0"/>
          <w:numId w:val="418"/>
        </w:numPr>
        <w:tabs>
          <w:tab w:val="clear" w:pos="360"/>
          <w:tab w:val="left" w:pos="1368"/>
        </w:tabs>
        <w:spacing w:before="238"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designer of plant must ensure that the records made under regulations 228 and 229 are kept available for inspection under the Act.</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4"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numPr>
          <w:ilvl w:val="0"/>
          <w:numId w:val="418"/>
        </w:numPr>
        <w:tabs>
          <w:tab w:val="clear" w:pos="360"/>
          <w:tab w:val="left" w:pos="1368"/>
        </w:tabs>
        <w:spacing w:before="118" w:after="0" w:line="276"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designer of plant must ensure that the records made under regulations 228 and 229 are made available for inspection by the design verifier of the plant design.</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4"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numPr>
          <w:ilvl w:val="0"/>
          <w:numId w:val="418"/>
        </w:numPr>
        <w:tabs>
          <w:tab w:val="clear" w:pos="360"/>
          <w:tab w:val="left" w:pos="1368"/>
        </w:tabs>
        <w:spacing w:before="116" w:after="0" w:line="278"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designer of plant must keep the records made under regulations 228 and 229 for the design life of the plant.</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0" w:after="1357"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corporate—$6 000.</w:t>
      </w:r>
    </w:p>
    <w:p>
      <w:pPr>
        <w:spacing w:before="120" w:after="1357"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173</w:t>
      </w:r>
    </w:p>
    <w:p>
      <w:pPr>
        <w:sectPr>
          <w:type w:val="continuous"/>
          <w:pgSz w:w="11909" w:h="16838" w:orient="portrait"/>
          <w:pgMar w:bottom="1082" w:top="1140" w:right="5817" w:left="1972"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5.2	</w:t>
      </w:r>
      <w:r>
        <w:rPr>
          <w:rFonts w:ascii="Times New Roman" w:hAnsi="Times New Roman" w:eastAsia="Times New Roman"/>
          <w:color w:val="000000"/>
          <w:spacing w:val="0"/>
          <w:w w:val="100"/>
          <w:sz w:val="20"/>
          <w:vertAlign w:val="baseline"/>
          <w:lang w:val="en-US"/>
        </w:rPr>
        <w:t xml:space="preserve">Additional Duties Relating to Registered Plant and Plant Designs</w:t>
      </w:r>
    </w:p>
    <w:p>
      <w:pPr>
        <w:tabs>
          <w:tab w:val="left" w:leader="none" w:pos="1584"/>
        </w:tabs>
        <w:spacing w:before="255" w:after="0" w:line="275"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4"/>
          <w:vertAlign w:val="baseline"/>
          <w:lang w:val="en-US"/>
        </w:rPr>
        <w:t xml:space="preserve">Division 3	</w:t>
      </w:r>
      <w:r>
        <w:rPr>
          <w:rFonts w:ascii="Times New Roman" w:hAnsi="Times New Roman" w:eastAsia="Times New Roman"/>
          <w:b w:val="true"/>
          <w:color w:val="000000"/>
          <w:spacing w:val="0"/>
          <w:w w:val="100"/>
          <w:sz w:val="24"/>
          <w:vertAlign w:val="baseline"/>
          <w:lang w:val="en-US"/>
        </w:rPr>
        <w:t xml:space="preserve">Duties of a person conducting a business or undertaking</w:t>
      </w:r>
    </w:p>
    <w:p>
      <w:pPr>
        <w:tabs>
          <w:tab w:val="left" w:leader="none" w:pos="864"/>
        </w:tabs>
        <w:spacing w:before="117" w:after="0" w:line="275" w:lineRule="exact"/>
        <w:ind w:right="1008" w:left="288" w:firstLine="0"/>
        <w:jc w:val="both"/>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231	</w:t>
      </w:r>
      <w:r>
        <w:rPr>
          <w:rFonts w:ascii="Times New Roman" w:hAnsi="Times New Roman" w:eastAsia="Times New Roman"/>
          <w:b w:val="true"/>
          <w:color w:val="000000"/>
          <w:spacing w:val="0"/>
          <w:w w:val="100"/>
          <w:sz w:val="24"/>
          <w:vertAlign w:val="baseline"/>
          <w:lang w:val="en-US"/>
        </w:rPr>
        <w:t xml:space="preserve">Duty of persons conducting businesses or undertakings that manufacture plant</w:t>
      </w:r>
    </w:p>
    <w:p>
      <w:pPr>
        <w:spacing w:before="123" w:after="0" w:line="276" w:lineRule="exact"/>
        <w:ind w:right="36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manufacturer must not supply plant specified in Part 1 of Schedule 5 unless the design of that plant is registered under Part 5.3.</w:t>
      </w:r>
    </w:p>
    <w:p>
      <w:pPr>
        <w:spacing w:before="119"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19"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tabs>
          <w:tab w:val="left" w:leader="none" w:pos="864"/>
        </w:tabs>
        <w:spacing w:before="122" w:after="0" w:line="275" w:lineRule="exact"/>
        <w:ind w:right="216"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232	</w:t>
      </w:r>
      <w:r>
        <w:rPr>
          <w:rFonts w:ascii="Times New Roman" w:hAnsi="Times New Roman" w:eastAsia="Times New Roman"/>
          <w:b w:val="true"/>
          <w:color w:val="000000"/>
          <w:spacing w:val="0"/>
          <w:w w:val="100"/>
          <w:sz w:val="24"/>
          <w:vertAlign w:val="baseline"/>
          <w:lang w:val="en-US"/>
        </w:rPr>
        <w:t xml:space="preserve">Duty of persons conducting businesses or undertakings that import plant</w:t>
      </w:r>
    </w:p>
    <w:p>
      <w:pPr>
        <w:spacing w:before="126" w:after="0" w:line="273" w:lineRule="exact"/>
        <w:ind w:right="144"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importer must not supply plant specified in Part 1 of Schedule 5 unless the design of that plant is registered under Part 5.3.</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tabs>
          <w:tab w:val="left" w:leader="none" w:pos="864"/>
        </w:tabs>
        <w:spacing w:before="122" w:after="0" w:line="275" w:lineRule="exact"/>
        <w:ind w:right="288"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233	</w:t>
      </w:r>
      <w:r>
        <w:rPr>
          <w:rFonts w:ascii="Times New Roman" w:hAnsi="Times New Roman" w:eastAsia="Times New Roman"/>
          <w:b w:val="true"/>
          <w:color w:val="000000"/>
          <w:spacing w:val="0"/>
          <w:w w:val="100"/>
          <w:sz w:val="24"/>
          <w:vertAlign w:val="baseline"/>
          <w:lang w:val="en-US"/>
        </w:rPr>
        <w:t xml:space="preserve">Duty of persons conducting businesses or undertakings that supply plant</w:t>
      </w:r>
    </w:p>
    <w:p>
      <w:pPr>
        <w:spacing w:before="124" w:after="0" w:line="274" w:lineRule="exact"/>
        <w:ind w:right="288"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supplier must not supply plant specified in Part 1 of Schedule 5 unless the design of that plant is registered under Part 5.3.</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4"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tabs>
          <w:tab w:val="left" w:leader="none" w:pos="864"/>
        </w:tabs>
        <w:spacing w:before="122" w:after="0" w:line="275" w:lineRule="exact"/>
        <w:ind w:right="1008" w:left="288" w:firstLine="0"/>
        <w:jc w:val="both"/>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234	</w:t>
      </w:r>
      <w:r>
        <w:rPr>
          <w:rFonts w:ascii="Times New Roman" w:hAnsi="Times New Roman" w:eastAsia="Times New Roman"/>
          <w:b w:val="true"/>
          <w:color w:val="000000"/>
          <w:spacing w:val="0"/>
          <w:w w:val="100"/>
          <w:sz w:val="24"/>
          <w:vertAlign w:val="baseline"/>
          <w:lang w:val="en-US"/>
        </w:rPr>
        <w:t xml:space="preserve">Duty of persons conducting businesses or undertakings that commission plant</w:t>
      </w:r>
    </w:p>
    <w:p>
      <w:pPr>
        <w:numPr>
          <w:ilvl w:val="0"/>
          <w:numId w:val="419"/>
        </w:numPr>
        <w:tabs>
          <w:tab w:val="clear" w:pos="360"/>
          <w:tab w:val="left" w:pos="1368"/>
        </w:tabs>
        <w:spacing w:before="116" w:after="0" w:line="278" w:lineRule="exact"/>
        <w:ind w:right="57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regulation applies to a person who conducts a business or undertaking that commissions plant.</w:t>
      </w:r>
    </w:p>
    <w:p>
      <w:pPr>
        <w:numPr>
          <w:ilvl w:val="0"/>
          <w:numId w:val="419"/>
        </w:numPr>
        <w:tabs>
          <w:tab w:val="clear" w:pos="360"/>
          <w:tab w:val="left" w:pos="1368"/>
        </w:tabs>
        <w:spacing w:before="118" w:after="0" w:line="276"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not commission an item of plant that is specified in Part 2 of Schedule 5 for use in a workplace unless that item of plant is registered under Part 5.3.</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4" w:after="1199"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1199"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174</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5.2	</w:t>
      </w:r>
      <w:r>
        <w:rPr>
          <w:rFonts w:ascii="Times New Roman" w:hAnsi="Times New Roman" w:eastAsia="Times New Roman"/>
          <w:color w:val="000000"/>
          <w:spacing w:val="0"/>
          <w:w w:val="100"/>
          <w:sz w:val="20"/>
          <w:vertAlign w:val="baseline"/>
          <w:lang w:val="en-US"/>
        </w:rPr>
        <w:t xml:space="preserve">Additional Duties Relating to Registered Plant and Plant Designs</w:t>
      </w:r>
    </w:p>
    <w:p>
      <w:pPr>
        <w:spacing w:before="247" w:after="0" w:line="277"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(3) Nothing in subregulation (2) prevents a person from performing any necessary adjustments, tests or inspections as part of the commissioning process before the plant is commissioned at a workplace.</w:t>
      </w:r>
    </w:p>
    <w:p>
      <w:pPr>
        <w:tabs>
          <w:tab w:val="left" w:leader="none" w:pos="1584"/>
        </w:tabs>
        <w:spacing w:before="240" w:after="0" w:line="273"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4	</w:t>
      </w:r>
      <w:r>
        <w:rPr>
          <w:rFonts w:ascii="Times New Roman" w:hAnsi="Times New Roman" w:eastAsia="Times New Roman"/>
          <w:b w:val="true"/>
          <w:color w:val="000000"/>
          <w:spacing w:val="0"/>
          <w:w w:val="100"/>
          <w:sz w:val="24"/>
          <w:vertAlign w:val="baseline"/>
          <w:lang w:val="en-US"/>
        </w:rPr>
        <w:t xml:space="preserve">Duties of a person conducting a business or undertaking</w:t>
      </w:r>
    </w:p>
    <w:p>
      <w:pPr>
        <w:spacing w:before="11" w:after="0" w:line="273" w:lineRule="exact"/>
        <w:ind w:right="0" w:left="0" w:firstLine="0"/>
        <w:jc w:val="center"/>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involving the management or control of plant</w:t>
      </w:r>
    </w:p>
    <w:p>
      <w:pPr>
        <w:spacing w:before="240" w:after="0" w:line="273"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Subdivision 1 Control measures for registered plant</w:t>
      </w:r>
    </w:p>
    <w:p>
      <w:pPr>
        <w:spacing w:before="121" w:after="0" w:line="273" w:lineRule="exact"/>
        <w:ind w:right="0" w:left="0" w:firstLine="0"/>
        <w:jc w:val="center"/>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235 Major inspection of registered mobile cranes and tower cranes</w:t>
      </w:r>
    </w:p>
    <w:p>
      <w:pPr>
        <w:spacing w:before="120" w:after="0" w:line="273" w:lineRule="exact"/>
        <w:ind w:right="0" w:left="0" w:firstLine="0"/>
        <w:jc w:val="righ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regulation applies to the person with management or control of</w:t>
      </w:r>
    </w:p>
    <w:p>
      <w:pPr>
        <w:spacing w:before="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registered mobile crane or tower crane at a workplace.</w:t>
      </w:r>
    </w:p>
    <w:p>
      <w:pPr>
        <w:spacing w:before="114" w:after="0" w:line="279" w:lineRule="exact"/>
        <w:ind w:right="50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person must ensure that a major inspection of the crane is carried out by, or under the supervision of, a competent person:</w:t>
      </w:r>
    </w:p>
    <w:p>
      <w:pPr>
        <w:numPr>
          <w:ilvl w:val="0"/>
          <w:numId w:val="420"/>
        </w:numPr>
        <w:tabs>
          <w:tab w:val="clear" w:pos="288"/>
          <w:tab w:val="left" w:pos="1872"/>
        </w:tabs>
        <w:spacing w:before="119" w:after="0" w:line="274" w:lineRule="exact"/>
        <w:ind w:right="72"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at the end of the design life recommended by the manufacturer for the crane; or</w:t>
      </w:r>
    </w:p>
    <w:p>
      <w:pPr>
        <w:numPr>
          <w:ilvl w:val="0"/>
          <w:numId w:val="420"/>
        </w:numPr>
        <w:tabs>
          <w:tab w:val="clear" w:pos="288"/>
          <w:tab w:val="left" w:pos="1872"/>
        </w:tabs>
        <w:spacing w:before="125"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there are no manufacturer's recommendations—in</w:t>
      </w:r>
    </w:p>
    <w:p>
      <w:pPr>
        <w:spacing w:before="0" w:after="0" w:line="276" w:lineRule="exact"/>
        <w:ind w:right="216"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accordance with the recommendations of a competent person; or</w:t>
      </w:r>
    </w:p>
    <w:p>
      <w:pPr>
        <w:numPr>
          <w:ilvl w:val="0"/>
          <w:numId w:val="420"/>
        </w:numPr>
        <w:tabs>
          <w:tab w:val="clear" w:pos="288"/>
          <w:tab w:val="left" w:pos="1872"/>
        </w:tabs>
        <w:spacing w:before="118" w:after="0" w:line="276" w:lineRule="exact"/>
        <w:ind w:right="72"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it is not reasonably practicable to comply with paragraph (a) or (b)—every 10 years from the date that the crane was first commissioned or first registered, whichever occurred first.</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18" w:after="0" w:line="276"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A major inspection carried out under and in accordance with an equivalent provision of a corresponding WHS law is taken to be a major inspection for the purposes of this regulation.</w:t>
      </w:r>
    </w:p>
    <w:p>
      <w:pPr>
        <w:spacing w:before="4" w:after="0" w:line="394" w:lineRule="exact"/>
        <w:ind w:right="1296" w:left="1584" w:hanging="576"/>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In this regulation, a </w:t>
      </w:r>
      <w:r>
        <w:rPr>
          <w:rFonts w:ascii="Times New Roman" w:hAnsi="Times New Roman" w:eastAsia="Times New Roman"/>
          <w:b w:val="true"/>
          <w:i w:val="true"/>
          <w:color w:val="000000"/>
          <w:spacing w:val="0"/>
          <w:w w:val="100"/>
          <w:sz w:val="24"/>
          <w:vertAlign w:val="baseline"/>
          <w:lang w:val="en-US"/>
        </w:rPr>
        <w:t xml:space="preserve">competent person </w:t>
      </w:r>
      <w:r>
        <w:rPr>
          <w:rFonts w:ascii="Times New Roman" w:hAnsi="Times New Roman" w:eastAsia="Times New Roman"/>
          <w:color w:val="000000"/>
          <w:spacing w:val="0"/>
          <w:w w:val="100"/>
          <w:sz w:val="24"/>
          <w:vertAlign w:val="baseline"/>
          <w:lang w:val="en-US"/>
        </w:rPr>
        <w:t xml:space="preserve">is a person who: (a) complies with both of the following:</w:t>
      </w:r>
    </w:p>
    <w:p>
      <w:pPr>
        <w:numPr>
          <w:ilvl w:val="0"/>
          <w:numId w:val="421"/>
        </w:numPr>
        <w:tabs>
          <w:tab w:val="clear" w:pos="360"/>
          <w:tab w:val="left" w:pos="2376"/>
        </w:tabs>
        <w:spacing w:before="122" w:after="0" w:line="276" w:lineRule="exact"/>
        <w:ind w:right="7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has acquired through training, qualification or experience the knowledge and skills to carry out a major inspection of the plant; and</w:t>
      </w:r>
    </w:p>
    <w:p>
      <w:pPr>
        <w:numPr>
          <w:ilvl w:val="0"/>
          <w:numId w:val="421"/>
        </w:numPr>
        <w:tabs>
          <w:tab w:val="clear" w:pos="360"/>
          <w:tab w:val="left" w:pos="2376"/>
        </w:tabs>
        <w:spacing w:before="116" w:after="0" w:line="278" w:lineRule="exact"/>
        <w:ind w:right="7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registered under a law that provides for the registration of professional engineers; or</w:t>
      </w:r>
    </w:p>
    <w:p>
      <w:pPr>
        <w:spacing w:before="124" w:after="0" w:line="225" w:lineRule="exact"/>
        <w:ind w:right="0" w:left="2376"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857" w:line="228"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26" w:after="857" w:line="22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175</w:t>
      </w:r>
    </w:p>
    <w:p>
      <w:pPr>
        <w:sectPr>
          <w:type w:val="continuous"/>
          <w:pgSz w:w="11909" w:h="16838" w:orient="portrait"/>
          <w:pgMar w:bottom="1082" w:top="1140" w:right="5814" w:left="1975"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5.2	</w:t>
      </w:r>
      <w:r>
        <w:rPr>
          <w:rFonts w:ascii="Times New Roman" w:hAnsi="Times New Roman" w:eastAsia="Times New Roman"/>
          <w:color w:val="000000"/>
          <w:spacing w:val="0"/>
          <w:w w:val="100"/>
          <w:sz w:val="20"/>
          <w:vertAlign w:val="baseline"/>
          <w:lang w:val="en-US"/>
        </w:rPr>
        <w:t xml:space="preserve">Additional Duties Relating to Registered Plant and Plant Designs</w:t>
      </w:r>
    </w:p>
    <w:p>
      <w:pPr>
        <w:spacing w:before="251"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(b) is determined by the regulator to be a competent person.</w:t>
      </w:r>
    </w:p>
    <w:p>
      <w:pPr>
        <w:numPr>
          <w:ilvl w:val="0"/>
          <w:numId w:val="422"/>
        </w:numPr>
        <w:tabs>
          <w:tab w:val="clear" w:pos="360"/>
          <w:tab w:val="left" w:pos="1368"/>
        </w:tabs>
        <w:spacing w:before="124" w:after="0" w:line="275" w:lineRule="exact"/>
        <w:ind w:right="64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may, on the application of a person, make a determination in relation to the person for the purposes of subregulation (4)(b) if the regulator considers that exceptional circumstances exist.</w:t>
      </w:r>
    </w:p>
    <w:p>
      <w:pPr>
        <w:numPr>
          <w:ilvl w:val="0"/>
          <w:numId w:val="422"/>
        </w:numPr>
        <w:tabs>
          <w:tab w:val="clear" w:pos="360"/>
          <w:tab w:val="left" w:pos="1368"/>
        </w:tabs>
        <w:spacing w:before="126" w:after="0" w:line="274"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this regulation, </w:t>
      </w:r>
      <w:r>
        <w:rPr>
          <w:rFonts w:ascii="Times New Roman" w:hAnsi="Times New Roman" w:eastAsia="Times New Roman"/>
          <w:b w:val="true"/>
          <w:i w:val="true"/>
          <w:color w:val="000000"/>
          <w:spacing w:val="0"/>
          <w:w w:val="100"/>
          <w:sz w:val="24"/>
          <w:vertAlign w:val="baseline"/>
          <w:lang w:val="en-US"/>
        </w:rPr>
        <w:t xml:space="preserve">major inspection </w:t>
      </w:r>
      <w:r>
        <w:rPr>
          <w:rFonts w:ascii="Times New Roman" w:hAnsi="Times New Roman" w:eastAsia="Times New Roman"/>
          <w:color w:val="000000"/>
          <w:spacing w:val="0"/>
          <w:w w:val="100"/>
          <w:sz w:val="24"/>
          <w:vertAlign w:val="baseline"/>
          <w:lang w:val="en-US"/>
        </w:rPr>
        <w:t xml:space="preserve">means:</w:t>
      </w:r>
    </w:p>
    <w:p>
      <w:pPr>
        <w:numPr>
          <w:ilvl w:val="0"/>
          <w:numId w:val="423"/>
        </w:numPr>
        <w:tabs>
          <w:tab w:val="clear" w:pos="360"/>
          <w:tab w:val="left" w:pos="1872"/>
        </w:tabs>
        <w:spacing w:before="115" w:after="0" w:line="277"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examination of all critical components of the crane, if necessary by stripping down the crane and removing paint, grease and corrosion to allow a thorough examination of each critical component; and</w:t>
      </w:r>
    </w:p>
    <w:p>
      <w:pPr>
        <w:numPr>
          <w:ilvl w:val="0"/>
          <w:numId w:val="423"/>
        </w:numPr>
        <w:tabs>
          <w:tab w:val="clear" w:pos="360"/>
          <w:tab w:val="left" w:pos="1872"/>
        </w:tabs>
        <w:spacing w:before="0" w:after="0" w:line="396" w:lineRule="exact"/>
        <w:ind w:right="792" w:left="360" w:firstLine="115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check of the effective and safe operation of the crane. </w:t>
      </w:r>
      <w:r>
        <w:rPr>
          <w:rFonts w:ascii="Times New Roman" w:hAnsi="Times New Roman" w:eastAsia="Times New Roman"/>
          <w:b w:val="true"/>
          <w:color w:val="000000"/>
          <w:spacing w:val="0"/>
          <w:w w:val="100"/>
          <w:sz w:val="24"/>
          <w:vertAlign w:val="baseline"/>
          <w:lang w:val="en-US"/>
        </w:rPr>
        <w:t xml:space="preserve">236 Lifts</w:t>
      </w:r>
    </w:p>
    <w:p>
      <w:pPr>
        <w:spacing w:before="117"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person with management or control of a lift at a workplace (including a person with management or control of maintenance of a lift) must ensure that:</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if there is a risk of a person falling down a lift well:</w:t>
      </w:r>
    </w:p>
    <w:p>
      <w:pPr>
        <w:numPr>
          <w:ilvl w:val="0"/>
          <w:numId w:val="424"/>
        </w:numPr>
        <w:tabs>
          <w:tab w:val="clear" w:pos="432"/>
          <w:tab w:val="left" w:pos="2448"/>
        </w:tabs>
        <w:spacing w:before="122" w:after="0" w:line="276" w:lineRule="exact"/>
        <w:ind w:right="72" w:left="2448" w:hanging="432"/>
        <w:jc w:val="left"/>
        <w:textAlignment w:val="baseline"/>
        <w:rPr>
          <w:rFonts w:ascii="Times New Roman" w:hAnsi="Times New Roman" w:eastAsia="Times New Roman"/>
          <w:color w:val="000000"/>
          <w:spacing w:val="-2"/>
          <w:w w:val="100"/>
          <w:sz w:val="24"/>
          <w:vertAlign w:val="baseline"/>
          <w:lang w:val="en-US"/>
        </w:rPr>
      </w:pPr>
      <w:r>
        <w:rPr>
          <w:rFonts w:ascii="Times New Roman" w:hAnsi="Times New Roman" w:eastAsia="Times New Roman"/>
          <w:color w:val="000000"/>
          <w:spacing w:val="-2"/>
          <w:w w:val="100"/>
          <w:sz w:val="24"/>
          <w:vertAlign w:val="baseline"/>
          <w:lang w:val="en-US"/>
        </w:rPr>
        <w:t xml:space="preserve">secure barriers are provided to prevent access to openings into the lift well by someone other than a person who is performing work in the lift well; and</w:t>
      </w:r>
    </w:p>
    <w:p>
      <w:pPr>
        <w:numPr>
          <w:ilvl w:val="0"/>
          <w:numId w:val="424"/>
        </w:numPr>
        <w:tabs>
          <w:tab w:val="clear" w:pos="432"/>
          <w:tab w:val="left" w:pos="2448"/>
        </w:tabs>
        <w:spacing w:before="118" w:after="0" w:line="276" w:lineRule="exact"/>
        <w:ind w:right="144" w:left="2448"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secure working platforms or equivalent arrangements are provided for a person who is working in the lift well to prevent a fall from height; and</w:t>
      </w:r>
    </w:p>
    <w:p>
      <w:pPr>
        <w:spacing w:before="124" w:after="0" w:line="275"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if there is a risk to a person working in a lift well from objects falling onto that person—a secure barrier is provided to prevent, so far as is reasonably practicable, falling objects from striking the person or otherwise causing a risk.</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16" w:after="0" w:line="278"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person must ensure that there is a safe means of entry to and exit from the base of the lift well.</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1" w:after="1406"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corporate—$18 000.</w:t>
      </w:r>
    </w:p>
    <w:p>
      <w:pPr>
        <w:spacing w:before="121" w:after="1406"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176</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5.2	</w:t>
      </w:r>
      <w:r>
        <w:rPr>
          <w:rFonts w:ascii="Times New Roman" w:hAnsi="Times New Roman" w:eastAsia="Times New Roman"/>
          <w:color w:val="000000"/>
          <w:spacing w:val="0"/>
          <w:w w:val="100"/>
          <w:sz w:val="20"/>
          <w:vertAlign w:val="baseline"/>
          <w:lang w:val="en-US"/>
        </w:rPr>
        <w:t xml:space="preserve">Additional Duties Relating to Registered Plant and Plant Designs</w:t>
      </w:r>
    </w:p>
    <w:p>
      <w:pPr>
        <w:spacing w:before="249"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(3) The person must ensure that there is fixed, in a prominent place in the lift, a sign that states the safe working load specified in the design of the lift.</w:t>
      </w:r>
    </w:p>
    <w:p>
      <w:pPr>
        <w:spacing w:before="125"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19"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5"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19" w:after="0" w:line="274" w:lineRule="exact"/>
        <w:ind w:right="0" w:left="288" w:firstLine="0"/>
        <w:jc w:val="left"/>
        <w:textAlignment w:val="baseline"/>
        <w:rPr>
          <w:rFonts w:ascii="Times New Roman" w:hAnsi="Times New Roman" w:eastAsia="Times New Roman"/>
          <w:b w:val="true"/>
          <w:color w:val="000000"/>
          <w:spacing w:val="7"/>
          <w:w w:val="100"/>
          <w:sz w:val="24"/>
          <w:vertAlign w:val="baseline"/>
          <w:lang w:val="en-US"/>
        </w:rPr>
      </w:pPr>
      <w:r>
        <w:rPr>
          <w:rFonts w:ascii="Times New Roman" w:hAnsi="Times New Roman" w:eastAsia="Times New Roman"/>
          <w:b w:val="true"/>
          <w:color w:val="000000"/>
          <w:spacing w:val="7"/>
          <w:w w:val="100"/>
          <w:sz w:val="24"/>
          <w:vertAlign w:val="baseline"/>
          <w:lang w:val="en-US"/>
        </w:rPr>
        <w:t xml:space="preserve">237 Records of plant</w:t>
      </w:r>
    </w:p>
    <w:p>
      <w:pPr>
        <w:numPr>
          <w:ilvl w:val="0"/>
          <w:numId w:val="425"/>
        </w:numPr>
        <w:tabs>
          <w:tab w:val="clear" w:pos="360"/>
          <w:tab w:val="left" w:pos="1368"/>
        </w:tabs>
        <w:spacing w:before="126" w:after="0" w:line="273" w:lineRule="exact"/>
        <w:ind w:right="57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regulation applies in relation to plant that is required to be registered under Part 5.3.</w:t>
      </w:r>
    </w:p>
    <w:p>
      <w:pPr>
        <w:numPr>
          <w:ilvl w:val="0"/>
          <w:numId w:val="425"/>
        </w:numPr>
        <w:tabs>
          <w:tab w:val="clear" w:pos="360"/>
          <w:tab w:val="left" w:pos="1368"/>
        </w:tabs>
        <w:spacing w:before="124" w:after="0" w:line="275"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with management or control of the plant at a workplace must keep a record of all tests, inspections, maintenance, commissioning, decommissioning, dismantling and alterations of the plant for the period set out in subregulation (3).</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0"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numPr>
          <w:ilvl w:val="0"/>
          <w:numId w:val="425"/>
        </w:numPr>
        <w:tabs>
          <w:tab w:val="clear" w:pos="360"/>
          <w:tab w:val="left" w:pos="1368"/>
        </w:tabs>
        <w:spacing w:before="124" w:after="0" w:line="274"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record must be kept for the period that the plant is used or until the person relinquishes control of the plant.</w:t>
      </w:r>
    </w:p>
    <w:p>
      <w:pPr>
        <w:numPr>
          <w:ilvl w:val="0"/>
          <w:numId w:val="425"/>
        </w:numPr>
        <w:tabs>
          <w:tab w:val="clear" w:pos="360"/>
          <w:tab w:val="left" w:pos="1368"/>
        </w:tabs>
        <w:spacing w:before="124" w:after="0" w:line="274"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keep the record available for inspection under the Act.</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4"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numPr>
          <w:ilvl w:val="0"/>
          <w:numId w:val="425"/>
        </w:numPr>
        <w:tabs>
          <w:tab w:val="clear" w:pos="360"/>
          <w:tab w:val="left" w:pos="1368"/>
        </w:tabs>
        <w:spacing w:before="116" w:after="0" w:line="278"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make the record available to any person to whom the person relinquishes control of the plant.</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0"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239" w:after="0" w:line="279" w:lineRule="exact"/>
        <w:ind w:right="648" w:left="1584" w:hanging="1584"/>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Subdivision 2 Control measures for amusement devices and passenger ropeways</w:t>
      </w:r>
    </w:p>
    <w:p>
      <w:pPr>
        <w:spacing w:before="119"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238 Operation of amusement devices and passenger ropeways</w:t>
      </w:r>
    </w:p>
    <w:p>
      <w:pPr>
        <w:spacing w:before="116" w:after="1079" w:line="278" w:lineRule="exact"/>
        <w:ind w:right="144" w:left="1368" w:hanging="360"/>
        <w:jc w:val="left"/>
        <w:textAlignment w:val="baseline"/>
        <w:rPr>
          <w:rFonts w:ascii="Times New Roman" w:hAnsi="Times New Roman" w:eastAsia="Times New Roman"/>
          <w:color w:val="000000"/>
          <w:spacing w:val="-1"/>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1"/>
          <w:w w:val="100"/>
          <w:sz w:val="24"/>
          <w:vertAlign w:val="baseline"/>
          <w:lang w:val="en-US"/>
        </w:rPr>
        <w:t xml:space="preserve">(1) The person with management or control of an amusement device or passenger ropeway at a workplace must ensure that the device or</w:t>
      </w:r>
    </w:p>
    <w:p>
      <w:pPr>
        <w:spacing w:before="116" w:after="1079"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177</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5.2	</w:t>
      </w:r>
      <w:r>
        <w:rPr>
          <w:rFonts w:ascii="Times New Roman" w:hAnsi="Times New Roman" w:eastAsia="Times New Roman"/>
          <w:color w:val="000000"/>
          <w:spacing w:val="0"/>
          <w:w w:val="100"/>
          <w:sz w:val="20"/>
          <w:vertAlign w:val="baseline"/>
          <w:lang w:val="en-US"/>
        </w:rPr>
        <w:t xml:space="preserve">Additional Duties Relating to Registered Plant and Plant Designs</w:t>
      </w:r>
    </w:p>
    <w:p>
      <w:pPr>
        <w:spacing w:before="246" w:after="0" w:line="279" w:lineRule="exact"/>
        <w:ind w:right="216"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ropeway is operated only by a person who has been provided with instruction and training in its proper operation.</w:t>
      </w:r>
    </w:p>
    <w:p>
      <w:pPr>
        <w:spacing w:before="119"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19"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6" w:after="0" w:line="273"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person with management or control of an amusement device or passenger ropeway at a workplace must ensure that:</w:t>
      </w:r>
    </w:p>
    <w:p>
      <w:pPr>
        <w:numPr>
          <w:ilvl w:val="0"/>
          <w:numId w:val="426"/>
        </w:numPr>
        <w:tabs>
          <w:tab w:val="clear" w:pos="360"/>
          <w:tab w:val="left" w:pos="1872"/>
        </w:tabs>
        <w:spacing w:before="126" w:after="0" w:line="273" w:lineRule="exact"/>
        <w:ind w:right="7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amusement device or passenger ropeway is checked before it is operated on each day on which it is to be operated; and</w:t>
      </w:r>
    </w:p>
    <w:p>
      <w:pPr>
        <w:numPr>
          <w:ilvl w:val="0"/>
          <w:numId w:val="426"/>
        </w:numPr>
        <w:tabs>
          <w:tab w:val="clear" w:pos="360"/>
          <w:tab w:val="left" w:pos="1872"/>
        </w:tabs>
        <w:spacing w:before="123" w:after="0" w:line="276"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amusement device or passenger ropeway is operated without passengers before it is operated with passengers on each day on which it is to be operated; and</w:t>
      </w:r>
    </w:p>
    <w:p>
      <w:pPr>
        <w:numPr>
          <w:ilvl w:val="0"/>
          <w:numId w:val="426"/>
        </w:numPr>
        <w:tabs>
          <w:tab w:val="clear" w:pos="360"/>
          <w:tab w:val="left" w:pos="1872"/>
        </w:tabs>
        <w:spacing w:before="117" w:after="0" w:line="276" w:lineRule="exact"/>
        <w:ind w:right="360" w:left="1872"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the daily checks and operation of the amusement device or passenger ropeway without passengers are properly and accurately recorded in a log book for the device or ropeway.</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75"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reference in subregulation (1) to instruction and training in the proper operation of a device or ropeway includes a reference to instruction and training in carrying out the checks and operation required under subregulation (2)(a) and (b).</w:t>
      </w:r>
    </w:p>
    <w:p>
      <w:pPr>
        <w:spacing w:before="124"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239 Storage of amusement devices and passenger ropeways</w:t>
      </w:r>
    </w:p>
    <w:p>
      <w:pPr>
        <w:numPr>
          <w:ilvl w:val="0"/>
          <w:numId w:val="427"/>
        </w:numPr>
        <w:tabs>
          <w:tab w:val="clear" w:pos="360"/>
          <w:tab w:val="left" w:pos="1368"/>
        </w:tabs>
        <w:spacing w:before="118"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with management or control of an amusement device or passenger ropeway at a workplace must ensure that the device or ropeway is stored so as to be without risk to health and safety.</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4"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numPr>
          <w:ilvl w:val="0"/>
          <w:numId w:val="427"/>
        </w:numPr>
        <w:tabs>
          <w:tab w:val="clear" w:pos="360"/>
          <w:tab w:val="left" w:pos="1368"/>
        </w:tabs>
        <w:spacing w:before="120"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with management or control of an amusement device or passenger ropeway at a workplace must ensure that a person who stores the device or ropeway is a competent person or is under the supervision of a competent person.</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887"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an individual—$3 600.</w:t>
      </w:r>
    </w:p>
    <w:p>
      <w:pPr>
        <w:spacing w:before="124" w:after="887"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178</w:t>
      </w:r>
    </w:p>
    <w:p>
      <w:pPr>
        <w:sectPr>
          <w:type w:val="continuous"/>
          <w:pgSz w:w="11909" w:h="16838" w:orient="portrait"/>
          <w:pgMar w:bottom="1082" w:top="1140" w:right="5814" w:left="1975"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5.2	</w:t>
      </w:r>
      <w:r>
        <w:rPr>
          <w:rFonts w:ascii="Times New Roman" w:hAnsi="Times New Roman" w:eastAsia="Times New Roman"/>
          <w:color w:val="000000"/>
          <w:spacing w:val="0"/>
          <w:w w:val="100"/>
          <w:sz w:val="20"/>
          <w:vertAlign w:val="baseline"/>
          <w:lang w:val="en-US"/>
        </w:rPr>
        <w:t xml:space="preserve">Additional Duties Relating to Registered Plant and Plant Designs</w:t>
      </w:r>
    </w:p>
    <w:p>
      <w:pPr>
        <w:spacing w:before="25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corporate—$18 000.</w:t>
      </w:r>
    </w:p>
    <w:p>
      <w:pPr>
        <w:spacing w:before="126" w:after="0" w:line="273" w:lineRule="exact"/>
        <w:ind w:right="648"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240 Maintenance, inspection and testing of amusement devices and passenger ropeways</w:t>
      </w:r>
    </w:p>
    <w:p>
      <w:pPr>
        <w:spacing w:before="124" w:after="0" w:line="275"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person with management or control of an amusement device or passenger ropeway at a workplace must ensure that the maintenance, inspection and, if necessary, testing of the device or ropeway is carried out:</w:t>
      </w:r>
    </w:p>
    <w:p>
      <w:pPr>
        <w:numPr>
          <w:ilvl w:val="0"/>
          <w:numId w:val="428"/>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by a competent person; and</w:t>
      </w:r>
    </w:p>
    <w:p>
      <w:pPr>
        <w:numPr>
          <w:ilvl w:val="0"/>
          <w:numId w:val="428"/>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accordance with:</w:t>
      </w:r>
    </w:p>
    <w:p>
      <w:pPr>
        <w:numPr>
          <w:ilvl w:val="0"/>
          <w:numId w:val="429"/>
        </w:numPr>
        <w:tabs>
          <w:tab w:val="clear" w:pos="360"/>
          <w:tab w:val="left" w:pos="2376"/>
        </w:tabs>
        <w:spacing w:before="126" w:after="0" w:line="273" w:lineRule="exact"/>
        <w:ind w:right="14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recommendations of the designer or manufacturer or designer and manufacturer; or</w:t>
      </w:r>
    </w:p>
    <w:p>
      <w:pPr>
        <w:numPr>
          <w:ilvl w:val="0"/>
          <w:numId w:val="429"/>
        </w:numPr>
        <w:tabs>
          <w:tab w:val="clear" w:pos="360"/>
          <w:tab w:val="left" w:pos="2376"/>
        </w:tabs>
        <w:spacing w:before="127" w:after="0" w:line="273" w:lineRule="exact"/>
        <w:ind w:right="288" w:left="2376"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a maintenance manual for the device or ropeway has been prepared by a competent person, the requirements of the maintenance manual.</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8" w:after="0" w:line="276" w:lineRule="exact"/>
        <w:ind w:right="72" w:left="1368" w:hanging="360"/>
        <w:jc w:val="left"/>
        <w:textAlignment w:val="baseline"/>
        <w:rPr>
          <w:rFonts w:ascii="Times New Roman" w:hAnsi="Times New Roman" w:eastAsia="Times New Roman"/>
          <w:color w:val="000000"/>
          <w:spacing w:val="2"/>
          <w:w w:val="100"/>
          <w:sz w:val="24"/>
          <w:vertAlign w:val="baseline"/>
          <w:lang w:val="en-US"/>
        </w:rPr>
      </w:pPr>
      <w:r>
        <w:rPr>
          <w:rFonts w:ascii="Times New Roman" w:hAnsi="Times New Roman" w:eastAsia="Times New Roman"/>
          <w:color w:val="000000"/>
          <w:spacing w:val="2"/>
          <w:w w:val="100"/>
          <w:sz w:val="24"/>
          <w:vertAlign w:val="baseline"/>
          <w:lang w:val="en-US"/>
        </w:rPr>
        <w:t xml:space="preserve">(2) A person is not a competent person to carry out a detailed inspection of an amusement device or passenger ropeway that includes an electrical installation unless the person is qualified, or is assisted by a person who is qualified, to inspect electrical installations.</w:t>
      </w:r>
    </w:p>
    <w:p>
      <w:pPr>
        <w:spacing w:before="125" w:after="0" w:line="273" w:lineRule="exact"/>
        <w:ind w:right="0" w:left="0" w:firstLine="0"/>
        <w:jc w:val="center"/>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241 Annual inspection of amusement devices and passenger ropeways</w:t>
      </w:r>
    </w:p>
    <w:p>
      <w:pPr>
        <w:numPr>
          <w:ilvl w:val="0"/>
          <w:numId w:val="430"/>
        </w:numPr>
        <w:tabs>
          <w:tab w:val="clear" w:pos="360"/>
          <w:tab w:val="left" w:pos="1368"/>
        </w:tabs>
        <w:spacing w:before="120"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with management or control of an amusement device or passenger ropeway at a workplace must ensure that a detailed inspection of the device or ropeway is carried out at least once every 12 months by a competent person.</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430"/>
        </w:numPr>
        <w:tabs>
          <w:tab w:val="clear" w:pos="360"/>
          <w:tab w:val="left" w:pos="1368"/>
        </w:tabs>
        <w:spacing w:before="125" w:after="0" w:line="273"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annual inspection must include the following:</w:t>
      </w:r>
    </w:p>
    <w:p>
      <w:pPr>
        <w:numPr>
          <w:ilvl w:val="0"/>
          <w:numId w:val="431"/>
        </w:numPr>
        <w:tabs>
          <w:tab w:val="clear" w:pos="360"/>
          <w:tab w:val="left" w:pos="1872"/>
        </w:tabs>
        <w:spacing w:before="118"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check of information about the operational history of the amusement device or passenger ropeway since the last detailed inspection;</w:t>
      </w:r>
    </w:p>
    <w:p>
      <w:pPr>
        <w:numPr>
          <w:ilvl w:val="0"/>
          <w:numId w:val="431"/>
        </w:numPr>
        <w:tabs>
          <w:tab w:val="clear" w:pos="360"/>
          <w:tab w:val="left" w:pos="1872"/>
        </w:tabs>
        <w:spacing w:before="124" w:after="734" w:line="274" w:lineRule="exact"/>
        <w:ind w:right="72" w:left="1872" w:hanging="36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check of the log book for the amusement device or passenger ropeway;</w:t>
      </w:r>
    </w:p>
    <w:p>
      <w:pPr>
        <w:spacing w:before="124" w:after="734"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179</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5.2	</w:t>
      </w:r>
      <w:r>
        <w:rPr>
          <w:rFonts w:ascii="Times New Roman" w:hAnsi="Times New Roman" w:eastAsia="Times New Roman"/>
          <w:color w:val="000000"/>
          <w:spacing w:val="0"/>
          <w:w w:val="100"/>
          <w:sz w:val="20"/>
          <w:vertAlign w:val="baseline"/>
          <w:lang w:val="en-US"/>
        </w:rPr>
        <w:t xml:space="preserve">Additional Duties Relating to Registered Plant and Plant Designs</w:t>
      </w:r>
    </w:p>
    <w:p>
      <w:pPr>
        <w:numPr>
          <w:ilvl w:val="0"/>
          <w:numId w:val="431"/>
        </w:numPr>
        <w:tabs>
          <w:tab w:val="clear" w:pos="360"/>
          <w:tab w:val="left" w:pos="1872"/>
        </w:tabs>
        <w:spacing w:before="248" w:after="0" w:line="276"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check that maintenance and inspections of the amusement device or passenger ropeway have been undertaken under regulation 240;</w:t>
      </w:r>
    </w:p>
    <w:p>
      <w:pPr>
        <w:numPr>
          <w:ilvl w:val="0"/>
          <w:numId w:val="431"/>
        </w:numPr>
        <w:tabs>
          <w:tab w:val="clear" w:pos="360"/>
          <w:tab w:val="left" w:pos="1872"/>
        </w:tabs>
        <w:spacing w:before="126" w:after="0" w:line="273"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check that any required tests have been carried out, and that appropriate records have been maintained;</w:t>
      </w:r>
    </w:p>
    <w:p>
      <w:pPr>
        <w:numPr>
          <w:ilvl w:val="0"/>
          <w:numId w:val="431"/>
        </w:numPr>
        <w:tabs>
          <w:tab w:val="clear" w:pos="360"/>
          <w:tab w:val="left" w:pos="1872"/>
        </w:tabs>
        <w:spacing w:before="124" w:after="0" w:line="275" w:lineRule="exact"/>
        <w:ind w:right="216" w:left="1872"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a detailed inspection of the amusement device or passenger ropeway to ensure compliance with the Act and these Regulations (including a specific inspection of the critical components of the amusement device or passenger ropeway).</w:t>
      </w:r>
    </w:p>
    <w:p>
      <w:pPr>
        <w:spacing w:before="123" w:after="0" w:line="276"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regulator may extend the date for an inspection by up to 35 days if an inspection is scheduled to coincide with the same event each year.</w:t>
      </w:r>
    </w:p>
    <w:p>
      <w:pPr>
        <w:spacing w:before="117"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If the date is extended under subregulation (3), the new date is the date from which future annual inspections of the amusement device or passenger ropeway are determined.</w:t>
      </w:r>
    </w:p>
    <w:p>
      <w:pPr>
        <w:spacing w:before="121"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In this regulation, a </w:t>
      </w:r>
      <w:r>
        <w:rPr>
          <w:rFonts w:ascii="Times New Roman" w:hAnsi="Times New Roman" w:eastAsia="Times New Roman"/>
          <w:b w:val="true"/>
          <w:i w:val="true"/>
          <w:color w:val="000000"/>
          <w:spacing w:val="0"/>
          <w:w w:val="100"/>
          <w:sz w:val="24"/>
          <w:vertAlign w:val="baseline"/>
          <w:lang w:val="en-US"/>
        </w:rPr>
        <w:t xml:space="preserve">competent person </w:t>
      </w:r>
      <w:r>
        <w:rPr>
          <w:rFonts w:ascii="Times New Roman" w:hAnsi="Times New Roman" w:eastAsia="Times New Roman"/>
          <w:color w:val="000000"/>
          <w:spacing w:val="0"/>
          <w:w w:val="100"/>
          <w:sz w:val="24"/>
          <w:vertAlign w:val="baseline"/>
          <w:lang w:val="en-US"/>
        </w:rPr>
        <w:t xml:space="preserve">is a person who:</w:t>
      </w:r>
    </w:p>
    <w:p>
      <w:pPr>
        <w:spacing w:before="123" w:after="0" w:line="275"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in the case of an inflatable device (continuously blown) with a platform height less than 9 metres—has acquired through training, qualification or experience the knowledge and skills to inspect the device; or</w:t>
      </w:r>
    </w:p>
    <w:p>
      <w:pPr>
        <w:spacing w:before="124" w:after="0" w:line="274" w:lineRule="exact"/>
        <w:ind w:right="57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in the case of any other amusement device or a passenger ropeway:</w:t>
      </w:r>
    </w:p>
    <w:p>
      <w:pPr>
        <w:numPr>
          <w:ilvl w:val="0"/>
          <w:numId w:val="432"/>
        </w:numPr>
        <w:tabs>
          <w:tab w:val="clear" w:pos="360"/>
          <w:tab w:val="left" w:pos="2376"/>
        </w:tabs>
        <w:spacing w:before="124" w:after="0" w:line="274" w:lineRule="exact"/>
        <w:ind w:right="7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has acquired through training, qualification or experience the knowledge and skills to inspect the plant; and</w:t>
      </w:r>
    </w:p>
    <w:p>
      <w:pPr>
        <w:numPr>
          <w:ilvl w:val="0"/>
          <w:numId w:val="432"/>
        </w:numPr>
        <w:tabs>
          <w:tab w:val="clear" w:pos="360"/>
          <w:tab w:val="left" w:pos="2376"/>
        </w:tabs>
        <w:spacing w:before="124" w:after="0" w:line="274" w:lineRule="exact"/>
        <w:ind w:right="7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registered under a law that provides for the registration of professional engineers; or</w:t>
      </w:r>
    </w:p>
    <w:p>
      <w:pPr>
        <w:spacing w:before="129" w:after="0" w:line="225" w:lineRule="exact"/>
        <w:ind w:right="0" w:left="2376"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8"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18" w:after="0" w:line="274"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in the case of any amusement device or passenger ropeway— is determined by the regulator to be a competent person.</w:t>
      </w:r>
    </w:p>
    <w:p>
      <w:pPr>
        <w:spacing w:before="124" w:after="0" w:line="275" w:lineRule="exact"/>
        <w:ind w:right="64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(6) The regulator may, on the application of a person, make a determination in relation to the person for the purposes of subregulation (5)(c) if the regulator considers that exceptional circumstances exist.</w:t>
      </w:r>
    </w:p>
    <w:p>
      <w:pPr>
        <w:spacing w:before="122" w:after="1027"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(7) An annual inspection carried out under and in accordance with an equivalent provision of a corresponding WHS law is taken to be an annual inspection for the purposes of this regulation.</w:t>
      </w:r>
    </w:p>
    <w:p>
      <w:pPr>
        <w:spacing w:before="122" w:after="1027"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180</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5.2	</w:t>
      </w:r>
      <w:r>
        <w:rPr>
          <w:rFonts w:ascii="Times New Roman" w:hAnsi="Times New Roman" w:eastAsia="Times New Roman"/>
          <w:color w:val="000000"/>
          <w:spacing w:val="0"/>
          <w:w w:val="100"/>
          <w:sz w:val="20"/>
          <w:vertAlign w:val="baseline"/>
          <w:lang w:val="en-US"/>
        </w:rPr>
        <w:t xml:space="preserve">Additional Duties Relating to Registered Plant and Plant Designs</w:t>
      </w:r>
    </w:p>
    <w:p>
      <w:pPr>
        <w:spacing w:before="251"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3"/>
          <w:w w:val="100"/>
          <w:sz w:val="24"/>
          <w:vertAlign w:val="baseline"/>
          <w:lang w:val="en-US"/>
        </w:rPr>
        <w:t xml:space="preserve">242 Log book and manuals for amusement devices</w:t>
      </w:r>
    </w:p>
    <w:p>
      <w:pPr>
        <w:spacing w:before="121"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person with management or control of an amusement device at a workplace, in addition to complying with the record-keeping requirements of regulation 237, must ensure that:</w:t>
      </w:r>
    </w:p>
    <w:p>
      <w:pPr>
        <w:numPr>
          <w:ilvl w:val="0"/>
          <w:numId w:val="433"/>
        </w:numPr>
        <w:tabs>
          <w:tab w:val="clear" w:pos="288"/>
          <w:tab w:val="left" w:pos="1872"/>
        </w:tabs>
        <w:spacing w:before="114" w:after="0" w:line="279" w:lineRule="exact"/>
        <w:ind w:right="576"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log book for the amusement device records the details required under subregulation (1A); and</w:t>
      </w:r>
    </w:p>
    <w:p>
      <w:pPr>
        <w:numPr>
          <w:ilvl w:val="0"/>
          <w:numId w:val="433"/>
        </w:numPr>
        <w:tabs>
          <w:tab w:val="clear" w:pos="288"/>
          <w:tab w:val="left" w:pos="1872"/>
        </w:tabs>
        <w:spacing w:before="114" w:after="0" w:line="279" w:lineRule="exact"/>
        <w:ind w:right="288"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log book and operating and maintenance manuals for the amusement device are kept with the amusement device.</w:t>
      </w:r>
    </w:p>
    <w:p>
      <w:pPr>
        <w:spacing w:before="121" w:after="0" w:line="272"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7"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1"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27" w:after="0" w:line="272" w:lineRule="exact"/>
        <w:ind w:right="0" w:left="79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(1A) The log book for an amusement device must record:</w:t>
      </w:r>
    </w:p>
    <w:p>
      <w:pPr>
        <w:numPr>
          <w:ilvl w:val="0"/>
          <w:numId w:val="434"/>
        </w:numPr>
        <w:tabs>
          <w:tab w:val="clear" w:pos="288"/>
          <w:tab w:val="left" w:pos="1872"/>
        </w:tabs>
        <w:spacing w:before="119" w:after="0" w:line="274" w:lineRule="exact"/>
        <w:ind w:right="72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each occasion on which the device is erected, details (including the date) of the erection; and</w:t>
      </w:r>
    </w:p>
    <w:p>
      <w:pPr>
        <w:numPr>
          <w:ilvl w:val="0"/>
          <w:numId w:val="434"/>
        </w:numPr>
        <w:tabs>
          <w:tab w:val="clear" w:pos="288"/>
          <w:tab w:val="left" w:pos="1872"/>
        </w:tabs>
        <w:spacing w:before="124" w:after="0" w:line="274" w:lineRule="exact"/>
        <w:ind w:right="216"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each occasion on which the device is stored, details of the storage; and</w:t>
      </w:r>
    </w:p>
    <w:p>
      <w:pPr>
        <w:numPr>
          <w:ilvl w:val="0"/>
          <w:numId w:val="434"/>
        </w:numPr>
        <w:tabs>
          <w:tab w:val="clear" w:pos="288"/>
          <w:tab w:val="left" w:pos="1872"/>
        </w:tabs>
        <w:spacing w:before="126" w:after="0" w:line="272"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details of the maintenance of the device; and</w:t>
      </w:r>
    </w:p>
    <w:p>
      <w:pPr>
        <w:numPr>
          <w:ilvl w:val="0"/>
          <w:numId w:val="434"/>
        </w:numPr>
        <w:tabs>
          <w:tab w:val="clear" w:pos="288"/>
          <w:tab w:val="left" w:pos="1872"/>
        </w:tabs>
        <w:spacing w:before="116" w:after="0" w:line="278" w:lineRule="exact"/>
        <w:ind w:right="288"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each day on which the device is operated, the number of hours for which it is operated; and</w:t>
      </w:r>
    </w:p>
    <w:p>
      <w:pPr>
        <w:numPr>
          <w:ilvl w:val="0"/>
          <w:numId w:val="434"/>
        </w:numPr>
        <w:tabs>
          <w:tab w:val="clear" w:pos="288"/>
          <w:tab w:val="left" w:pos="1872"/>
        </w:tabs>
        <w:spacing w:before="116" w:after="0" w:line="278" w:lineRule="exact"/>
        <w:ind w:right="288"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total number of hours for which the device has ever been operated; and</w:t>
      </w:r>
    </w:p>
    <w:p>
      <w:pPr>
        <w:numPr>
          <w:ilvl w:val="0"/>
          <w:numId w:val="434"/>
        </w:numPr>
        <w:tabs>
          <w:tab w:val="clear" w:pos="288"/>
          <w:tab w:val="left" w:pos="1872"/>
        </w:tabs>
        <w:spacing w:before="116" w:after="0" w:line="278" w:lineRule="exact"/>
        <w:ind w:right="216"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details of any faults, or other matters relevant to the safety of the device, identified during its operation; and</w:t>
      </w:r>
    </w:p>
    <w:p>
      <w:pPr>
        <w:numPr>
          <w:ilvl w:val="0"/>
          <w:numId w:val="434"/>
        </w:numPr>
        <w:tabs>
          <w:tab w:val="clear" w:pos="288"/>
          <w:tab w:val="left" w:pos="1872"/>
        </w:tabs>
        <w:spacing w:before="122" w:after="0" w:line="272"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following details for each person who operates the device:</w:t>
      </w:r>
    </w:p>
    <w:p>
      <w:pPr>
        <w:numPr>
          <w:ilvl w:val="0"/>
          <w:numId w:val="435"/>
        </w:numPr>
        <w:tabs>
          <w:tab w:val="clear" w:pos="504"/>
          <w:tab w:val="left" w:pos="2376"/>
        </w:tabs>
        <w:spacing w:before="126" w:after="0" w:line="272" w:lineRule="exact"/>
        <w:ind w:right="0" w:left="2376" w:hanging="504"/>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person’s name;</w:t>
      </w:r>
    </w:p>
    <w:p>
      <w:pPr>
        <w:numPr>
          <w:ilvl w:val="0"/>
          <w:numId w:val="435"/>
        </w:numPr>
        <w:tabs>
          <w:tab w:val="clear" w:pos="504"/>
          <w:tab w:val="left" w:pos="2376"/>
        </w:tabs>
        <w:spacing w:before="116" w:after="0" w:line="278" w:lineRule="exact"/>
        <w:ind w:right="36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whether the person has been provided with instruction and training in the proper operation of the device;</w:t>
      </w:r>
    </w:p>
    <w:p>
      <w:pPr>
        <w:numPr>
          <w:ilvl w:val="0"/>
          <w:numId w:val="435"/>
        </w:numPr>
        <w:tabs>
          <w:tab w:val="clear" w:pos="504"/>
          <w:tab w:val="left" w:pos="2376"/>
        </w:tabs>
        <w:spacing w:before="116" w:after="0" w:line="278" w:lineRule="exact"/>
        <w:ind w:right="216" w:left="2376" w:hanging="504"/>
        <w:jc w:val="both"/>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for each occasion on which instruction or training in the proper operation of the device is provided to the person:</w:t>
      </w:r>
    </w:p>
    <w:p>
      <w:pPr>
        <w:numPr>
          <w:ilvl w:val="0"/>
          <w:numId w:val="436"/>
        </w:numPr>
        <w:tabs>
          <w:tab w:val="clear" w:pos="360"/>
          <w:tab w:val="left" w:pos="2880"/>
        </w:tabs>
        <w:spacing w:before="122" w:after="0" w:line="272" w:lineRule="exact"/>
        <w:ind w:right="0" w:left="2880"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date; and</w:t>
      </w:r>
    </w:p>
    <w:p>
      <w:pPr>
        <w:numPr>
          <w:ilvl w:val="0"/>
          <w:numId w:val="436"/>
        </w:numPr>
        <w:tabs>
          <w:tab w:val="clear" w:pos="360"/>
          <w:tab w:val="left" w:pos="2880"/>
        </w:tabs>
        <w:spacing w:before="126" w:after="0" w:line="272" w:lineRule="exact"/>
        <w:ind w:right="0" w:left="2880"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summary of the instruction or training; and</w:t>
      </w:r>
    </w:p>
    <w:p>
      <w:pPr>
        <w:numPr>
          <w:ilvl w:val="0"/>
          <w:numId w:val="436"/>
        </w:numPr>
        <w:tabs>
          <w:tab w:val="clear" w:pos="360"/>
          <w:tab w:val="left" w:pos="2880"/>
        </w:tabs>
        <w:spacing w:before="116" w:after="1321" w:line="278" w:lineRule="exact"/>
        <w:ind w:right="576" w:left="2880" w:hanging="36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name and qualifications of the instructor or trainer; and</w:t>
      </w:r>
    </w:p>
    <w:p>
      <w:pPr>
        <w:spacing w:before="116" w:after="1321"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181</w:t>
      </w:r>
    </w:p>
    <w:p>
      <w:pPr>
        <w:sectPr>
          <w:type w:val="continuous"/>
          <w:pgSz w:w="11909" w:h="16838" w:orient="portrait"/>
          <w:pgMar w:bottom="1082" w:top="1140" w:right="5819" w:left="1970"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5.2	</w:t>
      </w:r>
      <w:r>
        <w:rPr>
          <w:rFonts w:ascii="Times New Roman" w:hAnsi="Times New Roman" w:eastAsia="Times New Roman"/>
          <w:color w:val="000000"/>
          <w:spacing w:val="0"/>
          <w:w w:val="100"/>
          <w:sz w:val="20"/>
          <w:vertAlign w:val="baseline"/>
          <w:lang w:val="en-US"/>
        </w:rPr>
        <w:t xml:space="preserve">Additional Duties Relating to Registered Plant and Plant Designs</w:t>
      </w:r>
    </w:p>
    <w:p>
      <w:pPr>
        <w:spacing w:before="245" w:after="0" w:line="279"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(h) details of each statutory notice issued in relation to the device, including:</w:t>
      </w:r>
    </w:p>
    <w:p>
      <w:pPr>
        <w:numPr>
          <w:ilvl w:val="0"/>
          <w:numId w:val="437"/>
        </w:numPr>
        <w:tabs>
          <w:tab w:val="clear" w:pos="504"/>
          <w:tab w:val="left" w:pos="2376"/>
        </w:tabs>
        <w:spacing w:before="120" w:after="0" w:line="273" w:lineRule="exact"/>
        <w:ind w:right="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date on which the notice was issued; and</w:t>
      </w:r>
    </w:p>
    <w:p>
      <w:pPr>
        <w:numPr>
          <w:ilvl w:val="0"/>
          <w:numId w:val="437"/>
        </w:numPr>
        <w:tabs>
          <w:tab w:val="clear" w:pos="504"/>
          <w:tab w:val="left" w:pos="2376"/>
        </w:tabs>
        <w:spacing w:before="126" w:after="0" w:line="273" w:lineRule="exact"/>
        <w:ind w:right="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reasons for issuing the notice; and</w:t>
      </w:r>
    </w:p>
    <w:p>
      <w:pPr>
        <w:numPr>
          <w:ilvl w:val="0"/>
          <w:numId w:val="437"/>
        </w:numPr>
        <w:tabs>
          <w:tab w:val="clear" w:pos="504"/>
          <w:tab w:val="left" w:pos="2376"/>
        </w:tabs>
        <w:spacing w:before="120" w:after="0" w:line="273" w:lineRule="exact"/>
        <w:ind w:right="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action taken in response to the notice: and</w:t>
      </w:r>
    </w:p>
    <w:p>
      <w:pPr>
        <w:numPr>
          <w:ilvl w:val="0"/>
          <w:numId w:val="437"/>
        </w:numPr>
        <w:tabs>
          <w:tab w:val="clear" w:pos="504"/>
          <w:tab w:val="left" w:pos="2376"/>
        </w:tabs>
        <w:spacing w:before="126" w:after="0" w:line="273" w:lineRule="exact"/>
        <w:ind w:right="144"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a notice given under a corresponding WHS law—the location of the device when the notice was issued.</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8"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also regulation 238(2)(c).</w:t>
      </w:r>
    </w:p>
    <w:p>
      <w:pPr>
        <w:spacing w:before="116"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person with management or control of an amusement device at a workplace must ensure that persons involved in the commissioning, installation, use, storage and testing, and the decommissioning, dismantling and disposal, of an amusement device are given:</w:t>
      </w:r>
    </w:p>
    <w:p>
      <w:pPr>
        <w:numPr>
          <w:ilvl w:val="0"/>
          <w:numId w:val="438"/>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log book for the amusement device; and</w:t>
      </w:r>
    </w:p>
    <w:p>
      <w:pPr>
        <w:numPr>
          <w:ilvl w:val="0"/>
          <w:numId w:val="438"/>
        </w:numPr>
        <w:tabs>
          <w:tab w:val="clear" w:pos="360"/>
          <w:tab w:val="left" w:pos="1872"/>
        </w:tabs>
        <w:spacing w:before="116" w:after="0" w:line="278" w:lineRule="exact"/>
        <w:ind w:right="50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operating and maintenance manuals for the amusement device.</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22"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person with management or control of an amusement device at a workplace must make the log book for the device available to any person to whom the person relinquishes control of the device.</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offence committed by an individual—$1 250.</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offence committed by a body corporate—</w:t>
      </w:r>
    </w:p>
    <w:p>
      <w:pPr>
        <w:spacing w:before="125" w:after="0" w:line="273" w:lineRule="exact"/>
        <w:ind w:right="0" w:left="1872" w:firstLine="0"/>
        <w:jc w:val="left"/>
        <w:textAlignment w:val="baseline"/>
        <w:rPr>
          <w:rFonts w:ascii="Times New Roman" w:hAnsi="Times New Roman" w:eastAsia="Times New Roman"/>
          <w:color w:val="000000"/>
          <w:spacing w:val="-3"/>
          <w:w w:val="100"/>
          <w:sz w:val="24"/>
          <w:vertAlign w:val="baseline"/>
          <w:lang w:val="en-US"/>
        </w:rPr>
      </w:pPr>
      <w:r>
        <w:rPr>
          <w:rFonts w:ascii="Times New Roman" w:hAnsi="Times New Roman" w:eastAsia="Times New Roman"/>
          <w:color w:val="000000"/>
          <w:spacing w:val="-3"/>
          <w:w w:val="100"/>
          <w:sz w:val="24"/>
          <w:vertAlign w:val="baseline"/>
          <w:lang w:val="en-US"/>
        </w:rPr>
        <w:t xml:space="preserve">$6 000.</w:t>
      </w:r>
    </w:p>
    <w:p>
      <w:pPr>
        <w:spacing w:before="0" w:after="0" w:line="396"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In this regulation:</w:t>
        <w:br/>
      </w:r>
      <w:r>
        <w:rPr>
          <w:rFonts w:ascii="Times New Roman" w:hAnsi="Times New Roman" w:eastAsia="Times New Roman"/>
          <w:b w:val="true"/>
          <w:i w:val="true"/>
          <w:color w:val="000000"/>
          <w:spacing w:val="0"/>
          <w:w w:val="100"/>
          <w:sz w:val="24"/>
          <w:vertAlign w:val="baseline"/>
          <w:lang w:val="en-US"/>
        </w:rPr>
        <w:t xml:space="preserve">statutory notice </w:t>
      </w:r>
      <w:r>
        <w:rPr>
          <w:rFonts w:ascii="Times New Roman" w:hAnsi="Times New Roman" w:eastAsia="Times New Roman"/>
          <w:color w:val="000000"/>
          <w:spacing w:val="0"/>
          <w:w w:val="100"/>
          <w:sz w:val="24"/>
          <w:vertAlign w:val="baseline"/>
          <w:lang w:val="en-US"/>
        </w:rPr>
        <w:t xml:space="preserve">means:</w:t>
      </w:r>
    </w:p>
    <w:p>
      <w:pPr>
        <w:numPr>
          <w:ilvl w:val="0"/>
          <w:numId w:val="439"/>
        </w:numPr>
        <w:tabs>
          <w:tab w:val="clear" w:pos="360"/>
          <w:tab w:val="left" w:pos="1872"/>
        </w:tabs>
        <w:spacing w:before="115" w:after="0" w:line="278" w:lineRule="exact"/>
        <w:ind w:right="50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improvement notice, prohibition notice or infringement notice; or</w:t>
      </w:r>
    </w:p>
    <w:p>
      <w:pPr>
        <w:numPr>
          <w:ilvl w:val="0"/>
          <w:numId w:val="439"/>
        </w:numPr>
        <w:tabs>
          <w:tab w:val="clear" w:pos="360"/>
          <w:tab w:val="left" w:pos="1872"/>
        </w:tabs>
        <w:spacing w:before="116" w:after="1291" w:line="278" w:lineRule="exact"/>
        <w:ind w:right="504" w:left="1872" w:hanging="36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an improvement notice, prohibition notice or infringement notice under a corresponding WHS law.</w:t>
      </w:r>
    </w:p>
    <w:p>
      <w:pPr>
        <w:spacing w:before="116" w:after="1291"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182</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5.2	</w:t>
      </w:r>
      <w:r>
        <w:rPr>
          <w:rFonts w:ascii="Times New Roman" w:hAnsi="Times New Roman" w:eastAsia="Times New Roman"/>
          <w:color w:val="000000"/>
          <w:spacing w:val="0"/>
          <w:w w:val="100"/>
          <w:sz w:val="20"/>
          <w:vertAlign w:val="baseline"/>
          <w:lang w:val="en-US"/>
        </w:rPr>
        <w:t xml:space="preserve">Additional Duties Relating to Registered Plant and Plant Designs</w:t>
      </w:r>
    </w:p>
    <w:p>
      <w:pPr>
        <w:spacing w:before="255"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Note</w:t>
      </w:r>
    </w:p>
    <w:p>
      <w:pPr>
        <w:spacing w:before="125" w:after="11639" w:line="228"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notes in the Appendix.</w:t>
      </w:r>
    </w:p>
    <w:p>
      <w:pPr>
        <w:spacing w:before="333"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1.05pt,0.3pt" style="position:absolute;mso-position-horizontal-relative:text;mso-position-vertical-relative:text;">
            <v:stroke dashstyle="solid"/>
          </v:line>
        </w:pict>
      </w:r>
    </w:p>
    <w:p>
      <w:pPr>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183</w:t>
      </w:r>
    </w:p>
    <w:p>
      <w:pPr>
        <w:sectPr>
          <w:type w:val="continuous"/>
          <w:pgSz w:w="11909" w:h="16838" w:orient="portrait"/>
          <w:pgMar w:bottom="1082" w:top="1140" w:right="5817" w:left="1972"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5.3	</w:t>
      </w:r>
      <w:r>
        <w:rPr>
          <w:rFonts w:ascii="Times New Roman" w:hAnsi="Times New Roman" w:eastAsia="Times New Roman"/>
          <w:color w:val="000000"/>
          <w:spacing w:val="0"/>
          <w:w w:val="100"/>
          <w:sz w:val="20"/>
          <w:vertAlign w:val="baseline"/>
          <w:lang w:val="en-US"/>
        </w:rPr>
        <w:t xml:space="preserve">Registration of Plant Designs and Items of Plant</w:t>
      </w:r>
    </w:p>
    <w:p>
      <w:pPr>
        <w:spacing w:before="258" w:after="0" w:line="317" w:lineRule="exact"/>
        <w:ind w:right="0" w:left="0" w:firstLine="0"/>
        <w:jc w:val="left"/>
        <w:textAlignment w:val="baseline"/>
        <w:rPr>
          <w:rFonts w:ascii="Times New Roman" w:hAnsi="Times New Roman" w:eastAsia="Times New Roman"/>
          <w:b w:val="true"/>
          <w:color w:val="000000"/>
          <w:spacing w:val="4"/>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4"/>
          <w:w w:val="100"/>
          <w:sz w:val="28"/>
          <w:vertAlign w:val="baseline"/>
          <w:lang w:val="en-US"/>
        </w:rPr>
        <w:t xml:space="preserve">Part 5.3 Registration of Plant Designs and Items of Plant</w:t>
      </w:r>
    </w:p>
    <w:p>
      <w:pPr>
        <w:spacing w:before="121"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4" w:after="0" w:line="230"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In this Part, </w:t>
      </w:r>
      <w:r>
        <w:rPr>
          <w:rFonts w:ascii="Times New Roman" w:hAnsi="Times New Roman" w:eastAsia="Times New Roman"/>
          <w:b w:val="true"/>
          <w:i w:val="true"/>
          <w:color w:val="000000"/>
          <w:spacing w:val="0"/>
          <w:w w:val="100"/>
          <w:sz w:val="21"/>
          <w:vertAlign w:val="baseline"/>
          <w:lang w:val="en-US"/>
        </w:rPr>
        <w:t xml:space="preserve">plant </w:t>
      </w:r>
      <w:r>
        <w:rPr>
          <w:rFonts w:ascii="Times New Roman" w:hAnsi="Times New Roman" w:eastAsia="Times New Roman"/>
          <w:color w:val="000000"/>
          <w:spacing w:val="0"/>
          <w:w w:val="100"/>
          <w:sz w:val="20"/>
          <w:vertAlign w:val="baseline"/>
          <w:lang w:val="en-US"/>
        </w:rPr>
        <w:t xml:space="preserve">includes a structure (see definition of </w:t>
      </w:r>
      <w:r>
        <w:rPr>
          <w:rFonts w:ascii="Times New Roman" w:hAnsi="Times New Roman" w:eastAsia="Times New Roman"/>
          <w:b w:val="true"/>
          <w:i w:val="true"/>
          <w:color w:val="000000"/>
          <w:spacing w:val="0"/>
          <w:w w:val="100"/>
          <w:sz w:val="21"/>
          <w:vertAlign w:val="baseline"/>
          <w:lang w:val="en-US"/>
        </w:rPr>
        <w:t xml:space="preserve">plant </w:t>
      </w:r>
      <w:r>
        <w:rPr>
          <w:rFonts w:ascii="Times New Roman" w:hAnsi="Times New Roman" w:eastAsia="Times New Roman"/>
          <w:color w:val="000000"/>
          <w:spacing w:val="0"/>
          <w:w w:val="100"/>
          <w:sz w:val="20"/>
          <w:vertAlign w:val="baseline"/>
          <w:lang w:val="en-US"/>
        </w:rPr>
        <w:t xml:space="preserve">in regulation 5(1)).</w:t>
      </w:r>
    </w:p>
    <w:p>
      <w:pPr>
        <w:tabs>
          <w:tab w:val="left" w:leader="none" w:pos="1584"/>
        </w:tabs>
        <w:spacing w:before="244" w:after="0" w:line="273"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1	</w:t>
      </w:r>
      <w:r>
        <w:rPr>
          <w:rFonts w:ascii="Times New Roman" w:hAnsi="Times New Roman" w:eastAsia="Times New Roman"/>
          <w:b w:val="true"/>
          <w:color w:val="000000"/>
          <w:spacing w:val="0"/>
          <w:w w:val="100"/>
          <w:sz w:val="24"/>
          <w:vertAlign w:val="baseline"/>
          <w:lang w:val="en-US"/>
        </w:rPr>
        <w:t xml:space="preserve">Plant designs to be registered</w:t>
      </w:r>
    </w:p>
    <w:p>
      <w:pPr>
        <w:spacing w:before="115" w:after="0" w:line="273"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243 Plant design to be registered</w:t>
      </w:r>
    </w:p>
    <w:p>
      <w:pPr>
        <w:spacing w:before="127" w:after="0" w:line="273" w:lineRule="exact"/>
        <w:ind w:right="504"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design of an item of plant specified in Part 1 of Schedule 5 must be registered under this Part.</w:t>
      </w:r>
    </w:p>
    <w:p>
      <w:pPr>
        <w:spacing w:before="128"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7"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section 42 of the Act.</w:t>
      </w:r>
    </w:p>
    <w:p>
      <w:pPr>
        <w:spacing w:before="120" w:after="0" w:line="273"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244 Altered plant designs to be registered</w:t>
      </w:r>
    </w:p>
    <w:p>
      <w:pPr>
        <w:numPr>
          <w:ilvl w:val="0"/>
          <w:numId w:val="440"/>
        </w:numPr>
        <w:tabs>
          <w:tab w:val="clear" w:pos="360"/>
          <w:tab w:val="left" w:pos="1368"/>
        </w:tabs>
        <w:spacing w:before="118" w:after="0" w:line="276"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design of an item of plant specified in Part 1 of Schedule 5 that is registered under this Part is altered, the altered design must be registered under this Part.</w:t>
      </w:r>
    </w:p>
    <w:p>
      <w:pPr>
        <w:spacing w:before="128"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7"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section 42 of the Act.</w:t>
      </w:r>
    </w:p>
    <w:p>
      <w:pPr>
        <w:numPr>
          <w:ilvl w:val="0"/>
          <w:numId w:val="440"/>
        </w:numPr>
        <w:tabs>
          <w:tab w:val="clear" w:pos="360"/>
          <w:tab w:val="left" w:pos="1368"/>
        </w:tabs>
        <w:spacing w:before="120" w:after="0" w:line="274" w:lineRule="exact"/>
        <w:ind w:right="792"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In this regulation a reference to the alteration of a design is a</w:t>
        <w:br/>
      </w:r>
      <w:r>
        <w:rPr>
          <w:rFonts w:ascii="Times New Roman" w:hAnsi="Times New Roman" w:eastAsia="Times New Roman"/>
          <w:color w:val="000000"/>
          <w:spacing w:val="-1"/>
          <w:w w:val="100"/>
          <w:sz w:val="24"/>
          <w:vertAlign w:val="baseline"/>
          <w:lang w:val="en-US"/>
        </w:rPr>
        <w:t xml:space="preserve">reference to an alteration that may affect health or safety.</w:t>
      </w:r>
    </w:p>
    <w:p>
      <w:pPr>
        <w:numPr>
          <w:ilvl w:val="0"/>
          <w:numId w:val="440"/>
        </w:numPr>
        <w:tabs>
          <w:tab w:val="clear" w:pos="360"/>
          <w:tab w:val="left" w:pos="1368"/>
        </w:tabs>
        <w:spacing w:before="124" w:after="0" w:line="274" w:lineRule="exact"/>
        <w:ind w:right="57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regulation does not apply in relation to a tower crane or a gantry crane if:</w:t>
      </w:r>
    </w:p>
    <w:p>
      <w:pPr>
        <w:numPr>
          <w:ilvl w:val="0"/>
          <w:numId w:val="441"/>
        </w:numPr>
        <w:tabs>
          <w:tab w:val="clear" w:pos="360"/>
          <w:tab w:val="left" w:pos="1872"/>
        </w:tabs>
        <w:spacing w:before="124" w:after="0" w:line="274"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crane is relocated for use in a different workplace; and</w:t>
      </w:r>
    </w:p>
    <w:p>
      <w:pPr>
        <w:numPr>
          <w:ilvl w:val="0"/>
          <w:numId w:val="441"/>
        </w:numPr>
        <w:tabs>
          <w:tab w:val="clear" w:pos="360"/>
          <w:tab w:val="left" w:pos="1872"/>
        </w:tabs>
        <w:spacing w:before="120" w:after="0" w:line="276"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design of the supporting structure or foundations of the crane is altered in accordance with a site-specific design prepared for the purpose of the safe operation of the crane at the new location; and</w:t>
      </w:r>
    </w:p>
    <w:p>
      <w:pPr>
        <w:numPr>
          <w:ilvl w:val="0"/>
          <w:numId w:val="441"/>
        </w:numPr>
        <w:tabs>
          <w:tab w:val="clear" w:pos="360"/>
          <w:tab w:val="left" w:pos="1872"/>
        </w:tabs>
        <w:spacing w:before="120" w:after="0" w:line="274"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design of the crane is not altered in any other way.</w:t>
      </w:r>
    </w:p>
    <w:p>
      <w:pPr>
        <w:spacing w:before="124" w:after="0" w:line="273"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245 Recognition of designs registered by corresponding regulator</w:t>
      </w:r>
    </w:p>
    <w:p>
      <w:pPr>
        <w:numPr>
          <w:ilvl w:val="0"/>
          <w:numId w:val="442"/>
        </w:numPr>
        <w:tabs>
          <w:tab w:val="clear" w:pos="360"/>
          <w:tab w:val="left" w:pos="1368"/>
        </w:tabs>
        <w:spacing w:before="117" w:after="0" w:line="278" w:lineRule="exact"/>
        <w:ind w:right="72" w:left="1368" w:hanging="360"/>
        <w:jc w:val="both"/>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A design of an item of plant is not required to be registered under this Part if the design is registered under a corresponding WHS law.</w:t>
      </w:r>
    </w:p>
    <w:p>
      <w:pPr>
        <w:numPr>
          <w:ilvl w:val="0"/>
          <w:numId w:val="442"/>
        </w:numPr>
        <w:tabs>
          <w:tab w:val="clear" w:pos="360"/>
          <w:tab w:val="left" w:pos="1368"/>
        </w:tabs>
        <w:spacing w:before="120" w:after="1827"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design referred to in subregulation (1) that is altered is not required to be registered under this Part if the altered design is registered by the corresponding regulator that registered the original design.</w:t>
      </w:r>
    </w:p>
    <w:p>
      <w:pPr>
        <w:spacing w:before="120" w:after="1827" w:line="275"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184</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5.3	</w:t>
      </w:r>
      <w:r>
        <w:rPr>
          <w:rFonts w:ascii="Times New Roman" w:hAnsi="Times New Roman" w:eastAsia="Times New Roman"/>
          <w:color w:val="000000"/>
          <w:spacing w:val="0"/>
          <w:w w:val="100"/>
          <w:sz w:val="20"/>
          <w:vertAlign w:val="baseline"/>
          <w:lang w:val="en-US"/>
        </w:rPr>
        <w:t xml:space="preserve">Registration of Plant Designs and Items of Plant</w:t>
      </w:r>
    </w:p>
    <w:p>
      <w:pPr>
        <w:tabs>
          <w:tab w:val="left" w:leader="none" w:pos="1584"/>
        </w:tabs>
        <w:spacing w:before="256" w:after="0" w:line="273"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4"/>
          <w:vertAlign w:val="baseline"/>
          <w:lang w:val="en-US"/>
        </w:rPr>
        <w:t xml:space="preserve">Division 2	</w:t>
      </w:r>
      <w:r>
        <w:rPr>
          <w:rFonts w:ascii="Times New Roman" w:hAnsi="Times New Roman" w:eastAsia="Times New Roman"/>
          <w:b w:val="true"/>
          <w:color w:val="000000"/>
          <w:spacing w:val="0"/>
          <w:w w:val="100"/>
          <w:sz w:val="24"/>
          <w:vertAlign w:val="baseline"/>
          <w:lang w:val="en-US"/>
        </w:rPr>
        <w:t xml:space="preserve">Items of plant to be registered</w:t>
      </w:r>
    </w:p>
    <w:p>
      <w:pPr>
        <w:spacing w:before="121" w:after="0" w:line="273"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246 Items of plant to be registered</w:t>
      </w:r>
    </w:p>
    <w:p>
      <w:pPr>
        <w:numPr>
          <w:ilvl w:val="0"/>
          <w:numId w:val="443"/>
        </w:numPr>
        <w:tabs>
          <w:tab w:val="clear" w:pos="360"/>
          <w:tab w:val="left" w:pos="1368"/>
        </w:tabs>
        <w:spacing w:before="114" w:after="0" w:line="279" w:lineRule="exact"/>
        <w:ind w:right="100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item of plant specified in Part 2 of Schedule 5 must be registered under this Part.</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8"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section 42 of the Act.</w:t>
      </w:r>
    </w:p>
    <w:p>
      <w:pPr>
        <w:numPr>
          <w:ilvl w:val="0"/>
          <w:numId w:val="443"/>
        </w:numPr>
        <w:tabs>
          <w:tab w:val="clear" w:pos="360"/>
          <w:tab w:val="left" w:pos="1368"/>
        </w:tabs>
        <w:spacing w:before="118" w:after="0" w:line="274" w:lineRule="exact"/>
        <w:ind w:right="50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purpose of registering an item of plant is to ensure that it is inspected by a competent person and is safe to operate.</w:t>
      </w:r>
    </w:p>
    <w:p>
      <w:pPr>
        <w:spacing w:before="125" w:after="0" w:line="273"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247 Recognition of plant registered by corresponding regulator</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item of plant is not required to be registered under this Part if</w:t>
      </w:r>
    </w:p>
    <w:p>
      <w:pPr>
        <w:spacing w:before="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plant is registered under a corresponding WHS law.</w:t>
      </w:r>
    </w:p>
    <w:p>
      <w:pPr>
        <w:tabs>
          <w:tab w:val="left" w:leader="none" w:pos="1584"/>
        </w:tabs>
        <w:spacing w:before="644" w:after="0" w:line="273"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3	</w:t>
      </w:r>
      <w:r>
        <w:rPr>
          <w:rFonts w:ascii="Times New Roman" w:hAnsi="Times New Roman" w:eastAsia="Times New Roman"/>
          <w:b w:val="true"/>
          <w:color w:val="000000"/>
          <w:spacing w:val="0"/>
          <w:w w:val="100"/>
          <w:sz w:val="24"/>
          <w:vertAlign w:val="baseline"/>
          <w:lang w:val="en-US"/>
        </w:rPr>
        <w:t xml:space="preserve">Registration process for plant designs</w:t>
      </w:r>
    </w:p>
    <w:p>
      <w:pPr>
        <w:spacing w:before="119"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8"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19" w:after="0" w:line="273"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248 Application of Division 3</w:t>
      </w:r>
    </w:p>
    <w:p>
      <w:pPr>
        <w:spacing w:before="124" w:after="0" w:line="274" w:lineRule="exact"/>
        <w:ind w:right="36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Division applies to the registration of a design of an item of plant specified in Part 1 of Schedule 5.</w:t>
      </w:r>
    </w:p>
    <w:p>
      <w:pPr>
        <w:spacing w:before="125" w:after="0" w:line="273"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249 Who can apply to register a plant design</w:t>
      </w:r>
    </w:p>
    <w:p>
      <w:pPr>
        <w:numPr>
          <w:ilvl w:val="0"/>
          <w:numId w:val="444"/>
        </w:numPr>
        <w:tabs>
          <w:tab w:val="clear" w:pos="360"/>
          <w:tab w:val="left" w:pos="1368"/>
        </w:tabs>
        <w:spacing w:before="118" w:after="0" w:line="276" w:lineRule="exact"/>
        <w:ind w:right="72"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that designs an item of plant may apply to the regulator for the registration of the design of that item of plant.</w:t>
      </w:r>
    </w:p>
    <w:p>
      <w:pPr>
        <w:numPr>
          <w:ilvl w:val="0"/>
          <w:numId w:val="444"/>
        </w:numPr>
        <w:tabs>
          <w:tab w:val="clear" w:pos="360"/>
          <w:tab w:val="left" w:pos="1368"/>
        </w:tabs>
        <w:spacing w:before="122" w:after="0" w:line="276" w:lineRule="exact"/>
        <w:ind w:right="0" w:left="1368" w:hanging="360"/>
        <w:jc w:val="left"/>
        <w:textAlignment w:val="baseline"/>
        <w:rPr>
          <w:rFonts w:ascii="Times New Roman" w:hAnsi="Times New Roman" w:eastAsia="Times New Roman"/>
          <w:color w:val="000000"/>
          <w:spacing w:val="2"/>
          <w:w w:val="100"/>
          <w:sz w:val="24"/>
          <w:vertAlign w:val="baseline"/>
          <w:lang w:val="en-US"/>
        </w:rPr>
      </w:pPr>
      <w:r>
        <w:rPr>
          <w:rFonts w:ascii="Times New Roman" w:hAnsi="Times New Roman" w:eastAsia="Times New Roman"/>
          <w:color w:val="000000"/>
          <w:spacing w:val="2"/>
          <w:w w:val="100"/>
          <w:sz w:val="24"/>
          <w:vertAlign w:val="baseline"/>
          <w:lang w:val="en-US"/>
        </w:rPr>
        <w:t xml:space="preserve">A person with management or control of an item of plant may apply to the regulator for the registration of the design of that item of plant.</w:t>
      </w:r>
    </w:p>
    <w:p>
      <w:pPr>
        <w:spacing w:before="121" w:after="0" w:line="273"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250 Application for registration</w:t>
      </w:r>
    </w:p>
    <w:p>
      <w:pPr>
        <w:numPr>
          <w:ilvl w:val="0"/>
          <w:numId w:val="445"/>
        </w:numPr>
        <w:tabs>
          <w:tab w:val="clear" w:pos="360"/>
          <w:tab w:val="left" w:pos="1368"/>
        </w:tabs>
        <w:spacing w:before="124" w:after="0" w:line="274" w:lineRule="exact"/>
        <w:ind w:right="0"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application for registration of the design of an item of plant must be made in the manner and form required by the regulator.</w:t>
      </w:r>
    </w:p>
    <w:p>
      <w:pPr>
        <w:numPr>
          <w:ilvl w:val="0"/>
          <w:numId w:val="445"/>
        </w:numPr>
        <w:tabs>
          <w:tab w:val="clear" w:pos="360"/>
          <w:tab w:val="left" w:pos="1368"/>
        </w:tabs>
        <w:spacing w:before="125" w:after="0" w:line="273" w:lineRule="exact"/>
        <w:ind w:right="0"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application must include the following information:</w:t>
      </w:r>
    </w:p>
    <w:p>
      <w:pPr>
        <w:numPr>
          <w:ilvl w:val="0"/>
          <w:numId w:val="446"/>
        </w:numPr>
        <w:tabs>
          <w:tab w:val="clear" w:pos="360"/>
          <w:tab w:val="left" w:pos="1872"/>
        </w:tabs>
        <w:spacing w:before="121" w:after="0" w:line="273" w:lineRule="exact"/>
        <w:ind w:right="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applicant's name;</w:t>
      </w:r>
    </w:p>
    <w:p>
      <w:pPr>
        <w:numPr>
          <w:ilvl w:val="0"/>
          <w:numId w:val="446"/>
        </w:numPr>
        <w:tabs>
          <w:tab w:val="clear" w:pos="360"/>
          <w:tab w:val="left" w:pos="1872"/>
        </w:tabs>
        <w:spacing w:before="125" w:after="0" w:line="273" w:lineRule="exact"/>
        <w:ind w:right="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whether or not the applicant is a body corporate;</w:t>
      </w:r>
    </w:p>
    <w:p>
      <w:pPr>
        <w:numPr>
          <w:ilvl w:val="0"/>
          <w:numId w:val="446"/>
        </w:numPr>
        <w:tabs>
          <w:tab w:val="clear" w:pos="360"/>
          <w:tab w:val="left" w:pos="1872"/>
        </w:tabs>
        <w:spacing w:before="118" w:after="868" w:line="276"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if the applicant conducts the business or undertaking under a business name—that business name and a certificate or other written evidence of the registration of the business name;</w:t>
      </w:r>
    </w:p>
    <w:p>
      <w:pPr>
        <w:spacing w:before="118" w:after="868"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185</w:t>
      </w:r>
    </w:p>
    <w:p>
      <w:pPr>
        <w:sectPr>
          <w:type w:val="continuous"/>
          <w:pgSz w:w="11909" w:h="16838" w:orient="portrait"/>
          <w:pgMar w:bottom="1082" w:top="1140" w:right="5814" w:left="1975"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5.3	</w:t>
      </w:r>
      <w:r>
        <w:rPr>
          <w:rFonts w:ascii="Times New Roman" w:hAnsi="Times New Roman" w:eastAsia="Times New Roman"/>
          <w:color w:val="000000"/>
          <w:spacing w:val="0"/>
          <w:w w:val="100"/>
          <w:sz w:val="20"/>
          <w:vertAlign w:val="baseline"/>
          <w:lang w:val="en-US"/>
        </w:rPr>
        <w:t xml:space="preserve">Registration of Plant Designs and Items of Plant</w:t>
      </w:r>
    </w:p>
    <w:p>
      <w:pPr>
        <w:spacing w:before="245" w:after="0" w:line="279"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(d) any other evidence of the applicant's identity required by the regulator;</w:t>
      </w:r>
    </w:p>
    <w:p>
      <w:pPr>
        <w:spacing w:before="120"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 a statement signed by the designer of the item of plant:</w:t>
      </w:r>
    </w:p>
    <w:p>
      <w:pPr>
        <w:numPr>
          <w:ilvl w:val="0"/>
          <w:numId w:val="447"/>
        </w:numPr>
        <w:tabs>
          <w:tab w:val="clear" w:pos="432"/>
          <w:tab w:val="left" w:pos="2448"/>
        </w:tabs>
        <w:spacing w:before="123" w:after="0" w:line="276" w:lineRule="exact"/>
        <w:ind w:right="144" w:left="2448" w:hanging="432"/>
        <w:jc w:val="left"/>
        <w:textAlignment w:val="baseline"/>
        <w:rPr>
          <w:rFonts w:ascii="Times New Roman" w:hAnsi="Times New Roman" w:eastAsia="Times New Roman"/>
          <w:color w:val="000000"/>
          <w:spacing w:val="-2"/>
          <w:w w:val="100"/>
          <w:sz w:val="24"/>
          <w:vertAlign w:val="baseline"/>
          <w:lang w:val="en-US"/>
        </w:rPr>
      </w:pPr>
      <w:r>
        <w:rPr>
          <w:rFonts w:ascii="Times New Roman" w:hAnsi="Times New Roman" w:eastAsia="Times New Roman"/>
          <w:color w:val="000000"/>
          <w:spacing w:val="-2"/>
          <w:w w:val="100"/>
          <w:sz w:val="24"/>
          <w:vertAlign w:val="baseline"/>
          <w:lang w:val="en-US"/>
        </w:rPr>
        <w:t xml:space="preserve">stating that the designer has complied with the designer's obligations under section 22 of the Act in relation to the design; and</w:t>
      </w:r>
    </w:p>
    <w:p>
      <w:pPr>
        <w:numPr>
          <w:ilvl w:val="0"/>
          <w:numId w:val="447"/>
        </w:numPr>
        <w:tabs>
          <w:tab w:val="clear" w:pos="432"/>
          <w:tab w:val="left" w:pos="2448"/>
        </w:tabs>
        <w:spacing w:before="114" w:after="0" w:line="279" w:lineRule="exact"/>
        <w:ind w:right="936" w:left="2448" w:hanging="432"/>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specifying the published technical standards and engineering principles used in the design; and</w:t>
      </w:r>
    </w:p>
    <w:p>
      <w:pPr>
        <w:spacing w:before="114" w:after="0" w:line="279" w:lineRule="exact"/>
        <w:ind w:right="43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 a design verification statement that accords with regulation 251;</w:t>
      </w:r>
    </w:p>
    <w:p>
      <w:pPr>
        <w:spacing w:before="120"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 representational drawings of the design;</w:t>
      </w:r>
    </w:p>
    <w:p>
      <w:pPr>
        <w:spacing w:before="126"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 a declaration that the applicant does not hold an equivalent</w:t>
      </w:r>
    </w:p>
    <w:p>
      <w:pPr>
        <w:spacing w:before="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registration under a corresponding WHS law.</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30" w:lineRule="exact"/>
        <w:ind w:right="936"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section 268 of the Act for offences relating to the giving of false or misleading information under the Act or these Regulations.</w:t>
      </w:r>
    </w:p>
    <w:p>
      <w:pPr>
        <w:numPr>
          <w:ilvl w:val="0"/>
          <w:numId w:val="448"/>
        </w:numPr>
        <w:tabs>
          <w:tab w:val="clear" w:pos="360"/>
          <w:tab w:val="left" w:pos="1368"/>
        </w:tabs>
        <w:spacing w:before="111" w:after="0" w:line="279"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drawings or other documents provided with the application must be capable of being kept in an electronic form.</w:t>
      </w:r>
    </w:p>
    <w:p>
      <w:pPr>
        <w:numPr>
          <w:ilvl w:val="0"/>
          <w:numId w:val="448"/>
        </w:numPr>
        <w:tabs>
          <w:tab w:val="clear" w:pos="360"/>
          <w:tab w:val="left" w:pos="1368"/>
        </w:tabs>
        <w:spacing w:before="120" w:after="0" w:line="273"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application must be accompanied by the relevant fee.</w:t>
      </w:r>
    </w:p>
    <w:p>
      <w:pPr>
        <w:spacing w:before="126" w:after="0" w:line="273"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251 Design verification statement</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design verification statement must:</w:t>
      </w:r>
    </w:p>
    <w:p>
      <w:pPr>
        <w:numPr>
          <w:ilvl w:val="0"/>
          <w:numId w:val="449"/>
        </w:numPr>
        <w:tabs>
          <w:tab w:val="clear" w:pos="360"/>
          <w:tab w:val="left" w:pos="1872"/>
        </w:tabs>
        <w:spacing w:before="126" w:after="0" w:line="273" w:lineRule="exact"/>
        <w:ind w:right="72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be written and signed by a person who is eligible to be a design verifier for the design; and</w:t>
      </w:r>
    </w:p>
    <w:p>
      <w:pPr>
        <w:numPr>
          <w:ilvl w:val="0"/>
          <w:numId w:val="449"/>
        </w:numPr>
        <w:tabs>
          <w:tab w:val="clear" w:pos="360"/>
          <w:tab w:val="left" w:pos="1872"/>
        </w:tabs>
        <w:spacing w:before="123" w:after="0" w:line="276" w:lineRule="exact"/>
        <w:ind w:right="79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state that the design was produced in accordance with published technical standards or engineering principles specified in the statement; and</w:t>
      </w:r>
    </w:p>
    <w:p>
      <w:pPr>
        <w:numPr>
          <w:ilvl w:val="0"/>
          <w:numId w:val="449"/>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include:</w:t>
      </w:r>
    </w:p>
    <w:p>
      <w:pPr>
        <w:spacing w:before="126" w:after="0" w:line="273" w:lineRule="exact"/>
        <w:ind w:right="936" w:left="2448"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 the name, business address and qualifications (if applicable) of the design verifier; and</w:t>
      </w:r>
    </w:p>
    <w:p>
      <w:pPr>
        <w:spacing w:before="126" w:after="0" w:line="273" w:lineRule="exact"/>
        <w:ind w:right="720" w:left="2448"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(ii) if applicable, the name and business address of the organisation for which the design verifier works.</w:t>
      </w:r>
    </w:p>
    <w:p>
      <w:pPr>
        <w:spacing w:before="126" w:after="0" w:line="273"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252 Who can be the design verifier</w:t>
      </w:r>
    </w:p>
    <w:p>
      <w:pPr>
        <w:spacing w:before="114" w:after="1300" w:line="279"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(1) A person is eligible to be a design verifier for the design of an item of plant if the person is a competent person.</w:t>
      </w:r>
    </w:p>
    <w:p>
      <w:pPr>
        <w:spacing w:before="114" w:after="1300" w:line="279"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186</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5.3	</w:t>
      </w:r>
      <w:r>
        <w:rPr>
          <w:rFonts w:ascii="Times New Roman" w:hAnsi="Times New Roman" w:eastAsia="Times New Roman"/>
          <w:color w:val="000000"/>
          <w:spacing w:val="0"/>
          <w:w w:val="100"/>
          <w:sz w:val="20"/>
          <w:vertAlign w:val="baseline"/>
          <w:lang w:val="en-US"/>
        </w:rPr>
        <w:t xml:space="preserve">Registration of Plant Designs and Items of Plant</w:t>
      </w:r>
    </w:p>
    <w:p>
      <w:pPr>
        <w:spacing w:before="249"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(2) Despite subregulation (1), a person is not eligible to be a design verifier for the design of an item of plant if the person was involved in the production of the design.</w:t>
      </w:r>
    </w:p>
    <w:p>
      <w:pPr>
        <w:spacing w:before="125" w:after="0" w:line="274"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253 Duty of design verifier</w:t>
      </w:r>
    </w:p>
    <w:p>
      <w:pPr>
        <w:spacing w:before="117" w:after="0" w:line="276"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design verifier of the design of an item of plant specified in Part 1 of Schedule 5 must document the design verification process carried out by that person and the results of that process.</w:t>
      </w:r>
    </w:p>
    <w:p>
      <w:pPr>
        <w:spacing w:before="125"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19"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5"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14" w:after="0" w:line="279" w:lineRule="exact"/>
        <w:ind w:right="144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254 Design verification statements not to be made in certain circumstances</w:t>
      </w:r>
    </w:p>
    <w:p>
      <w:pPr>
        <w:spacing w:before="117" w:after="0" w:line="276" w:lineRule="exact"/>
        <w:ind w:right="43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must not make a design verification statement for the design of an item of plant specified in Part 1 of Schedule 5 if the person:</w:t>
      </w:r>
    </w:p>
    <w:p>
      <w:pPr>
        <w:numPr>
          <w:ilvl w:val="0"/>
          <w:numId w:val="450"/>
        </w:numPr>
        <w:tabs>
          <w:tab w:val="clear" w:pos="360"/>
          <w:tab w:val="left" w:pos="1872"/>
        </w:tabs>
        <w:spacing w:before="120" w:after="0" w:line="274"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not eligible to be a design verifier for that design; or</w:t>
      </w:r>
    </w:p>
    <w:p>
      <w:pPr>
        <w:numPr>
          <w:ilvl w:val="0"/>
          <w:numId w:val="450"/>
        </w:numPr>
        <w:tabs>
          <w:tab w:val="clear" w:pos="360"/>
          <w:tab w:val="left" w:pos="1872"/>
        </w:tabs>
        <w:spacing w:before="124" w:after="0" w:line="274"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has not carried out a verification of the design.</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0"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4" w:after="0" w:line="274"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255 Additional information</w:t>
      </w:r>
    </w:p>
    <w:p>
      <w:pPr>
        <w:spacing w:before="120"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If an application for registration of a design of an item of plant does not contain enough information to enable the regulator to make a decision whether or not to grant the registration, the regulator may ask the applicant to provide additional information.</w:t>
      </w:r>
    </w:p>
    <w:p>
      <w:pPr>
        <w:spacing w:before="120" w:after="0" w:line="274"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 request for additional information must:</w:t>
      </w:r>
    </w:p>
    <w:p>
      <w:pPr>
        <w:numPr>
          <w:ilvl w:val="0"/>
          <w:numId w:val="451"/>
        </w:numPr>
        <w:tabs>
          <w:tab w:val="clear" w:pos="360"/>
          <w:tab w:val="left" w:pos="1872"/>
        </w:tabs>
        <w:spacing w:before="124" w:after="0" w:line="274" w:lineRule="exact"/>
        <w:ind w:right="216" w:left="1872"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specify the date (not being less than 28 days after the request) by which the additional information is to be given; and</w:t>
      </w:r>
    </w:p>
    <w:p>
      <w:pPr>
        <w:numPr>
          <w:ilvl w:val="0"/>
          <w:numId w:val="451"/>
        </w:numPr>
        <w:tabs>
          <w:tab w:val="clear" w:pos="360"/>
          <w:tab w:val="left" w:pos="1872"/>
        </w:tabs>
        <w:spacing w:before="124" w:after="0" w:line="274"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be confirmed in writing.</w:t>
      </w:r>
    </w:p>
    <w:p>
      <w:pPr>
        <w:spacing w:before="116" w:after="0" w:line="278" w:lineRule="exact"/>
        <w:ind w:right="360"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(3) If an applicant does not provide the additional information by the date specified, the application is taken to have been withdrawn.</w:t>
      </w:r>
    </w:p>
    <w:p>
      <w:pPr>
        <w:spacing w:before="116" w:after="1439" w:line="278" w:lineRule="exact"/>
        <w:ind w:right="936"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(4) The regulator may make more than 1 request for additional information under this regulation.</w:t>
      </w:r>
    </w:p>
    <w:p>
      <w:pPr>
        <w:spacing w:before="116" w:after="1439"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187</w:t>
      </w:r>
    </w:p>
    <w:p>
      <w:pPr>
        <w:sectPr>
          <w:type w:val="continuous"/>
          <w:pgSz w:w="11909" w:h="16838" w:orient="portrait"/>
          <w:pgMar w:bottom="1082" w:top="1140" w:right="5812" w:left="1977"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5.3	</w:t>
      </w:r>
      <w:r>
        <w:rPr>
          <w:rFonts w:ascii="Times New Roman" w:hAnsi="Times New Roman" w:eastAsia="Times New Roman"/>
          <w:color w:val="000000"/>
          <w:spacing w:val="0"/>
          <w:w w:val="100"/>
          <w:sz w:val="20"/>
          <w:vertAlign w:val="baseline"/>
          <w:lang w:val="en-US"/>
        </w:rPr>
        <w:t xml:space="preserve">Registration of Plant Designs and Items of Plant</w:t>
      </w:r>
    </w:p>
    <w:p>
      <w:pPr>
        <w:spacing w:before="251" w:after="0" w:line="274"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5"/>
          <w:w w:val="100"/>
          <w:sz w:val="24"/>
          <w:vertAlign w:val="baseline"/>
          <w:lang w:val="en-US"/>
        </w:rPr>
        <w:t xml:space="preserve">256 Decision on application</w:t>
      </w:r>
    </w:p>
    <w:p>
      <w:pPr>
        <w:spacing w:before="125" w:after="0" w:line="272"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Subject to subregulation (3), the regulator must grant the</w:t>
      </w:r>
    </w:p>
    <w:p>
      <w:pPr>
        <w:spacing w:before="0" w:after="0" w:line="276"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registration if satisfied about the matters referred to in subregulation (2).</w:t>
      </w:r>
    </w:p>
    <w:p>
      <w:pPr>
        <w:spacing w:before="121" w:after="0" w:line="272"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regulator must be satisfied about the following:</w:t>
      </w:r>
    </w:p>
    <w:p>
      <w:pPr>
        <w:spacing w:before="126" w:after="0" w:line="273" w:lineRule="exact"/>
        <w:ind w:right="93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the application has been made in accordance with this Division;</w:t>
      </w:r>
    </w:p>
    <w:p>
      <w:pPr>
        <w:spacing w:before="127" w:after="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the design is not registered under a corresponding WHS law;</w:t>
      </w:r>
    </w:p>
    <w:p>
      <w:pPr>
        <w:spacing w:before="121" w:after="0" w:line="272"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if the applicant is an individual, the applicant:</w:t>
      </w:r>
    </w:p>
    <w:p>
      <w:pPr>
        <w:numPr>
          <w:ilvl w:val="0"/>
          <w:numId w:val="452"/>
        </w:numPr>
        <w:tabs>
          <w:tab w:val="clear" w:pos="360"/>
          <w:tab w:val="left" w:pos="2376"/>
        </w:tabs>
        <w:spacing w:before="127" w:after="0" w:line="272"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resides in [this jurisdiction]; or</w:t>
      </w:r>
    </w:p>
    <w:p>
      <w:pPr>
        <w:numPr>
          <w:ilvl w:val="0"/>
          <w:numId w:val="452"/>
        </w:numPr>
        <w:tabs>
          <w:tab w:val="clear" w:pos="360"/>
          <w:tab w:val="left" w:pos="2376"/>
        </w:tabs>
        <w:spacing w:before="114" w:after="0" w:line="279" w:lineRule="exact"/>
        <w:ind w:right="14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resides outside [this jurisdiction] and circumstances exist that justify the grant of the registration;</w:t>
      </w:r>
    </w:p>
    <w:p>
      <w:pPr>
        <w:spacing w:before="119" w:after="0" w:line="274"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if the applicant is a body corporate, the applicant's registered office:</w:t>
      </w:r>
    </w:p>
    <w:p>
      <w:pPr>
        <w:numPr>
          <w:ilvl w:val="0"/>
          <w:numId w:val="453"/>
        </w:numPr>
        <w:tabs>
          <w:tab w:val="clear" w:pos="360"/>
          <w:tab w:val="left" w:pos="2376"/>
        </w:tabs>
        <w:spacing w:before="126" w:after="0" w:line="272"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located in [this jurisdiction]; or</w:t>
      </w:r>
    </w:p>
    <w:p>
      <w:pPr>
        <w:numPr>
          <w:ilvl w:val="0"/>
          <w:numId w:val="453"/>
        </w:numPr>
        <w:tabs>
          <w:tab w:val="clear" w:pos="360"/>
          <w:tab w:val="left" w:pos="2376"/>
        </w:tabs>
        <w:spacing w:before="116" w:after="0" w:line="278" w:lineRule="exact"/>
        <w:ind w:right="432" w:left="2376"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is located outside [this jurisdiction] and circumstances exist that justify the grant of the registration;</w:t>
      </w:r>
    </w:p>
    <w:p>
      <w:pPr>
        <w:spacing w:before="116" w:after="0" w:line="278"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 the applicant is able to ensure compliance with any conditions that will apply to the registration.</w:t>
      </w:r>
    </w:p>
    <w:p>
      <w:pPr>
        <w:spacing w:before="125"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7"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notes in the Appendix.</w:t>
      </w:r>
    </w:p>
    <w:p>
      <w:pPr>
        <w:spacing w:before="114" w:after="0" w:line="278" w:lineRule="exact"/>
        <w:ind w:right="216"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regulator must refuse to grant a registration if satisfied that, in making the application, the applicant has:</w:t>
      </w:r>
    </w:p>
    <w:p>
      <w:pPr>
        <w:numPr>
          <w:ilvl w:val="0"/>
          <w:numId w:val="454"/>
        </w:numPr>
        <w:tabs>
          <w:tab w:val="clear" w:pos="360"/>
          <w:tab w:val="left" w:pos="1872"/>
        </w:tabs>
        <w:spacing w:before="116" w:after="0" w:line="278"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given information that is false or misleading in a material particular; or</w:t>
      </w:r>
    </w:p>
    <w:p>
      <w:pPr>
        <w:numPr>
          <w:ilvl w:val="0"/>
          <w:numId w:val="454"/>
        </w:numPr>
        <w:tabs>
          <w:tab w:val="clear" w:pos="360"/>
          <w:tab w:val="left" w:pos="1872"/>
        </w:tabs>
        <w:spacing w:before="116" w:after="0" w:line="278"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failed to give any material information that should have been given.</w:t>
      </w:r>
    </w:p>
    <w:p>
      <w:pPr>
        <w:spacing w:before="116" w:after="0" w:line="278"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If the regulator decides to grant the registration, it must notify the applicant within 14 days after making the decision.</w:t>
      </w:r>
    </w:p>
    <w:p>
      <w:pPr>
        <w:spacing w:before="120"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If the regulator does not make a decision within 120 days after receiving the application or the additional information requested under regulation 255, the regulator is taken to have refused to grant the registration applied for.</w:t>
      </w:r>
    </w:p>
    <w:p>
      <w:pPr>
        <w:spacing w:before="125"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3" w:after="719" w:line="230" w:lineRule="exact"/>
        <w:ind w:right="504" w:left="864"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A refusal to grant a registration (including under subregulation (5)) is a reviewable decision (see regulation 676).</w:t>
      </w:r>
    </w:p>
    <w:p>
      <w:pPr>
        <w:spacing w:before="123" w:after="719" w:line="230"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188</w:t>
      </w:r>
    </w:p>
    <w:p>
      <w:pPr>
        <w:sectPr>
          <w:type w:val="continuous"/>
          <w:pgSz w:w="11909" w:h="16838" w:orient="portrait"/>
          <w:pgMar w:bottom="1082" w:top="1140" w:right="5814" w:left="1975"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5.3	</w:t>
      </w:r>
      <w:r>
        <w:rPr>
          <w:rFonts w:ascii="Times New Roman" w:hAnsi="Times New Roman" w:eastAsia="Times New Roman"/>
          <w:color w:val="000000"/>
          <w:spacing w:val="0"/>
          <w:w w:val="100"/>
          <w:sz w:val="20"/>
          <w:vertAlign w:val="baseline"/>
          <w:lang w:val="en-US"/>
        </w:rPr>
        <w:t xml:space="preserve">Registration of Plant Designs and Items of Plant</w:t>
      </w:r>
    </w:p>
    <w:p>
      <w:pPr>
        <w:spacing w:before="251"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3"/>
          <w:w w:val="100"/>
          <w:sz w:val="24"/>
          <w:vertAlign w:val="baseline"/>
          <w:lang w:val="en-US"/>
        </w:rPr>
        <w:t xml:space="preserve">257 Refusal of registration—process</w:t>
      </w:r>
    </w:p>
    <w:p>
      <w:pPr>
        <w:spacing w:before="125" w:after="0" w:line="273" w:lineRule="exact"/>
        <w:ind w:right="79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If the regulator proposes to refuse to grant a registration, the regulator must give the applicant a written notice:</w:t>
      </w:r>
    </w:p>
    <w:p>
      <w:pPr>
        <w:numPr>
          <w:ilvl w:val="0"/>
          <w:numId w:val="455"/>
        </w:numPr>
        <w:tabs>
          <w:tab w:val="clear" w:pos="360"/>
          <w:tab w:val="left" w:pos="1872"/>
        </w:tabs>
        <w:spacing w:before="126" w:after="0" w:line="273"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informing the applicant of the reasons for the proposed refusal; and</w:t>
      </w:r>
    </w:p>
    <w:p>
      <w:pPr>
        <w:numPr>
          <w:ilvl w:val="0"/>
          <w:numId w:val="455"/>
        </w:numPr>
        <w:tabs>
          <w:tab w:val="clear" w:pos="360"/>
          <w:tab w:val="left" w:pos="1872"/>
        </w:tabs>
        <w:spacing w:before="124" w:after="0" w:line="275" w:lineRule="exact"/>
        <w:ind w:right="72" w:left="1872"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advising the applicant that the applicant may, by a specified date (being not less than 28 days after giving the notice), make a submission to the regulator in relation to the proposed refusal.</w:t>
      </w:r>
    </w:p>
    <w:p>
      <w:pPr>
        <w:spacing w:before="126" w:after="0" w:line="273" w:lineRule="exact"/>
        <w:ind w:right="57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After the date specified in a notice under subregulation (1), the regulator must:</w:t>
      </w:r>
    </w:p>
    <w:p>
      <w:pPr>
        <w:numPr>
          <w:ilvl w:val="0"/>
          <w:numId w:val="456"/>
        </w:numPr>
        <w:tabs>
          <w:tab w:val="clear" w:pos="360"/>
          <w:tab w:val="left" w:pos="1872"/>
        </w:tabs>
        <w:spacing w:before="127" w:after="0" w:line="273" w:lineRule="exact"/>
        <w:ind w:right="72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applicant has made a submission in relation to the proposed refusal to grant the registration—consider that submission; and</w:t>
      </w:r>
    </w:p>
    <w:p>
      <w:pPr>
        <w:numPr>
          <w:ilvl w:val="0"/>
          <w:numId w:val="456"/>
        </w:numPr>
        <w:tabs>
          <w:tab w:val="clear" w:pos="360"/>
          <w:tab w:val="left" w:pos="1872"/>
        </w:tabs>
        <w:spacing w:before="124" w:after="0" w:line="274" w:lineRule="exact"/>
        <w:ind w:right="288" w:left="1872" w:hanging="360"/>
        <w:jc w:val="both"/>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whether or not the applicant has made a submission—decide whether to grant or refuse to grant the registration; and</w:t>
      </w:r>
    </w:p>
    <w:p>
      <w:pPr>
        <w:numPr>
          <w:ilvl w:val="0"/>
          <w:numId w:val="456"/>
        </w:numPr>
        <w:tabs>
          <w:tab w:val="clear" w:pos="360"/>
          <w:tab w:val="left" w:pos="1872"/>
        </w:tabs>
        <w:spacing w:before="122" w:after="0" w:line="276"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within 14 days after making that decision, give the applicant written notice of the decision, including the reasons for the decision.</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7"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refusal to grant a registration is a reviewable decision (see regulation 676).</w:t>
      </w:r>
    </w:p>
    <w:p>
      <w:pPr>
        <w:tabs>
          <w:tab w:val="left" w:leader="none" w:pos="864"/>
        </w:tabs>
        <w:spacing w:before="120"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258	</w:t>
      </w:r>
      <w:r>
        <w:rPr>
          <w:rFonts w:ascii="Times New Roman" w:hAnsi="Times New Roman" w:eastAsia="Times New Roman"/>
          <w:b w:val="true"/>
          <w:color w:val="000000"/>
          <w:spacing w:val="0"/>
          <w:w w:val="100"/>
          <w:sz w:val="24"/>
          <w:vertAlign w:val="baseline"/>
          <w:lang w:val="en-US"/>
        </w:rPr>
        <w:t xml:space="preserve">Conditions of registration</w:t>
      </w:r>
    </w:p>
    <w:p>
      <w:pPr>
        <w:numPr>
          <w:ilvl w:val="0"/>
          <w:numId w:val="457"/>
        </w:numPr>
        <w:tabs>
          <w:tab w:val="clear" w:pos="360"/>
          <w:tab w:val="left" w:pos="1368"/>
        </w:tabs>
        <w:spacing w:before="123" w:after="0" w:line="274" w:lineRule="exact"/>
        <w:ind w:right="288"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may impose any conditions it considers appropriate on the registration of a plant design.</w:t>
      </w:r>
    </w:p>
    <w:p>
      <w:pPr>
        <w:numPr>
          <w:ilvl w:val="0"/>
          <w:numId w:val="457"/>
        </w:numPr>
        <w:tabs>
          <w:tab w:val="clear" w:pos="360"/>
          <w:tab w:val="left" w:pos="1368"/>
        </w:tabs>
        <w:spacing w:before="124" w:after="0" w:line="274" w:lineRule="exact"/>
        <w:ind w:right="720"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Without limiting subregulation (1), the regulator may impose conditions in relation to 1 or more of the following:</w:t>
      </w:r>
    </w:p>
    <w:p>
      <w:pPr>
        <w:numPr>
          <w:ilvl w:val="0"/>
          <w:numId w:val="458"/>
        </w:numPr>
        <w:tabs>
          <w:tab w:val="clear" w:pos="360"/>
          <w:tab w:val="left" w:pos="1872"/>
        </w:tabs>
        <w:spacing w:before="125" w:after="0" w:line="273" w:lineRule="exact"/>
        <w:ind w:right="0" w:left="1368" w:firstLine="144"/>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use and maintenance of plant manufactured to the design;</w:t>
      </w:r>
    </w:p>
    <w:p>
      <w:pPr>
        <w:numPr>
          <w:ilvl w:val="0"/>
          <w:numId w:val="458"/>
        </w:numPr>
        <w:tabs>
          <w:tab w:val="clear" w:pos="360"/>
          <w:tab w:val="left" w:pos="1872"/>
        </w:tabs>
        <w:spacing w:before="121" w:after="0" w:line="273" w:lineRule="exact"/>
        <w:ind w:right="0" w:left="1512" w:firstLine="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recording or keeping of information;</w:t>
      </w:r>
    </w:p>
    <w:p>
      <w:pPr>
        <w:numPr>
          <w:ilvl w:val="0"/>
          <w:numId w:val="458"/>
        </w:numPr>
        <w:tabs>
          <w:tab w:val="clear" w:pos="360"/>
          <w:tab w:val="left" w:pos="1872"/>
        </w:tabs>
        <w:spacing w:before="27" w:after="0" w:line="360" w:lineRule="exact"/>
        <w:ind w:right="1800" w:left="1368" w:firstLine="144"/>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provision of information to the regulator. </w:t>
      </w:r>
      <w:r>
        <w:rPr>
          <w:rFonts w:ascii="Times New Roman" w:hAnsi="Times New Roman" w:eastAsia="Times New Roman"/>
          <w:b w:val="true"/>
          <w:color w:val="000000"/>
          <w:spacing w:val="0"/>
          <w:w w:val="100"/>
          <w:sz w:val="20"/>
          <w:vertAlign w:val="baseline"/>
          <w:lang w:val="en-US"/>
        </w:rPr>
        <w:t xml:space="preserve">Notes</w:t>
      </w:r>
    </w:p>
    <w:p>
      <w:pPr>
        <w:tabs>
          <w:tab w:val="left" w:leader="none" w:pos="1800"/>
        </w:tabs>
        <w:spacing w:before="123" w:after="0" w:line="230" w:lineRule="exact"/>
        <w:ind w:right="144" w:left="1872" w:hanging="50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A person must comply with the conditions of registration (see section 45 of the Act).</w:t>
      </w:r>
    </w:p>
    <w:p>
      <w:pPr>
        <w:tabs>
          <w:tab w:val="left" w:leader="none" w:pos="1800"/>
        </w:tabs>
        <w:spacing w:before="119" w:after="1602" w:line="231" w:lineRule="exact"/>
        <w:ind w:right="216" w:left="1872" w:hanging="504"/>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A decision to impose a condition on a registration is a reviewable decision (see regulation 676).</w:t>
      </w:r>
    </w:p>
    <w:p>
      <w:pPr>
        <w:spacing w:before="119" w:after="1602" w:line="231"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189</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5.3	</w:t>
      </w:r>
      <w:r>
        <w:rPr>
          <w:rFonts w:ascii="Times New Roman" w:hAnsi="Times New Roman" w:eastAsia="Times New Roman"/>
          <w:color w:val="000000"/>
          <w:spacing w:val="0"/>
          <w:w w:val="100"/>
          <w:sz w:val="20"/>
          <w:vertAlign w:val="baseline"/>
          <w:lang w:val="en-US"/>
        </w:rPr>
        <w:t xml:space="preserve">Registration of Plant Designs and Items of Plant</w:t>
      </w:r>
    </w:p>
    <w:p>
      <w:pPr>
        <w:tabs>
          <w:tab w:val="left" w:leader="none" w:pos="864"/>
        </w:tabs>
        <w:spacing w:before="251"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4"/>
          <w:vertAlign w:val="baseline"/>
          <w:lang w:val="en-US"/>
        </w:rPr>
        <w:t xml:space="preserve">259	</w:t>
      </w:r>
      <w:r>
        <w:rPr>
          <w:rFonts w:ascii="Times New Roman" w:hAnsi="Times New Roman" w:eastAsia="Times New Roman"/>
          <w:b w:val="true"/>
          <w:color w:val="000000"/>
          <w:spacing w:val="0"/>
          <w:w w:val="100"/>
          <w:sz w:val="24"/>
          <w:vertAlign w:val="baseline"/>
          <w:lang w:val="en-US"/>
        </w:rPr>
        <w:t xml:space="preserve">Duration of registration of plant design</w:t>
      </w:r>
    </w:p>
    <w:p>
      <w:pPr>
        <w:spacing w:before="126" w:after="0" w:line="273" w:lineRule="exact"/>
        <w:ind w:right="216"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registration of a plant design takes effect on the day it is granted and is granted for an unlimited duration.</w:t>
      </w:r>
    </w:p>
    <w:p>
      <w:pPr>
        <w:spacing w:before="125"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260 Plant design registration number</w:t>
      </w:r>
    </w:p>
    <w:p>
      <w:pPr>
        <w:spacing w:before="114" w:after="0" w:line="279"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regulation applies if the regulator registers a design of an item of plant.</w:t>
      </w:r>
    </w:p>
    <w:p>
      <w:pPr>
        <w:spacing w:before="114" w:after="0" w:line="279" w:lineRule="exact"/>
        <w:ind w:right="216"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regulator must issue a plant design registration number for the design to the applicant.</w:t>
      </w:r>
    </w:p>
    <w:p>
      <w:pPr>
        <w:spacing w:before="117"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person to whom the plant design registration number is issued must give the registration number to the manufacturer, importer or supplier of plant manufactured to that design.</w:t>
      </w:r>
    </w:p>
    <w:p>
      <w:pPr>
        <w:spacing w:before="125"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19"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0"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22" w:after="0" w:line="276" w:lineRule="exact"/>
        <w:ind w:right="216" w:left="1368" w:hanging="360"/>
        <w:jc w:val="left"/>
        <w:textAlignment w:val="baseline"/>
        <w:rPr>
          <w:rFonts w:ascii="Times New Roman" w:hAnsi="Times New Roman" w:eastAsia="Times New Roman"/>
          <w:color w:val="000000"/>
          <w:spacing w:val="-2"/>
          <w:w w:val="100"/>
          <w:sz w:val="24"/>
          <w:vertAlign w:val="baseline"/>
          <w:lang w:val="en-US"/>
        </w:rPr>
      </w:pPr>
      <w:r>
        <w:rPr>
          <w:rFonts w:ascii="Times New Roman" w:hAnsi="Times New Roman" w:eastAsia="Times New Roman"/>
          <w:color w:val="000000"/>
          <w:spacing w:val="-2"/>
          <w:w w:val="100"/>
          <w:sz w:val="24"/>
          <w:vertAlign w:val="baseline"/>
          <w:lang w:val="en-US"/>
        </w:rPr>
        <w:t xml:space="preserve">(4) The manufacturer, supplier or importer of plant to whom a plant design registration number is given under this regulation must give that number to the person with management or control of the plant:</w:t>
      </w:r>
    </w:p>
    <w:p>
      <w:pPr>
        <w:numPr>
          <w:ilvl w:val="0"/>
          <w:numId w:val="459"/>
        </w:numPr>
        <w:tabs>
          <w:tab w:val="clear" w:pos="360"/>
          <w:tab w:val="left" w:pos="1872"/>
        </w:tabs>
        <w:spacing w:before="120" w:after="0" w:line="274"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manufactured to that design; or</w:t>
      </w:r>
    </w:p>
    <w:p>
      <w:pPr>
        <w:numPr>
          <w:ilvl w:val="0"/>
          <w:numId w:val="459"/>
        </w:numPr>
        <w:tabs>
          <w:tab w:val="clear" w:pos="360"/>
          <w:tab w:val="left" w:pos="1872"/>
        </w:tabs>
        <w:spacing w:before="134" w:after="0" w:line="274" w:lineRule="exact"/>
        <w:ind w:right="79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supplied to that person by the manufacturer, supplier or importer</w:t>
      </w:r>
      <w:r>
        <w:rPr>
          <w:rFonts w:ascii="Times New Roman" w:hAnsi="Times New Roman" w:eastAsia="Times New Roman"/>
          <w:i w:val="true"/>
          <w:color w:val="000000"/>
          <w:spacing w:val="0"/>
          <w:w w:val="100"/>
          <w:sz w:val="28"/>
          <w:vertAlign w:val="baseline"/>
          <w:lang w:val="en-US"/>
        </w:rPr>
        <w:t xml:space="preserve">.</w:t>
      </w:r>
    </w:p>
    <w:p>
      <w:pPr>
        <w:spacing w:before="11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4"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20"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The person with management or control of plant at a workplace for which a plant design is registered must ensure that the design registration number is kept readily accessible in the vicinity of the plant at all times.</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0"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24" w:after="0" w:line="274"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261 Registration document</w:t>
      </w:r>
    </w:p>
    <w:p>
      <w:pPr>
        <w:spacing w:before="118" w:after="1045" w:line="276"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(1) If the regulator registers a design of an item of plant, the regulator must issue to the applicant a registration document in the form determined by the regulator.</w:t>
      </w:r>
    </w:p>
    <w:p>
      <w:pPr>
        <w:spacing w:before="118" w:after="1045"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190</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5.3	</w:t>
      </w:r>
      <w:r>
        <w:rPr>
          <w:rFonts w:ascii="Times New Roman" w:hAnsi="Times New Roman" w:eastAsia="Times New Roman"/>
          <w:color w:val="000000"/>
          <w:spacing w:val="0"/>
          <w:w w:val="100"/>
          <w:sz w:val="20"/>
          <w:vertAlign w:val="baseline"/>
          <w:lang w:val="en-US"/>
        </w:rPr>
        <w:t xml:space="preserve">Registration of Plant Designs and Items of Plant</w:t>
      </w:r>
    </w:p>
    <w:p>
      <w:pPr>
        <w:spacing w:before="25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(2) The registration document must include the following:</w:t>
      </w:r>
    </w:p>
    <w:p>
      <w:pPr>
        <w:numPr>
          <w:ilvl w:val="0"/>
          <w:numId w:val="460"/>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of the registration holder;</w:t>
      </w:r>
    </w:p>
    <w:p>
      <w:pPr>
        <w:numPr>
          <w:ilvl w:val="0"/>
          <w:numId w:val="460"/>
        </w:numPr>
        <w:tabs>
          <w:tab w:val="clear" w:pos="360"/>
          <w:tab w:val="left" w:pos="1872"/>
        </w:tabs>
        <w:spacing w:before="114" w:after="0" w:line="279"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registration holder conducts the business or undertaking under a business name, that business name;</w:t>
      </w:r>
    </w:p>
    <w:p>
      <w:pPr>
        <w:numPr>
          <w:ilvl w:val="0"/>
          <w:numId w:val="460"/>
        </w:numPr>
        <w:tabs>
          <w:tab w:val="clear" w:pos="360"/>
          <w:tab w:val="left" w:pos="1872"/>
        </w:tabs>
        <w:spacing w:before="120" w:after="0" w:line="273" w:lineRule="exact"/>
        <w:ind w:right="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registration number of the plant design;</w:t>
      </w:r>
    </w:p>
    <w:p>
      <w:pPr>
        <w:numPr>
          <w:ilvl w:val="0"/>
          <w:numId w:val="460"/>
        </w:numPr>
        <w:tabs>
          <w:tab w:val="clear" w:pos="360"/>
          <w:tab w:val="left" w:pos="1872"/>
        </w:tabs>
        <w:spacing w:before="126" w:after="0" w:line="273" w:lineRule="exact"/>
        <w:ind w:right="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conditions imposed on the registration by the regulator;</w:t>
      </w:r>
    </w:p>
    <w:p>
      <w:pPr>
        <w:numPr>
          <w:ilvl w:val="0"/>
          <w:numId w:val="460"/>
        </w:numPr>
        <w:tabs>
          <w:tab w:val="clear" w:pos="360"/>
          <w:tab w:val="left" w:pos="1872"/>
        </w:tabs>
        <w:spacing w:before="120" w:after="0" w:line="273" w:lineRule="exact"/>
        <w:ind w:right="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date on which the registration was granted.</w:t>
      </w:r>
    </w:p>
    <w:p>
      <w:pPr>
        <w:spacing w:before="126"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262 Registration document to be available</w:t>
      </w:r>
    </w:p>
    <w:p>
      <w:pPr>
        <w:numPr>
          <w:ilvl w:val="0"/>
          <w:numId w:val="461"/>
        </w:numPr>
        <w:tabs>
          <w:tab w:val="clear" w:pos="360"/>
          <w:tab w:val="left" w:pos="1368"/>
        </w:tabs>
        <w:spacing w:before="113" w:after="0" w:line="279"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registration holder must keep the registration document available for inspection under the Act.</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numPr>
          <w:ilvl w:val="0"/>
          <w:numId w:val="461"/>
        </w:numPr>
        <w:tabs>
          <w:tab w:val="clear" w:pos="360"/>
          <w:tab w:val="left" w:pos="1368"/>
        </w:tabs>
        <w:spacing w:before="116" w:after="0" w:line="278"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Subregulation (1) does not apply if the registration document is not in the registration holder's possession because:</w:t>
      </w:r>
    </w:p>
    <w:p>
      <w:pPr>
        <w:numPr>
          <w:ilvl w:val="0"/>
          <w:numId w:val="462"/>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it has been returned to the regulator under regulation 287; or</w:t>
      </w:r>
    </w:p>
    <w:p>
      <w:pPr>
        <w:numPr>
          <w:ilvl w:val="0"/>
          <w:numId w:val="462"/>
        </w:numPr>
        <w:tabs>
          <w:tab w:val="clear" w:pos="360"/>
          <w:tab w:val="left" w:pos="1872"/>
        </w:tabs>
        <w:spacing w:before="124" w:after="0" w:line="274"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registration holder has applied for, but has not received, a replacement registration document under regulation 288.</w:t>
      </w:r>
    </w:p>
    <w:p>
      <w:pPr>
        <w:spacing w:before="125"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263 Disclosure of design information</w:t>
      </w:r>
    </w:p>
    <w:p>
      <w:pPr>
        <w:spacing w:before="117" w:after="0" w:line="276"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Subject to this regulation, the regulator must not disclose to any person any confidential information provided by an applicant for registration of a design of an item of plant.</w:t>
      </w:r>
    </w:p>
    <w:p>
      <w:pPr>
        <w:spacing w:before="124" w:after="0" w:line="274" w:lineRule="exact"/>
        <w:ind w:right="57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regulator may disclose information about a plant design in either of the following circumstances:</w:t>
      </w:r>
    </w:p>
    <w:p>
      <w:pPr>
        <w:numPr>
          <w:ilvl w:val="0"/>
          <w:numId w:val="463"/>
        </w:numPr>
        <w:tabs>
          <w:tab w:val="clear" w:pos="360"/>
          <w:tab w:val="left" w:pos="1872"/>
        </w:tabs>
        <w:spacing w:before="122" w:after="0" w:line="276"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to a corresponding regulator or an authorised officer of a corresponding regulator, at the request of the corresponding regulator;</w:t>
      </w:r>
    </w:p>
    <w:p>
      <w:pPr>
        <w:numPr>
          <w:ilvl w:val="0"/>
          <w:numId w:val="463"/>
        </w:numPr>
        <w:tabs>
          <w:tab w:val="clear" w:pos="360"/>
          <w:tab w:val="left" w:pos="1872"/>
        </w:tabs>
        <w:spacing w:before="116" w:after="0" w:line="278"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to any person authorised by the applicant for the registration of the design.</w:t>
      </w:r>
    </w:p>
    <w:p>
      <w:pPr>
        <w:spacing w:before="116" w:after="0" w:line="278"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regulator may give a copy of the design verification statement to:</w:t>
      </w:r>
    </w:p>
    <w:p>
      <w:pPr>
        <w:numPr>
          <w:ilvl w:val="0"/>
          <w:numId w:val="464"/>
        </w:numPr>
        <w:tabs>
          <w:tab w:val="clear" w:pos="360"/>
          <w:tab w:val="left" w:pos="1872"/>
        </w:tabs>
        <w:spacing w:before="116" w:after="0" w:line="278"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workers engaged by the person with management or control at a workplace of plant manufactured to the design; or</w:t>
      </w:r>
    </w:p>
    <w:p>
      <w:pPr>
        <w:numPr>
          <w:ilvl w:val="0"/>
          <w:numId w:val="464"/>
        </w:numPr>
        <w:tabs>
          <w:tab w:val="clear" w:pos="360"/>
          <w:tab w:val="left" w:pos="1872"/>
        </w:tabs>
        <w:spacing w:before="121" w:after="926" w:line="273" w:lineRule="exact"/>
        <w:ind w:right="0" w:left="1872" w:hanging="36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health and safety representative of those workers.</w:t>
      </w:r>
    </w:p>
    <w:p>
      <w:pPr>
        <w:spacing w:before="121" w:after="926"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191</w:t>
      </w:r>
    </w:p>
    <w:p>
      <w:pPr>
        <w:sectPr>
          <w:type w:val="continuous"/>
          <w:pgSz w:w="11909" w:h="16838" w:orient="portrait"/>
          <w:pgMar w:bottom="1082" w:top="1140" w:right="5819" w:left="1970"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5.3	</w:t>
      </w:r>
      <w:r>
        <w:rPr>
          <w:rFonts w:ascii="Times New Roman" w:hAnsi="Times New Roman" w:eastAsia="Times New Roman"/>
          <w:color w:val="000000"/>
          <w:spacing w:val="0"/>
          <w:w w:val="100"/>
          <w:sz w:val="20"/>
          <w:vertAlign w:val="baseline"/>
          <w:lang w:val="en-US"/>
        </w:rPr>
        <w:t xml:space="preserve">Registration of Plant Designs and Items of Plant</w:t>
      </w:r>
    </w:p>
    <w:p>
      <w:pPr>
        <w:spacing w:before="248"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(4) The regulator may provide the person with management or control of plant with the minimum information about the plant design that is necessary for the safe operation of the plant if the registration holder for the design of the plant cannot be located or no longer exists.</w:t>
      </w:r>
    </w:p>
    <w:p>
      <w:pPr>
        <w:tabs>
          <w:tab w:val="left" w:leader="none" w:pos="1584"/>
        </w:tabs>
        <w:spacing w:before="251" w:after="0" w:line="273"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4	</w:t>
      </w:r>
      <w:r>
        <w:rPr>
          <w:rFonts w:ascii="Times New Roman" w:hAnsi="Times New Roman" w:eastAsia="Times New Roman"/>
          <w:b w:val="true"/>
          <w:color w:val="000000"/>
          <w:spacing w:val="0"/>
          <w:w w:val="100"/>
          <w:sz w:val="24"/>
          <w:vertAlign w:val="baseline"/>
          <w:lang w:val="en-US"/>
        </w:rPr>
        <w:t xml:space="preserve">Registration process for an item of plant</w:t>
      </w:r>
    </w:p>
    <w:p>
      <w:pPr>
        <w:spacing w:before="119"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8"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19" w:after="0" w:line="273"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264 Application of Division 4</w:t>
      </w:r>
    </w:p>
    <w:p>
      <w:pPr>
        <w:spacing w:before="116" w:after="0" w:line="278" w:lineRule="exact"/>
        <w:ind w:right="43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Division applies in relation to the registration of an item of plant specified in Part 2 of Schedule 5 as requiring registration.</w:t>
      </w:r>
    </w:p>
    <w:p>
      <w:pPr>
        <w:spacing w:before="121" w:after="0" w:line="273"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265 Who can apply to register an item of plant</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with management or control of an item of plant may apply</w:t>
      </w:r>
    </w:p>
    <w:p>
      <w:pPr>
        <w:spacing w:before="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to the regulator for the registration of that item of plant.</w:t>
      </w:r>
    </w:p>
    <w:p>
      <w:pPr>
        <w:spacing w:before="125" w:after="0" w:line="273"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266 Application for registration</w:t>
      </w:r>
    </w:p>
    <w:p>
      <w:pPr>
        <w:numPr>
          <w:ilvl w:val="0"/>
          <w:numId w:val="465"/>
        </w:numPr>
        <w:tabs>
          <w:tab w:val="clear" w:pos="360"/>
          <w:tab w:val="left" w:pos="1368"/>
        </w:tabs>
        <w:spacing w:before="116" w:after="0" w:line="278" w:lineRule="exact"/>
        <w:ind w:right="216"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application for registration of an item of plant must be made in the manner and form required by the regulator.</w:t>
      </w:r>
    </w:p>
    <w:p>
      <w:pPr>
        <w:numPr>
          <w:ilvl w:val="0"/>
          <w:numId w:val="465"/>
        </w:numPr>
        <w:tabs>
          <w:tab w:val="clear" w:pos="360"/>
          <w:tab w:val="left" w:pos="1368"/>
        </w:tabs>
        <w:spacing w:before="121" w:after="0" w:line="273" w:lineRule="exact"/>
        <w:ind w:right="0"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application must include the following information:</w:t>
      </w:r>
    </w:p>
    <w:p>
      <w:pPr>
        <w:numPr>
          <w:ilvl w:val="0"/>
          <w:numId w:val="466"/>
        </w:numPr>
        <w:tabs>
          <w:tab w:val="clear" w:pos="360"/>
          <w:tab w:val="left" w:pos="1872"/>
        </w:tabs>
        <w:spacing w:before="125" w:after="0" w:line="273" w:lineRule="exact"/>
        <w:ind w:right="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applicant's name;</w:t>
      </w:r>
    </w:p>
    <w:p>
      <w:pPr>
        <w:numPr>
          <w:ilvl w:val="0"/>
          <w:numId w:val="466"/>
        </w:numPr>
        <w:tabs>
          <w:tab w:val="clear" w:pos="360"/>
          <w:tab w:val="left" w:pos="1872"/>
        </w:tabs>
        <w:spacing w:before="121" w:after="0" w:line="273" w:lineRule="exact"/>
        <w:ind w:right="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whether or not the applicant is a body corporate;</w:t>
      </w:r>
    </w:p>
    <w:p>
      <w:pPr>
        <w:numPr>
          <w:ilvl w:val="0"/>
          <w:numId w:val="466"/>
        </w:numPr>
        <w:tabs>
          <w:tab w:val="clear" w:pos="360"/>
          <w:tab w:val="left" w:pos="1872"/>
        </w:tabs>
        <w:spacing w:before="122" w:after="0" w:line="276"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applicant conducts the business or undertaking under a business name—that business name and a certificate or other written evidence of the registration of the business name;</w:t>
      </w:r>
    </w:p>
    <w:p>
      <w:pPr>
        <w:numPr>
          <w:ilvl w:val="0"/>
          <w:numId w:val="466"/>
        </w:numPr>
        <w:tabs>
          <w:tab w:val="clear" w:pos="360"/>
          <w:tab w:val="left" w:pos="1872"/>
        </w:tabs>
        <w:spacing w:before="116" w:after="0" w:line="278"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other evidence of the applicant's identity required by the regulator;</w:t>
      </w:r>
    </w:p>
    <w:p>
      <w:pPr>
        <w:numPr>
          <w:ilvl w:val="0"/>
          <w:numId w:val="466"/>
        </w:numPr>
        <w:tabs>
          <w:tab w:val="clear" w:pos="360"/>
          <w:tab w:val="left" w:pos="1872"/>
        </w:tabs>
        <w:spacing w:before="0" w:after="0" w:line="395"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sufficient information to clearly identify the item of plant; </w:t>
      </w:r>
      <w:r>
        <w:rPr>
          <w:rFonts w:ascii="Times New Roman" w:hAnsi="Times New Roman" w:eastAsia="Times New Roman"/>
          <w:i w:val="true"/>
          <w:color w:val="000000"/>
          <w:spacing w:val="0"/>
          <w:w w:val="100"/>
          <w:sz w:val="24"/>
          <w:vertAlign w:val="baseline"/>
          <w:lang w:val="en-US"/>
        </w:rPr>
        <w:t xml:space="preserve">[(f) This paragraph has been deleted.]</w:t>
      </w:r>
    </w:p>
    <w:p>
      <w:pPr>
        <w:spacing w:before="117" w:after="0" w:line="278" w:lineRule="exact"/>
        <w:ind w:right="72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 if the design of the item of plant was also required to be registered under this Part, details of:</w:t>
      </w:r>
    </w:p>
    <w:p>
      <w:pPr>
        <w:numPr>
          <w:ilvl w:val="0"/>
          <w:numId w:val="467"/>
        </w:numPr>
        <w:tabs>
          <w:tab w:val="clear" w:pos="360"/>
          <w:tab w:val="left" w:pos="2376"/>
        </w:tabs>
        <w:spacing w:before="121" w:after="0" w:line="273"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plant design registration number; and</w:t>
      </w:r>
    </w:p>
    <w:p>
      <w:pPr>
        <w:numPr>
          <w:ilvl w:val="0"/>
          <w:numId w:val="467"/>
        </w:numPr>
        <w:tabs>
          <w:tab w:val="clear" w:pos="360"/>
          <w:tab w:val="left" w:pos="2376"/>
        </w:tabs>
        <w:spacing w:before="124" w:after="0" w:line="274" w:lineRule="exact"/>
        <w:ind w:right="288"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or corresponding regulator that registered the design;</w:t>
      </w:r>
    </w:p>
    <w:p>
      <w:pPr>
        <w:spacing w:before="122" w:after="739"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(h) a statement that the item of plant has been inspected by a competent person and assessed by that person as being safe to operate;</w:t>
      </w:r>
    </w:p>
    <w:p>
      <w:pPr>
        <w:spacing w:before="122" w:after="739"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192</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5.3	</w:t>
      </w:r>
      <w:r>
        <w:rPr>
          <w:rFonts w:ascii="Times New Roman" w:hAnsi="Times New Roman" w:eastAsia="Times New Roman"/>
          <w:color w:val="000000"/>
          <w:spacing w:val="0"/>
          <w:w w:val="100"/>
          <w:sz w:val="20"/>
          <w:vertAlign w:val="baseline"/>
          <w:lang w:val="en-US"/>
        </w:rPr>
        <w:t xml:space="preserve">Registration of Plant Designs and Items of Plant</w:t>
      </w:r>
    </w:p>
    <w:p>
      <w:pPr>
        <w:numPr>
          <w:ilvl w:val="0"/>
          <w:numId w:val="468"/>
        </w:numPr>
        <w:tabs>
          <w:tab w:val="clear" w:pos="288"/>
          <w:tab w:val="left" w:pos="1872"/>
        </w:tabs>
        <w:spacing w:before="245" w:after="0" w:line="279" w:lineRule="exact"/>
        <w:ind w:right="288" w:left="1872" w:hanging="288"/>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date that the item of plant was first commissioned or was first registered, if known, whichever occurred first;</w:t>
      </w:r>
    </w:p>
    <w:p>
      <w:pPr>
        <w:numPr>
          <w:ilvl w:val="0"/>
          <w:numId w:val="468"/>
        </w:numPr>
        <w:tabs>
          <w:tab w:val="clear" w:pos="288"/>
          <w:tab w:val="left" w:pos="1872"/>
        </w:tabs>
        <w:spacing w:before="114" w:after="0" w:line="279" w:lineRule="exact"/>
        <w:ind w:right="432"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declaration that the applicant does not hold an equivalent registration under a corresponding WHS law.</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4" w:after="0" w:line="231" w:lineRule="exact"/>
        <w:ind w:right="936"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section 268 of the Act for offences relating to the giving of false or misleading information under the Act or these Regulations.</w:t>
      </w:r>
    </w:p>
    <w:p>
      <w:pPr>
        <w:numPr>
          <w:ilvl w:val="0"/>
          <w:numId w:val="469"/>
        </w:numPr>
        <w:tabs>
          <w:tab w:val="clear" w:pos="360"/>
          <w:tab w:val="left" w:pos="1368"/>
        </w:tabs>
        <w:spacing w:before="117"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application must be accompanied by the relevant fee.</w:t>
      </w:r>
    </w:p>
    <w:p>
      <w:pPr>
        <w:spacing w:before="120"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267 When is a person competent to inspect plant</w:t>
      </w:r>
    </w:p>
    <w:p>
      <w:pPr>
        <w:spacing w:before="125" w:after="0" w:line="273" w:lineRule="exact"/>
        <w:ind w:right="648"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is a competent person to inspect an item of plant for registration if the person has:</w:t>
      </w:r>
    </w:p>
    <w:p>
      <w:pPr>
        <w:numPr>
          <w:ilvl w:val="0"/>
          <w:numId w:val="470"/>
        </w:numPr>
        <w:tabs>
          <w:tab w:val="clear" w:pos="288"/>
          <w:tab w:val="left" w:pos="1872"/>
        </w:tabs>
        <w:spacing w:before="126" w:after="0" w:line="273" w:lineRule="exact"/>
        <w:ind w:right="576"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educational or vocational qualifications in an engineering discipline relevant to the plant to be inspected; or</w:t>
      </w:r>
    </w:p>
    <w:p>
      <w:pPr>
        <w:numPr>
          <w:ilvl w:val="0"/>
          <w:numId w:val="470"/>
        </w:numPr>
        <w:tabs>
          <w:tab w:val="clear" w:pos="288"/>
          <w:tab w:val="left" w:pos="1872"/>
        </w:tabs>
        <w:spacing w:before="126" w:after="0" w:line="273" w:lineRule="exact"/>
        <w:ind w:right="72"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knowledge of the technical standards relevant to the plant to be inspected.</w:t>
      </w:r>
    </w:p>
    <w:p>
      <w:pPr>
        <w:spacing w:before="126" w:after="0" w:line="274"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268 Additional information</w:t>
      </w:r>
    </w:p>
    <w:p>
      <w:pPr>
        <w:spacing w:before="115" w:after="0" w:line="277"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If an application for registration of an item of plant does not contain enough information to enable the regulator to make a decision whether or not to grant the registration, the regulator may ask the applicant to provide additional information.</w:t>
      </w:r>
    </w:p>
    <w:p>
      <w:pPr>
        <w:spacing w:before="120"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 request for additional information must:</w:t>
      </w:r>
    </w:p>
    <w:p>
      <w:pPr>
        <w:numPr>
          <w:ilvl w:val="0"/>
          <w:numId w:val="471"/>
        </w:numPr>
        <w:tabs>
          <w:tab w:val="clear" w:pos="288"/>
          <w:tab w:val="left" w:pos="1872"/>
        </w:tabs>
        <w:spacing w:before="126" w:after="0" w:line="273" w:lineRule="exact"/>
        <w:ind w:right="144"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specify the date (not being less than 28 days after the request) by which the additional information is to be given; and</w:t>
      </w:r>
    </w:p>
    <w:p>
      <w:pPr>
        <w:numPr>
          <w:ilvl w:val="0"/>
          <w:numId w:val="471"/>
        </w:numPr>
        <w:tabs>
          <w:tab w:val="clear" w:pos="288"/>
          <w:tab w:val="left" w:pos="1872"/>
        </w:tabs>
        <w:spacing w:before="126"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be confirmed in writing.</w:t>
      </w:r>
    </w:p>
    <w:p>
      <w:pPr>
        <w:spacing w:before="114" w:after="0" w:line="279" w:lineRule="exact"/>
        <w:ind w:right="360"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(3) If an applicant does not provide the additional information by the date specified, the application is taken to have been withdrawn.</w:t>
      </w:r>
    </w:p>
    <w:p>
      <w:pPr>
        <w:spacing w:before="114" w:after="0" w:line="279" w:lineRule="exact"/>
        <w:ind w:right="936"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The regulator may make more than 1 request for additional information under this regulation.</w:t>
      </w:r>
    </w:p>
    <w:p>
      <w:pPr>
        <w:spacing w:before="120" w:after="0" w:line="274"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269 Decision on application</w:t>
      </w:r>
    </w:p>
    <w:p>
      <w:pPr>
        <w:numPr>
          <w:ilvl w:val="0"/>
          <w:numId w:val="472"/>
        </w:numPr>
        <w:tabs>
          <w:tab w:val="clear" w:pos="360"/>
          <w:tab w:val="left" w:pos="1368"/>
        </w:tabs>
        <w:spacing w:before="125"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Subject to subregulation (3), the regulator must grant the</w:t>
      </w:r>
    </w:p>
    <w:p>
      <w:pPr>
        <w:spacing w:before="0" w:after="0" w:line="276"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registration if satisfied about the matters referred to in subregulation (2).</w:t>
      </w:r>
    </w:p>
    <w:p>
      <w:pPr>
        <w:numPr>
          <w:ilvl w:val="0"/>
          <w:numId w:val="472"/>
        </w:numPr>
        <w:tabs>
          <w:tab w:val="clear" w:pos="360"/>
          <w:tab w:val="left" w:pos="1368"/>
        </w:tabs>
        <w:spacing w:before="120"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must be satisfied about the following:</w:t>
      </w:r>
    </w:p>
    <w:p>
      <w:pPr>
        <w:spacing w:before="126" w:after="1027" w:line="273" w:lineRule="exact"/>
        <w:ind w:right="936" w:left="1872" w:hanging="288"/>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the application has been made in accordance with this Division;</w:t>
      </w:r>
    </w:p>
    <w:p>
      <w:pPr>
        <w:spacing w:before="126" w:after="1027"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193</w:t>
      </w:r>
    </w:p>
    <w:p>
      <w:pPr>
        <w:sectPr>
          <w:type w:val="continuous"/>
          <w:pgSz w:w="11909" w:h="16838" w:orient="portrait"/>
          <w:pgMar w:bottom="1082" w:top="1140" w:right="5817" w:left="1972"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5.3	</w:t>
      </w:r>
      <w:r>
        <w:rPr>
          <w:rFonts w:ascii="Times New Roman" w:hAnsi="Times New Roman" w:eastAsia="Times New Roman"/>
          <w:color w:val="000000"/>
          <w:spacing w:val="0"/>
          <w:w w:val="100"/>
          <w:sz w:val="20"/>
          <w:vertAlign w:val="baseline"/>
          <w:lang w:val="en-US"/>
        </w:rPr>
        <w:t xml:space="preserve">Registration of Plant Designs and Items of Plant</w:t>
      </w:r>
    </w:p>
    <w:p>
      <w:pPr>
        <w:spacing w:before="244" w:after="0" w:line="279"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(b) the item of plant is not registered under a corresponding WHS law;</w:t>
      </w:r>
    </w:p>
    <w:p>
      <w:pPr>
        <w:spacing w:before="121" w:after="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the item of plant is:</w:t>
      </w:r>
    </w:p>
    <w:p>
      <w:pPr>
        <w:numPr>
          <w:ilvl w:val="0"/>
          <w:numId w:val="473"/>
        </w:numPr>
        <w:tabs>
          <w:tab w:val="clear" w:pos="360"/>
          <w:tab w:val="left" w:pos="2376"/>
        </w:tabs>
        <w:spacing w:before="127" w:after="0" w:line="272"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located in [this jurisdiction]; or</w:t>
      </w:r>
    </w:p>
    <w:p>
      <w:pPr>
        <w:numPr>
          <w:ilvl w:val="0"/>
          <w:numId w:val="473"/>
        </w:numPr>
        <w:tabs>
          <w:tab w:val="clear" w:pos="360"/>
          <w:tab w:val="left" w:pos="2376"/>
        </w:tabs>
        <w:spacing w:before="114" w:after="0" w:line="279" w:lineRule="exact"/>
        <w:ind w:right="7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located outside [this jurisdiction] and circumstances exist that justify the grant of the registration;</w:t>
      </w:r>
    </w:p>
    <w:p>
      <w:pPr>
        <w:spacing w:before="121" w:after="0" w:line="272"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if the applicant is an individual, the applicant:</w:t>
      </w:r>
    </w:p>
    <w:p>
      <w:pPr>
        <w:numPr>
          <w:ilvl w:val="0"/>
          <w:numId w:val="474"/>
        </w:numPr>
        <w:tabs>
          <w:tab w:val="clear" w:pos="360"/>
          <w:tab w:val="left" w:pos="2376"/>
        </w:tabs>
        <w:spacing w:before="127" w:after="0" w:line="272"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resides in [this jurisdiction]; or</w:t>
      </w:r>
    </w:p>
    <w:p>
      <w:pPr>
        <w:numPr>
          <w:ilvl w:val="0"/>
          <w:numId w:val="474"/>
        </w:numPr>
        <w:tabs>
          <w:tab w:val="clear" w:pos="360"/>
          <w:tab w:val="left" w:pos="2376"/>
        </w:tabs>
        <w:spacing w:before="114" w:after="0" w:line="279" w:lineRule="exact"/>
        <w:ind w:right="14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resides outside [this jurisdiction] and circumstances exist that justify the grant of the registration;</w:t>
      </w:r>
    </w:p>
    <w:p>
      <w:pPr>
        <w:spacing w:before="114" w:after="0" w:line="279"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 if the applicant is a body corporate, the applicant's registered office:</w:t>
      </w:r>
    </w:p>
    <w:p>
      <w:pPr>
        <w:numPr>
          <w:ilvl w:val="0"/>
          <w:numId w:val="475"/>
        </w:numPr>
        <w:tabs>
          <w:tab w:val="clear" w:pos="360"/>
          <w:tab w:val="left" w:pos="2376"/>
        </w:tabs>
        <w:spacing w:before="121" w:after="0" w:line="272"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located in [this jurisdiction]; or</w:t>
      </w:r>
    </w:p>
    <w:p>
      <w:pPr>
        <w:numPr>
          <w:ilvl w:val="0"/>
          <w:numId w:val="475"/>
        </w:numPr>
        <w:tabs>
          <w:tab w:val="clear" w:pos="360"/>
          <w:tab w:val="left" w:pos="2376"/>
        </w:tabs>
        <w:spacing w:before="116" w:after="0" w:line="278" w:lineRule="exact"/>
        <w:ind w:right="36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located outside [this jurisdiction] and circumstances exist that justify the grant of the registration;</w:t>
      </w:r>
    </w:p>
    <w:p>
      <w:pPr>
        <w:spacing w:before="116" w:after="0" w:line="278"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 the applicant is able to ensure compliance with any conditions that will apply to the registration.</w:t>
      </w:r>
    </w:p>
    <w:p>
      <w:pPr>
        <w:spacing w:before="125"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7"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notes in the Appendix.</w:t>
      </w:r>
    </w:p>
    <w:p>
      <w:pPr>
        <w:spacing w:before="114" w:after="0" w:line="278" w:lineRule="exact"/>
        <w:ind w:right="216"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regulator must refuse to grant a registration if satisfied that, in making the application, the applicant has:</w:t>
      </w:r>
    </w:p>
    <w:p>
      <w:pPr>
        <w:numPr>
          <w:ilvl w:val="0"/>
          <w:numId w:val="476"/>
        </w:numPr>
        <w:tabs>
          <w:tab w:val="clear" w:pos="360"/>
          <w:tab w:val="left" w:pos="1872"/>
        </w:tabs>
        <w:spacing w:before="116" w:after="0" w:line="278"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given information that is false or misleading in a material particular; or</w:t>
      </w:r>
    </w:p>
    <w:p>
      <w:pPr>
        <w:numPr>
          <w:ilvl w:val="0"/>
          <w:numId w:val="476"/>
        </w:numPr>
        <w:tabs>
          <w:tab w:val="clear" w:pos="360"/>
          <w:tab w:val="left" w:pos="1872"/>
        </w:tabs>
        <w:spacing w:before="116" w:after="0" w:line="278"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failed to give any material information that should have been given.</w:t>
      </w:r>
    </w:p>
    <w:p>
      <w:pPr>
        <w:spacing w:before="116" w:after="0" w:line="278"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If the regulator decides to grant the registration, it must notify the applicant within 14 days after making the decision.</w:t>
      </w:r>
    </w:p>
    <w:p>
      <w:pPr>
        <w:spacing w:before="120"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If the regulator does not make a decision within 120 days after receiving the application or additional information requested under regulation 268, the regulator is taken to have refused to grant the registration applied for.</w:t>
      </w:r>
    </w:p>
    <w:p>
      <w:pPr>
        <w:spacing w:before="125"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3" w:after="1391" w:line="230" w:lineRule="exact"/>
        <w:ind w:right="504" w:left="864"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A refusal to grant a registration (including under subregulation (5)) is a reviewable decision (see regulation 676).</w:t>
      </w:r>
    </w:p>
    <w:p>
      <w:pPr>
        <w:spacing w:before="123" w:after="1391" w:line="230"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194</w:t>
      </w:r>
    </w:p>
    <w:p>
      <w:pPr>
        <w:sectPr>
          <w:type w:val="continuous"/>
          <w:pgSz w:w="11909" w:h="16838" w:orient="portrait"/>
          <w:pgMar w:bottom="1082" w:top="1140" w:right="5812" w:left="1977"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5.3	</w:t>
      </w:r>
      <w:r>
        <w:rPr>
          <w:rFonts w:ascii="Times New Roman" w:hAnsi="Times New Roman" w:eastAsia="Times New Roman"/>
          <w:color w:val="000000"/>
          <w:spacing w:val="0"/>
          <w:w w:val="100"/>
          <w:sz w:val="20"/>
          <w:vertAlign w:val="baseline"/>
          <w:lang w:val="en-US"/>
        </w:rPr>
        <w:t xml:space="preserve">Registration of Plant Designs and Items of Plant</w:t>
      </w:r>
    </w:p>
    <w:p>
      <w:pPr>
        <w:spacing w:before="251"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3"/>
          <w:w w:val="100"/>
          <w:sz w:val="24"/>
          <w:vertAlign w:val="baseline"/>
          <w:lang w:val="en-US"/>
        </w:rPr>
        <w:t xml:space="preserve">270 Refusal of registration—process</w:t>
      </w:r>
    </w:p>
    <w:p>
      <w:pPr>
        <w:spacing w:before="125" w:after="0" w:line="273" w:lineRule="exact"/>
        <w:ind w:right="79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If the regulator proposes to refuse to grant a registration, the regulator must give the applicant a written notice:</w:t>
      </w:r>
    </w:p>
    <w:p>
      <w:pPr>
        <w:numPr>
          <w:ilvl w:val="0"/>
          <w:numId w:val="477"/>
        </w:numPr>
        <w:tabs>
          <w:tab w:val="clear" w:pos="360"/>
          <w:tab w:val="left" w:pos="1872"/>
        </w:tabs>
        <w:spacing w:before="126" w:after="0" w:line="273"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informing the applicant of the reasons for the proposed refusal; and</w:t>
      </w:r>
    </w:p>
    <w:p>
      <w:pPr>
        <w:numPr>
          <w:ilvl w:val="0"/>
          <w:numId w:val="477"/>
        </w:numPr>
        <w:tabs>
          <w:tab w:val="clear" w:pos="360"/>
          <w:tab w:val="left" w:pos="1872"/>
        </w:tabs>
        <w:spacing w:before="124" w:after="0" w:line="275" w:lineRule="exact"/>
        <w:ind w:right="72" w:left="1872"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advising the applicant that the applicant may, by a specified date, (being not less than 28 days after giving the notice) make a submission to the regulator in relation to the proposed refusal.</w:t>
      </w:r>
    </w:p>
    <w:p>
      <w:pPr>
        <w:spacing w:before="126" w:after="0" w:line="273" w:lineRule="exact"/>
        <w:ind w:right="57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After the date specified in a notice under subregulation (1), the regulator must:</w:t>
      </w:r>
    </w:p>
    <w:p>
      <w:pPr>
        <w:numPr>
          <w:ilvl w:val="0"/>
          <w:numId w:val="478"/>
        </w:numPr>
        <w:tabs>
          <w:tab w:val="clear" w:pos="360"/>
          <w:tab w:val="left" w:pos="1872"/>
        </w:tabs>
        <w:spacing w:before="127" w:after="0" w:line="273" w:lineRule="exact"/>
        <w:ind w:right="72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applicant has made a submission in relation to the proposed refusal to grant the registration—consider that submission; and</w:t>
      </w:r>
    </w:p>
    <w:p>
      <w:pPr>
        <w:numPr>
          <w:ilvl w:val="0"/>
          <w:numId w:val="478"/>
        </w:numPr>
        <w:tabs>
          <w:tab w:val="clear" w:pos="360"/>
          <w:tab w:val="left" w:pos="1872"/>
        </w:tabs>
        <w:spacing w:before="124" w:after="0" w:line="274" w:lineRule="exact"/>
        <w:ind w:right="288" w:left="1872"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whether or not the applicant has made a submission—decide whether to grant or refuse to grant the registration; and</w:t>
      </w:r>
    </w:p>
    <w:p>
      <w:pPr>
        <w:numPr>
          <w:ilvl w:val="0"/>
          <w:numId w:val="478"/>
        </w:numPr>
        <w:tabs>
          <w:tab w:val="clear" w:pos="360"/>
          <w:tab w:val="left" w:pos="1872"/>
        </w:tabs>
        <w:spacing w:before="122" w:after="0" w:line="276"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within 14 days after making that decision, give the applicant written notice of the decision, including the reasons for the decision.</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7"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refusal to grant a registration is a reviewable decision (see regulation 676).</w:t>
      </w:r>
    </w:p>
    <w:p>
      <w:pPr>
        <w:tabs>
          <w:tab w:val="left" w:leader="none" w:pos="864"/>
        </w:tabs>
        <w:spacing w:before="120"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271	</w:t>
      </w:r>
      <w:r>
        <w:rPr>
          <w:rFonts w:ascii="Times New Roman" w:hAnsi="Times New Roman" w:eastAsia="Times New Roman"/>
          <w:b w:val="true"/>
          <w:color w:val="000000"/>
          <w:spacing w:val="0"/>
          <w:w w:val="100"/>
          <w:sz w:val="24"/>
          <w:vertAlign w:val="baseline"/>
          <w:lang w:val="en-US"/>
        </w:rPr>
        <w:t xml:space="preserve">Conditions of registration</w:t>
      </w:r>
    </w:p>
    <w:p>
      <w:pPr>
        <w:numPr>
          <w:ilvl w:val="0"/>
          <w:numId w:val="479"/>
        </w:numPr>
        <w:tabs>
          <w:tab w:val="clear" w:pos="360"/>
          <w:tab w:val="left" w:pos="1368"/>
        </w:tabs>
        <w:spacing w:before="123" w:after="0" w:line="274"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may impose any conditions it considers appropriate on the registration of an item of plant.</w:t>
      </w:r>
    </w:p>
    <w:p>
      <w:pPr>
        <w:numPr>
          <w:ilvl w:val="0"/>
          <w:numId w:val="479"/>
        </w:numPr>
        <w:tabs>
          <w:tab w:val="clear" w:pos="360"/>
          <w:tab w:val="left" w:pos="1368"/>
        </w:tabs>
        <w:spacing w:before="124" w:after="0" w:line="274" w:lineRule="exact"/>
        <w:ind w:right="72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Without limiting subregulation (1), the regulator may impose conditions in relation to 1 of more of the following:</w:t>
      </w:r>
    </w:p>
    <w:p>
      <w:pPr>
        <w:numPr>
          <w:ilvl w:val="0"/>
          <w:numId w:val="480"/>
        </w:numPr>
        <w:tabs>
          <w:tab w:val="clear" w:pos="360"/>
          <w:tab w:val="left" w:pos="1872"/>
        </w:tabs>
        <w:spacing w:before="125" w:after="0" w:line="273" w:lineRule="exact"/>
        <w:ind w:right="0" w:left="864" w:firstLine="64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use and maintenance of the item of plant;</w:t>
      </w:r>
    </w:p>
    <w:p>
      <w:pPr>
        <w:numPr>
          <w:ilvl w:val="0"/>
          <w:numId w:val="480"/>
        </w:numPr>
        <w:tabs>
          <w:tab w:val="clear" w:pos="360"/>
          <w:tab w:val="left" w:pos="1872"/>
        </w:tabs>
        <w:spacing w:before="121"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recording or keeping of information;</w:t>
      </w:r>
    </w:p>
    <w:p>
      <w:pPr>
        <w:numPr>
          <w:ilvl w:val="0"/>
          <w:numId w:val="480"/>
        </w:numPr>
        <w:tabs>
          <w:tab w:val="clear" w:pos="360"/>
          <w:tab w:val="left" w:pos="1872"/>
        </w:tabs>
        <w:spacing w:before="27" w:after="0" w:line="360" w:lineRule="exact"/>
        <w:ind w:right="1800" w:left="864" w:firstLine="64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provision of information to the regulator. </w:t>
      </w:r>
      <w:r>
        <w:rPr>
          <w:rFonts w:ascii="Times New Roman" w:hAnsi="Times New Roman" w:eastAsia="Times New Roman"/>
          <w:b w:val="true"/>
          <w:color w:val="000000"/>
          <w:spacing w:val="0"/>
          <w:w w:val="100"/>
          <w:sz w:val="20"/>
          <w:vertAlign w:val="baseline"/>
          <w:lang w:val="en-US"/>
        </w:rPr>
        <w:t xml:space="preserve">Notes</w:t>
      </w:r>
    </w:p>
    <w:p>
      <w:pPr>
        <w:tabs>
          <w:tab w:val="left" w:leader="none" w:pos="1296"/>
        </w:tabs>
        <w:spacing w:before="123" w:after="0" w:line="230" w:lineRule="exact"/>
        <w:ind w:right="432" w:left="1368" w:hanging="50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A person must comply with the conditions of registration (see section 45 of the Act).</w:t>
      </w:r>
    </w:p>
    <w:p>
      <w:pPr>
        <w:tabs>
          <w:tab w:val="left" w:leader="none" w:pos="1296"/>
        </w:tabs>
        <w:spacing w:before="119" w:after="1602" w:line="231" w:lineRule="exact"/>
        <w:ind w:right="432" w:left="1368" w:hanging="504"/>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A decision to impose a condition on a registration is a reviewable decision (see regulation 676).</w:t>
      </w:r>
    </w:p>
    <w:p>
      <w:pPr>
        <w:spacing w:before="119" w:after="1602" w:line="231"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195</w:t>
      </w:r>
    </w:p>
    <w:p>
      <w:pPr>
        <w:sectPr>
          <w:type w:val="continuous"/>
          <w:pgSz w:w="11909" w:h="16838" w:orient="portrait"/>
          <w:pgMar w:bottom="1082" w:top="1140" w:right="5814" w:left="1975"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5.3	</w:t>
      </w:r>
      <w:r>
        <w:rPr>
          <w:rFonts w:ascii="Times New Roman" w:hAnsi="Times New Roman" w:eastAsia="Times New Roman"/>
          <w:color w:val="000000"/>
          <w:spacing w:val="0"/>
          <w:w w:val="100"/>
          <w:sz w:val="20"/>
          <w:vertAlign w:val="baseline"/>
          <w:lang w:val="en-US"/>
        </w:rPr>
        <w:t xml:space="preserve">Registration of Plant Designs and Items of Plant</w:t>
      </w:r>
    </w:p>
    <w:p>
      <w:pPr>
        <w:spacing w:before="251" w:after="0" w:line="274"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5"/>
          <w:w w:val="100"/>
          <w:sz w:val="24"/>
          <w:vertAlign w:val="baseline"/>
          <w:lang w:val="en-US"/>
        </w:rPr>
        <w:t xml:space="preserve">272 Duration of registration</w:t>
      </w:r>
    </w:p>
    <w:p>
      <w:pPr>
        <w:spacing w:before="125" w:after="0" w:line="273"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registration of an item of plant takes effect on the day it is granted and expires 5 years after that day.</w:t>
      </w:r>
    </w:p>
    <w:p>
      <w:pPr>
        <w:spacing w:before="124"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8"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notes in the Appendix.</w:t>
      </w:r>
    </w:p>
    <w:p>
      <w:pPr>
        <w:spacing w:before="119" w:after="0" w:line="274"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273 Plant registration number</w:t>
      </w:r>
    </w:p>
    <w:p>
      <w:pPr>
        <w:numPr>
          <w:ilvl w:val="0"/>
          <w:numId w:val="481"/>
        </w:numPr>
        <w:tabs>
          <w:tab w:val="clear" w:pos="360"/>
          <w:tab w:val="left" w:pos="1368"/>
        </w:tabs>
        <w:spacing w:before="124" w:after="0" w:line="273"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regulation applies if the regulator registers an item of plant.</w:t>
      </w:r>
    </w:p>
    <w:p>
      <w:pPr>
        <w:numPr>
          <w:ilvl w:val="0"/>
          <w:numId w:val="481"/>
        </w:numPr>
        <w:tabs>
          <w:tab w:val="clear" w:pos="360"/>
          <w:tab w:val="left" w:pos="1368"/>
        </w:tabs>
        <w:spacing w:before="116" w:after="0" w:line="278" w:lineRule="exact"/>
        <w:ind w:right="144"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must issue a plant registration number for the plant to the registration holder within 14 days after that registration.</w:t>
      </w:r>
    </w:p>
    <w:p>
      <w:pPr>
        <w:numPr>
          <w:ilvl w:val="0"/>
          <w:numId w:val="481"/>
        </w:numPr>
        <w:tabs>
          <w:tab w:val="clear" w:pos="360"/>
          <w:tab w:val="left" w:pos="1368"/>
        </w:tabs>
        <w:spacing w:before="131"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registration holder must give the plant registration number to the person with management or control of the plant at a workplace as soon as practicable after being issued with the number under subregulation (2)</w:t>
      </w:r>
      <w:r>
        <w:rPr>
          <w:rFonts w:ascii="Times New Roman" w:hAnsi="Times New Roman" w:eastAsia="Times New Roman"/>
          <w:i w:val="true"/>
          <w:color w:val="000000"/>
          <w:spacing w:val="0"/>
          <w:w w:val="100"/>
          <w:sz w:val="28"/>
          <w:vertAlign w:val="baseline"/>
          <w:lang w:val="en-US"/>
        </w:rPr>
        <w:t xml:space="preserve">.</w:t>
      </w:r>
    </w:p>
    <w:p>
      <w:pPr>
        <w:spacing w:before="11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numPr>
          <w:ilvl w:val="0"/>
          <w:numId w:val="481"/>
        </w:numPr>
        <w:tabs>
          <w:tab w:val="clear" w:pos="360"/>
          <w:tab w:val="left" w:pos="1368"/>
        </w:tabs>
        <w:spacing w:before="122"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with management or control of the plant at a workplace must ensure that the plant registration number is marked on the item of plant.</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25" w:after="0" w:line="274"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274 Registration document</w:t>
      </w:r>
    </w:p>
    <w:p>
      <w:pPr>
        <w:numPr>
          <w:ilvl w:val="0"/>
          <w:numId w:val="482"/>
        </w:numPr>
        <w:tabs>
          <w:tab w:val="clear" w:pos="360"/>
          <w:tab w:val="left" w:pos="1368"/>
        </w:tabs>
        <w:spacing w:before="117"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regulator registers an item of plant, the regulator must issue to the applicant within 14 days a registration document in the form determined by the regulator.</w:t>
      </w:r>
    </w:p>
    <w:p>
      <w:pPr>
        <w:numPr>
          <w:ilvl w:val="0"/>
          <w:numId w:val="482"/>
        </w:numPr>
        <w:tabs>
          <w:tab w:val="clear" w:pos="360"/>
          <w:tab w:val="left" w:pos="1368"/>
        </w:tabs>
        <w:spacing w:before="125" w:after="0" w:line="273"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registration document must include the following:</w:t>
      </w:r>
    </w:p>
    <w:p>
      <w:pPr>
        <w:numPr>
          <w:ilvl w:val="0"/>
          <w:numId w:val="483"/>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of the registration holder;</w:t>
      </w:r>
    </w:p>
    <w:p>
      <w:pPr>
        <w:numPr>
          <w:ilvl w:val="0"/>
          <w:numId w:val="483"/>
        </w:numPr>
        <w:tabs>
          <w:tab w:val="clear" w:pos="360"/>
          <w:tab w:val="left" w:pos="1872"/>
        </w:tabs>
        <w:spacing w:before="124" w:after="0" w:line="274"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registration holder conducts the business or undertaking under a business name, that business name;</w:t>
      </w:r>
    </w:p>
    <w:p>
      <w:pPr>
        <w:numPr>
          <w:ilvl w:val="0"/>
          <w:numId w:val="483"/>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registration number for the item of plant;</w:t>
      </w:r>
    </w:p>
    <w:p>
      <w:pPr>
        <w:numPr>
          <w:ilvl w:val="0"/>
          <w:numId w:val="483"/>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conditions imposed on the registration by the regulator;</w:t>
      </w:r>
    </w:p>
    <w:p>
      <w:pPr>
        <w:numPr>
          <w:ilvl w:val="0"/>
          <w:numId w:val="483"/>
        </w:numPr>
        <w:tabs>
          <w:tab w:val="clear" w:pos="360"/>
          <w:tab w:val="left" w:pos="1872"/>
        </w:tabs>
        <w:spacing w:before="124" w:after="897" w:line="274"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date on which the plant was first commissioned or first registered, whichever occurred first;</w:t>
      </w:r>
    </w:p>
    <w:p>
      <w:pPr>
        <w:spacing w:before="124" w:after="897"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196</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5.3	</w:t>
      </w:r>
      <w:r>
        <w:rPr>
          <w:rFonts w:ascii="Times New Roman" w:hAnsi="Times New Roman" w:eastAsia="Times New Roman"/>
          <w:color w:val="000000"/>
          <w:spacing w:val="0"/>
          <w:w w:val="100"/>
          <w:sz w:val="20"/>
          <w:vertAlign w:val="baseline"/>
          <w:lang w:val="en-US"/>
        </w:rPr>
        <w:t xml:space="preserve">Registration of Plant Designs and Items of Plant</w:t>
      </w:r>
    </w:p>
    <w:p>
      <w:pPr>
        <w:numPr>
          <w:ilvl w:val="0"/>
          <w:numId w:val="471"/>
        </w:numPr>
        <w:tabs>
          <w:tab w:val="clear" w:pos="288"/>
          <w:tab w:val="left" w:pos="1872"/>
        </w:tabs>
        <w:spacing w:before="251"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date on which the registration was granted;</w:t>
      </w:r>
    </w:p>
    <w:p>
      <w:pPr>
        <w:numPr>
          <w:ilvl w:val="0"/>
          <w:numId w:val="471"/>
        </w:numPr>
        <w:tabs>
          <w:tab w:val="clear" w:pos="288"/>
          <w:tab w:val="left" w:pos="1872"/>
        </w:tabs>
        <w:spacing w:before="126"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expiry date of the registration.</w:t>
      </w:r>
    </w:p>
    <w:p>
      <w:pPr>
        <w:spacing w:before="120"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275 Registration document to be available</w:t>
      </w:r>
    </w:p>
    <w:p>
      <w:pPr>
        <w:numPr>
          <w:ilvl w:val="0"/>
          <w:numId w:val="484"/>
        </w:numPr>
        <w:tabs>
          <w:tab w:val="clear" w:pos="360"/>
          <w:tab w:val="left" w:pos="1368"/>
        </w:tabs>
        <w:spacing w:before="125" w:after="0" w:line="273" w:lineRule="exact"/>
        <w:ind w:right="576"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The holder of the registration of an item of plant must keep the registration document available for inspection under the Act.</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6"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numPr>
          <w:ilvl w:val="0"/>
          <w:numId w:val="484"/>
        </w:numPr>
        <w:tabs>
          <w:tab w:val="clear" w:pos="360"/>
          <w:tab w:val="left" w:pos="1368"/>
        </w:tabs>
        <w:spacing w:before="114" w:after="0" w:line="279" w:lineRule="exact"/>
        <w:ind w:right="144"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Subregulation (1) does not apply if the registration document is not in the registration holder's possession because:</w:t>
      </w:r>
    </w:p>
    <w:p>
      <w:pPr>
        <w:numPr>
          <w:ilvl w:val="0"/>
          <w:numId w:val="485"/>
        </w:numPr>
        <w:tabs>
          <w:tab w:val="clear" w:pos="288"/>
          <w:tab w:val="left" w:pos="1872"/>
        </w:tabs>
        <w:spacing w:before="120" w:after="0" w:line="273"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it has been returned to the regulator under regulation 287; or</w:t>
      </w:r>
    </w:p>
    <w:p>
      <w:pPr>
        <w:numPr>
          <w:ilvl w:val="0"/>
          <w:numId w:val="485"/>
        </w:numPr>
        <w:tabs>
          <w:tab w:val="clear" w:pos="288"/>
          <w:tab w:val="left" w:pos="1872"/>
        </w:tabs>
        <w:spacing w:before="126" w:after="0" w:line="273" w:lineRule="exact"/>
        <w:ind w:right="216"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registration holder has applied for, but has not received, a replacement registration document under regulation 288.</w:t>
      </w:r>
    </w:p>
    <w:p>
      <w:pPr>
        <w:spacing w:before="121"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276 Regulator may renew registration</w:t>
      </w:r>
    </w:p>
    <w:p>
      <w:pPr>
        <w:spacing w:before="123" w:after="0" w:line="274" w:lineRule="exact"/>
        <w:ind w:right="72" w:left="1368" w:firstLine="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may, on application, renew the registration of an item of plant.</w:t>
      </w:r>
    </w:p>
    <w:p>
      <w:pPr>
        <w:spacing w:before="125" w:after="0" w:line="274"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277 Application for renewal</w:t>
      </w:r>
    </w:p>
    <w:p>
      <w:pPr>
        <w:spacing w:before="115" w:after="0" w:line="278" w:lineRule="exact"/>
        <w:ind w:right="72"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An application for renewal of a registration of an item of plant must be made in the manner and form required by the regulator.</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application must include the following information:</w:t>
      </w:r>
    </w:p>
    <w:p>
      <w:pPr>
        <w:numPr>
          <w:ilvl w:val="0"/>
          <w:numId w:val="486"/>
        </w:numPr>
        <w:tabs>
          <w:tab w:val="clear" w:pos="288"/>
          <w:tab w:val="left" w:pos="1872"/>
        </w:tabs>
        <w:spacing w:before="125"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applicant's name;</w:t>
      </w:r>
    </w:p>
    <w:p>
      <w:pPr>
        <w:numPr>
          <w:ilvl w:val="0"/>
          <w:numId w:val="486"/>
        </w:numPr>
        <w:tabs>
          <w:tab w:val="clear" w:pos="288"/>
          <w:tab w:val="left" w:pos="1872"/>
        </w:tabs>
        <w:spacing w:before="121"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evidence of identity required by the regulator;</w:t>
      </w:r>
    </w:p>
    <w:p>
      <w:pPr>
        <w:numPr>
          <w:ilvl w:val="0"/>
          <w:numId w:val="486"/>
        </w:numPr>
        <w:tabs>
          <w:tab w:val="clear" w:pos="288"/>
          <w:tab w:val="left" w:pos="1872"/>
        </w:tabs>
        <w:spacing w:before="122" w:after="0" w:line="276" w:lineRule="exact"/>
        <w:ind w:right="216"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applicant conducts the business or undertaking under a business name, that business name and a certificate or other written evidence of the registration of the business name;</w:t>
      </w:r>
    </w:p>
    <w:p>
      <w:pPr>
        <w:numPr>
          <w:ilvl w:val="0"/>
          <w:numId w:val="486"/>
        </w:numPr>
        <w:tabs>
          <w:tab w:val="clear" w:pos="288"/>
          <w:tab w:val="left" w:pos="1872"/>
        </w:tabs>
        <w:spacing w:before="121"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registration number of the item of plant;</w:t>
      </w:r>
    </w:p>
    <w:p>
      <w:pPr>
        <w:numPr>
          <w:ilvl w:val="0"/>
          <w:numId w:val="486"/>
        </w:numPr>
        <w:tabs>
          <w:tab w:val="clear" w:pos="288"/>
          <w:tab w:val="left" w:pos="1872"/>
        </w:tabs>
        <w:spacing w:before="124" w:after="0" w:line="274" w:lineRule="exact"/>
        <w:ind w:right="72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declaration that the item of plant has been maintained, inspected and tested in accordance with regulation 213.</w:t>
      </w:r>
    </w:p>
    <w:p>
      <w:pPr>
        <w:spacing w:before="129"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4" w:after="0" w:line="231" w:lineRule="exact"/>
        <w:ind w:right="864"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section 268 of the Act for offences relating to the giving of false or misleading information under the Act or these Regulations.</w:t>
      </w:r>
    </w:p>
    <w:p>
      <w:pPr>
        <w:spacing w:before="117"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application must be accompanied by the relevant fee.</w:t>
      </w:r>
    </w:p>
    <w:p>
      <w:pPr>
        <w:spacing w:before="120" w:after="1099" w:line="273" w:lineRule="exact"/>
        <w:ind w:right="108" w:left="0" w:firstLine="0"/>
        <w:jc w:val="righ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(4) The application must be made before the expiry of the registration.</w:t>
      </w:r>
    </w:p>
    <w:p>
      <w:pPr>
        <w:spacing w:before="120" w:after="1099"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197</w:t>
      </w:r>
    </w:p>
    <w:p>
      <w:pPr>
        <w:sectPr>
          <w:type w:val="continuous"/>
          <w:pgSz w:w="11909" w:h="16838" w:orient="portrait"/>
          <w:pgMar w:bottom="1082" w:top="1140" w:right="5812" w:left="1977" w:header="720" w:footer="720"/>
          <w:titlePg w:val="false"/>
          <w:textDirection w:val="lrTb"/>
        </w:sectPr>
      </w:pPr>
    </w:p>
    <w:p>
      <w:pPr>
        <w:spacing w:before="6"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2" w:after="223"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5.3	</w:t>
      </w:r>
      <w:r>
        <w:rPr>
          <w:rFonts w:ascii="Times New Roman" w:hAnsi="Times New Roman" w:eastAsia="Times New Roman"/>
          <w:color w:val="000000"/>
          <w:spacing w:val="0"/>
          <w:w w:val="100"/>
          <w:sz w:val="20"/>
          <w:vertAlign w:val="baseline"/>
          <w:lang w:val="en-US"/>
        </w:rPr>
        <w:t xml:space="preserve">Registration of Plant Designs and Items of Plant</w:t>
      </w:r>
    </w:p>
    <w:p>
      <w:pPr>
        <w:spacing w:before="251"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2"/>
          <w:w w:val="100"/>
          <w:sz w:val="24"/>
          <w:vertAlign w:val="baseline"/>
          <w:lang w:val="en-US"/>
        </w:rPr>
        <w:t xml:space="preserve">278 Registration continues in force until application is decided</w:t>
      </w:r>
    </w:p>
    <w:p>
      <w:pPr>
        <w:spacing w:before="123" w:after="0" w:line="275" w:lineRule="exact"/>
        <w:ind w:right="72" w:left="1368"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If a registration holder applies under regulation 277 for the renewal of a registration, the registration is taken to continue in force from the day it would, apart from this regulation, have ended until the registration holder is given notice of the decision on the application.</w:t>
      </w:r>
    </w:p>
    <w:p>
      <w:pPr>
        <w:spacing w:before="126" w:after="0" w:line="274"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279 Decision on application</w:t>
      </w:r>
    </w:p>
    <w:p>
      <w:pPr>
        <w:spacing w:before="113" w:after="0" w:line="279" w:lineRule="exact"/>
        <w:ind w:right="216"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regulator must renew the registration of an item of plant if the regulator is satisfied that:</w:t>
      </w:r>
    </w:p>
    <w:p>
      <w:pPr>
        <w:numPr>
          <w:ilvl w:val="0"/>
          <w:numId w:val="487"/>
        </w:numPr>
        <w:tabs>
          <w:tab w:val="clear" w:pos="360"/>
          <w:tab w:val="left" w:pos="1872"/>
        </w:tabs>
        <w:spacing w:before="114" w:after="0" w:line="279"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application for renewal has been made in accordance with this Division; and</w:t>
      </w:r>
    </w:p>
    <w:p>
      <w:pPr>
        <w:numPr>
          <w:ilvl w:val="0"/>
          <w:numId w:val="487"/>
        </w:numPr>
        <w:tabs>
          <w:tab w:val="clear" w:pos="360"/>
          <w:tab w:val="left" w:pos="1872"/>
        </w:tabs>
        <w:spacing w:before="114" w:after="0" w:line="279" w:lineRule="exact"/>
        <w:ind w:right="93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plant has been maintained, inspected and tested in accordance with regulation 213.</w:t>
      </w:r>
    </w:p>
    <w:p>
      <w:pPr>
        <w:spacing w:before="120"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For the purposes of this Division:</w:t>
      </w:r>
    </w:p>
    <w:p>
      <w:pPr>
        <w:numPr>
          <w:ilvl w:val="0"/>
          <w:numId w:val="488"/>
        </w:numPr>
        <w:tabs>
          <w:tab w:val="clear" w:pos="360"/>
          <w:tab w:val="left" w:pos="1872"/>
        </w:tabs>
        <w:spacing w:before="118"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regulation 268 applies as if a reference in that regulation to an application for registration were a reference to an application to renew registration; and</w:t>
      </w:r>
    </w:p>
    <w:p>
      <w:pPr>
        <w:numPr>
          <w:ilvl w:val="0"/>
          <w:numId w:val="488"/>
        </w:numPr>
        <w:tabs>
          <w:tab w:val="clear" w:pos="360"/>
          <w:tab w:val="left" w:pos="1872"/>
        </w:tabs>
        <w:spacing w:before="124" w:after="0" w:line="275"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regulations 269 (except subregulation (5)), 271 and 272 apply as if a reference in those regulations to the grant of a registration were a reference to the renewal of a registration; and</w:t>
      </w:r>
    </w:p>
    <w:p>
      <w:pPr>
        <w:numPr>
          <w:ilvl w:val="0"/>
          <w:numId w:val="488"/>
        </w:numPr>
        <w:tabs>
          <w:tab w:val="clear" w:pos="360"/>
          <w:tab w:val="left" w:pos="1872"/>
        </w:tabs>
        <w:spacing w:before="122" w:after="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regulation 270 applies as if a reference in that regulation to a refusal to grant a registration were a reference to a refusal to renew a registration.</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9"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refusal to renew a registration is a reviewable decision (see regulation 676).</w:t>
      </w:r>
    </w:p>
    <w:p>
      <w:pPr>
        <w:spacing w:before="118"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280 Status of registration during review</w:t>
      </w:r>
    </w:p>
    <w:p>
      <w:pPr>
        <w:numPr>
          <w:ilvl w:val="0"/>
          <w:numId w:val="489"/>
        </w:numPr>
        <w:tabs>
          <w:tab w:val="clear" w:pos="360"/>
          <w:tab w:val="left" w:pos="1368"/>
        </w:tabs>
        <w:spacing w:before="121" w:after="0" w:line="276" w:lineRule="exact"/>
        <w:ind w:right="57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regulator gives the registration holder written notice of a decision to refuse to renew the registration, the registration continues to have effect in accordance with this regulation.</w:t>
      </w:r>
    </w:p>
    <w:p>
      <w:pPr>
        <w:numPr>
          <w:ilvl w:val="0"/>
          <w:numId w:val="489"/>
        </w:numPr>
        <w:tabs>
          <w:tab w:val="clear" w:pos="360"/>
          <w:tab w:val="left" w:pos="1368"/>
        </w:tabs>
        <w:spacing w:before="118" w:after="0" w:line="276"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registration holder does not apply for internal review, the registration continues to have effect until the last of the following events:</w:t>
      </w:r>
    </w:p>
    <w:p>
      <w:pPr>
        <w:numPr>
          <w:ilvl w:val="0"/>
          <w:numId w:val="490"/>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expiry of the registration;</w:t>
      </w:r>
    </w:p>
    <w:p>
      <w:pPr>
        <w:numPr>
          <w:ilvl w:val="0"/>
          <w:numId w:val="490"/>
        </w:numPr>
        <w:tabs>
          <w:tab w:val="clear" w:pos="360"/>
          <w:tab w:val="left" w:pos="1872"/>
        </w:tabs>
        <w:spacing w:before="121" w:after="1617"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end of the period for applying for an internal review.</w:t>
      </w:r>
    </w:p>
    <w:p>
      <w:pPr>
        <w:spacing w:before="121" w:after="1617"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198</w:t>
      </w:r>
    </w:p>
    <w:p>
      <w:pPr>
        <w:sectPr>
          <w:type w:val="continuous"/>
          <w:pgSz w:w="11909" w:h="16838" w:orient="portrait"/>
          <w:pgMar w:bottom="1082" w:top="1140" w:right="5814" w:left="1975"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5.3	</w:t>
      </w:r>
      <w:r>
        <w:rPr>
          <w:rFonts w:ascii="Times New Roman" w:hAnsi="Times New Roman" w:eastAsia="Times New Roman"/>
          <w:color w:val="000000"/>
          <w:spacing w:val="0"/>
          <w:w w:val="100"/>
          <w:sz w:val="20"/>
          <w:vertAlign w:val="baseline"/>
          <w:lang w:val="en-US"/>
        </w:rPr>
        <w:t xml:space="preserve">Registration of Plant Designs and Items of Plant</w:t>
      </w:r>
    </w:p>
    <w:p>
      <w:pPr>
        <w:spacing w:before="25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(3) If the registration holder applies for an internal review, the</w:t>
      </w:r>
    </w:p>
    <w:p>
      <w:pPr>
        <w:spacing w:before="6" w:after="0" w:line="273" w:lineRule="exact"/>
        <w:ind w:right="0" w:left="1368" w:firstLine="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registration continues to have effect until the earlier of the following events:</w:t>
      </w:r>
    </w:p>
    <w:p>
      <w:pPr>
        <w:numPr>
          <w:ilvl w:val="0"/>
          <w:numId w:val="491"/>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registration holder withdraws the application for review;</w:t>
      </w:r>
    </w:p>
    <w:p>
      <w:pPr>
        <w:numPr>
          <w:ilvl w:val="0"/>
          <w:numId w:val="491"/>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makes a decision on the review.</w:t>
      </w:r>
    </w:p>
    <w:p>
      <w:pPr>
        <w:spacing w:before="123"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If the registration holder does not apply for an external review, the registration continues to have effect until the end of the time for applying for an external review.</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If the registration holder applies for an external review, the</w:t>
      </w:r>
    </w:p>
    <w:p>
      <w:pPr>
        <w:spacing w:before="6" w:after="0" w:line="273" w:lineRule="exact"/>
        <w:ind w:right="0" w:left="1368" w:firstLine="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registration continues to have effect until the earlier of the following events:</w:t>
      </w:r>
    </w:p>
    <w:p>
      <w:pPr>
        <w:numPr>
          <w:ilvl w:val="0"/>
          <w:numId w:val="492"/>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registration holder withdraws the application for review;</w:t>
      </w:r>
    </w:p>
    <w:p>
      <w:pPr>
        <w:numPr>
          <w:ilvl w:val="0"/>
          <w:numId w:val="492"/>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external review body] makes a decision on the review.</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8"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14" w:after="0" w:line="278"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(6) The registration continues to have effect under this regulation even if its expiry date passes.</w:t>
      </w:r>
    </w:p>
    <w:p>
      <w:pPr>
        <w:tabs>
          <w:tab w:val="left" w:leader="none" w:pos="1584"/>
        </w:tabs>
        <w:spacing w:before="246" w:after="0" w:line="273"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5	</w:t>
      </w:r>
      <w:r>
        <w:rPr>
          <w:rFonts w:ascii="Times New Roman" w:hAnsi="Times New Roman" w:eastAsia="Times New Roman"/>
          <w:b w:val="true"/>
          <w:color w:val="000000"/>
          <w:spacing w:val="0"/>
          <w:w w:val="100"/>
          <w:sz w:val="24"/>
          <w:vertAlign w:val="baseline"/>
          <w:lang w:val="en-US"/>
        </w:rPr>
        <w:t xml:space="preserve">Changes to registration and registration documents</w:t>
      </w:r>
    </w:p>
    <w:p>
      <w:pPr>
        <w:tabs>
          <w:tab w:val="left" w:leader="none" w:pos="864"/>
        </w:tabs>
        <w:spacing w:before="120" w:after="0" w:line="273"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281	</w:t>
      </w:r>
      <w:r>
        <w:rPr>
          <w:rFonts w:ascii="Times New Roman" w:hAnsi="Times New Roman" w:eastAsia="Times New Roman"/>
          <w:b w:val="true"/>
          <w:color w:val="000000"/>
          <w:spacing w:val="0"/>
          <w:w w:val="100"/>
          <w:sz w:val="24"/>
          <w:vertAlign w:val="baseline"/>
          <w:lang w:val="en-US"/>
        </w:rPr>
        <w:t xml:space="preserve">Application of Division</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Division applies to:</w:t>
      </w:r>
    </w:p>
    <w:p>
      <w:pPr>
        <w:numPr>
          <w:ilvl w:val="0"/>
          <w:numId w:val="493"/>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registration of a design of an item of plant; and</w:t>
      </w:r>
    </w:p>
    <w:p>
      <w:pPr>
        <w:numPr>
          <w:ilvl w:val="0"/>
          <w:numId w:val="493"/>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registration of an item of plant.</w:t>
      </w:r>
    </w:p>
    <w:p>
      <w:pPr>
        <w:spacing w:before="125" w:after="0" w:line="273"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282 Changes to information</w:t>
      </w:r>
    </w:p>
    <w:p>
      <w:pPr>
        <w:spacing w:before="116" w:after="0" w:line="278" w:lineRule="exact"/>
        <w:ind w:right="216"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registration holder must give the regulator written notice of any change to:</w:t>
      </w:r>
    </w:p>
    <w:p>
      <w:pPr>
        <w:numPr>
          <w:ilvl w:val="0"/>
          <w:numId w:val="494"/>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registration holder's name; or</w:t>
      </w:r>
    </w:p>
    <w:p>
      <w:pPr>
        <w:numPr>
          <w:ilvl w:val="0"/>
          <w:numId w:val="494"/>
        </w:numPr>
        <w:tabs>
          <w:tab w:val="clear" w:pos="360"/>
          <w:tab w:val="left" w:pos="1872"/>
        </w:tabs>
        <w:spacing w:before="122" w:after="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of the information referred to in regulations 250, 255(1), 266 or 268(1) within 14 days after the registration holder becomes aware of the change.</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1" w:after="1449"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corporate—$6 000.</w:t>
      </w:r>
    </w:p>
    <w:p>
      <w:pPr>
        <w:spacing w:before="121" w:after="1449"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199</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5.3	</w:t>
      </w:r>
      <w:r>
        <w:rPr>
          <w:rFonts w:ascii="Times New Roman" w:hAnsi="Times New Roman" w:eastAsia="Times New Roman"/>
          <w:color w:val="000000"/>
          <w:spacing w:val="0"/>
          <w:w w:val="100"/>
          <w:sz w:val="20"/>
          <w:vertAlign w:val="baseline"/>
          <w:lang w:val="en-US"/>
        </w:rPr>
        <w:t xml:space="preserve">Registration of Plant Designs and Items of Plant</w:t>
      </w:r>
    </w:p>
    <w:p>
      <w:pPr>
        <w:numPr>
          <w:ilvl w:val="0"/>
          <w:numId w:val="495"/>
        </w:numPr>
        <w:tabs>
          <w:tab w:val="clear" w:pos="360"/>
          <w:tab w:val="left" w:pos="1368"/>
        </w:tabs>
        <w:spacing w:before="245" w:after="0" w:line="279"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Subregulation (1) applies whether the information was given in the application for grant of the registration or in any other</w:t>
      </w:r>
    </w:p>
    <w:p>
      <w:pPr>
        <w:spacing w:before="0" w:after="0" w:line="273" w:lineRule="exact"/>
        <w:ind w:right="0" w:left="1368"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circumstance.</w:t>
      </w:r>
    </w:p>
    <w:p>
      <w:pPr>
        <w:numPr>
          <w:ilvl w:val="0"/>
          <w:numId w:val="495"/>
        </w:numPr>
        <w:tabs>
          <w:tab w:val="clear" w:pos="360"/>
          <w:tab w:val="left" w:pos="1368"/>
        </w:tabs>
        <w:spacing w:before="126" w:after="0" w:line="273"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Without limiting subregulation (1), a registration holder for an item of plant must give written notice to the regulator if:</w:t>
      </w:r>
    </w:p>
    <w:p>
      <w:pPr>
        <w:numPr>
          <w:ilvl w:val="0"/>
          <w:numId w:val="496"/>
        </w:numPr>
        <w:tabs>
          <w:tab w:val="clear" w:pos="360"/>
          <w:tab w:val="left" w:pos="1872"/>
        </w:tabs>
        <w:spacing w:before="126" w:after="0" w:line="273"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item of plant is altered to an extent or in a way that requires the plant to be subject to new control measures; or</w:t>
      </w:r>
    </w:p>
    <w:p>
      <w:pPr>
        <w:numPr>
          <w:ilvl w:val="0"/>
          <w:numId w:val="496"/>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item of plant is usually fixed and is relocated; or</w:t>
      </w:r>
    </w:p>
    <w:p>
      <w:pPr>
        <w:numPr>
          <w:ilvl w:val="0"/>
          <w:numId w:val="496"/>
        </w:numPr>
        <w:tabs>
          <w:tab w:val="clear" w:pos="360"/>
          <w:tab w:val="left" w:pos="1872"/>
        </w:tabs>
        <w:spacing w:before="114" w:after="0" w:line="279" w:lineRule="exact"/>
        <w:ind w:right="7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registration holder no longer has management or control of the item of plant.</w:t>
      </w:r>
    </w:p>
    <w:p>
      <w:pPr>
        <w:spacing w:before="120"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283 Amendment of registration imposed by regulator</w:t>
      </w:r>
    </w:p>
    <w:p>
      <w:pPr>
        <w:spacing w:before="125" w:after="0" w:line="273" w:lineRule="exact"/>
        <w:ind w:right="64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regulator may, on its own initiative, amend a registration, including by amending the registration to:</w:t>
      </w:r>
    </w:p>
    <w:p>
      <w:pPr>
        <w:numPr>
          <w:ilvl w:val="0"/>
          <w:numId w:val="497"/>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vary or delete a condition of the registration; or</w:t>
      </w:r>
    </w:p>
    <w:p>
      <w:pPr>
        <w:numPr>
          <w:ilvl w:val="0"/>
          <w:numId w:val="497"/>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impose a new condition on the registration.</w:t>
      </w:r>
    </w:p>
    <w:p>
      <w:pPr>
        <w:spacing w:before="116" w:after="0" w:line="278" w:lineRule="exact"/>
        <w:ind w:right="93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Before amending a registration, the regulator must give the registration holder written notice:</w:t>
      </w:r>
    </w:p>
    <w:p>
      <w:pPr>
        <w:numPr>
          <w:ilvl w:val="0"/>
          <w:numId w:val="498"/>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setting out the proposed amendment and the reasons for it; and</w:t>
      </w:r>
    </w:p>
    <w:p>
      <w:pPr>
        <w:numPr>
          <w:ilvl w:val="0"/>
          <w:numId w:val="498"/>
        </w:numPr>
        <w:tabs>
          <w:tab w:val="clear" w:pos="360"/>
          <w:tab w:val="left" w:pos="1872"/>
        </w:tabs>
        <w:spacing w:before="124" w:after="0" w:line="275"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advising the registration holder that the registration holder may make a submission to the regulator in relation to the proposed amendment within a specified period (being not less than 28 days from the date of the notice).</w:t>
      </w:r>
    </w:p>
    <w:p>
      <w:pPr>
        <w:spacing w:before="124" w:after="0" w:line="274" w:lineRule="exact"/>
        <w:ind w:right="57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After the date specified in a notice under subregulation (2), the regulator must:</w:t>
      </w:r>
    </w:p>
    <w:p>
      <w:pPr>
        <w:spacing w:before="124" w:after="0" w:line="274"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if the registration holder has made a submission in relation to the proposed amendment—consider that submission; and</w:t>
      </w:r>
    </w:p>
    <w:p>
      <w:pPr>
        <w:spacing w:before="124" w:after="0" w:line="274" w:lineRule="exact"/>
        <w:ind w:right="136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whether or not the registration holder has made a submission—decide:</w:t>
      </w:r>
    </w:p>
    <w:p>
      <w:pPr>
        <w:numPr>
          <w:ilvl w:val="0"/>
          <w:numId w:val="499"/>
        </w:numPr>
        <w:tabs>
          <w:tab w:val="clear" w:pos="504"/>
          <w:tab w:val="left" w:pos="2376"/>
        </w:tabs>
        <w:spacing w:before="125" w:after="0" w:line="273" w:lineRule="exact"/>
        <w:ind w:right="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to make the proposed amendment; or</w:t>
      </w:r>
    </w:p>
    <w:p>
      <w:pPr>
        <w:numPr>
          <w:ilvl w:val="0"/>
          <w:numId w:val="499"/>
        </w:numPr>
        <w:tabs>
          <w:tab w:val="clear" w:pos="504"/>
          <w:tab w:val="left" w:pos="2376"/>
        </w:tabs>
        <w:spacing w:before="121" w:after="0" w:line="273" w:lineRule="exact"/>
        <w:ind w:right="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not to make any amendment; or</w:t>
      </w:r>
    </w:p>
    <w:p>
      <w:pPr>
        <w:numPr>
          <w:ilvl w:val="0"/>
          <w:numId w:val="499"/>
        </w:numPr>
        <w:tabs>
          <w:tab w:val="clear" w:pos="504"/>
          <w:tab w:val="left" w:pos="2376"/>
        </w:tabs>
        <w:spacing w:before="122" w:after="0" w:line="276" w:lineRule="exact"/>
        <w:ind w:right="144"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to make a different amendment that results from consideration of any submission made by the registration holder; and</w:t>
      </w:r>
    </w:p>
    <w:p>
      <w:pPr>
        <w:spacing w:before="116" w:after="1008" w:line="278" w:lineRule="exact"/>
        <w:ind w:right="72" w:left="1872" w:hanging="36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(c) within 14 days after making that decision, give the registration holder written notice that:</w:t>
      </w:r>
    </w:p>
    <w:p>
      <w:pPr>
        <w:spacing w:before="116" w:after="1008"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200</w:t>
      </w:r>
    </w:p>
    <w:p>
      <w:pPr>
        <w:sectPr>
          <w:type w:val="continuous"/>
          <w:pgSz w:w="11909" w:h="16838" w:orient="portrait"/>
          <w:pgMar w:bottom="1082" w:top="1140" w:right="5812" w:left="1977" w:header="720" w:footer="720"/>
          <w:titlePg w:val="false"/>
          <w:textDirection w:val="lrTb"/>
        </w:sectPr>
      </w:pPr>
    </w:p>
    <w:p>
      <w:pPr>
        <w:spacing w:before="6"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2" w:after="223"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5.3	</w:t>
      </w:r>
      <w:r>
        <w:rPr>
          <w:rFonts w:ascii="Times New Roman" w:hAnsi="Times New Roman" w:eastAsia="Times New Roman"/>
          <w:color w:val="000000"/>
          <w:spacing w:val="0"/>
          <w:w w:val="100"/>
          <w:sz w:val="20"/>
          <w:vertAlign w:val="baseline"/>
          <w:lang w:val="en-US"/>
        </w:rPr>
        <w:t xml:space="preserve">Registration of Plant Designs and Items of Plant</w:t>
      </w:r>
    </w:p>
    <w:p>
      <w:pPr>
        <w:numPr>
          <w:ilvl w:val="0"/>
          <w:numId w:val="500"/>
        </w:numPr>
        <w:tabs>
          <w:tab w:val="clear" w:pos="576"/>
          <w:tab w:val="left" w:pos="2448"/>
        </w:tabs>
        <w:spacing w:before="244" w:after="0" w:line="279" w:lineRule="exact"/>
        <w:ind w:right="1008" w:left="2448" w:hanging="576"/>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sets out the amendment, if any, or states that no amendment is to be made; and</w:t>
      </w:r>
    </w:p>
    <w:p>
      <w:pPr>
        <w:numPr>
          <w:ilvl w:val="0"/>
          <w:numId w:val="500"/>
        </w:numPr>
        <w:tabs>
          <w:tab w:val="clear" w:pos="576"/>
          <w:tab w:val="left" w:pos="2448"/>
        </w:tabs>
        <w:spacing w:before="117" w:after="0" w:line="276" w:lineRule="exact"/>
        <w:ind w:right="216" w:left="2448" w:hanging="576"/>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a submission was made in relation to the proposed amendment—sets out the regulator's reasons for making the amendment; and</w:t>
      </w:r>
    </w:p>
    <w:p>
      <w:pPr>
        <w:numPr>
          <w:ilvl w:val="0"/>
          <w:numId w:val="500"/>
        </w:numPr>
        <w:tabs>
          <w:tab w:val="clear" w:pos="576"/>
          <w:tab w:val="left" w:pos="2448"/>
        </w:tabs>
        <w:spacing w:before="123" w:after="0" w:line="276" w:lineRule="exact"/>
        <w:ind w:right="288" w:left="2448" w:hanging="576"/>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specifies the date (being not less than the 28 days after the registration holder is given the notice) on which the amendment, if any, takes effect.</w:t>
      </w:r>
    </w:p>
    <w:p>
      <w:pPr>
        <w:spacing w:before="125"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0" w:after="0" w:line="570" w:lineRule="exact"/>
        <w:ind w:right="720" w:left="288" w:firstLine="576"/>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decision to amend a registration is a reviewable decision (see regulation 676). </w:t>
      </w:r>
      <w:r>
        <w:rPr>
          <w:rFonts w:ascii="Times New Roman" w:hAnsi="Times New Roman" w:eastAsia="Times New Roman"/>
          <w:b w:val="true"/>
          <w:color w:val="000000"/>
          <w:spacing w:val="0"/>
          <w:w w:val="100"/>
          <w:sz w:val="24"/>
          <w:vertAlign w:val="baseline"/>
          <w:lang w:val="en-US"/>
        </w:rPr>
        <w:t xml:space="preserve">284 Amendment on application by registration holder</w:t>
      </w:r>
    </w:p>
    <w:p>
      <w:pPr>
        <w:spacing w:before="120"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regulator, on application by the registration holder, may amend a registration, including by amending the registration to vary or delete a condition of the registration.</w:t>
      </w:r>
    </w:p>
    <w:p>
      <w:pPr>
        <w:spacing w:before="116" w:after="0" w:line="278" w:lineRule="exact"/>
        <w:ind w:right="0" w:left="432"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If the regulator proposes to refuse to amend the registration, the</w:t>
        <w:br/>
      </w:r>
      <w:r>
        <w:rPr>
          <w:rFonts w:ascii="Times New Roman" w:hAnsi="Times New Roman" w:eastAsia="Times New Roman"/>
          <w:color w:val="000000"/>
          <w:spacing w:val="0"/>
          <w:w w:val="100"/>
          <w:sz w:val="24"/>
          <w:vertAlign w:val="baseline"/>
          <w:lang w:val="en-US"/>
        </w:rPr>
        <w:t xml:space="preserve">regulator must give the registration holder a written notice:</w:t>
      </w:r>
    </w:p>
    <w:p>
      <w:pPr>
        <w:numPr>
          <w:ilvl w:val="0"/>
          <w:numId w:val="501"/>
        </w:numPr>
        <w:tabs>
          <w:tab w:val="clear" w:pos="360"/>
          <w:tab w:val="left" w:pos="1872"/>
        </w:tabs>
        <w:spacing w:before="118" w:after="0" w:line="276"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informing the registration holder of the proposed refusal to amend the registration and the reasons for the proposed refusal; and</w:t>
      </w:r>
    </w:p>
    <w:p>
      <w:pPr>
        <w:numPr>
          <w:ilvl w:val="0"/>
          <w:numId w:val="501"/>
        </w:numPr>
        <w:tabs>
          <w:tab w:val="clear" w:pos="360"/>
          <w:tab w:val="left" w:pos="1872"/>
        </w:tabs>
        <w:spacing w:before="124" w:after="0" w:line="275"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advising the registration holder that the registration holder may, by a specified date (being not less than 28 days after giving the notice), make a submission to the regulator in relation to the proposed refusal.</w:t>
      </w:r>
    </w:p>
    <w:p>
      <w:pPr>
        <w:spacing w:before="124" w:after="0" w:line="274" w:lineRule="exact"/>
        <w:ind w:right="57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After the date specified in a notice under subregulation (2), the regulator must:</w:t>
      </w:r>
    </w:p>
    <w:p>
      <w:pPr>
        <w:numPr>
          <w:ilvl w:val="0"/>
          <w:numId w:val="502"/>
        </w:numPr>
        <w:tabs>
          <w:tab w:val="clear" w:pos="360"/>
          <w:tab w:val="left" w:pos="1872"/>
        </w:tabs>
        <w:spacing w:before="124" w:after="0" w:line="274"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registration holder has made a submission in relation to the proposed refusal—consider that submission; and</w:t>
      </w:r>
    </w:p>
    <w:p>
      <w:pPr>
        <w:numPr>
          <w:ilvl w:val="0"/>
          <w:numId w:val="502"/>
        </w:numPr>
        <w:tabs>
          <w:tab w:val="clear" w:pos="360"/>
          <w:tab w:val="left" w:pos="1872"/>
        </w:tabs>
        <w:spacing w:before="124" w:after="0" w:line="274" w:lineRule="exact"/>
        <w:ind w:right="136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whether or not the registration holder has made a submission—decide:</w:t>
      </w:r>
    </w:p>
    <w:p>
      <w:pPr>
        <w:numPr>
          <w:ilvl w:val="0"/>
          <w:numId w:val="503"/>
        </w:numPr>
        <w:tabs>
          <w:tab w:val="clear" w:pos="576"/>
          <w:tab w:val="left" w:pos="2448"/>
        </w:tabs>
        <w:spacing w:before="126" w:after="0" w:line="272" w:lineRule="exact"/>
        <w:ind w:right="0" w:left="2448" w:hanging="576"/>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to make the amendment applied for; or</w:t>
      </w:r>
    </w:p>
    <w:p>
      <w:pPr>
        <w:numPr>
          <w:ilvl w:val="0"/>
          <w:numId w:val="503"/>
        </w:numPr>
        <w:tabs>
          <w:tab w:val="clear" w:pos="576"/>
          <w:tab w:val="left" w:pos="2448"/>
        </w:tabs>
        <w:spacing w:before="122" w:after="0" w:line="272" w:lineRule="exact"/>
        <w:ind w:right="0" w:left="2448" w:hanging="576"/>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not to make any amendment; or</w:t>
      </w:r>
    </w:p>
    <w:p>
      <w:pPr>
        <w:numPr>
          <w:ilvl w:val="0"/>
          <w:numId w:val="503"/>
        </w:numPr>
        <w:tabs>
          <w:tab w:val="clear" w:pos="576"/>
          <w:tab w:val="left" w:pos="2448"/>
        </w:tabs>
        <w:spacing w:before="122" w:after="1340" w:line="276" w:lineRule="exact"/>
        <w:ind w:right="72" w:left="2448" w:hanging="576"/>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to make a different amendment that results from consideration of any submission made by the registration holder; and</w:t>
      </w:r>
    </w:p>
    <w:p>
      <w:pPr>
        <w:spacing w:before="122" w:after="1340"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201</w:t>
      </w:r>
    </w:p>
    <w:p>
      <w:pPr>
        <w:sectPr>
          <w:type w:val="continuous"/>
          <w:pgSz w:w="11909" w:h="16838" w:orient="portrait"/>
          <w:pgMar w:bottom="1082" w:top="1140" w:right="5819" w:left="1970" w:header="720" w:footer="720"/>
          <w:titlePg w:val="false"/>
          <w:textDirection w:val="lrTb"/>
        </w:sectPr>
      </w:pPr>
    </w:p>
    <w:p>
      <w:pPr>
        <w:spacing w:before="6"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5" w:after="226"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5.3	</w:t>
      </w:r>
      <w:r>
        <w:rPr>
          <w:rFonts w:ascii="Times New Roman" w:hAnsi="Times New Roman" w:eastAsia="Times New Roman"/>
          <w:color w:val="000000"/>
          <w:spacing w:val="0"/>
          <w:w w:val="100"/>
          <w:sz w:val="20"/>
          <w:vertAlign w:val="baseline"/>
          <w:lang w:val="en-US"/>
        </w:rPr>
        <w:t xml:space="preserve">Registration of Plant Designs and Items of Plant</w:t>
      </w:r>
    </w:p>
    <w:p>
      <w:pPr>
        <w:spacing w:before="248"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(c) within 14 days after making that decision, give the registration holder written notice of the decision in accordance with this regulation.</w:t>
      </w:r>
    </w:p>
    <w:p>
      <w:pPr>
        <w:numPr>
          <w:ilvl w:val="0"/>
          <w:numId w:val="504"/>
        </w:numPr>
        <w:tabs>
          <w:tab w:val="clear" w:pos="360"/>
          <w:tab w:val="left" w:pos="1368"/>
        </w:tabs>
        <w:spacing w:before="124" w:after="0" w:line="275"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regulator makes the amendment applied for, the notice under subregulation (3)(c) must specify the date (being not less than 28 days after the registration holder is given the notice) on which the amendment takes effect.</w:t>
      </w:r>
    </w:p>
    <w:p>
      <w:pPr>
        <w:numPr>
          <w:ilvl w:val="0"/>
          <w:numId w:val="504"/>
        </w:numPr>
        <w:tabs>
          <w:tab w:val="clear" w:pos="360"/>
          <w:tab w:val="left" w:pos="1368"/>
        </w:tabs>
        <w:spacing w:before="126" w:after="0" w:line="273" w:lineRule="exact"/>
        <w:ind w:right="72"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regulator refuses to make the amendment or makes a different amendment, the notice under subregulation (3)(c) must:</w:t>
      </w:r>
    </w:p>
    <w:p>
      <w:pPr>
        <w:spacing w:before="123"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if a submission was made in relation to the proposed refusal of the amendment applied for—set out the reasons for the regulator's decision; and</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if the regulator makes a different amendment:</w:t>
      </w:r>
    </w:p>
    <w:p>
      <w:pPr>
        <w:numPr>
          <w:ilvl w:val="0"/>
          <w:numId w:val="505"/>
        </w:numPr>
        <w:tabs>
          <w:tab w:val="clear" w:pos="432"/>
          <w:tab w:val="left" w:pos="2448"/>
        </w:tabs>
        <w:spacing w:before="121" w:after="0" w:line="273" w:lineRule="exact"/>
        <w:ind w:right="0" w:left="2448"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set out the amendment; and</w:t>
      </w:r>
    </w:p>
    <w:p>
      <w:pPr>
        <w:numPr>
          <w:ilvl w:val="0"/>
          <w:numId w:val="505"/>
        </w:numPr>
        <w:tabs>
          <w:tab w:val="clear" w:pos="432"/>
          <w:tab w:val="left" w:pos="2448"/>
        </w:tabs>
        <w:spacing w:before="122" w:after="0" w:line="276" w:lineRule="exact"/>
        <w:ind w:right="504" w:left="2448"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specify the date (being not less than 28 days after the licence holder is given the notice) on which the amendment takes effect.</w:t>
      </w:r>
    </w:p>
    <w:p>
      <w:pPr>
        <w:spacing w:before="124"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2" w:after="0" w:line="230" w:lineRule="exact"/>
        <w:ind w:right="792"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refusal to make the amendment applied for, or a decision to make a different amendment, is a reviewable decision (see regulation 676).</w:t>
      </w:r>
    </w:p>
    <w:p>
      <w:pPr>
        <w:spacing w:before="121" w:after="0" w:line="273"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285 Minor corrections to registration</w:t>
      </w:r>
    </w:p>
    <w:p>
      <w:pPr>
        <w:spacing w:before="126" w:after="0" w:line="273" w:lineRule="exact"/>
        <w:ind w:right="72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may make minor amendments to a registration, including an amendment:</w:t>
      </w:r>
    </w:p>
    <w:p>
      <w:pPr>
        <w:numPr>
          <w:ilvl w:val="0"/>
          <w:numId w:val="506"/>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to correct an obvious error; or</w:t>
      </w:r>
    </w:p>
    <w:p>
      <w:pPr>
        <w:numPr>
          <w:ilvl w:val="0"/>
          <w:numId w:val="506"/>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to change an address; or</w:t>
      </w:r>
    </w:p>
    <w:p>
      <w:pPr>
        <w:numPr>
          <w:ilvl w:val="0"/>
          <w:numId w:val="506"/>
        </w:numPr>
        <w:tabs>
          <w:tab w:val="clear" w:pos="360"/>
          <w:tab w:val="left" w:pos="1872"/>
        </w:tabs>
        <w:spacing w:before="126" w:after="0" w:line="273" w:lineRule="exact"/>
        <w:ind w:right="288"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does not impose a significant burden on the registration holder.</w:t>
      </w:r>
    </w:p>
    <w:p>
      <w:pPr>
        <w:spacing w:before="126" w:after="0" w:line="273"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286 Regulator to give amended registration document</w:t>
      </w:r>
    </w:p>
    <w:p>
      <w:pPr>
        <w:spacing w:before="116" w:after="0" w:line="277" w:lineRule="exact"/>
        <w:ind w:right="144"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regulator amends a registration and considers that the registration document requires amendment, the regulator must give the registration holder an amended registration document within 14 days after making the decision to amend the registration.</w:t>
      </w:r>
    </w:p>
    <w:p>
      <w:pPr>
        <w:spacing w:before="120" w:after="0" w:line="273"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287 Registration holder to return registration document</w:t>
      </w:r>
    </w:p>
    <w:p>
      <w:pPr>
        <w:spacing w:before="123" w:after="988" w:line="276" w:lineRule="exact"/>
        <w:ind w:right="288"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registration holder must return the registration document to the regulator for amendment at the written request of the regulator within the time specified in the request.</w:t>
      </w:r>
    </w:p>
    <w:p>
      <w:pPr>
        <w:spacing w:before="123" w:after="988"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202</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5.3	</w:t>
      </w:r>
      <w:r>
        <w:rPr>
          <w:rFonts w:ascii="Times New Roman" w:hAnsi="Times New Roman" w:eastAsia="Times New Roman"/>
          <w:color w:val="000000"/>
          <w:spacing w:val="0"/>
          <w:w w:val="100"/>
          <w:sz w:val="20"/>
          <w:vertAlign w:val="baseline"/>
          <w:lang w:val="en-US"/>
        </w:rPr>
        <w:t xml:space="preserve">Registration of Plant Designs and Items of Plant</w:t>
      </w:r>
    </w:p>
    <w:p>
      <w:pPr>
        <w:spacing w:before="25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26"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288 Replacement registration document</w:t>
      </w:r>
    </w:p>
    <w:p>
      <w:pPr>
        <w:spacing w:before="113" w:after="0" w:line="279" w:lineRule="exact"/>
        <w:ind w:right="216" w:left="1368" w:hanging="360"/>
        <w:jc w:val="both"/>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(1) A registration holder must notify the regulator as soon as practicable if the registration document is lost, stolen or destroyed.</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23" w:after="0" w:line="276" w:lineRule="exact"/>
        <w:ind w:right="50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If a registration document is lost, stolen or destroyed, the registration holder may apply to the regulator for a replacement document.</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2" w:after="0" w:line="231" w:lineRule="exact"/>
        <w:ind w:right="432"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registration holder is required to keep a registration document available for inspection (see regulation 275).</w:t>
      </w:r>
    </w:p>
    <w:p>
      <w:pPr>
        <w:spacing w:before="119"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An application for a replacement registration document must be</w:t>
      </w:r>
    </w:p>
    <w:p>
      <w:pPr>
        <w:spacing w:before="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made in the manner and form required by the regulator.</w:t>
      </w:r>
    </w:p>
    <w:p>
      <w:pPr>
        <w:spacing w:before="126"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The application must:</w:t>
      </w:r>
    </w:p>
    <w:p>
      <w:pPr>
        <w:numPr>
          <w:ilvl w:val="0"/>
          <w:numId w:val="507"/>
        </w:numPr>
        <w:tabs>
          <w:tab w:val="clear" w:pos="360"/>
          <w:tab w:val="left" w:pos="1872"/>
        </w:tabs>
        <w:spacing w:before="114" w:after="0" w:line="279"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include a declaration describing the circumstances in which the original document was lost, stolen or destroyed; and</w:t>
      </w:r>
    </w:p>
    <w:p>
      <w:pPr>
        <w:spacing w:before="124"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3" w:after="0" w:line="230" w:lineRule="exact"/>
        <w:ind w:right="432" w:left="1872"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section 268 of the Act for offences relating to the giving of false or misleading information under the Act or these Regulations.</w:t>
      </w:r>
    </w:p>
    <w:p>
      <w:pPr>
        <w:numPr>
          <w:ilvl w:val="0"/>
          <w:numId w:val="507"/>
        </w:numPr>
        <w:tabs>
          <w:tab w:val="clear" w:pos="360"/>
          <w:tab w:val="left" w:pos="1872"/>
        </w:tabs>
        <w:spacing w:before="119"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be accompanied by the relevant fee.</w:t>
      </w:r>
    </w:p>
    <w:p>
      <w:pPr>
        <w:spacing w:before="116" w:after="0" w:line="278" w:lineRule="exact"/>
        <w:ind w:right="432" w:left="1368" w:hanging="360"/>
        <w:jc w:val="both"/>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(5) The regulator must issue a replacement registration document if satisfied that the original document was lost, stolen or destroyed.</w:t>
      </w:r>
    </w:p>
    <w:p>
      <w:pPr>
        <w:spacing w:before="120"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(6) If the regulator refuses to issue a replacement registration document, it must give the registration holder written notice of this decision, including the reasons for the decision within 14 days of making the decision.</w:t>
      </w:r>
    </w:p>
    <w:p>
      <w:pPr>
        <w:spacing w:before="124"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4" w:after="1731" w:line="230" w:lineRule="exact"/>
        <w:ind w:right="432" w:left="864"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A refusal to issue a replacement registration document is a reviewable decision (see regulation 676).</w:t>
      </w:r>
    </w:p>
    <w:p>
      <w:pPr>
        <w:spacing w:before="124" w:after="1731" w:line="230"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203</w:t>
      </w:r>
    </w:p>
    <w:p>
      <w:pPr>
        <w:sectPr>
          <w:type w:val="continuous"/>
          <w:pgSz w:w="11909" w:h="16838" w:orient="portrait"/>
          <w:pgMar w:bottom="1082" w:top="1140" w:right="5817" w:left="1972"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5.3	</w:t>
      </w:r>
      <w:r>
        <w:rPr>
          <w:rFonts w:ascii="Times New Roman" w:hAnsi="Times New Roman" w:eastAsia="Times New Roman"/>
          <w:color w:val="000000"/>
          <w:spacing w:val="0"/>
          <w:w w:val="100"/>
          <w:sz w:val="20"/>
          <w:vertAlign w:val="baseline"/>
          <w:lang w:val="en-US"/>
        </w:rPr>
        <w:t xml:space="preserve">Registration of Plant Designs and Items of Plant</w:t>
      </w:r>
    </w:p>
    <w:p>
      <w:pPr>
        <w:spacing w:before="256"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4"/>
          <w:vertAlign w:val="baseline"/>
          <w:lang w:val="en-US"/>
        </w:rPr>
        <w:t xml:space="preserve">Division 6—Cancellation of registration</w:t>
      </w:r>
    </w:p>
    <w:p>
      <w:pPr>
        <w:spacing w:before="118"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8"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19"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288A Application of Division</w:t>
      </w:r>
    </w:p>
    <w:p>
      <w:pPr>
        <w:spacing w:before="124" w:after="0" w:line="272"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Division applies to:</w:t>
      </w:r>
    </w:p>
    <w:p>
      <w:pPr>
        <w:numPr>
          <w:ilvl w:val="0"/>
          <w:numId w:val="508"/>
        </w:numPr>
        <w:tabs>
          <w:tab w:val="clear" w:pos="360"/>
          <w:tab w:val="left" w:pos="1872"/>
        </w:tabs>
        <w:spacing w:before="122"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registration of a design of an item of plant; and</w:t>
      </w:r>
    </w:p>
    <w:p>
      <w:pPr>
        <w:numPr>
          <w:ilvl w:val="0"/>
          <w:numId w:val="508"/>
        </w:numPr>
        <w:tabs>
          <w:tab w:val="clear" w:pos="360"/>
          <w:tab w:val="left" w:pos="1872"/>
        </w:tabs>
        <w:spacing w:before="126"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registration of an item of plant.</w:t>
      </w:r>
    </w:p>
    <w:p>
      <w:pPr>
        <w:spacing w:before="122"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288B Regulator may cancel registration</w:t>
      </w:r>
    </w:p>
    <w:p>
      <w:pPr>
        <w:spacing w:before="124" w:after="0" w:line="272"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may cancel a registration if satisfied that:</w:t>
      </w:r>
    </w:p>
    <w:p>
      <w:pPr>
        <w:spacing w:before="122" w:after="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the registration holder, in applying for the registration:</w:t>
      </w:r>
    </w:p>
    <w:p>
      <w:pPr>
        <w:numPr>
          <w:ilvl w:val="0"/>
          <w:numId w:val="509"/>
        </w:numPr>
        <w:tabs>
          <w:tab w:val="clear" w:pos="360"/>
          <w:tab w:val="left" w:pos="2376"/>
        </w:tabs>
        <w:spacing w:before="124" w:after="0" w:line="274" w:lineRule="exact"/>
        <w:ind w:right="79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gave information that was false or misleading in a material particular; or</w:t>
      </w:r>
    </w:p>
    <w:p>
      <w:pPr>
        <w:numPr>
          <w:ilvl w:val="0"/>
          <w:numId w:val="509"/>
        </w:numPr>
        <w:tabs>
          <w:tab w:val="clear" w:pos="360"/>
          <w:tab w:val="left" w:pos="2376"/>
        </w:tabs>
        <w:spacing w:before="124" w:after="0" w:line="274" w:lineRule="exact"/>
        <w:ind w:right="216"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failed to give any material information that should have been given; or</w:t>
      </w:r>
    </w:p>
    <w:p>
      <w:pPr>
        <w:spacing w:before="124" w:after="0" w:line="274" w:lineRule="exact"/>
        <w:ind w:right="93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the design of the item of plant, or the item of plant (as applicable), is unsafe.</w:t>
      </w:r>
    </w:p>
    <w:p>
      <w:pPr>
        <w:spacing w:before="130"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0" w:after="0" w:line="373" w:lineRule="exact"/>
        <w:ind w:right="720" w:left="288" w:firstLine="576"/>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decision to cancel a registration is a reviewable decision (see regulation 676). </w:t>
      </w:r>
      <w:r>
        <w:rPr>
          <w:rFonts w:ascii="Times New Roman" w:hAnsi="Times New Roman" w:eastAsia="Times New Roman"/>
          <w:b w:val="true"/>
          <w:color w:val="000000"/>
          <w:spacing w:val="0"/>
          <w:w w:val="100"/>
          <w:sz w:val="24"/>
          <w:vertAlign w:val="baseline"/>
          <w:lang w:val="en-US"/>
        </w:rPr>
        <w:t xml:space="preserve">288C Cancellation process</w:t>
      </w:r>
    </w:p>
    <w:p>
      <w:pPr>
        <w:spacing w:before="114" w:after="0" w:line="278" w:lineRule="exact"/>
        <w:ind w:right="86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Before cancelling a registration, the regulator must give the registration holder written notice:</w:t>
      </w:r>
    </w:p>
    <w:p>
      <w:pPr>
        <w:numPr>
          <w:ilvl w:val="0"/>
          <w:numId w:val="510"/>
        </w:numPr>
        <w:tabs>
          <w:tab w:val="clear" w:pos="360"/>
          <w:tab w:val="left" w:pos="1872"/>
        </w:tabs>
        <w:spacing w:before="116" w:after="0" w:line="278" w:lineRule="exact"/>
        <w:ind w:right="64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setting out the proposal to cancel the registration and the reasons for it; and</w:t>
      </w:r>
    </w:p>
    <w:p>
      <w:pPr>
        <w:numPr>
          <w:ilvl w:val="0"/>
          <w:numId w:val="510"/>
        </w:numPr>
        <w:tabs>
          <w:tab w:val="clear" w:pos="360"/>
          <w:tab w:val="left" w:pos="1872"/>
        </w:tabs>
        <w:spacing w:before="120" w:after="0" w:line="276"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advising the registration holder that the registration holder may make a submission to the regulator in relation to the proposed cancellation within a specified period (being not less than 28 days from the date of the notice).</w:t>
      </w:r>
    </w:p>
    <w:p>
      <w:pPr>
        <w:spacing w:before="116" w:after="0" w:line="278" w:lineRule="exact"/>
        <w:ind w:right="57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After the date specified in a notice under subregulation (1), the regulator must:</w:t>
      </w:r>
    </w:p>
    <w:p>
      <w:pPr>
        <w:numPr>
          <w:ilvl w:val="0"/>
          <w:numId w:val="511"/>
        </w:numPr>
        <w:tabs>
          <w:tab w:val="clear" w:pos="360"/>
          <w:tab w:val="left" w:pos="1872"/>
        </w:tabs>
        <w:spacing w:before="116" w:after="0" w:line="278"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registration holder has made a submission in relation to the proposed cancellation—consider that submission; and</w:t>
      </w:r>
    </w:p>
    <w:p>
      <w:pPr>
        <w:numPr>
          <w:ilvl w:val="0"/>
          <w:numId w:val="511"/>
        </w:numPr>
        <w:tabs>
          <w:tab w:val="clear" w:pos="360"/>
          <w:tab w:val="left" w:pos="1872"/>
        </w:tabs>
        <w:spacing w:before="116" w:after="0" w:line="278"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whether or not the registration holder has made a submission, decide:</w:t>
      </w:r>
    </w:p>
    <w:p>
      <w:pPr>
        <w:spacing w:before="122" w:after="989" w:line="272" w:lineRule="exact"/>
        <w:ind w:right="0" w:left="2016"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 to cancel the registration; or</w:t>
      </w:r>
    </w:p>
    <w:p>
      <w:pPr>
        <w:spacing w:before="122" w:after="989" w:line="272"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204</w:t>
      </w:r>
    </w:p>
    <w:p>
      <w:pPr>
        <w:sectPr>
          <w:type w:val="continuous"/>
          <w:pgSz w:w="11909" w:h="16838" w:orient="portrait"/>
          <w:pgMar w:bottom="1082" w:top="1140" w:right="5812" w:left="1977" w:header="720" w:footer="720"/>
          <w:titlePg w:val="false"/>
          <w:textDirection w:val="lrTb"/>
        </w:sectPr>
      </w:pPr>
    </w:p>
    <w:p>
      <w:pPr>
        <w:spacing w:before="6"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2" w:after="223"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5.3	</w:t>
      </w:r>
      <w:r>
        <w:rPr>
          <w:rFonts w:ascii="Times New Roman" w:hAnsi="Times New Roman" w:eastAsia="Times New Roman"/>
          <w:color w:val="000000"/>
          <w:spacing w:val="0"/>
          <w:w w:val="100"/>
          <w:sz w:val="20"/>
          <w:vertAlign w:val="baseline"/>
          <w:lang w:val="en-US"/>
        </w:rPr>
        <w:t xml:space="preserve">Registration of Plant Designs and Items of Plant</w:t>
      </w:r>
    </w:p>
    <w:p>
      <w:pPr>
        <w:spacing w:before="25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(ii) not to cancel the registration; and</w:t>
      </w:r>
    </w:p>
    <w:p>
      <w:pPr>
        <w:spacing w:before="126" w:after="0" w:line="273" w:lineRule="exact"/>
        <w:ind w:right="72" w:left="1944"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within 14 days after making that decision, give the registration holder written notice that:</w:t>
      </w:r>
    </w:p>
    <w:p>
      <w:pPr>
        <w:numPr>
          <w:ilvl w:val="0"/>
          <w:numId w:val="512"/>
        </w:numPr>
        <w:tabs>
          <w:tab w:val="clear" w:pos="504"/>
          <w:tab w:val="left" w:pos="2448"/>
        </w:tabs>
        <w:spacing w:before="126" w:after="0" w:line="273" w:lineRule="exact"/>
        <w:ind w:right="0" w:left="2448"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states whether or not the registration is cancelled; and</w:t>
      </w:r>
    </w:p>
    <w:p>
      <w:pPr>
        <w:numPr>
          <w:ilvl w:val="0"/>
          <w:numId w:val="512"/>
        </w:numPr>
        <w:tabs>
          <w:tab w:val="clear" w:pos="504"/>
          <w:tab w:val="left" w:pos="2448"/>
        </w:tabs>
        <w:spacing w:before="117" w:after="0" w:line="276" w:lineRule="exact"/>
        <w:ind w:right="504" w:left="2448"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a submission was made in relation to the proposed cancellation—sets out the regulator's reasons for cancelling the registration; and</w:t>
      </w:r>
    </w:p>
    <w:p>
      <w:pPr>
        <w:numPr>
          <w:ilvl w:val="0"/>
          <w:numId w:val="512"/>
        </w:numPr>
        <w:tabs>
          <w:tab w:val="clear" w:pos="504"/>
          <w:tab w:val="left" w:pos="2448"/>
        </w:tabs>
        <w:spacing w:before="126" w:after="0" w:line="273" w:lineRule="exact"/>
        <w:ind w:right="144" w:left="2448" w:hanging="504"/>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specifies the date on which the cancellation, if any, takes effect.</w:t>
      </w:r>
    </w:p>
    <w:p>
      <w:pPr>
        <w:spacing w:before="124"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9"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decision to cancel a registration is a reviewable decision (see regulation 676).</w:t>
      </w:r>
    </w:p>
    <w:p>
      <w:pPr>
        <w:spacing w:before="118"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288D Registration holder to return registration document</w:t>
      </w:r>
    </w:p>
    <w:p>
      <w:pPr>
        <w:spacing w:before="123" w:after="0" w:line="275" w:lineRule="exact"/>
        <w:ind w:right="648"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registration holder who receives a cancellation notice under regulation 288C must return the registration document to the regulator at the written request of the regulator within the time specified in the request.</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944"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In the case of an individual—$1 250.</w:t>
      </w:r>
    </w:p>
    <w:p>
      <w:pPr>
        <w:spacing w:before="125" w:after="5751"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pict>
          <v:line strokeweight="0.7pt" strokecolor="#000000" from="243.6pt,458.65pt" to="352.15pt,458.65pt" style="position:absolute;mso-position-horizontal-relative:page;mso-position-vertical-relative:page;">
            <v:stroke dashstyle="solid"/>
          </v:line>
        </w:pict>
      </w: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corporate—$6 000.</w:t>
      </w:r>
    </w:p>
    <w:p>
      <w:pPr>
        <w:spacing w:before="321" w:after="0" w:line="288" w:lineRule="exact"/>
        <w:ind w:right="0" w:left="0" w:firstLine="0"/>
        <w:jc w:val="left"/>
        <w:textAlignment w:val="baseline"/>
        <w:rPr>
          <w:rFonts w:ascii="Times New Roman" w:hAnsi="Times New Roman" w:eastAsia="Times New Roman"/>
          <w:color w:val="000000"/>
          <w:w w:val="100"/>
          <w:sz w:val="24"/>
          <w:vertAlign w:val="baseline"/>
          <w:lang w:val="en-US"/>
        </w:rPr>
      </w:pPr>
    </w:p>
    <w:p>
      <w:pPr>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205</w:t>
      </w:r>
    </w:p>
    <w:p>
      <w:pPr>
        <w:sectPr>
          <w:type w:val="continuous"/>
          <w:pgSz w:w="11909" w:h="16838" w:orient="portrait"/>
          <w:pgMar w:bottom="1082" w:top="1140" w:right="5814" w:left="1975"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6.1	</w:t>
      </w:r>
      <w:r>
        <w:rPr>
          <w:rFonts w:ascii="Times New Roman" w:hAnsi="Times New Roman" w:eastAsia="Times New Roman"/>
          <w:color w:val="000000"/>
          <w:spacing w:val="0"/>
          <w:w w:val="100"/>
          <w:sz w:val="20"/>
          <w:vertAlign w:val="baseline"/>
          <w:lang w:val="en-US"/>
        </w:rPr>
        <w:t xml:space="preserve">Preliminary</w:t>
      </w:r>
    </w:p>
    <w:p>
      <w:pPr>
        <w:spacing w:before="19" w:after="0" w:line="547" w:lineRule="exact"/>
        <w:ind w:right="0" w:left="0" w:firstLine="0"/>
        <w:jc w:val="left"/>
        <w:textAlignment w:val="baseline"/>
        <w:rPr>
          <w:rFonts w:ascii="Times New Roman" w:hAnsi="Times New Roman" w:eastAsia="Times New Roman"/>
          <w:b w:val="true"/>
          <w:color w:val="000000"/>
          <w:spacing w:val="0"/>
          <w:w w:val="100"/>
          <w:sz w:val="25"/>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5"/>
          <w:vertAlign w:val="baseline"/>
          <w:lang w:val="en-US"/>
        </w:rPr>
        <w:t xml:space="preserve">CHAPTER 6 CONSTRUCTION WORK</w:t>
        <w:br/>
      </w:r>
      <w:r>
        <w:rPr>
          <w:rFonts w:ascii="Times New Roman" w:hAnsi="Times New Roman" w:eastAsia="Times New Roman"/>
          <w:b w:val="true"/>
          <w:color w:val="000000"/>
          <w:spacing w:val="0"/>
          <w:w w:val="100"/>
          <w:sz w:val="28"/>
          <w:vertAlign w:val="baseline"/>
          <w:lang w:val="en-US"/>
        </w:rPr>
        <w:t xml:space="preserve">Part 6.1 Preliminary</w:t>
      </w:r>
    </w:p>
    <w:p>
      <w:pPr>
        <w:spacing w:before="118" w:after="0" w:line="273"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289 Meaning of construction work</w:t>
      </w:r>
    </w:p>
    <w:p>
      <w:pPr>
        <w:spacing w:before="122" w:after="0"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In this Chapter, </w:t>
      </w:r>
      <w:r>
        <w:rPr>
          <w:rFonts w:ascii="Times New Roman" w:hAnsi="Times New Roman" w:eastAsia="Times New Roman"/>
          <w:b w:val="true"/>
          <w:i w:val="true"/>
          <w:color w:val="000000"/>
          <w:spacing w:val="0"/>
          <w:w w:val="100"/>
          <w:sz w:val="24"/>
          <w:vertAlign w:val="baseline"/>
          <w:lang w:val="en-US"/>
        </w:rPr>
        <w:t xml:space="preserve">construction work </w:t>
      </w:r>
      <w:r>
        <w:rPr>
          <w:rFonts w:ascii="Times New Roman" w:hAnsi="Times New Roman" w:eastAsia="Times New Roman"/>
          <w:color w:val="000000"/>
          <w:spacing w:val="0"/>
          <w:w w:val="100"/>
          <w:sz w:val="24"/>
          <w:vertAlign w:val="baseline"/>
          <w:lang w:val="en-US"/>
        </w:rPr>
        <w:t xml:space="preserve">means any work carried out in connection with the construction, alteration, conversion, fitting-out, commissioning, renovation, repair, maintenance, refurbishment, demolition, decommissioning or dismantling of a structure.</w:t>
      </w:r>
    </w:p>
    <w:p>
      <w:pPr>
        <w:spacing w:before="124" w:after="0" w:line="274"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Without limiting subregulation (1), </w:t>
      </w:r>
      <w:r>
        <w:rPr>
          <w:rFonts w:ascii="Times New Roman" w:hAnsi="Times New Roman" w:eastAsia="Times New Roman"/>
          <w:b w:val="true"/>
          <w:i w:val="true"/>
          <w:color w:val="000000"/>
          <w:spacing w:val="0"/>
          <w:w w:val="100"/>
          <w:sz w:val="24"/>
          <w:vertAlign w:val="baseline"/>
          <w:lang w:val="en-US"/>
        </w:rPr>
        <w:t xml:space="preserve">construction work </w:t>
      </w:r>
      <w:r>
        <w:rPr>
          <w:rFonts w:ascii="Times New Roman" w:hAnsi="Times New Roman" w:eastAsia="Times New Roman"/>
          <w:color w:val="000000"/>
          <w:spacing w:val="0"/>
          <w:w w:val="100"/>
          <w:sz w:val="24"/>
          <w:vertAlign w:val="baseline"/>
          <w:lang w:val="en-US"/>
        </w:rPr>
        <w:t xml:space="preserve">includes the following:</w:t>
      </w:r>
    </w:p>
    <w:p>
      <w:pPr>
        <w:numPr>
          <w:ilvl w:val="0"/>
          <w:numId w:val="513"/>
        </w:numPr>
        <w:tabs>
          <w:tab w:val="clear" w:pos="288"/>
          <w:tab w:val="left" w:pos="1872"/>
        </w:tabs>
        <w:spacing w:before="124" w:after="0" w:line="274" w:lineRule="exact"/>
        <w:ind w:right="432"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installation or testing carried out in connection with an activity referred to in subregulation (1);</w:t>
      </w:r>
    </w:p>
    <w:p>
      <w:pPr>
        <w:numPr>
          <w:ilvl w:val="0"/>
          <w:numId w:val="513"/>
        </w:numPr>
        <w:tabs>
          <w:tab w:val="clear" w:pos="288"/>
          <w:tab w:val="left" w:pos="1872"/>
        </w:tabs>
        <w:spacing w:before="124" w:after="0" w:line="274" w:lineRule="exact"/>
        <w:ind w:right="72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removal from the workplace of any product or waste resulting from demolition;</w:t>
      </w:r>
    </w:p>
    <w:p>
      <w:pPr>
        <w:numPr>
          <w:ilvl w:val="0"/>
          <w:numId w:val="513"/>
        </w:numPr>
        <w:tabs>
          <w:tab w:val="clear" w:pos="288"/>
          <w:tab w:val="left" w:pos="1872"/>
        </w:tabs>
        <w:spacing w:before="122" w:after="0" w:line="276" w:lineRule="exact"/>
        <w:ind w:right="72"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prefabrication or testing of elements, at a place specifically established for the construction work, for use in construction work;</w:t>
      </w:r>
    </w:p>
    <w:p>
      <w:pPr>
        <w:numPr>
          <w:ilvl w:val="0"/>
          <w:numId w:val="513"/>
        </w:numPr>
        <w:tabs>
          <w:tab w:val="clear" w:pos="288"/>
          <w:tab w:val="left" w:pos="1872"/>
        </w:tabs>
        <w:spacing w:before="118" w:after="0" w:line="276" w:lineRule="exact"/>
        <w:ind w:right="216"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assembly of prefabricated elements to form a structure, or the disassembly of prefabricated elements forming part of a structure;</w:t>
      </w:r>
    </w:p>
    <w:p>
      <w:pPr>
        <w:numPr>
          <w:ilvl w:val="0"/>
          <w:numId w:val="513"/>
        </w:numPr>
        <w:tabs>
          <w:tab w:val="clear" w:pos="288"/>
          <w:tab w:val="left" w:pos="1872"/>
        </w:tabs>
        <w:spacing w:before="124" w:after="0" w:line="274" w:lineRule="exact"/>
        <w:ind w:right="216"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installation, testing or maintenance of an essential service in relation to a structure;</w:t>
      </w:r>
    </w:p>
    <w:p>
      <w:pPr>
        <w:numPr>
          <w:ilvl w:val="0"/>
          <w:numId w:val="513"/>
        </w:numPr>
        <w:tabs>
          <w:tab w:val="clear" w:pos="288"/>
          <w:tab w:val="left" w:pos="1872"/>
        </w:tabs>
        <w:spacing w:before="127" w:after="0" w:line="271"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work connected with an excavation;</w:t>
      </w:r>
    </w:p>
    <w:p>
      <w:pPr>
        <w:numPr>
          <w:ilvl w:val="0"/>
          <w:numId w:val="513"/>
        </w:numPr>
        <w:tabs>
          <w:tab w:val="clear" w:pos="288"/>
          <w:tab w:val="left" w:pos="1872"/>
        </w:tabs>
        <w:spacing w:before="120" w:after="0" w:line="276" w:lineRule="exact"/>
        <w:ind w:right="216"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work connected with any preparatory work or site preparation (including landscaping as part of site preparation) carried out in connection with an activity referred to in subregulation (1);</w:t>
      </w:r>
    </w:p>
    <w:p>
      <w:pPr>
        <w:numPr>
          <w:ilvl w:val="0"/>
          <w:numId w:val="513"/>
        </w:numPr>
        <w:tabs>
          <w:tab w:val="clear" w:pos="288"/>
          <w:tab w:val="left" w:pos="1872"/>
        </w:tabs>
        <w:spacing w:before="118" w:after="0" w:line="276" w:lineRule="exact"/>
        <w:ind w:right="288"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activity referred to in subregulation (1), that is carried out on, under or near water, including work on buoys and obstructions to navigation.</w:t>
      </w:r>
    </w:p>
    <w:p>
      <w:pPr>
        <w:spacing w:before="124" w:after="0" w:line="274" w:lineRule="exact"/>
        <w:ind w:right="57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In this Chapter, </w:t>
      </w:r>
      <w:r>
        <w:rPr>
          <w:rFonts w:ascii="Times New Roman" w:hAnsi="Times New Roman" w:eastAsia="Times New Roman"/>
          <w:b w:val="true"/>
          <w:i w:val="true"/>
          <w:color w:val="000000"/>
          <w:spacing w:val="0"/>
          <w:w w:val="100"/>
          <w:sz w:val="24"/>
          <w:vertAlign w:val="baseline"/>
          <w:lang w:val="en-US"/>
        </w:rPr>
        <w:t xml:space="preserve">construction work </w:t>
      </w:r>
      <w:r>
        <w:rPr>
          <w:rFonts w:ascii="Times New Roman" w:hAnsi="Times New Roman" w:eastAsia="Times New Roman"/>
          <w:color w:val="000000"/>
          <w:spacing w:val="0"/>
          <w:w w:val="100"/>
          <w:sz w:val="24"/>
          <w:vertAlign w:val="baseline"/>
          <w:lang w:val="en-US"/>
        </w:rPr>
        <w:t xml:space="preserve">does not include any of the following:</w:t>
      </w:r>
    </w:p>
    <w:p>
      <w:pPr>
        <w:numPr>
          <w:ilvl w:val="0"/>
          <w:numId w:val="514"/>
        </w:numPr>
        <w:tabs>
          <w:tab w:val="clear" w:pos="288"/>
          <w:tab w:val="left" w:pos="1872"/>
        </w:tabs>
        <w:spacing w:before="127" w:after="0" w:line="271"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manufacture of plant;</w:t>
      </w:r>
    </w:p>
    <w:p>
      <w:pPr>
        <w:numPr>
          <w:ilvl w:val="0"/>
          <w:numId w:val="514"/>
        </w:numPr>
        <w:tabs>
          <w:tab w:val="clear" w:pos="288"/>
          <w:tab w:val="left" w:pos="1872"/>
        </w:tabs>
        <w:spacing w:before="118" w:after="1182" w:line="276" w:lineRule="exact"/>
        <w:ind w:right="360" w:left="1872" w:hanging="288"/>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prefabrication of elements, other than at a place specifically established for the construction work, for use in construction work;</w:t>
      </w:r>
    </w:p>
    <w:p>
      <w:pPr>
        <w:spacing w:before="118" w:after="1182"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206</w:t>
      </w:r>
    </w:p>
    <w:p>
      <w:pPr>
        <w:sectPr>
          <w:type w:val="continuous"/>
          <w:pgSz w:w="11909" w:h="16838" w:orient="portrait"/>
          <w:pgMar w:bottom="1082" w:top="1140" w:right="5812" w:left="1977" w:header="720" w:footer="720"/>
          <w:titlePg w:val="false"/>
          <w:textDirection w:val="lrTb"/>
        </w:sectPr>
      </w:pPr>
    </w:p>
    <w:p>
      <w:pPr>
        <w:spacing w:before="6"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5" w:after="226"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6.1	</w:t>
      </w:r>
      <w:r>
        <w:rPr>
          <w:rFonts w:ascii="Times New Roman" w:hAnsi="Times New Roman" w:eastAsia="Times New Roman"/>
          <w:color w:val="000000"/>
          <w:spacing w:val="0"/>
          <w:w w:val="100"/>
          <w:sz w:val="20"/>
          <w:vertAlign w:val="baseline"/>
          <w:lang w:val="en-US"/>
        </w:rPr>
        <w:t xml:space="preserve">Preliminary</w:t>
      </w:r>
    </w:p>
    <w:p>
      <w:pPr>
        <w:numPr>
          <w:ilvl w:val="0"/>
          <w:numId w:val="511"/>
        </w:numPr>
        <w:tabs>
          <w:tab w:val="clear" w:pos="360"/>
          <w:tab w:val="left" w:pos="1872"/>
        </w:tabs>
        <w:spacing w:before="247" w:after="0" w:line="276" w:lineRule="exact"/>
        <w:ind w:right="648"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construction or assembly of a structure that once constructed or assembled is intended to be transported to another place;</w:t>
      </w:r>
    </w:p>
    <w:p>
      <w:pPr>
        <w:numPr>
          <w:ilvl w:val="0"/>
          <w:numId w:val="511"/>
        </w:numPr>
        <w:tabs>
          <w:tab w:val="clear" w:pos="360"/>
          <w:tab w:val="left" w:pos="1872"/>
        </w:tabs>
        <w:spacing w:before="126" w:after="0" w:line="273"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testing, maintenance or repair work of a minor nature carried out in connection with a structure;</w:t>
      </w:r>
    </w:p>
    <w:p>
      <w:pPr>
        <w:numPr>
          <w:ilvl w:val="0"/>
          <w:numId w:val="511"/>
        </w:numPr>
        <w:tabs>
          <w:tab w:val="clear" w:pos="360"/>
          <w:tab w:val="left" w:pos="1872"/>
        </w:tabs>
        <w:spacing w:before="8" w:after="0" w:line="393" w:lineRule="exact"/>
        <w:ind w:right="864" w:left="360" w:firstLine="115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mining or the exploration for or extraction of minerals. </w:t>
      </w:r>
      <w:r>
        <w:rPr>
          <w:rFonts w:ascii="Times New Roman" w:hAnsi="Times New Roman" w:eastAsia="Times New Roman"/>
          <w:b w:val="true"/>
          <w:color w:val="000000"/>
          <w:spacing w:val="0"/>
          <w:w w:val="100"/>
          <w:sz w:val="24"/>
          <w:vertAlign w:val="baseline"/>
          <w:lang w:val="en-US"/>
        </w:rPr>
        <w:t xml:space="preserve">290 Meaning of </w:t>
      </w:r>
      <w:r>
        <w:rPr>
          <w:rFonts w:ascii="Times New Roman" w:hAnsi="Times New Roman" w:eastAsia="Times New Roman"/>
          <w:b w:val="true"/>
          <w:i w:val="true"/>
          <w:color w:val="000000"/>
          <w:spacing w:val="0"/>
          <w:w w:val="100"/>
          <w:sz w:val="24"/>
          <w:vertAlign w:val="baseline"/>
          <w:lang w:val="en-US"/>
        </w:rPr>
        <w:t xml:space="preserve">structure</w:t>
      </w:r>
    </w:p>
    <w:p>
      <w:pPr>
        <w:spacing w:before="27" w:after="0" w:line="360" w:lineRule="exact"/>
        <w:ind w:right="72"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In this Chapter, </w:t>
      </w:r>
      <w:r>
        <w:rPr>
          <w:rFonts w:ascii="Times New Roman" w:hAnsi="Times New Roman" w:eastAsia="Times New Roman"/>
          <w:b w:val="true"/>
          <w:i w:val="true"/>
          <w:color w:val="000000"/>
          <w:spacing w:val="0"/>
          <w:w w:val="100"/>
          <w:sz w:val="24"/>
          <w:vertAlign w:val="baseline"/>
          <w:lang w:val="en-US"/>
        </w:rPr>
        <w:t xml:space="preserve">structure </w:t>
      </w:r>
      <w:r>
        <w:rPr>
          <w:rFonts w:ascii="Times New Roman" w:hAnsi="Times New Roman" w:eastAsia="Times New Roman"/>
          <w:color w:val="000000"/>
          <w:spacing w:val="0"/>
          <w:w w:val="100"/>
          <w:sz w:val="24"/>
          <w:vertAlign w:val="baseline"/>
          <w:lang w:val="en-US"/>
        </w:rPr>
        <w:t xml:space="preserve">has the same meaning as it has in the Act. </w:t>
      </w:r>
      <w:r>
        <w:rPr>
          <w:rFonts w:ascii="Times New Roman" w:hAnsi="Times New Roman" w:eastAsia="Times New Roman"/>
          <w:b w:val="true"/>
          <w:color w:val="000000"/>
          <w:spacing w:val="0"/>
          <w:w w:val="100"/>
          <w:sz w:val="20"/>
          <w:vertAlign w:val="baseline"/>
          <w:lang w:val="en-US"/>
        </w:rPr>
        <w:t xml:space="preserve">Examples</w:t>
      </w:r>
    </w:p>
    <w:p>
      <w:pPr>
        <w:tabs>
          <w:tab w:val="left" w:leader="none" w:pos="1800"/>
        </w:tabs>
        <w:spacing w:before="125" w:after="0" w:line="226" w:lineRule="exact"/>
        <w:ind w:right="0" w:left="1368" w:firstLine="0"/>
        <w:jc w:val="left"/>
        <w:textAlignment w:val="baseline"/>
        <w:rPr>
          <w:rFonts w:ascii="Times New Roman" w:hAnsi="Times New Roman" w:eastAsia="Times New Roman"/>
          <w:color w:val="000000"/>
          <w:spacing w:val="-2"/>
          <w:w w:val="100"/>
          <w:sz w:val="20"/>
          <w:vertAlign w:val="baseline"/>
          <w:lang w:val="en-US"/>
        </w:rPr>
      </w:pPr>
      <w:r>
        <w:rPr>
          <w:rFonts w:ascii="Times New Roman" w:hAnsi="Times New Roman" w:eastAsia="Times New Roman"/>
          <w:color w:val="000000"/>
          <w:spacing w:val="-2"/>
          <w:w w:val="100"/>
          <w:sz w:val="20"/>
          <w:vertAlign w:val="baseline"/>
          <w:lang w:val="en-US"/>
        </w:rPr>
        <w:t xml:space="preserve">1	</w:t>
      </w:r>
      <w:r>
        <w:rPr>
          <w:rFonts w:ascii="Times New Roman" w:hAnsi="Times New Roman" w:eastAsia="Times New Roman"/>
          <w:color w:val="000000"/>
          <w:spacing w:val="-2"/>
          <w:w w:val="100"/>
          <w:sz w:val="20"/>
          <w:vertAlign w:val="baseline"/>
          <w:lang w:val="en-US"/>
        </w:rPr>
        <w:t xml:space="preserve">A roadway or pathway.</w:t>
      </w:r>
    </w:p>
    <w:p>
      <w:pPr>
        <w:tabs>
          <w:tab w:val="left" w:leader="none" w:pos="1800"/>
        </w:tabs>
        <w:spacing w:before="125" w:after="0" w:line="226" w:lineRule="exact"/>
        <w:ind w:right="0" w:left="1368"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2	</w:t>
      </w:r>
      <w:r>
        <w:rPr>
          <w:rFonts w:ascii="Times New Roman" w:hAnsi="Times New Roman" w:eastAsia="Times New Roman"/>
          <w:color w:val="000000"/>
          <w:spacing w:val="-1"/>
          <w:w w:val="100"/>
          <w:sz w:val="20"/>
          <w:vertAlign w:val="baseline"/>
          <w:lang w:val="en-US"/>
        </w:rPr>
        <w:t xml:space="preserve">A ship or submarine.</w:t>
      </w:r>
    </w:p>
    <w:p>
      <w:pPr>
        <w:tabs>
          <w:tab w:val="left" w:leader="none" w:pos="1800"/>
        </w:tabs>
        <w:spacing w:before="120" w:after="0" w:line="230" w:lineRule="exact"/>
        <w:ind w:right="360" w:left="1872" w:hanging="504"/>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	</w:t>
      </w:r>
      <w:r>
        <w:rPr>
          <w:rFonts w:ascii="Times New Roman" w:hAnsi="Times New Roman" w:eastAsia="Times New Roman"/>
          <w:color w:val="000000"/>
          <w:spacing w:val="0"/>
          <w:w w:val="100"/>
          <w:sz w:val="20"/>
          <w:vertAlign w:val="baseline"/>
          <w:lang w:val="en-US"/>
        </w:rPr>
        <w:t xml:space="preserve">Foundations, earth retention works and other earthworks, including river works and sea defence works.</w:t>
      </w:r>
    </w:p>
    <w:p>
      <w:pPr>
        <w:tabs>
          <w:tab w:val="left" w:leader="none" w:pos="1800"/>
        </w:tabs>
        <w:spacing w:before="116" w:after="0" w:line="230" w:lineRule="exact"/>
        <w:ind w:right="432" w:left="1872" w:hanging="50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	</w:t>
      </w:r>
      <w:r>
        <w:rPr>
          <w:rFonts w:ascii="Times New Roman" w:hAnsi="Times New Roman" w:eastAsia="Times New Roman"/>
          <w:color w:val="000000"/>
          <w:spacing w:val="0"/>
          <w:w w:val="100"/>
          <w:sz w:val="20"/>
          <w:vertAlign w:val="baseline"/>
          <w:lang w:val="en-US"/>
        </w:rPr>
        <w:t xml:space="preserve">Formwork, falsework or any other structure designed or used to provide support, access or containment during construction work.</w:t>
      </w:r>
    </w:p>
    <w:p>
      <w:pPr>
        <w:tabs>
          <w:tab w:val="left" w:leader="none" w:pos="1800"/>
        </w:tabs>
        <w:spacing w:before="125" w:after="0" w:line="226" w:lineRule="exact"/>
        <w:ind w:right="0" w:left="1368" w:firstLine="0"/>
        <w:jc w:val="left"/>
        <w:textAlignment w:val="baseline"/>
        <w:rPr>
          <w:rFonts w:ascii="Times New Roman" w:hAnsi="Times New Roman" w:eastAsia="Times New Roman"/>
          <w:color w:val="000000"/>
          <w:spacing w:val="-2"/>
          <w:w w:val="100"/>
          <w:sz w:val="20"/>
          <w:vertAlign w:val="baseline"/>
          <w:lang w:val="en-US"/>
        </w:rPr>
      </w:pPr>
      <w:r>
        <w:rPr>
          <w:rFonts w:ascii="Times New Roman" w:hAnsi="Times New Roman" w:eastAsia="Times New Roman"/>
          <w:color w:val="000000"/>
          <w:spacing w:val="-2"/>
          <w:w w:val="100"/>
          <w:sz w:val="20"/>
          <w:vertAlign w:val="baseline"/>
          <w:lang w:val="en-US"/>
        </w:rPr>
        <w:t xml:space="preserve">5	</w:t>
      </w:r>
      <w:r>
        <w:rPr>
          <w:rFonts w:ascii="Times New Roman" w:hAnsi="Times New Roman" w:eastAsia="Times New Roman"/>
          <w:color w:val="000000"/>
          <w:spacing w:val="-2"/>
          <w:w w:val="100"/>
          <w:sz w:val="20"/>
          <w:vertAlign w:val="baseline"/>
          <w:lang w:val="en-US"/>
        </w:rPr>
        <w:t xml:space="preserve">An airfield.</w:t>
      </w:r>
    </w:p>
    <w:p>
      <w:pPr>
        <w:tabs>
          <w:tab w:val="left" w:leader="none" w:pos="1800"/>
        </w:tabs>
        <w:spacing w:before="124" w:after="0" w:line="226"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	</w:t>
      </w:r>
      <w:r>
        <w:rPr>
          <w:rFonts w:ascii="Times New Roman" w:hAnsi="Times New Roman" w:eastAsia="Times New Roman"/>
          <w:color w:val="000000"/>
          <w:spacing w:val="0"/>
          <w:w w:val="100"/>
          <w:sz w:val="20"/>
          <w:vertAlign w:val="baseline"/>
          <w:lang w:val="en-US"/>
        </w:rPr>
        <w:t xml:space="preserve">A dock, harbour, channel, bridge, viaduct, lagoon or dam.</w:t>
      </w:r>
    </w:p>
    <w:p>
      <w:pPr>
        <w:tabs>
          <w:tab w:val="left" w:leader="none" w:pos="1800"/>
        </w:tabs>
        <w:spacing w:before="125" w:after="0" w:line="226"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7	</w:t>
      </w:r>
      <w:r>
        <w:rPr>
          <w:rFonts w:ascii="Times New Roman" w:hAnsi="Times New Roman" w:eastAsia="Times New Roman"/>
          <w:color w:val="000000"/>
          <w:spacing w:val="0"/>
          <w:w w:val="100"/>
          <w:sz w:val="20"/>
          <w:vertAlign w:val="baseline"/>
          <w:lang w:val="en-US"/>
        </w:rPr>
        <w:t xml:space="preserve">A sewer or sewerage or drainage works.</w:t>
      </w:r>
    </w:p>
    <w:p>
      <w:pPr>
        <w:spacing w:before="121" w:after="0" w:line="272"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This Chapter does not apply to plant unless:</w:t>
      </w:r>
    </w:p>
    <w:p>
      <w:pPr>
        <w:spacing w:before="126" w:after="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the plant is:</w:t>
      </w:r>
    </w:p>
    <w:p>
      <w:pPr>
        <w:numPr>
          <w:ilvl w:val="0"/>
          <w:numId w:val="515"/>
        </w:numPr>
        <w:tabs>
          <w:tab w:val="clear" w:pos="504"/>
          <w:tab w:val="left" w:pos="2376"/>
        </w:tabs>
        <w:spacing w:before="122"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ship or submarine; or</w:t>
      </w:r>
    </w:p>
    <w:p>
      <w:pPr>
        <w:numPr>
          <w:ilvl w:val="0"/>
          <w:numId w:val="515"/>
        </w:numPr>
        <w:tabs>
          <w:tab w:val="clear" w:pos="504"/>
          <w:tab w:val="left" w:pos="2376"/>
        </w:tabs>
        <w:spacing w:before="126"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pipe or pipeline; or</w:t>
      </w:r>
    </w:p>
    <w:p>
      <w:pPr>
        <w:numPr>
          <w:ilvl w:val="0"/>
          <w:numId w:val="515"/>
        </w:numPr>
        <w:tabs>
          <w:tab w:val="clear" w:pos="504"/>
          <w:tab w:val="left" w:pos="2376"/>
        </w:tabs>
        <w:spacing w:before="122"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underground tank; or</w:t>
      </w:r>
    </w:p>
    <w:p>
      <w:pPr>
        <w:numPr>
          <w:ilvl w:val="0"/>
          <w:numId w:val="515"/>
        </w:numPr>
        <w:tabs>
          <w:tab w:val="clear" w:pos="504"/>
          <w:tab w:val="left" w:pos="2376"/>
        </w:tabs>
        <w:spacing w:before="126"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designed or used to provide support, access or</w:t>
      </w:r>
    </w:p>
    <w:p>
      <w:pPr>
        <w:spacing w:before="0" w:after="0" w:line="276" w:lineRule="exact"/>
        <w:ind w:right="72" w:left="2376"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containment during work in connection with construction work; or</w:t>
      </w:r>
    </w:p>
    <w:p>
      <w:pPr>
        <w:spacing w:before="116" w:after="0" w:line="278" w:lineRule="exact"/>
        <w:ind w:right="93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work on the plant relates to work that is carried out in connection with construction work; or</w:t>
      </w:r>
    </w:p>
    <w:p>
      <w:pPr>
        <w:spacing w:before="120"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the plant is fixed plant on which outage work or overhaul work that involves or may involve work being carried out by 5 or more persons conducting businesses or undertakings at any point in time.</w:t>
      </w:r>
    </w:p>
    <w:p>
      <w:pPr>
        <w:spacing w:before="125"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0" w:after="1123" w:line="231" w:lineRule="exact"/>
        <w:ind w:right="936" w:left="1368"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This Chapter does not apply to the manufacture of plant (see regulation 289(3)(a)).</w:t>
      </w:r>
    </w:p>
    <w:p>
      <w:pPr>
        <w:spacing w:before="120" w:after="1123" w:line="231"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207</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6.1	</w:t>
      </w:r>
      <w:r>
        <w:rPr>
          <w:rFonts w:ascii="Times New Roman" w:hAnsi="Times New Roman" w:eastAsia="Times New Roman"/>
          <w:color w:val="000000"/>
          <w:spacing w:val="0"/>
          <w:w w:val="100"/>
          <w:sz w:val="20"/>
          <w:vertAlign w:val="baseline"/>
          <w:lang w:val="en-US"/>
        </w:rPr>
        <w:t xml:space="preserve">Preliminary</w:t>
      </w:r>
    </w:p>
    <w:p>
      <w:pPr>
        <w:spacing w:before="251"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3"/>
          <w:w w:val="100"/>
          <w:sz w:val="24"/>
          <w:vertAlign w:val="baseline"/>
          <w:lang w:val="en-US"/>
        </w:rPr>
        <w:t xml:space="preserve">291 Meaning of high risk construction work</w:t>
      </w:r>
    </w:p>
    <w:p>
      <w:pPr>
        <w:spacing w:before="123" w:after="0" w:line="273" w:lineRule="exact"/>
        <w:ind w:right="36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this Chapter, </w:t>
      </w:r>
      <w:r>
        <w:rPr>
          <w:rFonts w:ascii="Times New Roman" w:hAnsi="Times New Roman" w:eastAsia="Times New Roman"/>
          <w:b w:val="true"/>
          <w:i w:val="true"/>
          <w:color w:val="000000"/>
          <w:spacing w:val="0"/>
          <w:w w:val="100"/>
          <w:sz w:val="24"/>
          <w:vertAlign w:val="baseline"/>
          <w:lang w:val="en-US"/>
        </w:rPr>
        <w:t xml:space="preserve">high risk construction work </w:t>
      </w:r>
      <w:r>
        <w:rPr>
          <w:rFonts w:ascii="Times New Roman" w:hAnsi="Times New Roman" w:eastAsia="Times New Roman"/>
          <w:color w:val="000000"/>
          <w:spacing w:val="0"/>
          <w:w w:val="100"/>
          <w:sz w:val="24"/>
          <w:vertAlign w:val="baseline"/>
          <w:lang w:val="en-US"/>
        </w:rPr>
        <w:t xml:space="preserve">means construction work that:</w:t>
      </w:r>
    </w:p>
    <w:p>
      <w:pPr>
        <w:spacing w:before="128" w:after="0" w:line="271"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involves a risk of a person falling more than 2 metres; or</w:t>
      </w:r>
    </w:p>
    <w:p>
      <w:pPr>
        <w:spacing w:before="122" w:after="0" w:line="271"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is carried out on a telecommunication tower; or</w:t>
      </w:r>
    </w:p>
    <w:p>
      <w:pPr>
        <w:spacing w:before="123" w:after="0" w:line="276"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involves demolition of an element of a structure that is load-bearing or otherwise related to the physical integrity of the structure; or</w:t>
      </w:r>
    </w:p>
    <w:p>
      <w:pPr>
        <w:spacing w:before="122" w:after="0" w:line="271"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involves, or is likely to involve, the disturbance of asbestos; or</w:t>
      </w:r>
    </w:p>
    <w:p>
      <w:pPr>
        <w:spacing w:before="126" w:after="0" w:line="273" w:lineRule="exact"/>
        <w:ind w:right="7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 involves structural alterations or repairs that require temporary support to prevent collapse; or</w:t>
      </w:r>
    </w:p>
    <w:p>
      <w:pPr>
        <w:spacing w:before="128" w:after="0" w:line="271"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 is carried out in or near a confined space; or</w:t>
      </w:r>
    </w:p>
    <w:p>
      <w:pPr>
        <w:spacing w:before="122" w:after="0" w:line="271"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 is carried out in or near:</w:t>
      </w:r>
    </w:p>
    <w:p>
      <w:pPr>
        <w:numPr>
          <w:ilvl w:val="0"/>
          <w:numId w:val="516"/>
        </w:numPr>
        <w:tabs>
          <w:tab w:val="clear" w:pos="360"/>
          <w:tab w:val="left" w:pos="2376"/>
        </w:tabs>
        <w:spacing w:before="134" w:after="0" w:line="279" w:lineRule="exact"/>
        <w:ind w:right="7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shaft or trench with an excavated depth greater than 1</w:t>
      </w:r>
      <w:r>
        <w:rPr>
          <w:rFonts w:ascii="Symbol" w:hAnsi="Symbol" w:eastAsia="Symbol"/>
          <w:color w:val="000000"/>
          <w:spacing w:val="0"/>
          <w:w w:val="100"/>
          <w:sz w:val="24"/>
          <w:vertAlign w:val="baseline"/>
          <w:lang w:val="en-US"/>
        </w:rPr>
        <w:t xml:space="preserve">⋅</w:t>
      </w:r>
      <w:r>
        <w:rPr>
          <w:rFonts w:ascii="Times New Roman" w:hAnsi="Times New Roman" w:eastAsia="Times New Roman"/>
          <w:color w:val="000000"/>
          <w:spacing w:val="0"/>
          <w:w w:val="100"/>
          <w:sz w:val="24"/>
          <w:vertAlign w:val="baseline"/>
          <w:lang w:val="en-US"/>
        </w:rPr>
        <w:t xml:space="preserve">5 metres; or</w:t>
      </w:r>
    </w:p>
    <w:p>
      <w:pPr>
        <w:numPr>
          <w:ilvl w:val="0"/>
          <w:numId w:val="516"/>
        </w:numPr>
        <w:tabs>
          <w:tab w:val="clear" w:pos="360"/>
          <w:tab w:val="left" w:pos="2376"/>
        </w:tabs>
        <w:spacing w:before="122" w:after="0" w:line="271"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tunnel; or</w:t>
      </w:r>
    </w:p>
    <w:p>
      <w:pPr>
        <w:spacing w:before="128" w:after="0" w:line="271"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 involves the use of explosives; or</w:t>
      </w:r>
    </w:p>
    <w:p>
      <w:pPr>
        <w:spacing w:before="114" w:after="0" w:line="279"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 is carried out on or near pressurised gas distribution mains or piping; or</w:t>
      </w:r>
    </w:p>
    <w:p>
      <w:pPr>
        <w:spacing w:before="122" w:after="0" w:line="271"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(j) is carried out on or near chemical, fuel or refrigerant lines; or</w:t>
      </w:r>
    </w:p>
    <w:p>
      <w:pPr>
        <w:spacing w:before="126" w:after="0" w:line="273"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(k) is carried out on or near energised electrical installations or services; or</w:t>
      </w:r>
    </w:p>
    <w:p>
      <w:pPr>
        <w:spacing w:before="126" w:after="0" w:line="273" w:lineRule="exact"/>
        <w:ind w:right="64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(l) is carried out in an area that may have a contaminated or flammable atmosphere; or</w:t>
      </w:r>
    </w:p>
    <w:p>
      <w:pPr>
        <w:spacing w:before="128" w:after="0" w:line="271"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 involves tilt-up or precast concrete; or</w:t>
      </w:r>
    </w:p>
    <w:p>
      <w:pPr>
        <w:spacing w:before="117"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(n) is carried out on, in or adjacent to a road, railway, shipping lane or other traffic corridor that is in use by traffic other than pedestrians; or</w:t>
      </w:r>
    </w:p>
    <w:p>
      <w:pPr>
        <w:spacing w:before="126" w:after="0" w:line="273"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(o) is carried out in an area at a workplace in which there is any movement of powered mobile plant; or</w:t>
      </w:r>
    </w:p>
    <w:p>
      <w:pPr>
        <w:spacing w:before="126" w:after="0" w:line="273"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 is carried out in an area in which there are artificial extremes of temperature; or</w:t>
      </w:r>
    </w:p>
    <w:p>
      <w:pPr>
        <w:spacing w:before="126" w:after="1029" w:line="273"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(q) is carried out in or near water or other liquid that involves a risk of drowning; or</w:t>
      </w:r>
    </w:p>
    <w:p>
      <w:pPr>
        <w:spacing w:before="126" w:after="1029"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208</w:t>
      </w:r>
    </w:p>
    <w:p>
      <w:pPr>
        <w:sectPr>
          <w:type w:val="continuous"/>
          <w:pgSz w:w="11909" w:h="16838" w:orient="portrait"/>
          <w:pgMar w:bottom="1082" w:top="1140" w:right="5814" w:left="1975" w:header="720" w:footer="720"/>
          <w:titlePg w:val="false"/>
          <w:textDirection w:val="lrTb"/>
        </w:sectPr>
      </w:pPr>
    </w:p>
    <w:p>
      <w:pPr>
        <w:spacing w:before="6"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2" w:after="223"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6.1	</w:t>
      </w:r>
      <w:r>
        <w:rPr>
          <w:rFonts w:ascii="Times New Roman" w:hAnsi="Times New Roman" w:eastAsia="Times New Roman"/>
          <w:color w:val="000000"/>
          <w:spacing w:val="0"/>
          <w:w w:val="100"/>
          <w:sz w:val="20"/>
          <w:vertAlign w:val="baseline"/>
          <w:lang w:val="en-US"/>
        </w:rPr>
        <w:t xml:space="preserve">Preliminary</w:t>
      </w:r>
    </w:p>
    <w:p>
      <w:pPr>
        <w:spacing w:before="248" w:after="0" w:line="276"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(r) involves diving work.</w:t>
      </w:r>
    </w:p>
    <w:p>
      <w:pPr>
        <w:spacing w:before="126"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292 Meaning of construction project</w:t>
      </w:r>
    </w:p>
    <w:p>
      <w:pPr>
        <w:spacing w:before="116" w:after="0" w:line="276" w:lineRule="exact"/>
        <w:ind w:right="504"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this Chapter, a </w:t>
      </w:r>
      <w:r>
        <w:rPr>
          <w:rFonts w:ascii="Times New Roman" w:hAnsi="Times New Roman" w:eastAsia="Times New Roman"/>
          <w:b w:val="true"/>
          <w:i w:val="true"/>
          <w:color w:val="000000"/>
          <w:spacing w:val="0"/>
          <w:w w:val="100"/>
          <w:sz w:val="24"/>
          <w:vertAlign w:val="baseline"/>
          <w:lang w:val="en-US"/>
        </w:rPr>
        <w:t xml:space="preserve">construction project </w:t>
      </w:r>
      <w:r>
        <w:rPr>
          <w:rFonts w:ascii="Times New Roman" w:hAnsi="Times New Roman" w:eastAsia="Times New Roman"/>
          <w:color w:val="000000"/>
          <w:spacing w:val="0"/>
          <w:w w:val="100"/>
          <w:sz w:val="24"/>
          <w:vertAlign w:val="baseline"/>
          <w:lang w:val="en-US"/>
        </w:rPr>
        <w:t xml:space="preserve">is a project that involves construction work where the cost of the construction work is $250 000 or more.</w:t>
      </w:r>
    </w:p>
    <w:p>
      <w:pPr>
        <w:tabs>
          <w:tab w:val="left" w:leader="none" w:pos="864"/>
        </w:tabs>
        <w:spacing w:before="126"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293	</w:t>
      </w:r>
      <w:r>
        <w:rPr>
          <w:rFonts w:ascii="Times New Roman" w:hAnsi="Times New Roman" w:eastAsia="Times New Roman"/>
          <w:b w:val="true"/>
          <w:color w:val="000000"/>
          <w:spacing w:val="0"/>
          <w:w w:val="100"/>
          <w:sz w:val="24"/>
          <w:vertAlign w:val="baseline"/>
          <w:lang w:val="en-US"/>
        </w:rPr>
        <w:t xml:space="preserve">Meaning of principal contractor</w:t>
      </w:r>
    </w:p>
    <w:p>
      <w:pPr>
        <w:numPr>
          <w:ilvl w:val="0"/>
          <w:numId w:val="517"/>
        </w:numPr>
        <w:tabs>
          <w:tab w:val="clear" w:pos="360"/>
          <w:tab w:val="left" w:pos="1368"/>
        </w:tabs>
        <w:spacing w:before="117"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this Chapter, a person conducting a business or undertaking that commissions a construction project is, subject to this regulation, the </w:t>
      </w:r>
      <w:r>
        <w:rPr>
          <w:rFonts w:ascii="Times New Roman" w:hAnsi="Times New Roman" w:eastAsia="Times New Roman"/>
          <w:b w:val="true"/>
          <w:i w:val="true"/>
          <w:color w:val="000000"/>
          <w:spacing w:val="0"/>
          <w:w w:val="100"/>
          <w:sz w:val="24"/>
          <w:vertAlign w:val="baseline"/>
          <w:lang w:val="en-US"/>
        </w:rPr>
        <w:t xml:space="preserve">principal contractor </w:t>
      </w:r>
      <w:r>
        <w:rPr>
          <w:rFonts w:ascii="Times New Roman" w:hAnsi="Times New Roman" w:eastAsia="Times New Roman"/>
          <w:color w:val="000000"/>
          <w:spacing w:val="0"/>
          <w:w w:val="100"/>
          <w:sz w:val="24"/>
          <w:vertAlign w:val="baseline"/>
          <w:lang w:val="en-US"/>
        </w:rPr>
        <w:t xml:space="preserve">for the project.</w:t>
      </w:r>
    </w:p>
    <w:p>
      <w:pPr>
        <w:numPr>
          <w:ilvl w:val="0"/>
          <w:numId w:val="517"/>
        </w:numPr>
        <w:tabs>
          <w:tab w:val="clear" w:pos="360"/>
          <w:tab w:val="left" w:pos="1368"/>
        </w:tabs>
        <w:spacing w:before="120"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person referred to in subregulation (1) engages another person conducting a business or undertaking as principal contractor for the construction project and authorises the person to have management or control of the workplace and to discharge the duties of a principal contractor under this Chapter, the person so engaged is the </w:t>
      </w:r>
      <w:r>
        <w:rPr>
          <w:rFonts w:ascii="Times New Roman" w:hAnsi="Times New Roman" w:eastAsia="Times New Roman"/>
          <w:b w:val="true"/>
          <w:i w:val="true"/>
          <w:color w:val="000000"/>
          <w:spacing w:val="0"/>
          <w:w w:val="100"/>
          <w:sz w:val="24"/>
          <w:vertAlign w:val="baseline"/>
          <w:lang w:val="en-US"/>
        </w:rPr>
        <w:t xml:space="preserve">principal contractor </w:t>
      </w:r>
      <w:r>
        <w:rPr>
          <w:rFonts w:ascii="Times New Roman" w:hAnsi="Times New Roman" w:eastAsia="Times New Roman"/>
          <w:color w:val="000000"/>
          <w:spacing w:val="0"/>
          <w:w w:val="100"/>
          <w:sz w:val="24"/>
          <w:vertAlign w:val="baseline"/>
          <w:lang w:val="en-US"/>
        </w:rPr>
        <w:t xml:space="preserve">for the project.</w:t>
      </w:r>
    </w:p>
    <w:p>
      <w:pPr>
        <w:numPr>
          <w:ilvl w:val="0"/>
          <w:numId w:val="517"/>
        </w:numPr>
        <w:tabs>
          <w:tab w:val="clear" w:pos="360"/>
          <w:tab w:val="left" w:pos="1368"/>
        </w:tabs>
        <w:spacing w:before="117"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owner of residential premises is an individual who directly or indirectly engages a person conducting a business or undertaking to undertake a construction project in relation to the premises, the person so engaged is the </w:t>
      </w:r>
      <w:r>
        <w:rPr>
          <w:rFonts w:ascii="Times New Roman" w:hAnsi="Times New Roman" w:eastAsia="Times New Roman"/>
          <w:b w:val="true"/>
          <w:i w:val="true"/>
          <w:color w:val="000000"/>
          <w:spacing w:val="0"/>
          <w:w w:val="100"/>
          <w:sz w:val="24"/>
          <w:vertAlign w:val="baseline"/>
          <w:lang w:val="en-US"/>
        </w:rPr>
        <w:t xml:space="preserve">principal contractor </w:t>
      </w:r>
      <w:r>
        <w:rPr>
          <w:rFonts w:ascii="Times New Roman" w:hAnsi="Times New Roman" w:eastAsia="Times New Roman"/>
          <w:color w:val="000000"/>
          <w:spacing w:val="0"/>
          <w:w w:val="100"/>
          <w:sz w:val="24"/>
          <w:vertAlign w:val="baseline"/>
          <w:lang w:val="en-US"/>
        </w:rPr>
        <w:t xml:space="preserve">for the project if the person has management or control of the workplace.</w:t>
      </w:r>
    </w:p>
    <w:p>
      <w:pPr>
        <w:numPr>
          <w:ilvl w:val="0"/>
          <w:numId w:val="517"/>
        </w:numPr>
        <w:tabs>
          <w:tab w:val="clear" w:pos="360"/>
          <w:tab w:val="left" w:pos="1368"/>
        </w:tabs>
        <w:spacing w:before="120" w:after="0" w:line="276" w:lineRule="exact"/>
        <w:ind w:right="57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construction project has only one principal contractor at any specific time.</w:t>
      </w:r>
    </w:p>
    <w:p>
      <w:pPr>
        <w:spacing w:before="129"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3" w:after="4375" w:line="231" w:lineRule="exact"/>
        <w:ind w:right="216"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person with management or control of a workplace must comply with section 20 of the Act.</w:t>
      </w:r>
    </w:p>
    <w:p>
      <w:pPr>
        <w:spacing w:before="333"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1.05pt,0.3pt" style="position:absolute;mso-position-horizontal-relative:text;mso-position-vertical-relative:text;">
            <v:stroke dashstyle="solid"/>
          </v:line>
        </w:pict>
      </w:r>
    </w:p>
    <w:p>
      <w:pPr>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209</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6.2	</w:t>
      </w:r>
      <w:r>
        <w:rPr>
          <w:rFonts w:ascii="Times New Roman" w:hAnsi="Times New Roman" w:eastAsia="Times New Roman"/>
          <w:color w:val="000000"/>
          <w:spacing w:val="0"/>
          <w:w w:val="100"/>
          <w:sz w:val="20"/>
          <w:vertAlign w:val="baseline"/>
          <w:lang w:val="en-US"/>
        </w:rPr>
        <w:t xml:space="preserve">Duties of Designer of Structure and Person Who Commissions Construction Work</w:t>
      </w:r>
    </w:p>
    <w:p>
      <w:pPr>
        <w:spacing w:before="254" w:after="0" w:line="321" w:lineRule="exact"/>
        <w:ind w:right="936" w:left="1368" w:hanging="1368"/>
        <w:jc w:val="left"/>
        <w:textAlignment w:val="baseline"/>
        <w:rPr>
          <w:rFonts w:ascii="Times New Roman" w:hAnsi="Times New Roman" w:eastAsia="Times New Roman"/>
          <w:b w:val="true"/>
          <w:color w:val="000000"/>
          <w:spacing w:val="0"/>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8"/>
          <w:vertAlign w:val="baseline"/>
          <w:lang w:val="en-US"/>
        </w:rPr>
        <w:t xml:space="preserve">Part 6.2 Duties of Designer of Structure and Person Who Commissions Construction Work</w:t>
      </w:r>
    </w:p>
    <w:p>
      <w:pPr>
        <w:spacing w:before="119" w:after="0" w:line="273"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294 Person who commissions work must consult with designer</w:t>
      </w:r>
    </w:p>
    <w:p>
      <w:pPr>
        <w:spacing w:before="122"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w:t>
      </w:r>
    </w:p>
    <w:p>
      <w:pPr>
        <w:numPr>
          <w:ilvl w:val="0"/>
          <w:numId w:val="518"/>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eliminated, so far as is reasonably practicable; or</w:t>
      </w:r>
    </w:p>
    <w:p>
      <w:pPr>
        <w:numPr>
          <w:ilvl w:val="0"/>
          <w:numId w:val="518"/>
        </w:numPr>
        <w:tabs>
          <w:tab w:val="clear" w:pos="360"/>
          <w:tab w:val="left" w:pos="1872"/>
        </w:tabs>
        <w:spacing w:before="124" w:after="0" w:line="274" w:lineRule="exact"/>
        <w:ind w:right="86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it is not reasonably practicable to eliminate the risks, minimised so far as is reasonably practicable.</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0"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Consultation must include giving the designer any information that the person who commissions the construction work has in relation to the hazards and risks at the workplace where the construction work is to be carried out.</w:t>
      </w:r>
    </w:p>
    <w:p>
      <w:pPr>
        <w:spacing w:before="121" w:after="0" w:line="273" w:lineRule="exact"/>
        <w:ind w:right="0" w:left="0" w:firstLine="0"/>
        <w:jc w:val="center"/>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295 Designer must give safety report to person who commissions design</w:t>
      </w:r>
    </w:p>
    <w:p>
      <w:pPr>
        <w:spacing w:before="122" w:after="0" w:line="276"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w:t>
      </w:r>
    </w:p>
    <w:p>
      <w:pPr>
        <w:numPr>
          <w:ilvl w:val="0"/>
          <w:numId w:val="519"/>
        </w:numPr>
        <w:tabs>
          <w:tab w:val="clear" w:pos="360"/>
          <w:tab w:val="left" w:pos="1872"/>
        </w:tabs>
        <w:spacing w:before="116" w:after="0" w:line="278" w:lineRule="exact"/>
        <w:ind w:right="7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create a risk to the health or safety of persons who are to carry out any construction work on the structure or part; and</w:t>
      </w:r>
    </w:p>
    <w:p>
      <w:pPr>
        <w:numPr>
          <w:ilvl w:val="0"/>
          <w:numId w:val="519"/>
        </w:numPr>
        <w:tabs>
          <w:tab w:val="clear" w:pos="360"/>
          <w:tab w:val="left" w:pos="1872"/>
        </w:tabs>
        <w:spacing w:before="116" w:after="0" w:line="278"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are associated only with the particular design and not with other designs of the same type of structure.</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2" w:after="878"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(2) 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spacing w:before="122" w:after="878"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210</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6.2	</w:t>
      </w:r>
      <w:r>
        <w:rPr>
          <w:rFonts w:ascii="Times New Roman" w:hAnsi="Times New Roman" w:eastAsia="Times New Roman"/>
          <w:color w:val="000000"/>
          <w:spacing w:val="0"/>
          <w:w w:val="100"/>
          <w:sz w:val="20"/>
          <w:vertAlign w:val="baseline"/>
          <w:lang w:val="en-US"/>
        </w:rPr>
        <w:t xml:space="preserve">Duties of Designer of Structure and Person Who Commissions Construction Work</w:t>
      </w:r>
    </w:p>
    <w:p>
      <w:pPr>
        <w:spacing w:before="251"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Maximum penalty:</w:t>
      </w:r>
    </w:p>
    <w:p>
      <w:pPr>
        <w:spacing w:before="125"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19"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6" w:after="0" w:line="273" w:lineRule="exact"/>
        <w:ind w:right="216"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296 Person who commissions project must give information to principal contractor</w:t>
      </w:r>
    </w:p>
    <w:p>
      <w:pPr>
        <w:spacing w:before="123" w:after="0" w:line="276"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a person conducting a business or undertaking that commissions a construction project engages a principal contractor for the project, the person must give the principal contractor any information the person has in relation to hazards and risks at or in the vicinity of the workplace where the construction work is to be carried out.</w:t>
      </w:r>
    </w:p>
    <w:p>
      <w:pPr>
        <w:spacing w:before="119"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19" w:after="7795"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333"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1.05pt,0.3pt" style="position:absolute;mso-position-horizontal-relative:text;mso-position-vertical-relative:text;">
            <v:stroke dashstyle="solid"/>
          </v:line>
        </w:pict>
      </w:r>
    </w:p>
    <w:p>
      <w:pPr>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211</w:t>
      </w:r>
    </w:p>
    <w:p>
      <w:pPr>
        <w:sectPr>
          <w:type w:val="continuous"/>
          <w:pgSz w:w="11909" w:h="16838" w:orient="portrait"/>
          <w:pgMar w:bottom="1082" w:top="1140" w:right="5819" w:left="1970" w:header="720" w:footer="720"/>
          <w:titlePg w:val="false"/>
          <w:textDirection w:val="lrTb"/>
        </w:sectPr>
      </w:pPr>
    </w:p>
    <w:p>
      <w:pPr>
        <w:spacing w:before="6"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5" w:after="226"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6.3	</w:t>
      </w:r>
      <w:r>
        <w:rPr>
          <w:rFonts w:ascii="Times New Roman" w:hAnsi="Times New Roman" w:eastAsia="Times New Roman"/>
          <w:color w:val="000000"/>
          <w:spacing w:val="0"/>
          <w:w w:val="100"/>
          <w:sz w:val="20"/>
          <w:vertAlign w:val="baseline"/>
          <w:lang w:val="en-US"/>
        </w:rPr>
        <w:t xml:space="preserve">Duties of Person Conducting Business or Undertaking</w:t>
      </w:r>
    </w:p>
    <w:p>
      <w:pPr>
        <w:spacing w:before="258" w:after="0" w:line="317" w:lineRule="exact"/>
        <w:ind w:right="0" w:left="0" w:firstLine="0"/>
        <w:jc w:val="center"/>
        <w:textAlignment w:val="baseline"/>
        <w:rPr>
          <w:rFonts w:ascii="Times New Roman" w:hAnsi="Times New Roman" w:eastAsia="Times New Roman"/>
          <w:b w:val="true"/>
          <w:color w:val="000000"/>
          <w:spacing w:val="4"/>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4"/>
          <w:w w:val="100"/>
          <w:sz w:val="28"/>
          <w:vertAlign w:val="baseline"/>
          <w:lang w:val="en-US"/>
        </w:rPr>
        <w:t xml:space="preserve">Part 6.3 Duties of Person Conducting Business or Undertaking</w:t>
      </w:r>
    </w:p>
    <w:p>
      <w:pPr>
        <w:spacing w:before="121"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2" w:after="0" w:line="230" w:lineRule="exact"/>
        <w:ind w:right="288"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As a principal contractor is a person conducting a business or undertaking, this Part also applies to a principal contractor.</w:t>
      </w:r>
    </w:p>
    <w:p>
      <w:pPr>
        <w:tabs>
          <w:tab w:val="left" w:leader="none" w:pos="1584"/>
        </w:tabs>
        <w:spacing w:before="246" w:after="0" w:line="273" w:lineRule="exact"/>
        <w:ind w:right="0" w:left="0" w:firstLine="0"/>
        <w:jc w:val="left"/>
        <w:textAlignment w:val="baseline"/>
        <w:rPr>
          <w:rFonts w:ascii="Times New Roman" w:hAnsi="Times New Roman" w:eastAsia="Times New Roman"/>
          <w:b w:val="true"/>
          <w:color w:val="000000"/>
          <w:spacing w:val="-1"/>
          <w:w w:val="100"/>
          <w:sz w:val="24"/>
          <w:vertAlign w:val="baseline"/>
          <w:lang w:val="en-US"/>
        </w:rPr>
      </w:pPr>
      <w:r>
        <w:rPr>
          <w:rFonts w:ascii="Times New Roman" w:hAnsi="Times New Roman" w:eastAsia="Times New Roman"/>
          <w:b w:val="true"/>
          <w:color w:val="000000"/>
          <w:spacing w:val="-1"/>
          <w:w w:val="100"/>
          <w:sz w:val="24"/>
          <w:vertAlign w:val="baseline"/>
          <w:lang w:val="en-US"/>
        </w:rPr>
        <w:t xml:space="preserve">Division 1	</w:t>
      </w:r>
      <w:r>
        <w:rPr>
          <w:rFonts w:ascii="Times New Roman" w:hAnsi="Times New Roman" w:eastAsia="Times New Roman"/>
          <w:b w:val="true"/>
          <w:color w:val="000000"/>
          <w:spacing w:val="-1"/>
          <w:w w:val="100"/>
          <w:sz w:val="24"/>
          <w:vertAlign w:val="baseline"/>
          <w:lang w:val="en-US"/>
        </w:rPr>
        <w:t xml:space="preserve">General</w:t>
      </w:r>
    </w:p>
    <w:p>
      <w:pPr>
        <w:spacing w:before="116" w:after="0" w:line="273"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297 Management of risks to health and safety</w:t>
      </w:r>
    </w:p>
    <w:p>
      <w:pPr>
        <w:spacing w:before="121" w:after="0" w:line="276"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must manage risks associated with the carrying out of construction work in accordance with Part 3.1.</w:t>
      </w:r>
    </w:p>
    <w:p>
      <w:pPr>
        <w:spacing w:before="125"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6"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WHS Act—section 19 (see regulation 9).</w:t>
      </w:r>
    </w:p>
    <w:p>
      <w:pPr>
        <w:tabs>
          <w:tab w:val="left" w:leader="none" w:pos="864"/>
        </w:tabs>
        <w:spacing w:before="121" w:after="0" w:line="273"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298	</w:t>
      </w:r>
      <w:r>
        <w:rPr>
          <w:rFonts w:ascii="Times New Roman" w:hAnsi="Times New Roman" w:eastAsia="Times New Roman"/>
          <w:b w:val="true"/>
          <w:color w:val="000000"/>
          <w:spacing w:val="0"/>
          <w:w w:val="100"/>
          <w:sz w:val="24"/>
          <w:vertAlign w:val="baseline"/>
          <w:lang w:val="en-US"/>
        </w:rPr>
        <w:t xml:space="preserve">Security of workplace</w:t>
      </w:r>
    </w:p>
    <w:p>
      <w:pPr>
        <w:numPr>
          <w:ilvl w:val="0"/>
          <w:numId w:val="520"/>
        </w:numPr>
        <w:tabs>
          <w:tab w:val="clear" w:pos="360"/>
          <w:tab w:val="left" w:pos="1368"/>
        </w:tabs>
        <w:spacing w:before="121"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with management or control of a workplace at which construction work is carried out must ensure, so far as is reasonably practicable, that the workplace is secured from unauthorised access.</w:t>
      </w:r>
    </w:p>
    <w:p>
      <w:pPr>
        <w:spacing w:before="122" w:after="0" w:line="272"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2" w:after="0" w:line="272"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numPr>
          <w:ilvl w:val="0"/>
          <w:numId w:val="520"/>
        </w:numPr>
        <w:tabs>
          <w:tab w:val="clear" w:pos="360"/>
          <w:tab w:val="left" w:pos="1368"/>
        </w:tabs>
        <w:spacing w:before="124" w:after="0" w:line="274"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complying with subregulation (1), the person must have regard to all relevant matters, including:</w:t>
      </w:r>
    </w:p>
    <w:p>
      <w:pPr>
        <w:numPr>
          <w:ilvl w:val="0"/>
          <w:numId w:val="521"/>
        </w:numPr>
        <w:tabs>
          <w:tab w:val="clear" w:pos="288"/>
          <w:tab w:val="left" w:pos="1872"/>
        </w:tabs>
        <w:spacing w:before="124" w:after="0" w:line="274" w:lineRule="exact"/>
        <w:ind w:right="288"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risks to health and safety arising from unauthorised access to the workplace; and</w:t>
      </w:r>
    </w:p>
    <w:p>
      <w:pPr>
        <w:numPr>
          <w:ilvl w:val="0"/>
          <w:numId w:val="521"/>
        </w:numPr>
        <w:tabs>
          <w:tab w:val="clear" w:pos="288"/>
          <w:tab w:val="left" w:pos="1872"/>
        </w:tabs>
        <w:spacing w:before="28" w:after="0" w:line="360" w:lineRule="exact"/>
        <w:ind w:right="108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likelihood of unauthorised access occurring; and </w:t>
      </w:r>
      <w:r>
        <w:rPr>
          <w:rFonts w:ascii="Times New Roman" w:hAnsi="Times New Roman" w:eastAsia="Times New Roman"/>
          <w:b w:val="true"/>
          <w:color w:val="000000"/>
          <w:spacing w:val="0"/>
          <w:w w:val="100"/>
          <w:sz w:val="20"/>
          <w:vertAlign w:val="baseline"/>
          <w:lang w:val="en-US"/>
        </w:rPr>
        <w:t xml:space="preserve">Example</w:t>
      </w:r>
    </w:p>
    <w:p>
      <w:pPr>
        <w:spacing w:before="120" w:after="0" w:line="231" w:lineRule="exact"/>
        <w:ind w:right="72" w:left="1872"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The proximity of the workplace to places frequented by children, including schools, parks and shopping precincts.</w:t>
      </w:r>
    </w:p>
    <w:p>
      <w:pPr>
        <w:numPr>
          <w:ilvl w:val="0"/>
          <w:numId w:val="521"/>
        </w:numPr>
        <w:tabs>
          <w:tab w:val="clear" w:pos="288"/>
          <w:tab w:val="left" w:pos="1872"/>
        </w:tabs>
        <w:spacing w:before="120" w:after="0" w:line="273" w:lineRule="exact"/>
        <w:ind w:right="144"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to the extent that unauthorised access to the workplace cannot be prevented—how to isolate hazards within the workplace.</w:t>
      </w:r>
    </w:p>
    <w:p>
      <w:pPr>
        <w:tabs>
          <w:tab w:val="left" w:leader="none" w:pos="1584"/>
        </w:tabs>
        <w:spacing w:before="252" w:after="0" w:line="273"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2	</w:t>
      </w:r>
      <w:r>
        <w:rPr>
          <w:rFonts w:ascii="Times New Roman" w:hAnsi="Times New Roman" w:eastAsia="Times New Roman"/>
          <w:b w:val="true"/>
          <w:color w:val="000000"/>
          <w:spacing w:val="0"/>
          <w:w w:val="100"/>
          <w:sz w:val="24"/>
          <w:vertAlign w:val="baseline"/>
          <w:lang w:val="en-US"/>
        </w:rPr>
        <w:t xml:space="preserve">High risk construction work—safe work method statements</w:t>
      </w:r>
    </w:p>
    <w:p>
      <w:pPr>
        <w:spacing w:before="109" w:after="0" w:line="279" w:lineRule="exact"/>
        <w:ind w:right="576"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299 Safe work method statement required for high risk construction work</w:t>
      </w:r>
    </w:p>
    <w:p>
      <w:pPr>
        <w:spacing w:before="115" w:after="730" w:line="277"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(1) A person conducting a business or undertaking that includes the carrying out of high risk construction work must, before high risk construction work commences, ensure that a safe work method statement for the proposed work:</w:t>
      </w:r>
    </w:p>
    <w:p>
      <w:pPr>
        <w:spacing w:before="115" w:after="730" w:line="277"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212</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6.3	</w:t>
      </w:r>
      <w:r>
        <w:rPr>
          <w:rFonts w:ascii="Times New Roman" w:hAnsi="Times New Roman" w:eastAsia="Times New Roman"/>
          <w:color w:val="000000"/>
          <w:spacing w:val="0"/>
          <w:w w:val="100"/>
          <w:sz w:val="20"/>
          <w:vertAlign w:val="baseline"/>
          <w:lang w:val="en-US"/>
        </w:rPr>
        <w:t xml:space="preserve">Duties of Person Conducting Business or Undertaking</w:t>
      </w:r>
    </w:p>
    <w:p>
      <w:pPr>
        <w:numPr>
          <w:ilvl w:val="0"/>
          <w:numId w:val="522"/>
        </w:numPr>
        <w:tabs>
          <w:tab w:val="clear" w:pos="360"/>
          <w:tab w:val="left" w:pos="1872"/>
        </w:tabs>
        <w:spacing w:before="25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is prepared; or</w:t>
      </w:r>
    </w:p>
    <w:p>
      <w:pPr>
        <w:numPr>
          <w:ilvl w:val="0"/>
          <w:numId w:val="522"/>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has already been prepared by another person.</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6"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 safe work method statement must:</w:t>
      </w:r>
    </w:p>
    <w:p>
      <w:pPr>
        <w:numPr>
          <w:ilvl w:val="0"/>
          <w:numId w:val="523"/>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identify the work that is high risk construction work; and</w:t>
      </w:r>
    </w:p>
    <w:p>
      <w:pPr>
        <w:numPr>
          <w:ilvl w:val="0"/>
          <w:numId w:val="523"/>
        </w:numPr>
        <w:tabs>
          <w:tab w:val="clear" w:pos="360"/>
          <w:tab w:val="left" w:pos="1872"/>
        </w:tabs>
        <w:spacing w:before="126" w:after="0" w:line="273" w:lineRule="exact"/>
        <w:ind w:right="7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specify hazards relating to the high risk construction work and risks to health and safety associated with those hazards; and</w:t>
      </w:r>
    </w:p>
    <w:p>
      <w:pPr>
        <w:numPr>
          <w:ilvl w:val="0"/>
          <w:numId w:val="523"/>
        </w:numPr>
        <w:tabs>
          <w:tab w:val="clear" w:pos="360"/>
          <w:tab w:val="left" w:pos="1872"/>
        </w:tabs>
        <w:spacing w:before="126" w:after="0" w:line="273"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describe the measures to be implemented to control the risks; and</w:t>
      </w:r>
    </w:p>
    <w:p>
      <w:pPr>
        <w:numPr>
          <w:ilvl w:val="0"/>
          <w:numId w:val="523"/>
        </w:numPr>
        <w:tabs>
          <w:tab w:val="clear" w:pos="360"/>
          <w:tab w:val="left" w:pos="1872"/>
        </w:tabs>
        <w:spacing w:before="126" w:after="0" w:line="273"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describe how the control measures are to be implemented, monitored and reviewed.</w:t>
      </w:r>
    </w:p>
    <w:p>
      <w:pPr>
        <w:spacing w:before="121"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A safe work method statement must:</w:t>
      </w:r>
    </w:p>
    <w:p>
      <w:pPr>
        <w:spacing w:before="125"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be prepared taking into account all relevant matters, including:</w:t>
      </w:r>
    </w:p>
    <w:p>
      <w:pPr>
        <w:numPr>
          <w:ilvl w:val="0"/>
          <w:numId w:val="524"/>
        </w:numPr>
        <w:tabs>
          <w:tab w:val="clear" w:pos="360"/>
          <w:tab w:val="left" w:pos="2376"/>
        </w:tabs>
        <w:spacing w:before="118" w:after="0" w:line="276" w:lineRule="exact"/>
        <w:ind w:right="216"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circumstances at the workplace that may affect the way in which the high risk construction work is carried out; and</w:t>
      </w:r>
    </w:p>
    <w:p>
      <w:pPr>
        <w:numPr>
          <w:ilvl w:val="0"/>
          <w:numId w:val="524"/>
        </w:numPr>
        <w:tabs>
          <w:tab w:val="clear" w:pos="360"/>
          <w:tab w:val="left" w:pos="2376"/>
        </w:tabs>
        <w:spacing w:before="124" w:after="0" w:line="275" w:lineRule="exact"/>
        <w:ind w:right="79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high risk construction work is carried out in connection with a construction project—the WHS management plan that has been prepared for the workplace; and</w:t>
      </w:r>
    </w:p>
    <w:p>
      <w:pPr>
        <w:spacing w:before="124" w:after="0" w:line="274" w:lineRule="exact"/>
        <w:ind w:right="7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be set out and expressed in a way that is readily accessible and understandable to persons who use it.</w:t>
      </w:r>
    </w:p>
    <w:p>
      <w:pPr>
        <w:spacing w:before="125"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300 Compliance with safe work method statement</w:t>
      </w:r>
    </w:p>
    <w:p>
      <w:pPr>
        <w:spacing w:before="117"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144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corporate—$30 000.</w:t>
      </w:r>
    </w:p>
    <w:p>
      <w:pPr>
        <w:spacing w:before="125" w:after="1440"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213</w:t>
      </w:r>
    </w:p>
    <w:p>
      <w:pPr>
        <w:sectPr>
          <w:type w:val="continuous"/>
          <w:pgSz w:w="11909" w:h="16838" w:orient="portrait"/>
          <w:pgMar w:bottom="1082" w:top="1140" w:right="5817" w:left="1972"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6.3	</w:t>
      </w:r>
      <w:r>
        <w:rPr>
          <w:rFonts w:ascii="Times New Roman" w:hAnsi="Times New Roman" w:eastAsia="Times New Roman"/>
          <w:color w:val="000000"/>
          <w:spacing w:val="0"/>
          <w:w w:val="100"/>
          <w:sz w:val="20"/>
          <w:vertAlign w:val="baseline"/>
          <w:lang w:val="en-US"/>
        </w:rPr>
        <w:t xml:space="preserve">Duties of Person Conducting Business or Undertaking</w:t>
      </w:r>
    </w:p>
    <w:p>
      <w:pPr>
        <w:spacing w:before="248"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(2) If high risk construction work is not carried out in accordance with the safe work method statement for the work, the person must ensure that the work:</w:t>
      </w:r>
    </w:p>
    <w:p>
      <w:pPr>
        <w:numPr>
          <w:ilvl w:val="0"/>
          <w:numId w:val="525"/>
        </w:numPr>
        <w:tabs>
          <w:tab w:val="clear" w:pos="360"/>
          <w:tab w:val="left" w:pos="1872"/>
        </w:tabs>
        <w:spacing w:before="126"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stopped immediately or as soon as it is safe to do so; and</w:t>
      </w:r>
    </w:p>
    <w:p>
      <w:pPr>
        <w:numPr>
          <w:ilvl w:val="0"/>
          <w:numId w:val="525"/>
        </w:numPr>
        <w:tabs>
          <w:tab w:val="clear" w:pos="360"/>
          <w:tab w:val="left" w:pos="1872"/>
        </w:tabs>
        <w:spacing w:before="120"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resumed only in accordance with the statement.</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6"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5" w:after="0" w:line="279" w:lineRule="exact"/>
        <w:ind w:right="1008"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301 Safe work method statement—copy to be given to principal contractor</w:t>
      </w:r>
    </w:p>
    <w:p>
      <w:pPr>
        <w:spacing w:before="116" w:after="0" w:line="276" w:lineRule="exact"/>
        <w:ind w:right="216"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5"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302 Review of safe work method statement</w:t>
      </w:r>
    </w:p>
    <w:p>
      <w:pPr>
        <w:spacing w:before="117" w:after="0" w:line="276"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must ensure that a safe work method statement is reviewed and as necessary revised if relevant control measures are revised under regulation 38.</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1"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303 Safe work method statement must be kept</w:t>
      </w:r>
    </w:p>
    <w:p>
      <w:pPr>
        <w:spacing w:before="123" w:after="0" w:line="275"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Subject to subregulation (2), a person conducting a business or undertaking must keep a copy of the safe work method statement until the high risk construction work to which it relates is completed.</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5" w:after="132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corporate—$6 000.</w:t>
      </w:r>
    </w:p>
    <w:p>
      <w:pPr>
        <w:spacing w:before="125" w:after="1320"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214</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6.3	</w:t>
      </w:r>
      <w:r>
        <w:rPr>
          <w:rFonts w:ascii="Times New Roman" w:hAnsi="Times New Roman" w:eastAsia="Times New Roman"/>
          <w:color w:val="000000"/>
          <w:spacing w:val="0"/>
          <w:w w:val="100"/>
          <w:sz w:val="20"/>
          <w:vertAlign w:val="baseline"/>
          <w:lang w:val="en-US"/>
        </w:rPr>
        <w:t xml:space="preserve">Duties of Person Conducting Business or Undertaking</w:t>
      </w:r>
    </w:p>
    <w:p>
      <w:pPr>
        <w:numPr>
          <w:ilvl w:val="0"/>
          <w:numId w:val="526"/>
        </w:numPr>
        <w:tabs>
          <w:tab w:val="clear" w:pos="360"/>
          <w:tab w:val="left" w:pos="1368"/>
        </w:tabs>
        <w:spacing w:before="249" w:after="0" w:line="276"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If a notifiable incident occurs in connection with the high risk construction work to which the statement relates, the person must keep the statement for at least 2 years after the incident occurs.</w:t>
      </w:r>
    </w:p>
    <w:p>
      <w:pPr>
        <w:spacing w:before="125"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19"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5"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numPr>
          <w:ilvl w:val="0"/>
          <w:numId w:val="526"/>
        </w:numPr>
        <w:tabs>
          <w:tab w:val="clear" w:pos="360"/>
          <w:tab w:val="left" w:pos="1368"/>
        </w:tabs>
        <w:spacing w:before="116" w:after="0" w:line="277"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ensure that for the period for which the statement must be kept under this regulation, a copy is readily accessible to any worker engaged by the person to carry out the high risk construction work.</w:t>
      </w:r>
    </w:p>
    <w:p>
      <w:pPr>
        <w:spacing w:before="119"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19"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numPr>
          <w:ilvl w:val="0"/>
          <w:numId w:val="526"/>
        </w:numPr>
        <w:tabs>
          <w:tab w:val="clear" w:pos="360"/>
          <w:tab w:val="left" w:pos="1368"/>
        </w:tabs>
        <w:spacing w:before="118"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ensure that for the period for which the statement must be kept under this regulation, a copy is available for inspection under the Act.</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4"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tabs>
          <w:tab w:val="left" w:leader="none" w:pos="1584"/>
        </w:tabs>
        <w:spacing w:before="245"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3	</w:t>
      </w:r>
      <w:r>
        <w:rPr>
          <w:rFonts w:ascii="Times New Roman" w:hAnsi="Times New Roman" w:eastAsia="Times New Roman"/>
          <w:b w:val="true"/>
          <w:color w:val="000000"/>
          <w:spacing w:val="0"/>
          <w:w w:val="100"/>
          <w:sz w:val="24"/>
          <w:vertAlign w:val="baseline"/>
          <w:lang w:val="en-US"/>
        </w:rPr>
        <w:t xml:space="preserve">Excavation Work</w:t>
      </w:r>
    </w:p>
    <w:p>
      <w:pPr>
        <w:spacing w:before="119" w:after="0" w:line="274" w:lineRule="exact"/>
        <w:ind w:right="0" w:left="0" w:firstLine="0"/>
        <w:jc w:val="center"/>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304 Excavation work—underground essential services information</w:t>
      </w:r>
    </w:p>
    <w:p>
      <w:pPr>
        <w:numPr>
          <w:ilvl w:val="0"/>
          <w:numId w:val="527"/>
        </w:numPr>
        <w:tabs>
          <w:tab w:val="clear" w:pos="360"/>
          <w:tab w:val="left" w:pos="1368"/>
        </w:tabs>
        <w:spacing w:before="116" w:after="0" w:line="278"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regulation applies in relation to a part of a workplace where excavation work is being carried out and any adjacent areas.</w:t>
      </w:r>
    </w:p>
    <w:p>
      <w:pPr>
        <w:numPr>
          <w:ilvl w:val="0"/>
          <w:numId w:val="527"/>
        </w:numPr>
        <w:tabs>
          <w:tab w:val="clear" w:pos="360"/>
          <w:tab w:val="left" w:pos="1368"/>
        </w:tabs>
        <w:spacing w:before="120"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with management or control of the workplace must take all reasonable steps to obtain current underground essential services information about the areas referred to in subregulation (1) before directing or allowing the excavation work to commence.</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0"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numPr>
          <w:ilvl w:val="0"/>
          <w:numId w:val="527"/>
        </w:numPr>
        <w:tabs>
          <w:tab w:val="clear" w:pos="360"/>
          <w:tab w:val="left" w:pos="1368"/>
        </w:tabs>
        <w:spacing w:before="122" w:after="1319" w:line="276"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person with management or control of the workplace must provide the information obtained under subregulation (2) to any person engaged by the person to carry out the excavation work.</w:t>
      </w:r>
    </w:p>
    <w:p>
      <w:pPr>
        <w:spacing w:before="122" w:after="1319"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215</w:t>
      </w:r>
    </w:p>
    <w:p>
      <w:pPr>
        <w:sectPr>
          <w:type w:val="continuous"/>
          <w:pgSz w:w="11909" w:h="16838" w:orient="portrait"/>
          <w:pgMar w:bottom="1082" w:top="1140" w:right="5814" w:left="1975" w:header="720" w:footer="720"/>
          <w:titlePg w:val="false"/>
          <w:textDirection w:val="lrTb"/>
        </w:sectPr>
      </w:pPr>
    </w:p>
    <w:p>
      <w:pPr>
        <w:spacing w:before="6"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2" w:after="223"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6.3	</w:t>
      </w:r>
      <w:r>
        <w:rPr>
          <w:rFonts w:ascii="Times New Roman" w:hAnsi="Times New Roman" w:eastAsia="Times New Roman"/>
          <w:color w:val="000000"/>
          <w:spacing w:val="0"/>
          <w:w w:val="100"/>
          <w:sz w:val="20"/>
          <w:vertAlign w:val="baseline"/>
          <w:lang w:val="en-US"/>
        </w:rPr>
        <w:t xml:space="preserve">Duties of Person Conducting Business or Undertaking</w:t>
      </w:r>
    </w:p>
    <w:p>
      <w:pPr>
        <w:spacing w:before="25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3" w:after="0" w:line="276"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The person with management or control of the workplace and any person conducting a business or undertaking who is given information under subregulation (3) must have regard to the information referred to in subregulation (2) in carrying out or directing or allowing the carrying out of the excavation work.</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30" w:lineRule="exact"/>
        <w:ind w:right="72" w:left="1368"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Legislation relating to the essential services may also impose duties on the person conducting the business or undertaking and the persons carrying out the work.</w:t>
      </w:r>
    </w:p>
    <w:p>
      <w:pPr>
        <w:spacing w:before="114" w:after="0" w:line="277"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The person with control or management of the workplace must ensure that the information referred to in subregulation (2) is available for inspection under the Act for the period specified in subregulation (6).</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26"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(6) The information must be available:</w:t>
      </w:r>
    </w:p>
    <w:p>
      <w:pPr>
        <w:numPr>
          <w:ilvl w:val="0"/>
          <w:numId w:val="528"/>
        </w:numPr>
        <w:tabs>
          <w:tab w:val="clear" w:pos="360"/>
          <w:tab w:val="left" w:pos="1872"/>
        </w:tabs>
        <w:spacing w:before="117"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a notifiable incident occurs in connection with the excavation work to which the information relates—for at least 2 years after the incident occurs; and</w:t>
      </w:r>
    </w:p>
    <w:p>
      <w:pPr>
        <w:numPr>
          <w:ilvl w:val="0"/>
          <w:numId w:val="528"/>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every other case—until the excavation work is completed.</w:t>
      </w:r>
    </w:p>
    <w:p>
      <w:pPr>
        <w:spacing w:before="120"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(7) In this regulation:</w:t>
      </w:r>
    </w:p>
    <w:p>
      <w:pPr>
        <w:spacing w:before="126" w:after="0" w:line="273" w:lineRule="exact"/>
        <w:ind w:right="360" w:left="1872" w:hanging="504"/>
        <w:jc w:val="left"/>
        <w:textAlignment w:val="baseline"/>
        <w:rPr>
          <w:rFonts w:ascii="Times New Roman" w:hAnsi="Times New Roman" w:eastAsia="Times New Roman"/>
          <w:b w:val="true"/>
          <w:i w:val="true"/>
          <w:color w:val="000000"/>
          <w:spacing w:val="-1"/>
          <w:w w:val="100"/>
          <w:sz w:val="24"/>
          <w:vertAlign w:val="baseline"/>
          <w:lang w:val="en-US"/>
        </w:rPr>
      </w:pPr>
      <w:r>
        <w:rPr>
          <w:rFonts w:ascii="Times New Roman" w:hAnsi="Times New Roman" w:eastAsia="Times New Roman"/>
          <w:b w:val="true"/>
          <w:i w:val="true"/>
          <w:color w:val="000000"/>
          <w:spacing w:val="-1"/>
          <w:w w:val="100"/>
          <w:sz w:val="24"/>
          <w:vertAlign w:val="baseline"/>
          <w:lang w:val="en-US"/>
        </w:rPr>
        <w:t xml:space="preserve">underground essential services </w:t>
      </w:r>
      <w:r>
        <w:rPr>
          <w:rFonts w:ascii="Times New Roman" w:hAnsi="Times New Roman" w:eastAsia="Times New Roman"/>
          <w:color w:val="000000"/>
          <w:spacing w:val="-1"/>
          <w:w w:val="100"/>
          <w:sz w:val="24"/>
          <w:vertAlign w:val="baseline"/>
          <w:lang w:val="en-US"/>
        </w:rPr>
        <w:t xml:space="preserve">means essential services that use pipes, cables or other associated plant located underground.</w:t>
      </w:r>
    </w:p>
    <w:p>
      <w:pPr>
        <w:spacing w:before="124" w:after="0" w:line="275" w:lineRule="exact"/>
        <w:ind w:right="288"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underground essential services information</w:t>
      </w:r>
      <w:r>
        <w:rPr>
          <w:rFonts w:ascii="Times New Roman" w:hAnsi="Times New Roman" w:eastAsia="Times New Roman"/>
          <w:color w:val="000000"/>
          <w:spacing w:val="0"/>
          <w:w w:val="100"/>
          <w:sz w:val="24"/>
          <w:vertAlign w:val="baseline"/>
          <w:lang w:val="en-US"/>
        </w:rPr>
        <w:t xml:space="preserve">, in relation to proposed excavation work, means the following information about underground essential services that may be affected by the excavation:</w:t>
      </w:r>
    </w:p>
    <w:p>
      <w:pPr>
        <w:spacing w:before="126" w:after="1300" w:line="273" w:lineRule="exact"/>
        <w:ind w:right="0" w:left="2016"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the essential services that may be affected;</w:t>
      </w:r>
    </w:p>
    <w:p>
      <w:pPr>
        <w:spacing w:before="126" w:after="1300"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216</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6.3	</w:t>
      </w:r>
      <w:r>
        <w:rPr>
          <w:rFonts w:ascii="Times New Roman" w:hAnsi="Times New Roman" w:eastAsia="Times New Roman"/>
          <w:color w:val="000000"/>
          <w:spacing w:val="0"/>
          <w:w w:val="100"/>
          <w:sz w:val="20"/>
          <w:vertAlign w:val="baseline"/>
          <w:lang w:val="en-US"/>
        </w:rPr>
        <w:t xml:space="preserve">Duties of Person Conducting Business or Undertaking</w:t>
      </w:r>
    </w:p>
    <w:p>
      <w:pPr>
        <w:numPr>
          <w:ilvl w:val="0"/>
          <w:numId w:val="529"/>
        </w:numPr>
        <w:tabs>
          <w:tab w:val="clear" w:pos="288"/>
          <w:tab w:val="left" w:pos="2376"/>
        </w:tabs>
        <w:spacing w:before="244" w:after="0" w:line="279" w:lineRule="exact"/>
        <w:ind w:right="72" w:left="2376" w:hanging="288"/>
        <w:jc w:val="left"/>
        <w:textAlignment w:val="baseline"/>
        <w:rPr>
          <w:rFonts w:ascii="Times New Roman" w:hAnsi="Times New Roman" w:eastAsia="Times New Roman"/>
          <w:color w:val="000000"/>
          <w:spacing w:val="-1"/>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1"/>
          <w:w w:val="100"/>
          <w:sz w:val="24"/>
          <w:vertAlign w:val="baseline"/>
          <w:lang w:val="en-US"/>
        </w:rPr>
        <w:t xml:space="preserve">the location, including the depth, of any pipes, cables or other plant associated with the affected essential services;</w:t>
      </w:r>
    </w:p>
    <w:p>
      <w:pPr>
        <w:numPr>
          <w:ilvl w:val="0"/>
          <w:numId w:val="529"/>
        </w:numPr>
        <w:tabs>
          <w:tab w:val="clear" w:pos="288"/>
          <w:tab w:val="left" w:pos="2376"/>
        </w:tabs>
        <w:spacing w:before="121" w:after="0" w:line="272" w:lineRule="exact"/>
        <w:ind w:right="0"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conditions on the proposed excavation work.</w:t>
      </w:r>
    </w:p>
    <w:p>
      <w:pPr>
        <w:spacing w:before="128" w:after="0" w:line="273" w:lineRule="exact"/>
        <w:ind w:right="72"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305 Management of risks to health and safety associated with excavation work</w:t>
      </w:r>
    </w:p>
    <w:p>
      <w:pPr>
        <w:spacing w:before="121"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must manage risks to health and safety associated with excavation work, in accordance with Part 3.1.</w:t>
      </w:r>
    </w:p>
    <w:p>
      <w:pPr>
        <w:spacing w:before="125"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8"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WHS Act—section 19 (see regulation 9).</w:t>
      </w:r>
    </w:p>
    <w:p>
      <w:pPr>
        <w:spacing w:before="119" w:after="0" w:line="272"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risks this regulation applies to include the following:</w:t>
      </w:r>
    </w:p>
    <w:p>
      <w:pPr>
        <w:numPr>
          <w:ilvl w:val="0"/>
          <w:numId w:val="530"/>
        </w:numPr>
        <w:tabs>
          <w:tab w:val="clear" w:pos="360"/>
          <w:tab w:val="left" w:pos="1872"/>
        </w:tabs>
        <w:spacing w:before="122"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falling into an excavation;</w:t>
      </w:r>
    </w:p>
    <w:p>
      <w:pPr>
        <w:numPr>
          <w:ilvl w:val="0"/>
          <w:numId w:val="530"/>
        </w:numPr>
        <w:tabs>
          <w:tab w:val="clear" w:pos="360"/>
          <w:tab w:val="left" w:pos="1872"/>
        </w:tabs>
        <w:spacing w:before="126"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being trapped by the collapse of an excavation;</w:t>
      </w:r>
    </w:p>
    <w:p>
      <w:pPr>
        <w:numPr>
          <w:ilvl w:val="0"/>
          <w:numId w:val="530"/>
        </w:numPr>
        <w:tabs>
          <w:tab w:val="clear" w:pos="360"/>
          <w:tab w:val="left" w:pos="1872"/>
        </w:tabs>
        <w:spacing w:before="116" w:after="0" w:line="278"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working in an excavation being struck by a falling thing;</w:t>
      </w:r>
    </w:p>
    <w:p>
      <w:pPr>
        <w:numPr>
          <w:ilvl w:val="0"/>
          <w:numId w:val="530"/>
        </w:numPr>
        <w:tabs>
          <w:tab w:val="clear" w:pos="360"/>
          <w:tab w:val="left" w:pos="1872"/>
        </w:tabs>
        <w:spacing w:before="116" w:after="0" w:line="278" w:lineRule="exact"/>
        <w:ind w:right="79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working in an excavation being exposed to an airborne contaminant.</w:t>
      </w:r>
    </w:p>
    <w:p>
      <w:pPr>
        <w:spacing w:before="116" w:after="0" w:line="278"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In complying with subregulation (1), the person must have regard to all relevant matters, including the following:</w:t>
      </w:r>
    </w:p>
    <w:p>
      <w:pPr>
        <w:numPr>
          <w:ilvl w:val="0"/>
          <w:numId w:val="531"/>
        </w:numPr>
        <w:tabs>
          <w:tab w:val="clear" w:pos="360"/>
          <w:tab w:val="left" w:pos="1872"/>
        </w:tabs>
        <w:spacing w:before="122"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nature of the excavation;</w:t>
      </w:r>
    </w:p>
    <w:p>
      <w:pPr>
        <w:numPr>
          <w:ilvl w:val="0"/>
          <w:numId w:val="531"/>
        </w:numPr>
        <w:tabs>
          <w:tab w:val="clear" w:pos="360"/>
          <w:tab w:val="left" w:pos="1872"/>
        </w:tabs>
        <w:spacing w:before="124" w:after="0" w:line="274" w:lineRule="exact"/>
        <w:ind w:right="64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nature of the excavation work, including the range of possible methods of carrying out the work;</w:t>
      </w:r>
    </w:p>
    <w:p>
      <w:pPr>
        <w:numPr>
          <w:ilvl w:val="0"/>
          <w:numId w:val="531"/>
        </w:numPr>
        <w:tabs>
          <w:tab w:val="clear" w:pos="360"/>
          <w:tab w:val="left" w:pos="1872"/>
        </w:tabs>
        <w:spacing w:before="124" w:after="0" w:line="274" w:lineRule="exact"/>
        <w:ind w:right="79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means of entry into and exit from the excavation, if applicable.</w:t>
      </w:r>
    </w:p>
    <w:p>
      <w:pPr>
        <w:spacing w:before="126"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306 Additional controls—trenches</w:t>
      </w:r>
    </w:p>
    <w:p>
      <w:pPr>
        <w:numPr>
          <w:ilvl w:val="0"/>
          <w:numId w:val="532"/>
        </w:numPr>
        <w:tabs>
          <w:tab w:val="clear" w:pos="360"/>
          <w:tab w:val="left" w:pos="1368"/>
        </w:tabs>
        <w:spacing w:before="109" w:after="0" w:line="283"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who proposes to excavate a trench at least 1</w:t>
      </w:r>
      <w:r>
        <w:rPr>
          <w:rFonts w:ascii="Symbol" w:hAnsi="Symbol" w:eastAsia="Symbol"/>
          <w:color w:val="000000"/>
          <w:spacing w:val="0"/>
          <w:w w:val="100"/>
          <w:sz w:val="20"/>
          <w:vertAlign w:val="baseline"/>
          <w:lang w:val="en-US"/>
        </w:rPr>
        <w:t xml:space="preserve">⋅</w:t>
      </w:r>
      <w:r>
        <w:rPr>
          <w:rFonts w:ascii="Times New Roman" w:hAnsi="Times New Roman" w:eastAsia="Times New Roman"/>
          <w:color w:val="000000"/>
          <w:spacing w:val="0"/>
          <w:w w:val="100"/>
          <w:sz w:val="24"/>
          <w:vertAlign w:val="baseline"/>
          <w:lang w:val="en-US"/>
        </w:rPr>
        <w:t xml:space="preserve">5 metres deep must ensure, so far as is reasonably practicable, that the work area is secured from unauthorised access (including inadvertent entry).</w:t>
      </w:r>
    </w:p>
    <w:p>
      <w:pPr>
        <w:spacing w:before="122" w:after="0" w:line="272"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2" w:after="0" w:line="272"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532"/>
        </w:numPr>
        <w:tabs>
          <w:tab w:val="clear" w:pos="360"/>
          <w:tab w:val="left" w:pos="1368"/>
        </w:tabs>
        <w:spacing w:before="124" w:after="1119" w:line="274"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complying with subregulation (1), the person must have regard to all relevant matters, including:</w:t>
      </w:r>
    </w:p>
    <w:p>
      <w:pPr>
        <w:spacing w:before="124" w:after="1119"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217</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6.3	</w:t>
      </w:r>
      <w:r>
        <w:rPr>
          <w:rFonts w:ascii="Times New Roman" w:hAnsi="Times New Roman" w:eastAsia="Times New Roman"/>
          <w:color w:val="000000"/>
          <w:spacing w:val="0"/>
          <w:w w:val="100"/>
          <w:sz w:val="20"/>
          <w:vertAlign w:val="baseline"/>
          <w:lang w:val="en-US"/>
        </w:rPr>
        <w:t xml:space="preserve">Duties of Person Conducting Business or Undertaking</w:t>
      </w:r>
    </w:p>
    <w:p>
      <w:pPr>
        <w:numPr>
          <w:ilvl w:val="0"/>
          <w:numId w:val="533"/>
        </w:numPr>
        <w:tabs>
          <w:tab w:val="clear" w:pos="360"/>
          <w:tab w:val="left" w:pos="1872"/>
        </w:tabs>
        <w:spacing w:before="245" w:after="0" w:line="279"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risks to health and safety arising from unauthorised access to the work area; and</w:t>
      </w:r>
    </w:p>
    <w:p>
      <w:pPr>
        <w:numPr>
          <w:ilvl w:val="0"/>
          <w:numId w:val="533"/>
        </w:numPr>
        <w:tabs>
          <w:tab w:val="clear" w:pos="360"/>
          <w:tab w:val="left" w:pos="1872"/>
        </w:tabs>
        <w:spacing w:before="120" w:after="0" w:line="273" w:lineRule="exact"/>
        <w:ind w:right="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likelihood of unauthorised access occurring.</w:t>
      </w:r>
    </w:p>
    <w:p>
      <w:pPr>
        <w:spacing w:before="124" w:after="0" w:line="275"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In addition, the person must minimise the risk to any person arising from the collapse of the trench by ensuring that all sides of the trench are adequately supported by doing 1 or more of the following:</w:t>
      </w:r>
    </w:p>
    <w:p>
      <w:pPr>
        <w:numPr>
          <w:ilvl w:val="0"/>
          <w:numId w:val="534"/>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shoring by shielding or other comparable means;</w:t>
      </w:r>
    </w:p>
    <w:p>
      <w:pPr>
        <w:numPr>
          <w:ilvl w:val="0"/>
          <w:numId w:val="534"/>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benching;</w:t>
      </w:r>
    </w:p>
    <w:p>
      <w:pPr>
        <w:numPr>
          <w:ilvl w:val="0"/>
          <w:numId w:val="534"/>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battering.</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8"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Subregulation (3) does not apply if the person receives written advice from a geotechnical engineer that all sides of the trench are safe from collapse.</w:t>
      </w:r>
    </w:p>
    <w:p>
      <w:pPr>
        <w:spacing w:before="125"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An advice under subregulation (4):</w:t>
      </w:r>
    </w:p>
    <w:p>
      <w:pPr>
        <w:numPr>
          <w:ilvl w:val="0"/>
          <w:numId w:val="535"/>
        </w:numPr>
        <w:tabs>
          <w:tab w:val="clear" w:pos="360"/>
          <w:tab w:val="left" w:pos="1872"/>
        </w:tabs>
        <w:spacing w:before="116" w:after="0" w:line="278" w:lineRule="exact"/>
        <w:ind w:right="1224" w:left="1872"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may be subject to a condition that specified natural</w:t>
        <w:br/>
      </w:r>
      <w:r>
        <w:rPr>
          <w:rFonts w:ascii="Times New Roman" w:hAnsi="Times New Roman" w:eastAsia="Times New Roman"/>
          <w:color w:val="000000"/>
          <w:spacing w:val="-1"/>
          <w:w w:val="100"/>
          <w:sz w:val="24"/>
          <w:vertAlign w:val="baseline"/>
          <w:lang w:val="en-US"/>
        </w:rPr>
        <w:t xml:space="preserve">occurrences may create a risk of collapse; and</w:t>
      </w:r>
    </w:p>
    <w:p>
      <w:pPr>
        <w:numPr>
          <w:ilvl w:val="0"/>
          <w:numId w:val="535"/>
        </w:numPr>
        <w:tabs>
          <w:tab w:val="clear" w:pos="360"/>
          <w:tab w:val="left" w:pos="1872"/>
        </w:tabs>
        <w:spacing w:before="121" w:after="5266"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must state the period of time to which the advice applies.</w:t>
      </w:r>
    </w:p>
    <w:p>
      <w:pPr>
        <w:spacing w:before="333"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1.05pt,0.3pt" style="position:absolute;mso-position-horizontal-relative:text;mso-position-vertical-relative:text;">
            <v:stroke dashstyle="solid"/>
          </v:line>
        </w:pict>
      </w:r>
    </w:p>
    <w:p>
      <w:pPr>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218</w:t>
      </w:r>
    </w:p>
    <w:p>
      <w:pPr>
        <w:sectPr>
          <w:type w:val="continuous"/>
          <w:pgSz w:w="11909" w:h="16838" w:orient="portrait"/>
          <w:pgMar w:bottom="1082" w:top="1140" w:right="5814" w:left="1975" w:header="720" w:footer="720"/>
          <w:titlePg w:val="false"/>
          <w:textDirection w:val="lrTb"/>
        </w:sectPr>
      </w:pPr>
    </w:p>
    <w:p>
      <w:pPr>
        <w:spacing w:before="6"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5" w:after="226"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6.4	</w:t>
      </w:r>
      <w:r>
        <w:rPr>
          <w:rFonts w:ascii="Times New Roman" w:hAnsi="Times New Roman" w:eastAsia="Times New Roman"/>
          <w:color w:val="000000"/>
          <w:spacing w:val="0"/>
          <w:w w:val="100"/>
          <w:sz w:val="20"/>
          <w:vertAlign w:val="baseline"/>
          <w:lang w:val="en-US"/>
        </w:rPr>
        <w:t xml:space="preserve">Additional Duties of Principal Contractor</w:t>
      </w:r>
    </w:p>
    <w:p>
      <w:pPr>
        <w:spacing w:before="258" w:after="0" w:line="317" w:lineRule="exact"/>
        <w:ind w:right="0" w:left="0" w:firstLine="0"/>
        <w:jc w:val="left"/>
        <w:textAlignment w:val="baseline"/>
        <w:rPr>
          <w:rFonts w:ascii="Times New Roman" w:hAnsi="Times New Roman" w:eastAsia="Times New Roman"/>
          <w:b w:val="true"/>
          <w:color w:val="000000"/>
          <w:spacing w:val="4"/>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4"/>
          <w:w w:val="100"/>
          <w:sz w:val="28"/>
          <w:vertAlign w:val="baseline"/>
          <w:lang w:val="en-US"/>
        </w:rPr>
        <w:t xml:space="preserve">Part 6.4 Additional Duties of Principal Contractor</w:t>
      </w:r>
    </w:p>
    <w:p>
      <w:pPr>
        <w:spacing w:before="0" w:after="0" w:line="394" w:lineRule="exact"/>
        <w:ind w:right="0" w:left="1368" w:hanging="108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307 Application of Part 6.4</w:t>
        <w:br/>
      </w:r>
      <w:r>
        <w:rPr>
          <w:rFonts w:ascii="Times New Roman" w:hAnsi="Times New Roman" w:eastAsia="Times New Roman"/>
          <w:color w:val="000000"/>
          <w:spacing w:val="0"/>
          <w:w w:val="100"/>
          <w:sz w:val="24"/>
          <w:vertAlign w:val="baseline"/>
          <w:lang w:val="en-US"/>
        </w:rPr>
        <w:t xml:space="preserve">This Part:</w:t>
      </w:r>
    </w:p>
    <w:p>
      <w:pPr>
        <w:numPr>
          <w:ilvl w:val="0"/>
          <w:numId w:val="536"/>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applies in relation to a construction project; and</w:t>
      </w:r>
    </w:p>
    <w:p>
      <w:pPr>
        <w:numPr>
          <w:ilvl w:val="0"/>
          <w:numId w:val="536"/>
        </w:numPr>
        <w:tabs>
          <w:tab w:val="clear" w:pos="360"/>
          <w:tab w:val="left" w:pos="1872"/>
        </w:tabs>
        <w:spacing w:before="124" w:after="0" w:line="274"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imposes duties on the principal contractor for the project that are additional to the duties imposed under Part 6.3.</w:t>
      </w:r>
    </w:p>
    <w:p>
      <w:pPr>
        <w:spacing w:before="129"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17" w:after="0" w:line="230" w:lineRule="exact"/>
        <w:ind w:right="576"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As a principal contractor has management or control of a workplace, the principal contractor is also subject to duties imposed by the Act and these Regulations on a person with management or control of a workplace.</w:t>
      </w:r>
    </w:p>
    <w:p>
      <w:pPr>
        <w:spacing w:before="121" w:after="0" w:line="274" w:lineRule="exact"/>
        <w:ind w:right="0" w:left="0" w:firstLine="0"/>
        <w:jc w:val="center"/>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308 Specific control measure—signage identifying principal contractor</w:t>
      </w:r>
    </w:p>
    <w:p>
      <w:pPr>
        <w:spacing w:before="128"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6"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20" w:after="0" w:line="274" w:lineRule="exact"/>
        <w:ind w:right="216" w:left="1368" w:firstLine="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principal contractor for a construction project must ensure that signs are installed, that:</w:t>
      </w:r>
    </w:p>
    <w:p>
      <w:pPr>
        <w:numPr>
          <w:ilvl w:val="0"/>
          <w:numId w:val="537"/>
        </w:numPr>
        <w:tabs>
          <w:tab w:val="clear" w:pos="360"/>
          <w:tab w:val="left" w:pos="1872"/>
        </w:tabs>
        <w:spacing w:before="124" w:after="0" w:line="274" w:lineRule="exact"/>
        <w:ind w:right="432" w:left="1872"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show the principal contractor's name and telephone contact numbers (including an after hours telephone number); and</w:t>
      </w:r>
    </w:p>
    <w:p>
      <w:pPr>
        <w:numPr>
          <w:ilvl w:val="0"/>
          <w:numId w:val="537"/>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show the location of the site office for the project, if any; and</w:t>
      </w:r>
    </w:p>
    <w:p>
      <w:pPr>
        <w:numPr>
          <w:ilvl w:val="0"/>
          <w:numId w:val="537"/>
        </w:numPr>
        <w:tabs>
          <w:tab w:val="clear" w:pos="360"/>
          <w:tab w:val="left" w:pos="1872"/>
        </w:tabs>
        <w:spacing w:before="118" w:after="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are clearly visible from outside the workplace, or the work area of the workplace, where the construction project is being undertaken.</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1"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309 WHS management plan—preparation</w:t>
      </w:r>
    </w:p>
    <w:p>
      <w:pPr>
        <w:numPr>
          <w:ilvl w:val="0"/>
          <w:numId w:val="538"/>
        </w:numPr>
        <w:tabs>
          <w:tab w:val="clear" w:pos="360"/>
          <w:tab w:val="left" w:pos="1368"/>
        </w:tabs>
        <w:spacing w:before="121" w:after="0" w:line="276"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principal contractor for a construction project must prepare a written WHS management plan for the workplace before work on the project commences.</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538"/>
        </w:numPr>
        <w:tabs>
          <w:tab w:val="clear" w:pos="360"/>
          <w:tab w:val="left" w:pos="1368"/>
        </w:tabs>
        <w:spacing w:before="121" w:after="0" w:line="273"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WHS management plan must include the following:</w:t>
      </w:r>
    </w:p>
    <w:p>
      <w:pPr>
        <w:spacing w:before="124" w:after="916" w:line="274" w:lineRule="exact"/>
        <w:ind w:right="288" w:left="1872" w:hanging="360"/>
        <w:jc w:val="left"/>
        <w:textAlignment w:val="baseline"/>
        <w:rPr>
          <w:rFonts w:ascii="Times New Roman" w:hAnsi="Times New Roman" w:eastAsia="Times New Roman"/>
          <w:color w:val="000000"/>
          <w:spacing w:val="-1"/>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1"/>
          <w:w w:val="100"/>
          <w:sz w:val="24"/>
          <w:vertAlign w:val="baseline"/>
          <w:lang w:val="en-US"/>
        </w:rPr>
        <w:t xml:space="preserve">(a) the names, positions and health and safety responsibilities of all persons at the workplace whose positions or roles involve</w:t>
      </w:r>
    </w:p>
    <w:p>
      <w:pPr>
        <w:spacing w:before="124" w:after="916"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219</w:t>
      </w:r>
    </w:p>
    <w:p>
      <w:pPr>
        <w:sectPr>
          <w:type w:val="continuous"/>
          <w:pgSz w:w="11909" w:h="16838" w:orient="portrait"/>
          <w:pgMar w:bottom="1082" w:top="1140" w:right="5812" w:left="1977"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6.4	</w:t>
      </w:r>
      <w:r>
        <w:rPr>
          <w:rFonts w:ascii="Times New Roman" w:hAnsi="Times New Roman" w:eastAsia="Times New Roman"/>
          <w:color w:val="000000"/>
          <w:spacing w:val="0"/>
          <w:w w:val="100"/>
          <w:sz w:val="20"/>
          <w:vertAlign w:val="baseline"/>
          <w:lang w:val="en-US"/>
        </w:rPr>
        <w:t xml:space="preserve">Additional Duties of Principal Contractor</w:t>
      </w:r>
    </w:p>
    <w:p>
      <w:pPr>
        <w:spacing w:before="245" w:after="0" w:line="279" w:lineRule="exact"/>
        <w:ind w:right="288"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specific health and safety responsibilities in connection with the project;</w:t>
      </w:r>
    </w:p>
    <w:p>
      <w:pPr>
        <w:numPr>
          <w:ilvl w:val="0"/>
          <w:numId w:val="539"/>
        </w:numPr>
        <w:tabs>
          <w:tab w:val="clear" w:pos="360"/>
          <w:tab w:val="left" w:pos="1872"/>
        </w:tabs>
        <w:spacing w:before="120" w:after="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numPr>
          <w:ilvl w:val="0"/>
          <w:numId w:val="539"/>
        </w:numPr>
        <w:tabs>
          <w:tab w:val="clear" w:pos="360"/>
          <w:tab w:val="left" w:pos="1872"/>
        </w:tabs>
        <w:spacing w:before="114" w:after="0" w:line="279"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arrangements in place for managing any work health and safety incidents that occur;</w:t>
      </w:r>
    </w:p>
    <w:p>
      <w:pPr>
        <w:numPr>
          <w:ilvl w:val="0"/>
          <w:numId w:val="539"/>
        </w:numPr>
        <w:tabs>
          <w:tab w:val="clear" w:pos="360"/>
          <w:tab w:val="left" w:pos="1872"/>
        </w:tabs>
        <w:spacing w:before="117"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site-specific health and safety rules, and the arrangements for ensuring that all persons at the workplace are informed of these rules;</w:t>
      </w:r>
    </w:p>
    <w:p>
      <w:pPr>
        <w:numPr>
          <w:ilvl w:val="0"/>
          <w:numId w:val="539"/>
        </w:numPr>
        <w:tabs>
          <w:tab w:val="clear" w:pos="360"/>
          <w:tab w:val="left" w:pos="1872"/>
        </w:tabs>
        <w:spacing w:before="118" w:after="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arrangements for the collection and any assessment, monitoring and review of safe work method statements at the workplace.</w:t>
      </w:r>
    </w:p>
    <w:p>
      <w:pPr>
        <w:spacing w:before="125"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310 WHS management plan—duty to inform</w:t>
      </w:r>
    </w:p>
    <w:p>
      <w:pPr>
        <w:spacing w:before="119" w:after="0" w:line="276" w:lineRule="exact"/>
        <w:ind w:right="144"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principal contractor for a construction project must ensure, so far as is reasonably practicable, that each person who is to carry out construction work in connection with the project is, before commencing work, made aware of:</w:t>
      </w:r>
    </w:p>
    <w:p>
      <w:pPr>
        <w:numPr>
          <w:ilvl w:val="0"/>
          <w:numId w:val="540"/>
        </w:numPr>
        <w:tabs>
          <w:tab w:val="clear" w:pos="360"/>
          <w:tab w:val="left" w:pos="1872"/>
        </w:tabs>
        <w:spacing w:before="116" w:after="0" w:line="278"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content of the WHS management plan for the workplace; and</w:t>
      </w:r>
    </w:p>
    <w:p>
      <w:pPr>
        <w:numPr>
          <w:ilvl w:val="0"/>
          <w:numId w:val="540"/>
        </w:numPr>
        <w:tabs>
          <w:tab w:val="clear" w:pos="360"/>
          <w:tab w:val="left" w:pos="1872"/>
        </w:tabs>
        <w:spacing w:before="116" w:after="0" w:line="278"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person's right to inspect the WHS management plan under regulation 313.</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5"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311 WHS management plan—review</w:t>
      </w:r>
    </w:p>
    <w:p>
      <w:pPr>
        <w:spacing w:before="117"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principal contractor for a construction project must review and as necessary revise the WHS management plan to ensure that it remains up-to-date.</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5" w:after="1248"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corporate—$18 000.</w:t>
      </w:r>
    </w:p>
    <w:p>
      <w:pPr>
        <w:spacing w:before="125" w:after="1248"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220</w:t>
      </w:r>
    </w:p>
    <w:p>
      <w:pPr>
        <w:sectPr>
          <w:type w:val="continuous"/>
          <w:pgSz w:w="11909" w:h="16838" w:orient="portrait"/>
          <w:pgMar w:bottom="1082" w:top="1140" w:right="5812" w:left="1977" w:header="720" w:footer="720"/>
          <w:titlePg w:val="false"/>
          <w:textDirection w:val="lrTb"/>
        </w:sectPr>
      </w:pPr>
    </w:p>
    <w:p>
      <w:pPr>
        <w:spacing w:before="6"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5" w:after="226"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6.4	</w:t>
      </w:r>
      <w:r>
        <w:rPr>
          <w:rFonts w:ascii="Times New Roman" w:hAnsi="Times New Roman" w:eastAsia="Times New Roman"/>
          <w:color w:val="000000"/>
          <w:spacing w:val="0"/>
          <w:w w:val="100"/>
          <w:sz w:val="20"/>
          <w:vertAlign w:val="baseline"/>
          <w:lang w:val="en-US"/>
        </w:rPr>
        <w:t xml:space="preserve">Additional Duties of Principal Contractor</w:t>
      </w:r>
    </w:p>
    <w:p>
      <w:pPr>
        <w:spacing w:before="247" w:after="0" w:line="277"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(2) The principal contractor for a construction project must ensure, so far as is reasonably practicable, that each person carrying out construction work in connection with the project is made aware of any revision to the WHS management plan.</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6"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312 High risk construction work—safe work method statements</w:t>
      </w:r>
    </w:p>
    <w:p>
      <w:pPr>
        <w:spacing w:before="115" w:after="0" w:line="277"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principal contractor for a construction project must take all reasonable steps to obtain a copy of the safe work method statement relating to high risk construction work before the high risk construction work commences.</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4"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3" w:after="0" w:line="230" w:lineRule="exact"/>
        <w:ind w:right="72"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The WHS management plan contains arrangements for co-operation between persons conducting a business or undertaking at the construction project workplace, including in relation to the preparation of safe work method statements (see regulation 309(2)(b) and (e)).</w:t>
      </w:r>
    </w:p>
    <w:p>
      <w:pPr>
        <w:spacing w:before="121"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313 Copy of WHS management plan must be kept</w:t>
      </w:r>
    </w:p>
    <w:p>
      <w:pPr>
        <w:numPr>
          <w:ilvl w:val="0"/>
          <w:numId w:val="541"/>
        </w:numPr>
        <w:tabs>
          <w:tab w:val="clear" w:pos="360"/>
          <w:tab w:val="left" w:pos="1368"/>
        </w:tabs>
        <w:spacing w:before="123" w:after="0" w:line="275"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Subject to subregulation (2), the principal contractor for a construction project must ensure that a copy of the WHS management plan for the project is kept until the project to which it relates is completed.</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numPr>
          <w:ilvl w:val="0"/>
          <w:numId w:val="541"/>
        </w:numPr>
        <w:tabs>
          <w:tab w:val="clear" w:pos="360"/>
          <w:tab w:val="left" w:pos="1368"/>
        </w:tabs>
        <w:spacing w:before="118" w:after="0" w:line="276" w:lineRule="exact"/>
        <w:ind w:right="72"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If a notifiable incident occurs in connection with the construction project to which the statement relates, the person must keep the WHS management plan for at least 2 years after the incident occurs.</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numPr>
          <w:ilvl w:val="0"/>
          <w:numId w:val="541"/>
        </w:numPr>
        <w:tabs>
          <w:tab w:val="clear" w:pos="360"/>
          <w:tab w:val="left" w:pos="1368"/>
        </w:tabs>
        <w:spacing w:before="124" w:after="724" w:line="274" w:lineRule="exact"/>
        <w:ind w:right="504"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person must ensure that, for the period for which the WHS management plan must be kept under this regulation, a copy is</w:t>
      </w:r>
    </w:p>
    <w:p>
      <w:pPr>
        <w:spacing w:before="124" w:after="724"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221</w:t>
      </w:r>
    </w:p>
    <w:p>
      <w:pPr>
        <w:sectPr>
          <w:type w:val="continuous"/>
          <w:pgSz w:w="11909" w:h="16838" w:orient="portrait"/>
          <w:pgMar w:bottom="1082" w:top="1140" w:right="5819" w:left="1970" w:header="720" w:footer="720"/>
          <w:titlePg w:val="false"/>
          <w:textDirection w:val="lrTb"/>
        </w:sectPr>
      </w:pPr>
    </w:p>
    <w:p>
      <w:pPr>
        <w:spacing w:before="6"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5" w:after="226"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6.4	</w:t>
      </w:r>
      <w:r>
        <w:rPr>
          <w:rFonts w:ascii="Times New Roman" w:hAnsi="Times New Roman" w:eastAsia="Times New Roman"/>
          <w:color w:val="000000"/>
          <w:spacing w:val="0"/>
          <w:w w:val="100"/>
          <w:sz w:val="20"/>
          <w:vertAlign w:val="baseline"/>
          <w:lang w:val="en-US"/>
        </w:rPr>
        <w:t xml:space="preserve">Additional Duties of Principal Contractor</w:t>
      </w:r>
    </w:p>
    <w:p>
      <w:pPr>
        <w:spacing w:before="245" w:after="0" w:line="279" w:lineRule="exact"/>
        <w:ind w:right="432"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readily accessible to any person who is to carry out construction work in connection with the construction project.</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numPr>
          <w:ilvl w:val="0"/>
          <w:numId w:val="541"/>
        </w:numPr>
        <w:tabs>
          <w:tab w:val="clear" w:pos="360"/>
          <w:tab w:val="left" w:pos="1368"/>
        </w:tabs>
        <w:spacing w:before="123" w:after="0" w:line="276" w:lineRule="exact"/>
        <w:ind w:right="57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ensure that for the period for which the WHS management plan must be kept under this regulation, a copy is available for inspection under the Act.</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numPr>
          <w:ilvl w:val="0"/>
          <w:numId w:val="541"/>
        </w:numPr>
        <w:tabs>
          <w:tab w:val="clear" w:pos="360"/>
          <w:tab w:val="left" w:pos="1368"/>
        </w:tabs>
        <w:spacing w:before="126" w:after="0" w:line="273"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this regulation, </w:t>
      </w:r>
      <w:r>
        <w:rPr>
          <w:rFonts w:ascii="Times New Roman" w:hAnsi="Times New Roman" w:eastAsia="Times New Roman"/>
          <w:b w:val="true"/>
          <w:i w:val="true"/>
          <w:color w:val="000000"/>
          <w:spacing w:val="0"/>
          <w:w w:val="100"/>
          <w:sz w:val="24"/>
          <w:vertAlign w:val="baseline"/>
          <w:lang w:val="en-US"/>
        </w:rPr>
        <w:t xml:space="preserve">WHS management plan </w:t>
      </w:r>
      <w:r>
        <w:rPr>
          <w:rFonts w:ascii="Times New Roman" w:hAnsi="Times New Roman" w:eastAsia="Times New Roman"/>
          <w:color w:val="000000"/>
          <w:spacing w:val="0"/>
          <w:w w:val="100"/>
          <w:sz w:val="24"/>
          <w:vertAlign w:val="baseline"/>
          <w:lang w:val="en-US"/>
        </w:rPr>
        <w:t xml:space="preserve">means the initial plan and all revised versions of the plan.</w:t>
      </w:r>
    </w:p>
    <w:p>
      <w:pPr>
        <w:spacing w:before="121"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314 Further health and safety duties—specific regulations</w:t>
      </w:r>
    </w:p>
    <w:p>
      <w:pPr>
        <w:spacing w:before="121" w:after="0" w:line="276"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principal contractor for a construction project must put in place arrangements for ensuring compliance at the workplace with the following:</w:t>
      </w:r>
    </w:p>
    <w:p>
      <w:pPr>
        <w:numPr>
          <w:ilvl w:val="0"/>
          <w:numId w:val="542"/>
        </w:numPr>
        <w:tabs>
          <w:tab w:val="clear" w:pos="288"/>
          <w:tab w:val="left" w:pos="1872"/>
        </w:tabs>
        <w:spacing w:before="121" w:after="0" w:line="273" w:lineRule="exact"/>
        <w:ind w:right="0" w:left="1584"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Division 2 of Part 3.2;</w:t>
      </w:r>
    </w:p>
    <w:p>
      <w:pPr>
        <w:numPr>
          <w:ilvl w:val="0"/>
          <w:numId w:val="542"/>
        </w:numPr>
        <w:tabs>
          <w:tab w:val="clear" w:pos="288"/>
          <w:tab w:val="left" w:pos="1872"/>
        </w:tabs>
        <w:spacing w:before="125" w:after="0" w:line="273" w:lineRule="exact"/>
        <w:ind w:right="0" w:left="1584"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Division 3 of Part 3.2;</w:t>
      </w:r>
    </w:p>
    <w:p>
      <w:pPr>
        <w:numPr>
          <w:ilvl w:val="0"/>
          <w:numId w:val="542"/>
        </w:numPr>
        <w:tabs>
          <w:tab w:val="clear" w:pos="288"/>
          <w:tab w:val="left" w:pos="1872"/>
        </w:tabs>
        <w:spacing w:before="121" w:after="0" w:line="273" w:lineRule="exact"/>
        <w:ind w:right="0" w:left="1584"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Division 4 of Part 3.2;</w:t>
      </w:r>
    </w:p>
    <w:p>
      <w:pPr>
        <w:numPr>
          <w:ilvl w:val="0"/>
          <w:numId w:val="542"/>
        </w:numPr>
        <w:tabs>
          <w:tab w:val="clear" w:pos="288"/>
          <w:tab w:val="left" w:pos="1872"/>
        </w:tabs>
        <w:spacing w:before="125" w:after="0" w:line="273" w:lineRule="exact"/>
        <w:ind w:right="0" w:left="1584"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Division 5 of Part 3.2;</w:t>
      </w:r>
    </w:p>
    <w:p>
      <w:pPr>
        <w:numPr>
          <w:ilvl w:val="0"/>
          <w:numId w:val="542"/>
        </w:numPr>
        <w:tabs>
          <w:tab w:val="clear" w:pos="288"/>
          <w:tab w:val="left" w:pos="1872"/>
        </w:tabs>
        <w:spacing w:before="121" w:after="0" w:line="273" w:lineRule="exact"/>
        <w:ind w:right="0" w:left="1584"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Division 7 of Part 3.2;</w:t>
      </w:r>
    </w:p>
    <w:p>
      <w:pPr>
        <w:numPr>
          <w:ilvl w:val="0"/>
          <w:numId w:val="542"/>
        </w:numPr>
        <w:tabs>
          <w:tab w:val="clear" w:pos="288"/>
          <w:tab w:val="left" w:pos="1872"/>
        </w:tabs>
        <w:spacing w:before="125" w:after="0" w:line="273" w:lineRule="exact"/>
        <w:ind w:right="0" w:left="1584"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Division 8 of Part 3.2;</w:t>
      </w:r>
    </w:p>
    <w:p>
      <w:pPr>
        <w:numPr>
          <w:ilvl w:val="0"/>
          <w:numId w:val="542"/>
        </w:numPr>
        <w:tabs>
          <w:tab w:val="clear" w:pos="288"/>
          <w:tab w:val="left" w:pos="1872"/>
        </w:tabs>
        <w:spacing w:before="121" w:after="0" w:line="273" w:lineRule="exact"/>
        <w:ind w:right="0" w:left="1584"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Division 9 of Part 3.2;</w:t>
      </w:r>
    </w:p>
    <w:p>
      <w:pPr>
        <w:numPr>
          <w:ilvl w:val="0"/>
          <w:numId w:val="542"/>
        </w:numPr>
        <w:tabs>
          <w:tab w:val="clear" w:pos="288"/>
          <w:tab w:val="left" w:pos="1872"/>
        </w:tabs>
        <w:spacing w:before="125" w:after="0" w:line="273" w:lineRule="exact"/>
        <w:ind w:right="0" w:left="1584"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Division 10 of Part 3.2;</w:t>
      </w:r>
    </w:p>
    <w:p>
      <w:pPr>
        <w:numPr>
          <w:ilvl w:val="0"/>
          <w:numId w:val="542"/>
        </w:numPr>
        <w:tabs>
          <w:tab w:val="clear" w:pos="288"/>
          <w:tab w:val="left" w:pos="1872"/>
        </w:tabs>
        <w:spacing w:before="121" w:after="0" w:line="273" w:lineRule="exact"/>
        <w:ind w:right="0" w:left="1584"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Part 4.4.</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3" w:after="792" w:line="230" w:lineRule="exact"/>
        <w:ind w:right="72" w:left="1368"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All persons conducting a business or undertaking at the construction project workplace have these same duties (see Part 3.2 of these Regulations and section 19 of the Act). Section 16 of the Act provides for situations in which more than 1 person has the same duty.</w:t>
      </w:r>
    </w:p>
    <w:p>
      <w:pPr>
        <w:spacing w:before="123" w:after="792" w:line="230"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222</w:t>
      </w:r>
    </w:p>
    <w:p>
      <w:pPr>
        <w:sectPr>
          <w:type w:val="continuous"/>
          <w:pgSz w:w="11909" w:h="16838" w:orient="portrait"/>
          <w:pgMar w:bottom="1082" w:top="1140" w:right="5812" w:left="1977"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6.4	</w:t>
      </w:r>
      <w:r>
        <w:rPr>
          <w:rFonts w:ascii="Times New Roman" w:hAnsi="Times New Roman" w:eastAsia="Times New Roman"/>
          <w:color w:val="000000"/>
          <w:spacing w:val="0"/>
          <w:w w:val="100"/>
          <w:sz w:val="20"/>
          <w:vertAlign w:val="baseline"/>
          <w:lang w:val="en-US"/>
        </w:rPr>
        <w:t xml:space="preserve">Additional Duties of Principal Contractor</w:t>
      </w:r>
    </w:p>
    <w:p>
      <w:pPr>
        <w:spacing w:before="251"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2"/>
          <w:w w:val="100"/>
          <w:sz w:val="24"/>
          <w:vertAlign w:val="baseline"/>
          <w:lang w:val="en-US"/>
        </w:rPr>
        <w:t xml:space="preserve">315 Further health and safety duties—specific risks</w:t>
      </w:r>
    </w:p>
    <w:p>
      <w:pPr>
        <w:spacing w:before="121" w:after="0" w:line="276" w:lineRule="exact"/>
        <w:ind w:right="1008"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principal contractor for a construction project must in accordance with Part 3.1 manage risks to health and safety associated with the following:</w:t>
      </w:r>
    </w:p>
    <w:p>
      <w:pPr>
        <w:numPr>
          <w:ilvl w:val="0"/>
          <w:numId w:val="543"/>
        </w:numPr>
        <w:tabs>
          <w:tab w:val="clear" w:pos="360"/>
          <w:tab w:val="left" w:pos="1872"/>
        </w:tabs>
        <w:spacing w:before="114" w:after="0" w:line="279"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storage, movement and disposal of construction materials and waste at the workplace;</w:t>
      </w:r>
    </w:p>
    <w:p>
      <w:pPr>
        <w:numPr>
          <w:ilvl w:val="0"/>
          <w:numId w:val="543"/>
        </w:numPr>
        <w:tabs>
          <w:tab w:val="clear" w:pos="360"/>
          <w:tab w:val="left" w:pos="1872"/>
        </w:tabs>
        <w:spacing w:before="121"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storage at the workplace of plant that is not in use;</w:t>
      </w:r>
    </w:p>
    <w:p>
      <w:pPr>
        <w:numPr>
          <w:ilvl w:val="0"/>
          <w:numId w:val="543"/>
        </w:numPr>
        <w:tabs>
          <w:tab w:val="clear" w:pos="360"/>
          <w:tab w:val="left" w:pos="1872"/>
        </w:tabs>
        <w:spacing w:before="123"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traffic in the vicinity of the workplace that may be affected by construction work carried out in connection with the construction project;</w:t>
      </w:r>
    </w:p>
    <w:p>
      <w:pPr>
        <w:numPr>
          <w:ilvl w:val="0"/>
          <w:numId w:val="543"/>
        </w:numPr>
        <w:tabs>
          <w:tab w:val="clear" w:pos="360"/>
          <w:tab w:val="left" w:pos="1872"/>
        </w:tabs>
        <w:spacing w:before="121"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essential services at the workplace.</w:t>
      </w:r>
    </w:p>
    <w:p>
      <w:pPr>
        <w:spacing w:before="125"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7886" w:line="227"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WHS Act—section 20 (see regulation 9).</w:t>
      </w:r>
    </w:p>
    <w:p>
      <w:pPr>
        <w:spacing w:before="333"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1.05pt,0.3pt" style="position:absolute;mso-position-horizontal-relative:text;mso-position-vertical-relative:text;">
            <v:stroke dashstyle="solid"/>
          </v:line>
        </w:pict>
      </w:r>
    </w:p>
    <w:p>
      <w:pPr>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223</w:t>
      </w:r>
    </w:p>
    <w:p>
      <w:pPr>
        <w:sectPr>
          <w:type w:val="continuous"/>
          <w:pgSz w:w="11909" w:h="16838" w:orient="portrait"/>
          <w:pgMar w:bottom="1082" w:top="1140" w:right="5817" w:left="1972"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6.5	</w:t>
      </w:r>
      <w:r>
        <w:rPr>
          <w:rFonts w:ascii="Times New Roman" w:hAnsi="Times New Roman" w:eastAsia="Times New Roman"/>
          <w:color w:val="000000"/>
          <w:spacing w:val="0"/>
          <w:w w:val="100"/>
          <w:sz w:val="20"/>
          <w:vertAlign w:val="baseline"/>
          <w:lang w:val="en-US"/>
        </w:rPr>
        <w:t xml:space="preserve">General Construction Induction Training</w:t>
      </w:r>
    </w:p>
    <w:p>
      <w:pPr>
        <w:spacing w:before="258" w:after="0" w:line="317" w:lineRule="exact"/>
        <w:ind w:right="0" w:left="0" w:firstLine="0"/>
        <w:jc w:val="left"/>
        <w:textAlignment w:val="baseline"/>
        <w:rPr>
          <w:rFonts w:ascii="Times New Roman" w:hAnsi="Times New Roman" w:eastAsia="Times New Roman"/>
          <w:b w:val="true"/>
          <w:color w:val="000000"/>
          <w:spacing w:val="5"/>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5"/>
          <w:w w:val="100"/>
          <w:sz w:val="28"/>
          <w:vertAlign w:val="baseline"/>
          <w:lang w:val="en-US"/>
        </w:rPr>
        <w:t xml:space="preserve">Part 6.5 General Construction Induction Training</w:t>
      </w:r>
    </w:p>
    <w:p>
      <w:pPr>
        <w:tabs>
          <w:tab w:val="left" w:leader="none" w:pos="1584"/>
        </w:tabs>
        <w:spacing w:before="243"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1	</w:t>
      </w:r>
      <w:r>
        <w:rPr>
          <w:rFonts w:ascii="Times New Roman" w:hAnsi="Times New Roman" w:eastAsia="Times New Roman"/>
          <w:b w:val="true"/>
          <w:color w:val="000000"/>
          <w:spacing w:val="0"/>
          <w:w w:val="100"/>
          <w:sz w:val="24"/>
          <w:vertAlign w:val="baseline"/>
          <w:lang w:val="en-US"/>
        </w:rPr>
        <w:t xml:space="preserve">General construction induction training requirements</w:t>
      </w:r>
    </w:p>
    <w:p>
      <w:pPr>
        <w:spacing w:before="119"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316 Duty to provide general construction induction training</w:t>
      </w:r>
    </w:p>
    <w:p>
      <w:pPr>
        <w:spacing w:before="119" w:after="0" w:line="276" w:lineRule="exact"/>
        <w:ind w:right="144"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must ensure that general construction induction training is provided to a worker engaged by the person who is to carry out construction work, if the worker:</w:t>
      </w:r>
    </w:p>
    <w:p>
      <w:pPr>
        <w:numPr>
          <w:ilvl w:val="0"/>
          <w:numId w:val="544"/>
        </w:numPr>
        <w:tabs>
          <w:tab w:val="clear" w:pos="360"/>
          <w:tab w:val="left" w:pos="1872"/>
        </w:tabs>
        <w:spacing w:before="116" w:after="0" w:line="278"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has not successfully completed general construction induction training; or</w:t>
      </w:r>
    </w:p>
    <w:p>
      <w:pPr>
        <w:numPr>
          <w:ilvl w:val="0"/>
          <w:numId w:val="544"/>
        </w:numPr>
        <w:tabs>
          <w:tab w:val="clear" w:pos="360"/>
          <w:tab w:val="left" w:pos="1872"/>
        </w:tabs>
        <w:spacing w:before="118"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successfully completed general construction induction training more than 2 years previously and has not carried out construction work in the preceding 2 years.</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1"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317 Duty to ensure worker has been trained</w:t>
      </w:r>
    </w:p>
    <w:p>
      <w:pPr>
        <w:spacing w:before="124"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must not direct or</w:t>
      </w:r>
    </w:p>
    <w:p>
      <w:pPr>
        <w:spacing w:before="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allow a worker to carry out construction work unless:</w:t>
      </w:r>
    </w:p>
    <w:p>
      <w:pPr>
        <w:numPr>
          <w:ilvl w:val="0"/>
          <w:numId w:val="545"/>
        </w:numPr>
        <w:tabs>
          <w:tab w:val="clear" w:pos="360"/>
          <w:tab w:val="left" w:pos="1872"/>
        </w:tabs>
        <w:spacing w:before="124" w:after="0" w:line="274"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worker has successfully completed general construction induction training; and</w:t>
      </w:r>
    </w:p>
    <w:p>
      <w:pPr>
        <w:numPr>
          <w:ilvl w:val="0"/>
          <w:numId w:val="545"/>
        </w:numPr>
        <w:tabs>
          <w:tab w:val="clear" w:pos="360"/>
          <w:tab w:val="left" w:pos="1872"/>
        </w:tabs>
        <w:spacing w:before="122" w:after="0" w:line="276"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worker completed the training more than 2 years previously—the worker has carried out construction work in the preceding 2 years.</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4" w:after="0" w:line="274" w:lineRule="exact"/>
        <w:ind w:right="504"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person conducting the business or undertaking must ensure that:</w:t>
      </w:r>
    </w:p>
    <w:p>
      <w:pPr>
        <w:numPr>
          <w:ilvl w:val="0"/>
          <w:numId w:val="546"/>
        </w:numPr>
        <w:tabs>
          <w:tab w:val="clear" w:pos="360"/>
          <w:tab w:val="left" w:pos="1872"/>
        </w:tabs>
        <w:spacing w:before="124" w:after="0" w:line="274"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worker holds a general construction induction training card; or</w:t>
      </w:r>
    </w:p>
    <w:p>
      <w:pPr>
        <w:numPr>
          <w:ilvl w:val="0"/>
          <w:numId w:val="546"/>
        </w:numPr>
        <w:tabs>
          <w:tab w:val="clear" w:pos="360"/>
          <w:tab w:val="left" w:pos="1872"/>
        </w:tabs>
        <w:spacing w:before="120" w:after="1118"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if the worker has applied for but not yet been issued with a general construction induction training card, the worker holds a general construction induction training certification, issued within the preceding 60 days.</w:t>
      </w:r>
    </w:p>
    <w:p>
      <w:pPr>
        <w:spacing w:before="120" w:after="1118"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224</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6.5	</w:t>
      </w:r>
      <w:r>
        <w:rPr>
          <w:rFonts w:ascii="Times New Roman" w:hAnsi="Times New Roman" w:eastAsia="Times New Roman"/>
          <w:color w:val="000000"/>
          <w:spacing w:val="0"/>
          <w:w w:val="100"/>
          <w:sz w:val="20"/>
          <w:vertAlign w:val="baseline"/>
          <w:lang w:val="en-US"/>
        </w:rPr>
        <w:t xml:space="preserve">General Construction Induction Training</w:t>
      </w:r>
    </w:p>
    <w:p>
      <w:pPr>
        <w:spacing w:before="245" w:after="0" w:line="279" w:lineRule="exact"/>
        <w:ind w:right="288" w:left="288" w:firstLine="0"/>
        <w:jc w:val="left"/>
        <w:textAlignment w:val="baseline"/>
        <w:rPr>
          <w:rFonts w:ascii="Times New Roman" w:hAnsi="Times New Roman" w:eastAsia="Times New Roman"/>
          <w:b w:val="true"/>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4"/>
          <w:vertAlign w:val="baseline"/>
          <w:lang w:val="en-US"/>
        </w:rPr>
        <w:t xml:space="preserve">318 Recognition of general construction induction training cards issued in other jurisdictions</w:t>
      </w:r>
    </w:p>
    <w:p>
      <w:pPr>
        <w:numPr>
          <w:ilvl w:val="0"/>
          <w:numId w:val="547"/>
        </w:numPr>
        <w:tabs>
          <w:tab w:val="clear" w:pos="360"/>
          <w:tab w:val="left" w:pos="1368"/>
        </w:tabs>
        <w:spacing w:before="117"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this Part (other than Division 2), a reference to a general construction induction training card includes a reference to a similar card issued under a corresponding WHS law.</w:t>
      </w:r>
    </w:p>
    <w:p>
      <w:pPr>
        <w:numPr>
          <w:ilvl w:val="0"/>
          <w:numId w:val="547"/>
        </w:numPr>
        <w:tabs>
          <w:tab w:val="clear" w:pos="360"/>
          <w:tab w:val="left" w:pos="1368"/>
        </w:tabs>
        <w:spacing w:before="126" w:after="0" w:line="273"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Subregulation (1) does not apply to a card that is cancelled in the corresponding jurisdiction.</w:t>
      </w:r>
    </w:p>
    <w:p>
      <w:pPr>
        <w:tabs>
          <w:tab w:val="left" w:leader="none" w:pos="1584"/>
        </w:tabs>
        <w:spacing w:before="251" w:after="0" w:line="273"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2	</w:t>
      </w:r>
      <w:r>
        <w:rPr>
          <w:rFonts w:ascii="Times New Roman" w:hAnsi="Times New Roman" w:eastAsia="Times New Roman"/>
          <w:b w:val="true"/>
          <w:color w:val="000000"/>
          <w:spacing w:val="0"/>
          <w:w w:val="100"/>
          <w:sz w:val="24"/>
          <w:vertAlign w:val="baseline"/>
          <w:lang w:val="en-US"/>
        </w:rPr>
        <w:t xml:space="preserve">General construction induction training cards</w:t>
      </w:r>
    </w:p>
    <w:p>
      <w:pPr>
        <w:spacing w:before="119"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8"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notes in the Appendix.</w:t>
      </w:r>
    </w:p>
    <w:p>
      <w:pPr>
        <w:spacing w:before="119" w:after="0" w:line="273" w:lineRule="exact"/>
        <w:ind w:right="0" w:left="288" w:firstLine="0"/>
        <w:jc w:val="left"/>
        <w:textAlignment w:val="baseline"/>
        <w:rPr>
          <w:rFonts w:ascii="Times New Roman" w:hAnsi="Times New Roman" w:eastAsia="Times New Roman"/>
          <w:b w:val="true"/>
          <w:color w:val="000000"/>
          <w:spacing w:val="7"/>
          <w:w w:val="100"/>
          <w:sz w:val="24"/>
          <w:vertAlign w:val="baseline"/>
          <w:lang w:val="en-US"/>
        </w:rPr>
      </w:pPr>
      <w:r>
        <w:rPr>
          <w:rFonts w:ascii="Times New Roman" w:hAnsi="Times New Roman" w:eastAsia="Times New Roman"/>
          <w:b w:val="true"/>
          <w:color w:val="000000"/>
          <w:spacing w:val="7"/>
          <w:w w:val="100"/>
          <w:sz w:val="24"/>
          <w:vertAlign w:val="baseline"/>
          <w:lang w:val="en-US"/>
        </w:rPr>
        <w:t xml:space="preserve">319 Issue of card</w:t>
      </w:r>
    </w:p>
    <w:p>
      <w:pPr>
        <w:spacing w:before="118" w:after="0" w:line="276"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who has successfully completed general construction induction training in [this jurisdiction] may apply to the regulator for a general construction induction training card.</w:t>
      </w:r>
    </w:p>
    <w:p>
      <w:pPr>
        <w:spacing w:before="124" w:after="0" w:line="274" w:lineRule="exact"/>
        <w:ind w:right="216"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application must be made in the manner and form required by the regulator.</w:t>
      </w:r>
    </w:p>
    <w:p>
      <w:pPr>
        <w:spacing w:before="125"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application must include the following information:</w:t>
      </w:r>
    </w:p>
    <w:p>
      <w:pPr>
        <w:numPr>
          <w:ilvl w:val="0"/>
          <w:numId w:val="548"/>
        </w:numPr>
        <w:tabs>
          <w:tab w:val="clear" w:pos="360"/>
          <w:tab w:val="left" w:pos="1872"/>
        </w:tabs>
        <w:spacing w:before="116" w:after="0" w:line="278"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applicant's name and any other evidence of the applicant's identity required by the regulator;</w:t>
      </w:r>
    </w:p>
    <w:p>
      <w:pPr>
        <w:numPr>
          <w:ilvl w:val="0"/>
          <w:numId w:val="548"/>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either:</w:t>
      </w:r>
    </w:p>
    <w:p>
      <w:pPr>
        <w:numPr>
          <w:ilvl w:val="0"/>
          <w:numId w:val="549"/>
        </w:numPr>
        <w:tabs>
          <w:tab w:val="clear" w:pos="360"/>
          <w:tab w:val="left" w:pos="2376"/>
        </w:tabs>
        <w:spacing w:before="124" w:after="0" w:line="274" w:lineRule="exact"/>
        <w:ind w:right="50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general construction induction training certification issued to the applicant; or</w:t>
      </w:r>
    </w:p>
    <w:p>
      <w:pPr>
        <w:numPr>
          <w:ilvl w:val="0"/>
          <w:numId w:val="549"/>
        </w:numPr>
        <w:tabs>
          <w:tab w:val="clear" w:pos="360"/>
          <w:tab w:val="left" w:pos="2376"/>
        </w:tabs>
        <w:spacing w:before="124" w:after="0" w:line="275" w:lineRule="exact"/>
        <w:ind w:right="288"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written declaration by the person who provided the general construction induction training on behalf of the relevant RTO that the applicant has successfully completed general construction induction training.</w:t>
      </w:r>
    </w:p>
    <w:p>
      <w:pPr>
        <w:spacing w:before="125"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The application must be accompanied by the relevant fee.</w:t>
      </w:r>
    </w:p>
    <w:p>
      <w:pPr>
        <w:spacing w:before="121"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The application must be made:</w:t>
      </w:r>
    </w:p>
    <w:p>
      <w:pPr>
        <w:numPr>
          <w:ilvl w:val="0"/>
          <w:numId w:val="550"/>
        </w:numPr>
        <w:tabs>
          <w:tab w:val="clear" w:pos="360"/>
          <w:tab w:val="left" w:pos="1872"/>
        </w:tabs>
        <w:spacing w:before="124" w:after="0" w:line="274" w:lineRule="exact"/>
        <w:ind w:right="64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within 60 days after the issue of the general construction induction training certification; or</w:t>
      </w:r>
    </w:p>
    <w:p>
      <w:pPr>
        <w:numPr>
          <w:ilvl w:val="0"/>
          <w:numId w:val="550"/>
        </w:numPr>
        <w:tabs>
          <w:tab w:val="clear" w:pos="360"/>
          <w:tab w:val="left" w:pos="1872"/>
        </w:tabs>
        <w:spacing w:before="122" w:after="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application is accompanied by a declaration referred to in subregulation (3)(b)(ii), at any time after completion of the general construction induction training.</w:t>
      </w:r>
    </w:p>
    <w:p>
      <w:pPr>
        <w:spacing w:before="116" w:after="979" w:line="278" w:lineRule="exact"/>
        <w:ind w:right="288" w:left="1368" w:hanging="36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(6) The regulator must issue a general construction induction training card to the applicant if:</w:t>
      </w:r>
    </w:p>
    <w:p>
      <w:pPr>
        <w:spacing w:before="116" w:after="979"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225</w:t>
      </w:r>
    </w:p>
    <w:p>
      <w:pPr>
        <w:sectPr>
          <w:type w:val="continuous"/>
          <w:pgSz w:w="11909" w:h="16838" w:orient="portrait"/>
          <w:pgMar w:bottom="1082" w:top="1140" w:right="5814" w:left="1975"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6.5	</w:t>
      </w:r>
      <w:r>
        <w:rPr>
          <w:rFonts w:ascii="Times New Roman" w:hAnsi="Times New Roman" w:eastAsia="Times New Roman"/>
          <w:color w:val="000000"/>
          <w:spacing w:val="0"/>
          <w:w w:val="100"/>
          <w:sz w:val="20"/>
          <w:vertAlign w:val="baseline"/>
          <w:lang w:val="en-US"/>
        </w:rPr>
        <w:t xml:space="preserve">General Construction Induction Training</w:t>
      </w:r>
    </w:p>
    <w:p>
      <w:pPr>
        <w:numPr>
          <w:ilvl w:val="0"/>
          <w:numId w:val="551"/>
        </w:numPr>
        <w:tabs>
          <w:tab w:val="clear" w:pos="432"/>
          <w:tab w:val="left" w:pos="1944"/>
        </w:tabs>
        <w:spacing w:before="245" w:after="0" w:line="279" w:lineRule="exact"/>
        <w:ind w:right="936" w:left="1944" w:hanging="432"/>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application has been made in accordance with this regulation; and</w:t>
      </w:r>
    </w:p>
    <w:p>
      <w:pPr>
        <w:numPr>
          <w:ilvl w:val="0"/>
          <w:numId w:val="551"/>
        </w:numPr>
        <w:tabs>
          <w:tab w:val="clear" w:pos="432"/>
          <w:tab w:val="left" w:pos="1944"/>
        </w:tabs>
        <w:spacing w:before="114" w:after="0" w:line="279" w:lineRule="exact"/>
        <w:ind w:right="432" w:left="1944" w:hanging="432"/>
        <w:jc w:val="both"/>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the regulator is satisfied that the applicant has successfully completed general construction induction training.</w:t>
      </w:r>
    </w:p>
    <w:p>
      <w:pPr>
        <w:numPr>
          <w:ilvl w:val="0"/>
          <w:numId w:val="552"/>
        </w:numPr>
        <w:tabs>
          <w:tab w:val="clear" w:pos="360"/>
          <w:tab w:val="left" w:pos="1368"/>
        </w:tabs>
        <w:spacing w:before="114" w:after="0" w:line="279"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must make a decision on the application as soon as practicable.</w:t>
      </w:r>
    </w:p>
    <w:p>
      <w:pPr>
        <w:numPr>
          <w:ilvl w:val="0"/>
          <w:numId w:val="552"/>
        </w:numPr>
        <w:tabs>
          <w:tab w:val="clear" w:pos="360"/>
          <w:tab w:val="left" w:pos="1368"/>
        </w:tabs>
        <w:spacing w:before="117" w:after="0" w:line="276"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regulator has not decided on the application within 60 days, the applicant is taken to hold a general construction induction training card until a decision is made.</w:t>
      </w:r>
    </w:p>
    <w:p>
      <w:pPr>
        <w:spacing w:before="126" w:after="0" w:line="274" w:lineRule="exact"/>
        <w:ind w:right="0" w:left="288" w:firstLine="0"/>
        <w:jc w:val="left"/>
        <w:textAlignment w:val="baseline"/>
        <w:rPr>
          <w:rFonts w:ascii="Times New Roman" w:hAnsi="Times New Roman" w:eastAsia="Times New Roman"/>
          <w:b w:val="true"/>
          <w:color w:val="000000"/>
          <w:spacing w:val="7"/>
          <w:w w:val="100"/>
          <w:sz w:val="24"/>
          <w:vertAlign w:val="baseline"/>
          <w:lang w:val="en-US"/>
        </w:rPr>
      </w:pPr>
      <w:r>
        <w:rPr>
          <w:rFonts w:ascii="Times New Roman" w:hAnsi="Times New Roman" w:eastAsia="Times New Roman"/>
          <w:b w:val="true"/>
          <w:color w:val="000000"/>
          <w:spacing w:val="7"/>
          <w:w w:val="100"/>
          <w:sz w:val="24"/>
          <w:vertAlign w:val="baseline"/>
          <w:lang w:val="en-US"/>
        </w:rPr>
        <w:t xml:space="preserve">320 Content of card</w:t>
      </w:r>
    </w:p>
    <w:p>
      <w:pPr>
        <w:spacing w:before="119"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general construction induction training card must:</w:t>
      </w:r>
    </w:p>
    <w:p>
      <w:pPr>
        <w:spacing w:before="126"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state the following:</w:t>
      </w:r>
    </w:p>
    <w:p>
      <w:pPr>
        <w:numPr>
          <w:ilvl w:val="0"/>
          <w:numId w:val="553"/>
        </w:numPr>
        <w:tabs>
          <w:tab w:val="clear" w:pos="432"/>
          <w:tab w:val="left" w:pos="2376"/>
        </w:tabs>
        <w:spacing w:before="119" w:after="0" w:line="274" w:lineRule="exact"/>
        <w:ind w:right="288"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the card holder has completed general construction induction training;</w:t>
      </w:r>
    </w:p>
    <w:p>
      <w:pPr>
        <w:numPr>
          <w:ilvl w:val="0"/>
          <w:numId w:val="553"/>
        </w:numPr>
        <w:tabs>
          <w:tab w:val="clear" w:pos="432"/>
          <w:tab w:val="left" w:pos="2376"/>
        </w:tabs>
        <w:spacing w:before="125" w:after="0" w:line="273"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of the card holder;</w:t>
      </w:r>
    </w:p>
    <w:p>
      <w:pPr>
        <w:numPr>
          <w:ilvl w:val="0"/>
          <w:numId w:val="553"/>
        </w:numPr>
        <w:tabs>
          <w:tab w:val="clear" w:pos="432"/>
          <w:tab w:val="left" w:pos="2376"/>
        </w:tabs>
        <w:spacing w:before="121" w:after="0" w:line="273"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date on which the card was issued;</w:t>
      </w:r>
    </w:p>
    <w:p>
      <w:pPr>
        <w:numPr>
          <w:ilvl w:val="0"/>
          <w:numId w:val="553"/>
        </w:numPr>
        <w:tabs>
          <w:tab w:val="clear" w:pos="432"/>
          <w:tab w:val="left" w:pos="2376"/>
        </w:tabs>
        <w:spacing w:before="125" w:after="0" w:line="273"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unique identifying number;</w:t>
      </w:r>
    </w:p>
    <w:p>
      <w:pPr>
        <w:numPr>
          <w:ilvl w:val="0"/>
          <w:numId w:val="553"/>
        </w:numPr>
        <w:tabs>
          <w:tab w:val="clear" w:pos="432"/>
          <w:tab w:val="left" w:pos="2376"/>
        </w:tabs>
        <w:spacing w:before="121" w:after="0" w:line="273"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[State] in which the card was issued; and</w:t>
      </w:r>
    </w:p>
    <w:p>
      <w:pPr>
        <w:spacing w:before="125"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contain the card holder's signature.</w:t>
      </w:r>
    </w:p>
    <w:p>
      <w:pPr>
        <w:spacing w:before="121" w:after="0" w:line="274" w:lineRule="exact"/>
        <w:ind w:right="0" w:left="288" w:firstLine="0"/>
        <w:jc w:val="left"/>
        <w:textAlignment w:val="baseline"/>
        <w:rPr>
          <w:rFonts w:ascii="Times New Roman" w:hAnsi="Times New Roman" w:eastAsia="Times New Roman"/>
          <w:b w:val="true"/>
          <w:color w:val="000000"/>
          <w:spacing w:val="7"/>
          <w:w w:val="100"/>
          <w:sz w:val="24"/>
          <w:vertAlign w:val="baseline"/>
          <w:lang w:val="en-US"/>
        </w:rPr>
      </w:pPr>
      <w:r>
        <w:rPr>
          <w:rFonts w:ascii="Times New Roman" w:hAnsi="Times New Roman" w:eastAsia="Times New Roman"/>
          <w:b w:val="true"/>
          <w:color w:val="000000"/>
          <w:spacing w:val="7"/>
          <w:w w:val="100"/>
          <w:sz w:val="24"/>
          <w:vertAlign w:val="baseline"/>
          <w:lang w:val="en-US"/>
        </w:rPr>
        <w:t xml:space="preserve">321 Replacement card</w:t>
      </w:r>
    </w:p>
    <w:p>
      <w:pPr>
        <w:numPr>
          <w:ilvl w:val="0"/>
          <w:numId w:val="554"/>
        </w:numPr>
        <w:tabs>
          <w:tab w:val="clear" w:pos="360"/>
          <w:tab w:val="left" w:pos="1368"/>
        </w:tabs>
        <w:spacing w:before="121" w:after="0" w:line="276"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a general construction induction training card issued by the regulator is lost, stolen or destroyed, the card holder may apply to the regulator for a replacement card.</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30" w:lineRule="exact"/>
        <w:ind w:right="864"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card holder is required to keep the card available for inspection under regulation 326.</w:t>
      </w:r>
    </w:p>
    <w:p>
      <w:pPr>
        <w:numPr>
          <w:ilvl w:val="0"/>
          <w:numId w:val="554"/>
        </w:numPr>
        <w:tabs>
          <w:tab w:val="clear" w:pos="360"/>
          <w:tab w:val="left" w:pos="1368"/>
        </w:tabs>
        <w:spacing w:before="114"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application for a replacement general construction induction training card must be made in the manner and form required by the regulator.</w:t>
      </w:r>
    </w:p>
    <w:p>
      <w:pPr>
        <w:numPr>
          <w:ilvl w:val="0"/>
          <w:numId w:val="554"/>
        </w:numPr>
        <w:tabs>
          <w:tab w:val="clear" w:pos="360"/>
          <w:tab w:val="left" w:pos="1368"/>
        </w:tabs>
        <w:spacing w:before="126" w:after="0" w:line="273"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application must:</w:t>
      </w:r>
    </w:p>
    <w:p>
      <w:pPr>
        <w:spacing w:before="114" w:after="0" w:line="279" w:lineRule="exact"/>
        <w:ind w:right="432" w:left="1944" w:hanging="432"/>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include a declaration about the circumstances in which the card was lost, stolen or destroyed; and</w:t>
      </w:r>
    </w:p>
    <w:p>
      <w:pPr>
        <w:spacing w:before="124" w:after="0" w:line="225" w:lineRule="exact"/>
        <w:ind w:right="0" w:left="1944" w:firstLine="0"/>
        <w:jc w:val="left"/>
        <w:textAlignment w:val="baseline"/>
        <w:rPr>
          <w:rFonts w:ascii="Times New Roman" w:hAnsi="Times New Roman" w:eastAsia="Times New Roman"/>
          <w:b w:val="true"/>
          <w:color w:val="000000"/>
          <w:spacing w:val="-6"/>
          <w:w w:val="100"/>
          <w:sz w:val="20"/>
          <w:vertAlign w:val="baseline"/>
          <w:lang w:val="en-US"/>
        </w:rPr>
      </w:pPr>
      <w:r>
        <w:rPr>
          <w:rFonts w:ascii="Times New Roman" w:hAnsi="Times New Roman" w:eastAsia="Times New Roman"/>
          <w:b w:val="true"/>
          <w:color w:val="000000"/>
          <w:spacing w:val="-6"/>
          <w:w w:val="100"/>
          <w:sz w:val="20"/>
          <w:vertAlign w:val="baseline"/>
          <w:lang w:val="en-US"/>
        </w:rPr>
        <w:t xml:space="preserve">Note</w:t>
      </w:r>
    </w:p>
    <w:p>
      <w:pPr>
        <w:spacing w:before="125" w:after="918" w:line="230" w:lineRule="exact"/>
        <w:ind w:right="360" w:left="1944"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See section 268 of the Act for offences relating to the giving of false or misleading information under the Act or these Regulations.</w:t>
      </w:r>
    </w:p>
    <w:p>
      <w:pPr>
        <w:spacing w:before="125" w:after="918" w:line="230"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226</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6.5	</w:t>
      </w:r>
      <w:r>
        <w:rPr>
          <w:rFonts w:ascii="Times New Roman" w:hAnsi="Times New Roman" w:eastAsia="Times New Roman"/>
          <w:color w:val="000000"/>
          <w:spacing w:val="0"/>
          <w:w w:val="100"/>
          <w:sz w:val="20"/>
          <w:vertAlign w:val="baseline"/>
          <w:lang w:val="en-US"/>
        </w:rPr>
        <w:t xml:space="preserve">General Construction Induction Training</w:t>
      </w:r>
    </w:p>
    <w:p>
      <w:pPr>
        <w:spacing w:before="251"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(b) be accompanied by the relevant fee.</w:t>
      </w:r>
    </w:p>
    <w:p>
      <w:pPr>
        <w:spacing w:before="123"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The regulator may issue a replacement card if satisfied that the original general construction induction training card has been lost, stolen or destroyed.</w:t>
      </w:r>
    </w:p>
    <w:p>
      <w:pPr>
        <w:spacing w:before="120" w:after="0" w:line="273"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322 Refusal to issue or replace card</w:t>
      </w:r>
    </w:p>
    <w:p>
      <w:pPr>
        <w:spacing w:before="123" w:after="0" w:line="276" w:lineRule="exact"/>
        <w:ind w:right="216"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may refuse to issue a general construction induction training card or a replacement general construction induction training card if satisfied that the applicant:</w:t>
      </w:r>
    </w:p>
    <w:p>
      <w:pPr>
        <w:numPr>
          <w:ilvl w:val="0"/>
          <w:numId w:val="555"/>
        </w:numPr>
        <w:tabs>
          <w:tab w:val="clear" w:pos="360"/>
          <w:tab w:val="left" w:pos="1872"/>
        </w:tabs>
        <w:spacing w:before="114" w:after="0" w:line="279" w:lineRule="exact"/>
        <w:ind w:right="50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gave information that was false or misleading in a material particular; or</w:t>
      </w:r>
    </w:p>
    <w:p>
      <w:pPr>
        <w:numPr>
          <w:ilvl w:val="0"/>
          <w:numId w:val="555"/>
        </w:numPr>
        <w:tabs>
          <w:tab w:val="clear" w:pos="360"/>
          <w:tab w:val="left" w:pos="1872"/>
        </w:tabs>
        <w:spacing w:before="120" w:after="0" w:line="273" w:lineRule="exact"/>
        <w:ind w:right="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failed to give information that should have been given; or</w:t>
      </w:r>
    </w:p>
    <w:p>
      <w:pPr>
        <w:numPr>
          <w:ilvl w:val="0"/>
          <w:numId w:val="555"/>
        </w:numPr>
        <w:tabs>
          <w:tab w:val="clear" w:pos="360"/>
          <w:tab w:val="left" w:pos="1872"/>
        </w:tabs>
        <w:spacing w:before="127"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produced a general construction induction training certification that had been obtained on the basis of the giving of false or misleading information by any person or body.</w:t>
      </w:r>
    </w:p>
    <w:p>
      <w:pPr>
        <w:spacing w:before="129"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2" w:after="0" w:line="231" w:lineRule="exact"/>
        <w:ind w:right="144"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decision to refuse to issue or replace a general construction induction training card is a reviewable decision (see regulation 676).</w:t>
      </w:r>
    </w:p>
    <w:p>
      <w:pPr>
        <w:spacing w:before="119" w:after="0" w:line="273"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323 Cancellation of card—grounds</w:t>
      </w:r>
    </w:p>
    <w:p>
      <w:pPr>
        <w:spacing w:before="117" w:after="0" w:line="276" w:lineRule="exact"/>
        <w:ind w:right="216"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may cancel a general construction induction training card issued by the regulator if satisfied that the card holder, when applying for the card:</w:t>
      </w:r>
    </w:p>
    <w:p>
      <w:pPr>
        <w:numPr>
          <w:ilvl w:val="0"/>
          <w:numId w:val="556"/>
        </w:numPr>
        <w:tabs>
          <w:tab w:val="clear" w:pos="360"/>
          <w:tab w:val="left" w:pos="1872"/>
        </w:tabs>
        <w:spacing w:before="126" w:after="0" w:line="273" w:lineRule="exact"/>
        <w:ind w:right="50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gave information that was false or misleading in a material particular; or</w:t>
      </w:r>
    </w:p>
    <w:p>
      <w:pPr>
        <w:numPr>
          <w:ilvl w:val="0"/>
          <w:numId w:val="556"/>
        </w:numPr>
        <w:tabs>
          <w:tab w:val="clear" w:pos="360"/>
          <w:tab w:val="left" w:pos="1872"/>
        </w:tabs>
        <w:spacing w:before="126" w:after="0" w:line="273" w:lineRule="exact"/>
        <w:ind w:right="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failed to give information that should have been given; or</w:t>
      </w:r>
    </w:p>
    <w:p>
      <w:pPr>
        <w:numPr>
          <w:ilvl w:val="0"/>
          <w:numId w:val="556"/>
        </w:numPr>
        <w:tabs>
          <w:tab w:val="clear" w:pos="360"/>
          <w:tab w:val="left" w:pos="1872"/>
        </w:tabs>
        <w:spacing w:before="117" w:after="0" w:line="276"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produced a general construction induction training certification that had been obtained on the basis of the giving of false or misleading information by any person or body.</w:t>
      </w:r>
    </w:p>
    <w:p>
      <w:pPr>
        <w:spacing w:before="129"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7" w:after="0" w:line="226" w:lineRule="exact"/>
        <w:ind w:right="576"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decision to cancel a general construction induction training card is a reviewable decision (see regulation 676).</w:t>
      </w:r>
    </w:p>
    <w:p>
      <w:pPr>
        <w:spacing w:before="119" w:after="0" w:line="273"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324 Cancellation of card—process</w:t>
      </w:r>
    </w:p>
    <w:p>
      <w:pPr>
        <w:spacing w:before="124" w:after="0" w:line="274" w:lineRule="exact"/>
        <w:ind w:right="79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regulator must, before cancelling a general construction induction training card, give the card holder:</w:t>
      </w:r>
    </w:p>
    <w:p>
      <w:pPr>
        <w:spacing w:before="122" w:after="1008" w:line="276" w:lineRule="exact"/>
        <w:ind w:right="504" w:left="1872" w:hanging="36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written notice of the proposed cancellation that outlines all relevant allegations, facts and circumstances known to the regulator; and</w:t>
      </w:r>
    </w:p>
    <w:p>
      <w:pPr>
        <w:spacing w:before="122" w:after="1008"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227</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6.5	</w:t>
      </w:r>
      <w:r>
        <w:rPr>
          <w:rFonts w:ascii="Times New Roman" w:hAnsi="Times New Roman" w:eastAsia="Times New Roman"/>
          <w:color w:val="000000"/>
          <w:spacing w:val="0"/>
          <w:w w:val="100"/>
          <w:sz w:val="20"/>
          <w:vertAlign w:val="baseline"/>
          <w:lang w:val="en-US"/>
        </w:rPr>
        <w:t xml:space="preserve">General Construction Induction Training</w:t>
      </w:r>
    </w:p>
    <w:p>
      <w:pPr>
        <w:spacing w:before="245" w:after="0" w:line="279"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(b) a reasonable opportunity to make submissions to the regulator in relation to the proposed cancellation.</w:t>
      </w:r>
    </w:p>
    <w:p>
      <w:pPr>
        <w:spacing w:before="114" w:after="0" w:line="279"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On cancelling a general induction card, the regulator must give the card holder a written notice of its decision, stating:</w:t>
      </w:r>
    </w:p>
    <w:p>
      <w:pPr>
        <w:numPr>
          <w:ilvl w:val="0"/>
          <w:numId w:val="557"/>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when the cancellation takes effect; and</w:t>
      </w:r>
    </w:p>
    <w:p>
      <w:pPr>
        <w:numPr>
          <w:ilvl w:val="0"/>
          <w:numId w:val="557"/>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reasons for the cancellation; and</w:t>
      </w:r>
    </w:p>
    <w:p>
      <w:pPr>
        <w:numPr>
          <w:ilvl w:val="0"/>
          <w:numId w:val="557"/>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when the card must be returned to the regulator.</w:t>
      </w:r>
    </w:p>
    <w:p>
      <w:pPr>
        <w:spacing w:before="126"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325 RTO may enter agreement to issue cards</w:t>
      </w:r>
    </w:p>
    <w:p>
      <w:pPr>
        <w:spacing w:before="123"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8"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18" w:after="0" w:line="275"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regulator may enter into an agreement with an RTO that empowers the RTO to exercise the functions and powers of the regulator under regulations 319, 321 and 322, with any necessary alterations.</w:t>
      </w:r>
    </w:p>
    <w:p>
      <w:pPr>
        <w:spacing w:before="122"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If an RTO with whom the regulator has entered an agreement under this regulation exercises functions and powers of the regulator in accordance with the agreement, the exercise of those functions and powers has the same effect as if they had been exercised by the regulator.</w:t>
      </w:r>
    </w:p>
    <w:p>
      <w:pPr>
        <w:spacing w:before="121"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Without limiting subregulation (2):</w:t>
      </w:r>
    </w:p>
    <w:p>
      <w:pPr>
        <w:numPr>
          <w:ilvl w:val="0"/>
          <w:numId w:val="558"/>
        </w:numPr>
        <w:tabs>
          <w:tab w:val="clear" w:pos="360"/>
          <w:tab w:val="left" w:pos="1872"/>
        </w:tabs>
        <w:spacing w:before="122"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decision of an RTO in exercising a function or power of the regulator in accordance with the agreement is taken to be a decision of the regulator; and</w:t>
      </w:r>
    </w:p>
    <w:p>
      <w:pPr>
        <w:numPr>
          <w:ilvl w:val="0"/>
          <w:numId w:val="558"/>
        </w:numPr>
        <w:tabs>
          <w:tab w:val="clear" w:pos="360"/>
          <w:tab w:val="left" w:pos="1872"/>
        </w:tabs>
        <w:spacing w:before="116" w:after="0" w:line="278"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general construction induction training card issued by the RTO is taken to have been issued by the regulator.</w:t>
      </w:r>
    </w:p>
    <w:p>
      <w:pPr>
        <w:spacing w:before="118" w:after="0" w:line="276" w:lineRule="exact"/>
        <w:ind w:right="72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Nothing in an agreement under this regulation prevents the regulator from exercising its functions and powers under this Division.</w:t>
      </w:r>
    </w:p>
    <w:p>
      <w:pPr>
        <w:tabs>
          <w:tab w:val="left" w:leader="none" w:pos="1584"/>
        </w:tabs>
        <w:spacing w:before="250"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3	</w:t>
      </w:r>
      <w:r>
        <w:rPr>
          <w:rFonts w:ascii="Times New Roman" w:hAnsi="Times New Roman" w:eastAsia="Times New Roman"/>
          <w:b w:val="true"/>
          <w:color w:val="000000"/>
          <w:spacing w:val="0"/>
          <w:w w:val="100"/>
          <w:sz w:val="24"/>
          <w:vertAlign w:val="baseline"/>
          <w:lang w:val="en-US"/>
        </w:rPr>
        <w:t xml:space="preserve">Duties of workers</w:t>
      </w:r>
    </w:p>
    <w:p>
      <w:pPr>
        <w:spacing w:before="115" w:after="0" w:line="274" w:lineRule="exact"/>
        <w:ind w:right="0" w:left="288" w:firstLine="0"/>
        <w:jc w:val="left"/>
        <w:textAlignment w:val="baseline"/>
        <w:rPr>
          <w:rFonts w:ascii="Times New Roman" w:hAnsi="Times New Roman" w:eastAsia="Times New Roman"/>
          <w:b w:val="true"/>
          <w:color w:val="000000"/>
          <w:spacing w:val="6"/>
          <w:w w:val="100"/>
          <w:sz w:val="24"/>
          <w:vertAlign w:val="baseline"/>
          <w:lang w:val="en-US"/>
        </w:rPr>
      </w:pPr>
      <w:r>
        <w:rPr>
          <w:rFonts w:ascii="Times New Roman" w:hAnsi="Times New Roman" w:eastAsia="Times New Roman"/>
          <w:b w:val="true"/>
          <w:color w:val="000000"/>
          <w:spacing w:val="6"/>
          <w:w w:val="100"/>
          <w:sz w:val="24"/>
          <w:vertAlign w:val="baseline"/>
          <w:lang w:val="en-US"/>
        </w:rPr>
        <w:t xml:space="preserve">326 Duties of workers</w:t>
      </w:r>
    </w:p>
    <w:p>
      <w:pPr>
        <w:spacing w:before="123" w:after="0" w:line="274"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worker carrying out construction work must keep available for inspection under the Act:</w:t>
      </w:r>
    </w:p>
    <w:p>
      <w:pPr>
        <w:numPr>
          <w:ilvl w:val="0"/>
          <w:numId w:val="559"/>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his or her general construction induction training card; or</w:t>
      </w:r>
    </w:p>
    <w:p>
      <w:pPr>
        <w:numPr>
          <w:ilvl w:val="0"/>
          <w:numId w:val="559"/>
        </w:numPr>
        <w:tabs>
          <w:tab w:val="clear" w:pos="360"/>
          <w:tab w:val="left" w:pos="1872"/>
        </w:tabs>
        <w:spacing w:before="116" w:after="979" w:line="278" w:lineRule="exact"/>
        <w:ind w:right="504" w:left="1872" w:hanging="360"/>
        <w:jc w:val="left"/>
        <w:textAlignment w:val="baseline"/>
        <w:rPr>
          <w:rFonts w:ascii="Times New Roman" w:hAnsi="Times New Roman" w:eastAsia="Times New Roman"/>
          <w:color w:val="000000"/>
          <w:spacing w:val="-1"/>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1"/>
          <w:w w:val="100"/>
          <w:sz w:val="24"/>
          <w:vertAlign w:val="baseline"/>
          <w:lang w:val="en-US"/>
        </w:rPr>
        <w:t xml:space="preserve">in the circumstances set out in regulation 319(5), a general induction training certification held by the worker, until a</w:t>
      </w:r>
    </w:p>
    <w:p>
      <w:pPr>
        <w:spacing w:before="116" w:after="979"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228</w:t>
      </w:r>
    </w:p>
    <w:p>
      <w:pPr>
        <w:sectPr>
          <w:type w:val="continuous"/>
          <w:pgSz w:w="11909" w:h="16838" w:orient="portrait"/>
          <w:pgMar w:bottom="1082" w:top="1140" w:right="5814" w:left="1975"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6.5	</w:t>
      </w:r>
      <w:r>
        <w:rPr>
          <w:rFonts w:ascii="Times New Roman" w:hAnsi="Times New Roman" w:eastAsia="Times New Roman"/>
          <w:color w:val="000000"/>
          <w:spacing w:val="0"/>
          <w:w w:val="100"/>
          <w:sz w:val="20"/>
          <w:vertAlign w:val="baseline"/>
          <w:lang w:val="en-US"/>
        </w:rPr>
        <w:t xml:space="preserve">General Construction Induction Training</w:t>
      </w:r>
    </w:p>
    <w:p>
      <w:pPr>
        <w:spacing w:before="245" w:after="0" w:line="279" w:lineRule="exact"/>
        <w:ind w:right="1224"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decision is made on the application for the general construction induction training card.</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numPr>
          <w:ilvl w:val="0"/>
          <w:numId w:val="560"/>
        </w:numPr>
        <w:tabs>
          <w:tab w:val="clear" w:pos="360"/>
          <w:tab w:val="left" w:pos="1368"/>
        </w:tabs>
        <w:spacing w:before="126" w:after="0" w:line="273"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card holder, on receiving a cancellation notice under regulation 324(2), must return the card in accordance with the notice.</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numPr>
          <w:ilvl w:val="0"/>
          <w:numId w:val="560"/>
        </w:numPr>
        <w:tabs>
          <w:tab w:val="clear" w:pos="360"/>
          <w:tab w:val="left" w:pos="1368"/>
        </w:tabs>
        <w:spacing w:before="114" w:after="0" w:line="279" w:lineRule="exact"/>
        <w:ind w:right="93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Subregulation (1)(a) does not apply if the card is not in the possession of the worker (</w:t>
      </w:r>
      <w:r>
        <w:rPr>
          <w:rFonts w:ascii="Times New Roman" w:hAnsi="Times New Roman" w:eastAsia="Times New Roman"/>
          <w:b w:val="true"/>
          <w:i w:val="true"/>
          <w:color w:val="000000"/>
          <w:spacing w:val="0"/>
          <w:w w:val="100"/>
          <w:sz w:val="24"/>
          <w:vertAlign w:val="baseline"/>
          <w:lang w:val="en-US"/>
        </w:rPr>
        <w:t xml:space="preserve">card holder</w:t>
      </w:r>
      <w:r>
        <w:rPr>
          <w:rFonts w:ascii="Times New Roman" w:hAnsi="Times New Roman" w:eastAsia="Times New Roman"/>
          <w:color w:val="000000"/>
          <w:spacing w:val="0"/>
          <w:w w:val="100"/>
          <w:sz w:val="24"/>
          <w:vertAlign w:val="baseline"/>
          <w:lang w:val="en-US"/>
        </w:rPr>
        <w:t xml:space="preserve">) because:</w:t>
      </w:r>
    </w:p>
    <w:p>
      <w:pPr>
        <w:numPr>
          <w:ilvl w:val="0"/>
          <w:numId w:val="561"/>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it has been lost, stolen or destroyed; and</w:t>
      </w:r>
    </w:p>
    <w:p>
      <w:pPr>
        <w:numPr>
          <w:ilvl w:val="0"/>
          <w:numId w:val="561"/>
        </w:numPr>
        <w:tabs>
          <w:tab w:val="clear" w:pos="360"/>
          <w:tab w:val="left" w:pos="1872"/>
        </w:tabs>
        <w:spacing w:before="116" w:after="0" w:line="278" w:lineRule="exact"/>
        <w:ind w:right="86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card holder has applied for, but has not received, a replacement card under regulation 321.</w:t>
      </w:r>
    </w:p>
    <w:p>
      <w:pPr>
        <w:spacing w:before="121"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327 Alteration of general construction induction training card</w:t>
      </w:r>
    </w:p>
    <w:p>
      <w:pPr>
        <w:spacing w:before="123" w:after="0" w:line="274" w:lineRule="exact"/>
        <w:ind w:right="288"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who holds a general construction induction training card must not intentionally or recklessly alter the card.</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5" w:after="4628"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7pt" strokecolor="#000000" from="243.6pt,514.8pt" to="352.15pt,514.8pt" style="position:absolute;mso-position-horizontal-relative:page;mso-position-vertical-relative:page;">
            <v:stroke dashstyle="solid"/>
          </v:line>
        </w:pict>
      </w: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corporate—$18 000.</w:t>
      </w:r>
    </w:p>
    <w:p>
      <w:pPr>
        <w:spacing w:before="321" w:after="0" w:line="288" w:lineRule="exact"/>
        <w:ind w:right="0" w:left="0" w:firstLine="0"/>
        <w:jc w:val="left"/>
        <w:textAlignment w:val="baseline"/>
        <w:rPr>
          <w:rFonts w:ascii="Times New Roman" w:hAnsi="Times New Roman" w:eastAsia="Times New Roman"/>
          <w:color w:val="000000"/>
          <w:w w:val="100"/>
          <w:sz w:val="24"/>
          <w:vertAlign w:val="baseline"/>
          <w:lang w:val="en-US"/>
        </w:rPr>
      </w:pPr>
    </w:p>
    <w:p>
      <w:pPr>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229</w:t>
      </w:r>
    </w:p>
    <w:p>
      <w:pPr>
        <w:sectPr>
          <w:type w:val="continuous"/>
          <w:pgSz w:w="11909" w:h="16838" w:orient="portrait"/>
          <w:pgMar w:bottom="1082" w:top="1140" w:right="5812" w:left="1977" w:header="720" w:footer="720"/>
          <w:titlePg w:val="false"/>
          <w:textDirection w:val="lrTb"/>
        </w:sectPr>
      </w:pPr>
    </w:p>
    <w:p>
      <w:pPr>
        <w:spacing w:before="6"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5" w:after="226"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spacing w:before="17" w:after="0" w:line="547" w:lineRule="exact"/>
        <w:ind w:right="0" w:left="0" w:firstLine="0"/>
        <w:jc w:val="left"/>
        <w:textAlignment w:val="baseline"/>
        <w:rPr>
          <w:rFonts w:ascii="Times New Roman" w:hAnsi="Times New Roman" w:eastAsia="Times New Roman"/>
          <w:b w:val="true"/>
          <w:color w:val="000000"/>
          <w:spacing w:val="0"/>
          <w:w w:val="100"/>
          <w:sz w:val="25"/>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5"/>
          <w:vertAlign w:val="baseline"/>
          <w:lang w:val="en-US"/>
        </w:rPr>
        <w:t xml:space="preserve">CHAPTER 7 HAZARDOUS CHEMICALS</w:t>
        <w:br/>
      </w:r>
      <w:r>
        <w:rPr>
          <w:rFonts w:ascii="Times New Roman" w:hAnsi="Times New Roman" w:eastAsia="Times New Roman"/>
          <w:b w:val="true"/>
          <w:color w:val="000000"/>
          <w:spacing w:val="0"/>
          <w:w w:val="100"/>
          <w:sz w:val="28"/>
          <w:vertAlign w:val="baseline"/>
          <w:lang w:val="en-US"/>
        </w:rPr>
        <w:t xml:space="preserve">Part 7.1 Hazardous Chemicals</w:t>
      </w:r>
    </w:p>
    <w:p>
      <w:pPr>
        <w:spacing w:before="123"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2" w:after="0" w:line="230" w:lineRule="exact"/>
        <w:ind w:right="216"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Most of the obligations in this Part apply to persons conducting businesses or undertakings at a workplace. However, some obligations apply to persons in different capacities, for example importers and suppliers of hazardous chemicals.</w:t>
      </w:r>
    </w:p>
    <w:p>
      <w:pPr>
        <w:tabs>
          <w:tab w:val="left" w:leader="none" w:pos="1584"/>
        </w:tabs>
        <w:spacing w:before="125" w:after="0" w:line="394" w:lineRule="exact"/>
        <w:ind w:right="0" w:left="288" w:hanging="288"/>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1	</w:t>
      </w:r>
      <w:r>
        <w:rPr>
          <w:rFonts w:ascii="Times New Roman" w:hAnsi="Times New Roman" w:eastAsia="Times New Roman"/>
          <w:b w:val="true"/>
          <w:color w:val="000000"/>
          <w:spacing w:val="0"/>
          <w:w w:val="100"/>
          <w:sz w:val="24"/>
          <w:vertAlign w:val="baseline"/>
          <w:lang w:val="en-US"/>
        </w:rPr>
        <w:t xml:space="preserve">Application of Part 7.1</w:t>
        <w:br/>
      </w:r>
      <w:r>
        <w:rPr>
          <w:rFonts w:ascii="Times New Roman" w:hAnsi="Times New Roman" w:eastAsia="Times New Roman"/>
          <w:b w:val="true"/>
          <w:color w:val="000000"/>
          <w:spacing w:val="0"/>
          <w:w w:val="100"/>
          <w:sz w:val="24"/>
          <w:vertAlign w:val="baseline"/>
          <w:lang w:val="en-US"/>
        </w:rPr>
        <w:t xml:space="preserve">328 Application of Part 7.1</w:t>
      </w:r>
    </w:p>
    <w:p>
      <w:pPr>
        <w:spacing w:before="120" w:after="0" w:line="271"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Part applies to:</w:t>
      </w:r>
    </w:p>
    <w:p>
      <w:pPr>
        <w:numPr>
          <w:ilvl w:val="0"/>
          <w:numId w:val="562"/>
        </w:numPr>
        <w:tabs>
          <w:tab w:val="clear" w:pos="360"/>
          <w:tab w:val="left" w:pos="1872"/>
        </w:tabs>
        <w:spacing w:before="123" w:after="0" w:line="276"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use, handling and storage of hazardous chemicals at a workplace and the generation of hazardous substances at a workplace; and</w:t>
      </w:r>
    </w:p>
    <w:p>
      <w:pPr>
        <w:numPr>
          <w:ilvl w:val="0"/>
          <w:numId w:val="562"/>
        </w:numPr>
        <w:tabs>
          <w:tab w:val="clear" w:pos="360"/>
          <w:tab w:val="left" w:pos="1872"/>
        </w:tabs>
        <w:spacing w:before="122" w:after="0" w:line="271"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pipeline used to convey a hazardous chemical.</w:t>
      </w:r>
    </w:p>
    <w:p>
      <w:pPr>
        <w:spacing w:before="126"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6"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16" w:after="0" w:line="276"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This Part does not apply to a pipeline that is regulated under [another law in force in this jurisdiction in relation to health and safety].</w:t>
      </w:r>
    </w:p>
    <w:p>
      <w:pPr>
        <w:spacing w:before="130"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6"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16" w:after="0" w:line="276"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This Part does not apply to hazardous chemicals and explosives being transported by road, rail, sea or air if the transport is regulated under [another safety law].</w:t>
      </w:r>
    </w:p>
    <w:p>
      <w:pPr>
        <w:spacing w:before="126"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6"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18" w:after="0" w:line="274"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This Part does not apply to the following hazardous chemicals in the circumstances described:</w:t>
      </w:r>
    </w:p>
    <w:p>
      <w:pPr>
        <w:numPr>
          <w:ilvl w:val="0"/>
          <w:numId w:val="563"/>
        </w:numPr>
        <w:tabs>
          <w:tab w:val="clear" w:pos="360"/>
          <w:tab w:val="left" w:pos="1872"/>
        </w:tabs>
        <w:spacing w:before="127" w:after="0" w:line="271"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hazardous chemicals in batteries when incorporated in plant;</w:t>
      </w:r>
    </w:p>
    <w:p>
      <w:pPr>
        <w:numPr>
          <w:ilvl w:val="0"/>
          <w:numId w:val="563"/>
        </w:numPr>
        <w:tabs>
          <w:tab w:val="clear" w:pos="360"/>
          <w:tab w:val="left" w:pos="1872"/>
        </w:tabs>
        <w:spacing w:before="118"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fuel, oils or coolants in a container fitted to a vehicle, vessel, aircraft, mobile plant, appliance or other device, if the fuel, oil or coolant is intended for use in the operation of the device;</w:t>
      </w:r>
    </w:p>
    <w:p>
      <w:pPr>
        <w:numPr>
          <w:ilvl w:val="0"/>
          <w:numId w:val="563"/>
        </w:numPr>
        <w:tabs>
          <w:tab w:val="clear" w:pos="360"/>
          <w:tab w:val="left" w:pos="1872"/>
        </w:tabs>
        <w:spacing w:before="122" w:after="1197" w:line="276"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fuel in the fuel container of a domestic or portable fuel burning appliance, if the quantity of fuel does not exceed 25 kilograms or 25 litres;</w:t>
      </w:r>
    </w:p>
    <w:p>
      <w:pPr>
        <w:spacing w:before="122" w:after="1197"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230</w:t>
      </w:r>
    </w:p>
    <w:p>
      <w:pPr>
        <w:sectPr>
          <w:type w:val="continuous"/>
          <w:pgSz w:w="11909" w:h="16838" w:orient="portrait"/>
          <w:pgMar w:bottom="1082" w:top="1140" w:right="5812" w:left="1977"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numPr>
          <w:ilvl w:val="0"/>
          <w:numId w:val="542"/>
        </w:numPr>
        <w:tabs>
          <w:tab w:val="clear" w:pos="288"/>
          <w:tab w:val="left" w:pos="1872"/>
        </w:tabs>
        <w:spacing w:before="244" w:after="0" w:line="279" w:lineRule="exact"/>
        <w:ind w:right="792" w:left="1872" w:hanging="288"/>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hazardous chemicals in portable firefighting or medical equipment for use in a workplace;</w:t>
      </w:r>
    </w:p>
    <w:p>
      <w:pPr>
        <w:numPr>
          <w:ilvl w:val="0"/>
          <w:numId w:val="542"/>
        </w:numPr>
        <w:tabs>
          <w:tab w:val="clear" w:pos="288"/>
          <w:tab w:val="left" w:pos="1872"/>
        </w:tabs>
        <w:spacing w:before="114" w:after="0" w:line="279" w:lineRule="exact"/>
        <w:ind w:right="936" w:left="1872" w:hanging="288"/>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hazardous chemicals that form part of the integrated refrigeration system of refrigerated freight containers;</w:t>
      </w:r>
    </w:p>
    <w:p>
      <w:pPr>
        <w:numPr>
          <w:ilvl w:val="0"/>
          <w:numId w:val="542"/>
        </w:numPr>
        <w:tabs>
          <w:tab w:val="clear" w:pos="288"/>
          <w:tab w:val="left" w:pos="1872"/>
        </w:tabs>
        <w:spacing w:before="121" w:after="0" w:line="272"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potable liquids that are consumer products at retail premises.</w:t>
      </w:r>
    </w:p>
    <w:p>
      <w:pPr>
        <w:spacing w:before="123"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This Part, other than the following regulations and Schedule 7, does not apply to substances, mixtures or articles categorised only as explosives under the GHS:</w:t>
      </w:r>
    </w:p>
    <w:p>
      <w:pPr>
        <w:numPr>
          <w:ilvl w:val="0"/>
          <w:numId w:val="564"/>
        </w:numPr>
        <w:tabs>
          <w:tab w:val="clear" w:pos="288"/>
          <w:tab w:val="left" w:pos="1872"/>
        </w:tabs>
        <w:spacing w:before="121" w:after="0" w:line="272"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regulation 329;</w:t>
      </w:r>
    </w:p>
    <w:p>
      <w:pPr>
        <w:numPr>
          <w:ilvl w:val="0"/>
          <w:numId w:val="564"/>
        </w:numPr>
        <w:tabs>
          <w:tab w:val="clear" w:pos="288"/>
          <w:tab w:val="left" w:pos="1872"/>
        </w:tabs>
        <w:spacing w:before="127" w:after="0" w:line="272"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regulation 330;</w:t>
      </w:r>
    </w:p>
    <w:p>
      <w:pPr>
        <w:numPr>
          <w:ilvl w:val="0"/>
          <w:numId w:val="564"/>
        </w:numPr>
        <w:tabs>
          <w:tab w:val="clear" w:pos="288"/>
          <w:tab w:val="left" w:pos="1872"/>
        </w:tabs>
        <w:spacing w:before="121" w:after="0" w:line="272"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regulation 339;</w:t>
      </w:r>
    </w:p>
    <w:p>
      <w:pPr>
        <w:numPr>
          <w:ilvl w:val="0"/>
          <w:numId w:val="564"/>
        </w:numPr>
        <w:tabs>
          <w:tab w:val="clear" w:pos="288"/>
          <w:tab w:val="left" w:pos="1872"/>
        </w:tabs>
        <w:spacing w:before="127" w:after="0" w:line="272"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regulation 344;</w:t>
      </w:r>
    </w:p>
    <w:p>
      <w:pPr>
        <w:numPr>
          <w:ilvl w:val="0"/>
          <w:numId w:val="564"/>
        </w:numPr>
        <w:tabs>
          <w:tab w:val="clear" w:pos="288"/>
          <w:tab w:val="left" w:pos="1872"/>
        </w:tabs>
        <w:spacing w:before="121" w:after="0" w:line="272"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regulation 345.</w:t>
      </w:r>
    </w:p>
    <w:p>
      <w:pPr>
        <w:spacing w:before="125"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7"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20" w:after="0" w:line="272"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(6) This Part does not apply to the following:</w:t>
      </w:r>
    </w:p>
    <w:p>
      <w:pPr>
        <w:numPr>
          <w:ilvl w:val="0"/>
          <w:numId w:val="565"/>
        </w:numPr>
        <w:tabs>
          <w:tab w:val="clear" w:pos="288"/>
          <w:tab w:val="left" w:pos="1872"/>
        </w:tabs>
        <w:spacing w:before="122" w:after="0" w:line="276" w:lineRule="exact"/>
        <w:ind w:right="144"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food and beverages within the meaning of the Food Standards Australia New Zealand Food Standards Code that are in a package and form intended for human consumption;</w:t>
      </w:r>
    </w:p>
    <w:p>
      <w:pPr>
        <w:numPr>
          <w:ilvl w:val="0"/>
          <w:numId w:val="565"/>
        </w:numPr>
        <w:tabs>
          <w:tab w:val="clear" w:pos="288"/>
          <w:tab w:val="left" w:pos="1872"/>
        </w:tabs>
        <w:spacing w:before="122" w:after="0" w:line="272"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tobacco or products made of tobacco;</w:t>
      </w:r>
    </w:p>
    <w:p>
      <w:pPr>
        <w:numPr>
          <w:ilvl w:val="0"/>
          <w:numId w:val="565"/>
        </w:numPr>
        <w:tabs>
          <w:tab w:val="clear" w:pos="288"/>
          <w:tab w:val="left" w:pos="1872"/>
        </w:tabs>
        <w:spacing w:before="122" w:after="0" w:line="276" w:lineRule="exact"/>
        <w:ind w:right="648"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therapeutic goods within the meaning of the </w:t>
      </w:r>
      <w:r>
        <w:rPr>
          <w:rFonts w:ascii="Times New Roman" w:hAnsi="Times New Roman" w:eastAsia="Times New Roman"/>
          <w:i w:val="true"/>
          <w:color w:val="000000"/>
          <w:spacing w:val="0"/>
          <w:w w:val="100"/>
          <w:sz w:val="24"/>
          <w:vertAlign w:val="baseline"/>
          <w:lang w:val="en-US"/>
        </w:rPr>
        <w:t xml:space="preserve">Therapeutic Goods Act 1989 </w:t>
      </w:r>
      <w:r>
        <w:rPr>
          <w:rFonts w:ascii="Times New Roman" w:hAnsi="Times New Roman" w:eastAsia="Times New Roman"/>
          <w:color w:val="000000"/>
          <w:spacing w:val="0"/>
          <w:w w:val="100"/>
          <w:sz w:val="24"/>
          <w:vertAlign w:val="baseline"/>
          <w:lang w:val="en-US"/>
        </w:rPr>
        <w:t xml:space="preserve">of the Commonwealth at the point of intentional intake by or administration to humans;</w:t>
      </w:r>
    </w:p>
    <w:p>
      <w:pPr>
        <w:numPr>
          <w:ilvl w:val="0"/>
          <w:numId w:val="565"/>
        </w:numPr>
        <w:tabs>
          <w:tab w:val="clear" w:pos="288"/>
          <w:tab w:val="left" w:pos="1872"/>
        </w:tabs>
        <w:spacing w:before="116" w:after="0" w:line="278" w:lineRule="exact"/>
        <w:ind w:right="144" w:left="1872" w:hanging="288"/>
        <w:jc w:val="both"/>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veterinary chemical products within the meaning of the Agvet Code at the point of intentional administration to animals.</w:t>
      </w:r>
    </w:p>
    <w:p>
      <w:pPr>
        <w:tabs>
          <w:tab w:val="left" w:leader="none" w:pos="1584"/>
        </w:tabs>
        <w:spacing w:before="2" w:after="0" w:line="518" w:lineRule="exact"/>
        <w:ind w:right="36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2	</w:t>
      </w:r>
      <w:r>
        <w:rPr>
          <w:rFonts w:ascii="Times New Roman" w:hAnsi="Times New Roman" w:eastAsia="Times New Roman"/>
          <w:b w:val="true"/>
          <w:color w:val="000000"/>
          <w:spacing w:val="0"/>
          <w:w w:val="100"/>
          <w:sz w:val="24"/>
          <w:vertAlign w:val="baseline"/>
          <w:lang w:val="en-US"/>
        </w:rPr>
        <w:t xml:space="preserve">Obligations relating to safety data sheets and other matters Subdivision 1 Obligations of manufacturers and importers</w:t>
      </w:r>
    </w:p>
    <w:p>
      <w:pPr>
        <w:spacing w:before="119"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Notes</w:t>
      </w:r>
    </w:p>
    <w:p>
      <w:pPr>
        <w:tabs>
          <w:tab w:val="left" w:leader="none" w:pos="1296"/>
        </w:tabs>
        <w:spacing w:before="123" w:after="0" w:line="230" w:lineRule="exact"/>
        <w:ind w:right="864" w:left="1368" w:hanging="50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A manufacturer or importer of hazardous chemicals may also be a person conducting a business or undertaking at a workplace.</w:t>
      </w:r>
    </w:p>
    <w:p>
      <w:pPr>
        <w:tabs>
          <w:tab w:val="left" w:leader="none" w:pos="1296"/>
        </w:tabs>
        <w:spacing w:before="123" w:after="0" w:line="227"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A manufacturer or importer is defined in section 23 or 24 of the Act as a person</w:t>
      </w:r>
    </w:p>
    <w:p>
      <w:pPr>
        <w:spacing w:before="4" w:after="1674" w:line="227"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conducting a business or undertaking of manufacturing or importing.</w:t>
      </w:r>
    </w:p>
    <w:p>
      <w:pPr>
        <w:spacing w:before="4" w:after="1674" w:line="227"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231</w:t>
      </w:r>
    </w:p>
    <w:p>
      <w:pPr>
        <w:sectPr>
          <w:type w:val="continuous"/>
          <w:pgSz w:w="11909" w:h="16838" w:orient="portrait"/>
          <w:pgMar w:bottom="1082" w:top="1140" w:right="5819" w:left="1970"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spacing w:before="251"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3"/>
          <w:w w:val="100"/>
          <w:sz w:val="24"/>
          <w:vertAlign w:val="baseline"/>
          <w:lang w:val="en-US"/>
        </w:rPr>
        <w:t xml:space="preserve">329 Classification of hazardous chemicals</w:t>
      </w:r>
    </w:p>
    <w:p>
      <w:pPr>
        <w:spacing w:before="125" w:after="0" w:line="273" w:lineRule="exact"/>
        <w:ind w:right="576"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manufacturer or importer of a substance, mixture or article must, before first supplying it to a workplace:</w:t>
      </w:r>
    </w:p>
    <w:p>
      <w:pPr>
        <w:numPr>
          <w:ilvl w:val="0"/>
          <w:numId w:val="566"/>
        </w:numPr>
        <w:tabs>
          <w:tab w:val="clear" w:pos="360"/>
          <w:tab w:val="left" w:pos="1872"/>
        </w:tabs>
        <w:spacing w:before="126" w:after="0" w:line="273" w:lineRule="exact"/>
        <w:ind w:right="79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determine whether the substance, mixture or article is a hazardous chemical; and</w:t>
      </w:r>
    </w:p>
    <w:p>
      <w:pPr>
        <w:numPr>
          <w:ilvl w:val="0"/>
          <w:numId w:val="566"/>
        </w:numPr>
        <w:tabs>
          <w:tab w:val="clear" w:pos="360"/>
          <w:tab w:val="left" w:pos="1872"/>
        </w:tabs>
        <w:spacing w:before="123" w:after="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substance, mixture or article is a hazardous chemical— ensure that the hazardous chemical is correctly classified in accordance with Part 1 of Schedule 9.</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6" w:after="0" w:line="274" w:lineRule="exact"/>
        <w:ind w:right="0" w:left="0" w:firstLine="0"/>
        <w:jc w:val="center"/>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330 Manufacturer or importer to prepare and provide safety data sheets</w:t>
      </w:r>
    </w:p>
    <w:p>
      <w:pPr>
        <w:spacing w:before="118" w:after="0" w:line="274" w:lineRule="exact"/>
        <w:ind w:right="72"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manufacturer or importer of a hazardous chemical must prepare a safety data sheet for the hazardous chemical:</w:t>
      </w:r>
    </w:p>
    <w:p>
      <w:pPr>
        <w:numPr>
          <w:ilvl w:val="0"/>
          <w:numId w:val="567"/>
        </w:numPr>
        <w:tabs>
          <w:tab w:val="clear" w:pos="360"/>
          <w:tab w:val="left" w:pos="1872"/>
        </w:tabs>
        <w:spacing w:before="124" w:after="0" w:line="274" w:lineRule="exact"/>
        <w:ind w:right="93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before first manufacturing or importing the hazardous chemical; or</w:t>
      </w:r>
    </w:p>
    <w:p>
      <w:pPr>
        <w:numPr>
          <w:ilvl w:val="0"/>
          <w:numId w:val="567"/>
        </w:numPr>
        <w:tabs>
          <w:tab w:val="clear" w:pos="360"/>
          <w:tab w:val="left" w:pos="1872"/>
        </w:tabs>
        <w:spacing w:before="122" w:after="0" w:line="276"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that is not practicable—as soon as practicable after first manufacturing or importing the hazardous chemical and before first supplying it to a workplace.</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74" w:lineRule="exact"/>
        <w:ind w:right="57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safety data sheet must comply with clause 1 of Schedule 7 unless regulation 331 applies.</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manufacturer or importer of the hazardous chemical must:</w:t>
      </w:r>
    </w:p>
    <w:p>
      <w:pPr>
        <w:numPr>
          <w:ilvl w:val="0"/>
          <w:numId w:val="568"/>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review the safety data sheet at least once every 5 years; and</w:t>
      </w:r>
    </w:p>
    <w:p>
      <w:pPr>
        <w:numPr>
          <w:ilvl w:val="0"/>
          <w:numId w:val="568"/>
        </w:numPr>
        <w:tabs>
          <w:tab w:val="clear" w:pos="360"/>
          <w:tab w:val="left" w:pos="1872"/>
        </w:tabs>
        <w:spacing w:before="124" w:after="0" w:line="274" w:lineRule="exact"/>
        <w:ind w:right="7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amend the safety data sheet whenever necessary to ensure that it contains correct, current information.</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8" w:after="926"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(4) The manufacturer or importer of the hazardous chemical must provide the current safety data sheet for the hazardous chemical to any person, if the person:</w:t>
      </w:r>
    </w:p>
    <w:p>
      <w:pPr>
        <w:spacing w:before="118" w:after="926"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232</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numPr>
          <w:ilvl w:val="0"/>
          <w:numId w:val="569"/>
        </w:numPr>
        <w:tabs>
          <w:tab w:val="clear" w:pos="360"/>
          <w:tab w:val="left" w:pos="1872"/>
        </w:tabs>
        <w:spacing w:before="25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is likely to be affected by the hazardous chemical; and</w:t>
      </w:r>
    </w:p>
    <w:p>
      <w:pPr>
        <w:numPr>
          <w:ilvl w:val="0"/>
          <w:numId w:val="569"/>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asks for the safety data sheet.</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3" w:after="0" w:line="276" w:lineRule="exact"/>
        <w:ind w:right="50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Subregulations (3) and (4) do not apply to a manufacturer or importer of a hazardous chemical who has not manufactured or imported the hazardous chemical in the past 5 years.</w:t>
      </w:r>
    </w:p>
    <w:p>
      <w:pPr>
        <w:spacing w:before="116" w:after="0" w:line="278" w:lineRule="exact"/>
        <w:ind w:right="144"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331 Safety data sheets—research chemical, waste product or sample for analysis</w:t>
      </w:r>
    </w:p>
    <w:p>
      <w:pPr>
        <w:spacing w:before="120"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regulation applies if:</w:t>
      </w:r>
    </w:p>
    <w:p>
      <w:pPr>
        <w:numPr>
          <w:ilvl w:val="0"/>
          <w:numId w:val="570"/>
        </w:numPr>
        <w:tabs>
          <w:tab w:val="clear" w:pos="360"/>
          <w:tab w:val="left" w:pos="1872"/>
        </w:tabs>
        <w:spacing w:before="126" w:after="0" w:line="273"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hazardous chemical is a research chemical, waste product or sample for analysis; and</w:t>
      </w:r>
    </w:p>
    <w:p>
      <w:pPr>
        <w:numPr>
          <w:ilvl w:val="0"/>
          <w:numId w:val="570"/>
        </w:numPr>
        <w:tabs>
          <w:tab w:val="clear" w:pos="360"/>
          <w:tab w:val="left" w:pos="1872"/>
        </w:tabs>
        <w:spacing w:before="118" w:after="0" w:line="276" w:lineRule="exact"/>
        <w:ind w:right="0" w:left="1872"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it is not reasonably practicable for a manufacturer or importer of the hazardous chemical to comply with clause 1 of Schedule 7.</w:t>
      </w:r>
    </w:p>
    <w:p>
      <w:pPr>
        <w:spacing w:before="124" w:after="0" w:line="274" w:lineRule="exact"/>
        <w:ind w:right="288"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(2) The manufacturer or importer must prepare a safety data sheet for the hazardous chemical that complies with clause 2 of Schedule 7.</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6" w:after="0" w:line="278" w:lineRule="exact"/>
        <w:ind w:right="432"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332 Emergency disclosure of chemical identities to registered medical practitioner</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regulation applies if a registered medical practitioner:</w:t>
      </w:r>
    </w:p>
    <w:p>
      <w:pPr>
        <w:numPr>
          <w:ilvl w:val="0"/>
          <w:numId w:val="571"/>
        </w:numPr>
        <w:tabs>
          <w:tab w:val="clear" w:pos="360"/>
          <w:tab w:val="left" w:pos="1872"/>
        </w:tabs>
        <w:spacing w:before="122"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reasonably believes that knowing the chemical identity of an ingredient of a hazardous chemical may help to treat a patient; and</w:t>
      </w:r>
    </w:p>
    <w:p>
      <w:pPr>
        <w:numPr>
          <w:ilvl w:val="0"/>
          <w:numId w:val="571"/>
        </w:numPr>
        <w:tabs>
          <w:tab w:val="clear" w:pos="360"/>
          <w:tab w:val="left" w:pos="1872"/>
        </w:tabs>
        <w:spacing w:before="118" w:after="0" w:line="276" w:lineRule="exact"/>
        <w:ind w:right="79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requests the manufacturer or importer of the hazardous chemical to give the registered medical practitioner the chemical identity of the ingredient; and</w:t>
      </w:r>
    </w:p>
    <w:p>
      <w:pPr>
        <w:numPr>
          <w:ilvl w:val="0"/>
          <w:numId w:val="571"/>
        </w:numPr>
        <w:tabs>
          <w:tab w:val="clear" w:pos="360"/>
          <w:tab w:val="left" w:pos="1872"/>
        </w:tabs>
        <w:spacing w:before="122" w:after="0" w:line="276"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gives an undertaking to the manufacturer or importer that the chemical identity of the ingredient will be used only to help treat the patient; and</w:t>
      </w:r>
    </w:p>
    <w:p>
      <w:pPr>
        <w:numPr>
          <w:ilvl w:val="0"/>
          <w:numId w:val="571"/>
        </w:numPr>
        <w:tabs>
          <w:tab w:val="clear" w:pos="360"/>
          <w:tab w:val="left" w:pos="1872"/>
        </w:tabs>
        <w:spacing w:before="116" w:after="888" w:line="278" w:lineRule="exact"/>
        <w:ind w:right="288" w:left="1872" w:hanging="360"/>
        <w:jc w:val="both"/>
        <w:textAlignment w:val="baseline"/>
        <w:rPr>
          <w:rFonts w:ascii="Times New Roman" w:hAnsi="Times New Roman" w:eastAsia="Times New Roman"/>
          <w:color w:val="000000"/>
          <w:spacing w:val="-1"/>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1"/>
          <w:w w:val="100"/>
          <w:sz w:val="24"/>
          <w:vertAlign w:val="baseline"/>
          <w:lang w:val="en-US"/>
        </w:rPr>
        <w:t xml:space="preserve">gives an undertaking to the manufacturer or importer to give the manufacturer or importer as soon as practicable a written</w:t>
      </w:r>
    </w:p>
    <w:p>
      <w:pPr>
        <w:spacing w:before="116" w:after="888"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233</w:t>
      </w:r>
    </w:p>
    <w:p>
      <w:pPr>
        <w:sectPr>
          <w:type w:val="continuous"/>
          <w:pgSz w:w="11909" w:h="16838" w:orient="portrait"/>
          <w:pgMar w:bottom="1082" w:top="1140" w:right="5817" w:left="1972"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spacing w:before="246" w:after="0" w:line="279" w:lineRule="exact"/>
        <w:ind w:right="144" w:left="1872" w:firstLine="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statement about the need to obtain the chemical identity of the ingredient.</w:t>
      </w:r>
    </w:p>
    <w:p>
      <w:pPr>
        <w:spacing w:before="117" w:after="0" w:line="276"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manufacturer or importer of a hazardous chemical must give the registered medical practitioner the chemical identity of an ingredient of the hazardous chemical as soon as practicable.</w:t>
      </w:r>
    </w:p>
    <w:p>
      <w:pPr>
        <w:spacing w:before="125"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19"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4" w:after="0" w:line="279" w:lineRule="exact"/>
        <w:ind w:right="432"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333 Emergency disclosure of chemical identities to emergency service worker</w:t>
      </w:r>
    </w:p>
    <w:p>
      <w:pPr>
        <w:spacing w:before="119" w:after="0" w:line="275"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manufacturer or importer of a hazardous chemical must give an emergency service worker the chemical identity of an ingredient of the hazardous chemical as soon as practicable after the worker requests it.</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4"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0"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334 Packing hazardous chemicals</w:t>
      </w:r>
    </w:p>
    <w:p>
      <w:pPr>
        <w:spacing w:before="124" w:after="0" w:line="275" w:lineRule="exact"/>
        <w:ind w:right="144"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manufacturer or importer of a hazardous chemical must ensure that the hazardous chemical is correctly packed, in accordance with Part 2 of Schedule 9, as soon as practicable after manufacturing or importing the hazardous chemical.</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4"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0"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335 Labelling hazardous chemicals</w:t>
      </w:r>
    </w:p>
    <w:p>
      <w:pPr>
        <w:spacing w:before="124" w:after="0" w:line="275"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manufacturer or importer of a hazardous chemical must ensure that the hazardous chemical is correctly labelled as soon as practicable after manufacturing or importing the hazardous chemical.</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4" w:after="1439"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1439"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234</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spacing w:before="251" w:after="0" w:line="274"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(2) A hazardous chemical is </w:t>
      </w:r>
      <w:r>
        <w:rPr>
          <w:rFonts w:ascii="Times New Roman" w:hAnsi="Times New Roman" w:eastAsia="Times New Roman"/>
          <w:b w:val="true"/>
          <w:i w:val="true"/>
          <w:color w:val="000000"/>
          <w:spacing w:val="0"/>
          <w:w w:val="100"/>
          <w:sz w:val="24"/>
          <w:vertAlign w:val="baseline"/>
          <w:lang w:val="en-US"/>
        </w:rPr>
        <w:t xml:space="preserve">correctly labelled </w:t>
      </w:r>
      <w:r>
        <w:rPr>
          <w:rFonts w:ascii="Times New Roman" w:hAnsi="Times New Roman" w:eastAsia="Times New Roman"/>
          <w:color w:val="000000"/>
          <w:spacing w:val="0"/>
          <w:w w:val="100"/>
          <w:sz w:val="24"/>
          <w:vertAlign w:val="baseline"/>
          <w:lang w:val="en-US"/>
        </w:rPr>
        <w:t xml:space="preserve">if:</w:t>
      </w:r>
    </w:p>
    <w:p>
      <w:pPr>
        <w:numPr>
          <w:ilvl w:val="0"/>
          <w:numId w:val="572"/>
        </w:numPr>
        <w:tabs>
          <w:tab w:val="clear" w:pos="360"/>
          <w:tab w:val="left" w:pos="1872"/>
        </w:tabs>
        <w:spacing w:before="125" w:after="0" w:line="273"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selection and use of label elements is in accordance with the GHS and it complies with Part 3 of Schedule 9; or</w:t>
      </w:r>
    </w:p>
    <w:p>
      <w:pPr>
        <w:numPr>
          <w:ilvl w:val="0"/>
          <w:numId w:val="572"/>
        </w:numPr>
        <w:tabs>
          <w:tab w:val="clear" w:pos="360"/>
          <w:tab w:val="left" w:pos="1872"/>
        </w:tabs>
        <w:spacing w:before="123"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label includes content that complies with another labelling requirement imposed by these Regulations or by another law [of this State or] of the Commonwealth and the content is the same, or substantially the same, as the content that is required by Part 3 of Schedule 9.</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This regulation does not apply to a hazardous chemical if:</w:t>
      </w:r>
    </w:p>
    <w:p>
      <w:pPr>
        <w:numPr>
          <w:ilvl w:val="0"/>
          <w:numId w:val="573"/>
        </w:numPr>
        <w:tabs>
          <w:tab w:val="clear" w:pos="360"/>
          <w:tab w:val="left" w:pos="1872"/>
        </w:tabs>
        <w:spacing w:before="126" w:after="0" w:line="273"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hazardous chemical is a consumer product that is labelled in accordance with the Poisons Standard; and</w:t>
      </w:r>
    </w:p>
    <w:p>
      <w:pPr>
        <w:numPr>
          <w:ilvl w:val="0"/>
          <w:numId w:val="573"/>
        </w:numPr>
        <w:tabs>
          <w:tab w:val="clear" w:pos="360"/>
          <w:tab w:val="left" w:pos="1872"/>
        </w:tabs>
        <w:spacing w:before="126" w:after="0" w:line="273"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container for the hazardous chemical has its original label; and</w:t>
      </w:r>
    </w:p>
    <w:p>
      <w:pPr>
        <w:numPr>
          <w:ilvl w:val="0"/>
          <w:numId w:val="573"/>
        </w:numPr>
        <w:tabs>
          <w:tab w:val="clear" w:pos="360"/>
          <w:tab w:val="left" w:pos="1872"/>
        </w:tabs>
        <w:spacing w:before="116" w:after="0" w:line="278"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it is reasonably foreseeable that the hazardous chemical will be used in a workplace only in:</w:t>
      </w:r>
    </w:p>
    <w:p>
      <w:pPr>
        <w:numPr>
          <w:ilvl w:val="0"/>
          <w:numId w:val="574"/>
        </w:numPr>
        <w:tabs>
          <w:tab w:val="clear" w:pos="504"/>
          <w:tab w:val="left" w:pos="2376"/>
        </w:tabs>
        <w:spacing w:before="121" w:after="0" w:line="273" w:lineRule="exact"/>
        <w:ind w:right="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quantity that is consistent with household use; and</w:t>
      </w:r>
    </w:p>
    <w:p>
      <w:pPr>
        <w:numPr>
          <w:ilvl w:val="0"/>
          <w:numId w:val="574"/>
        </w:numPr>
        <w:tabs>
          <w:tab w:val="clear" w:pos="504"/>
          <w:tab w:val="left" w:pos="2376"/>
        </w:tabs>
        <w:spacing w:before="125" w:after="0" w:line="273" w:lineRule="exact"/>
        <w:ind w:right="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way that is consistent with household use; and</w:t>
      </w:r>
    </w:p>
    <w:p>
      <w:pPr>
        <w:numPr>
          <w:ilvl w:val="0"/>
          <w:numId w:val="574"/>
        </w:numPr>
        <w:tabs>
          <w:tab w:val="clear" w:pos="504"/>
          <w:tab w:val="left" w:pos="2376"/>
        </w:tabs>
        <w:spacing w:before="116" w:after="0" w:line="278" w:lineRule="exact"/>
        <w:ind w:right="216"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way that is incidental to the nature of the work carried out by a worker using the hazardous chemical.</w:t>
      </w:r>
    </w:p>
    <w:p>
      <w:pPr>
        <w:spacing w:before="121"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This regulation does not apply to hazardous chemicals in transit.</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This regulation does not apply to a hazardous chemical that:</w:t>
      </w:r>
    </w:p>
    <w:p>
      <w:pPr>
        <w:numPr>
          <w:ilvl w:val="0"/>
          <w:numId w:val="575"/>
        </w:numPr>
        <w:tabs>
          <w:tab w:val="clear" w:pos="360"/>
          <w:tab w:val="left" w:pos="1872"/>
        </w:tabs>
        <w:spacing w:before="117" w:after="0" w:line="278"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therapeutic goods within the meaning of the </w:t>
      </w:r>
      <w:r>
        <w:rPr>
          <w:rFonts w:ascii="Times New Roman" w:hAnsi="Times New Roman" w:eastAsia="Times New Roman"/>
          <w:i w:val="true"/>
          <w:color w:val="000000"/>
          <w:spacing w:val="0"/>
          <w:w w:val="100"/>
          <w:sz w:val="24"/>
          <w:vertAlign w:val="baseline"/>
          <w:lang w:val="en-US"/>
        </w:rPr>
        <w:t xml:space="preserve">Therapeutic Goods Act 1989 </w:t>
      </w:r>
      <w:r>
        <w:rPr>
          <w:rFonts w:ascii="Times New Roman" w:hAnsi="Times New Roman" w:eastAsia="Times New Roman"/>
          <w:color w:val="000000"/>
          <w:spacing w:val="0"/>
          <w:w w:val="100"/>
          <w:sz w:val="24"/>
          <w:vertAlign w:val="baseline"/>
          <w:lang w:val="en-US"/>
        </w:rPr>
        <w:t xml:space="preserve">of the Commonwealth; and</w:t>
      </w:r>
    </w:p>
    <w:p>
      <w:pPr>
        <w:numPr>
          <w:ilvl w:val="0"/>
          <w:numId w:val="575"/>
        </w:numPr>
        <w:tabs>
          <w:tab w:val="clear" w:pos="360"/>
          <w:tab w:val="left" w:pos="1872"/>
        </w:tabs>
        <w:spacing w:before="117" w:after="0" w:line="276" w:lineRule="exact"/>
        <w:ind w:right="86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in a form intended for human consumption, for administration to or by a person or use by a person for therapeutic purposes; and</w:t>
      </w:r>
    </w:p>
    <w:p>
      <w:pPr>
        <w:numPr>
          <w:ilvl w:val="0"/>
          <w:numId w:val="575"/>
        </w:numPr>
        <w:tabs>
          <w:tab w:val="clear" w:pos="360"/>
          <w:tab w:val="left" w:pos="1872"/>
        </w:tabs>
        <w:spacing w:before="124" w:after="0" w:line="274"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labelled in accordance with that Act or an order made under that Act.</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(6) This regulation does not apply to cosmetics and toiletries.</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(7) This regulation does not apply to a hazardous chemical that is:</w:t>
      </w:r>
    </w:p>
    <w:p>
      <w:pPr>
        <w:numPr>
          <w:ilvl w:val="0"/>
          <w:numId w:val="576"/>
        </w:numPr>
        <w:tabs>
          <w:tab w:val="clear" w:pos="360"/>
          <w:tab w:val="left" w:pos="1872"/>
        </w:tabs>
        <w:spacing w:before="124" w:after="0" w:line="274"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veterinary chemical product within the meaning of the Agvet Code; and</w:t>
      </w:r>
    </w:p>
    <w:p>
      <w:pPr>
        <w:numPr>
          <w:ilvl w:val="0"/>
          <w:numId w:val="576"/>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listed in:</w:t>
      </w:r>
    </w:p>
    <w:p>
      <w:pPr>
        <w:spacing w:before="116" w:after="888" w:line="278" w:lineRule="exact"/>
        <w:ind w:right="216" w:left="2376" w:hanging="288"/>
        <w:jc w:val="left"/>
        <w:textAlignment w:val="baseline"/>
        <w:rPr>
          <w:rFonts w:ascii="Times New Roman" w:hAnsi="Times New Roman" w:eastAsia="Times New Roman"/>
          <w:color w:val="000000"/>
          <w:spacing w:val="-1"/>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1"/>
          <w:w w:val="100"/>
          <w:sz w:val="24"/>
          <w:vertAlign w:val="baseline"/>
          <w:lang w:val="en-US"/>
        </w:rPr>
        <w:t xml:space="preserve">(i) the Poisons Standard, Part 4, Schedule 4, if the chemical product is packaged and supplied in a form intended for</w:t>
      </w:r>
    </w:p>
    <w:p>
      <w:pPr>
        <w:spacing w:before="116" w:after="888"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235</w:t>
      </w:r>
    </w:p>
    <w:p>
      <w:pPr>
        <w:sectPr>
          <w:type w:val="continuous"/>
          <w:pgSz w:w="11909" w:h="16838" w:orient="portrait"/>
          <w:pgMar w:bottom="1082" w:top="1140" w:right="5814" w:left="1975"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spacing w:before="245" w:after="0" w:line="279" w:lineRule="exact"/>
        <w:ind w:right="864" w:left="2376"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direct administration to an animal for therapeutic purposes; or</w:t>
      </w:r>
    </w:p>
    <w:p>
      <w:pPr>
        <w:spacing w:before="0" w:after="0" w:line="396" w:lineRule="exact"/>
        <w:ind w:right="1656" w:left="1008" w:firstLine="100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(ii) the Poisons Standard, Part 4, Schedule 8. (8) In this regulation:</w:t>
      </w:r>
    </w:p>
    <w:p>
      <w:pPr>
        <w:spacing w:before="117" w:after="0" w:line="276" w:lineRule="exact"/>
        <w:ind w:right="144" w:left="1872" w:hanging="504"/>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Poisons Standard </w:t>
      </w:r>
      <w:r>
        <w:rPr>
          <w:rFonts w:ascii="Times New Roman" w:hAnsi="Times New Roman" w:eastAsia="Times New Roman"/>
          <w:color w:val="000000"/>
          <w:spacing w:val="0"/>
          <w:w w:val="100"/>
          <w:sz w:val="24"/>
          <w:vertAlign w:val="baseline"/>
          <w:lang w:val="en-US"/>
        </w:rPr>
        <w:t xml:space="preserve">means the Standard for the Uniform Scheduling of Medicines and Poisons November 2016 published by the Commonwealth, as in force or remade from time to time.</w:t>
      </w:r>
    </w:p>
    <w:p>
      <w:pPr>
        <w:spacing w:before="251" w:after="0" w:line="273"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Subdivision 2 Obligations of suppliers</w:t>
      </w:r>
    </w:p>
    <w:p>
      <w:pPr>
        <w:spacing w:before="119"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Notes</w:t>
      </w:r>
    </w:p>
    <w:p>
      <w:pPr>
        <w:tabs>
          <w:tab w:val="left" w:leader="none" w:pos="1296"/>
        </w:tabs>
        <w:spacing w:before="122" w:after="0" w:line="231" w:lineRule="exact"/>
        <w:ind w:right="144" w:left="1368" w:hanging="50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A supplier of hazardous chemicals may also be a person conducting a business or undertaking at a workplace.</w:t>
      </w:r>
    </w:p>
    <w:p>
      <w:pPr>
        <w:tabs>
          <w:tab w:val="left" w:leader="none" w:pos="1296"/>
        </w:tabs>
        <w:spacing w:before="120" w:after="0" w:line="230" w:lineRule="exact"/>
        <w:ind w:right="144" w:left="1368" w:hanging="50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A supplier is defined in section 25 of the Act as a person who conducts a business or undertaking of supplying.</w:t>
      </w:r>
    </w:p>
    <w:p>
      <w:pPr>
        <w:tabs>
          <w:tab w:val="left" w:leader="none" w:pos="1296"/>
        </w:tabs>
        <w:spacing w:before="116" w:after="0" w:line="230" w:lineRule="exact"/>
        <w:ind w:right="360" w:left="1368" w:hanging="504"/>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	</w:t>
      </w:r>
      <w:r>
        <w:rPr>
          <w:rFonts w:ascii="Times New Roman" w:hAnsi="Times New Roman" w:eastAsia="Times New Roman"/>
          <w:color w:val="000000"/>
          <w:spacing w:val="0"/>
          <w:w w:val="100"/>
          <w:sz w:val="20"/>
          <w:vertAlign w:val="baseline"/>
          <w:lang w:val="en-US"/>
        </w:rPr>
        <w:t xml:space="preserve">An operator of a major hazard facility is required to notify certain quantities of hazardous chemicals under Part 9.2.</w:t>
      </w:r>
    </w:p>
    <w:p>
      <w:pPr>
        <w:spacing w:before="119" w:after="0" w:line="273" w:lineRule="exact"/>
        <w:ind w:right="0" w:left="0" w:firstLine="0"/>
        <w:jc w:val="center"/>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336 Restriction on age of person who can supply hazardous chemicals</w:t>
      </w:r>
    </w:p>
    <w:p>
      <w:pPr>
        <w:spacing w:before="123" w:after="0" w:line="276" w:lineRule="exact"/>
        <w:ind w:right="216"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must not direct or allow a worker to supply a hazardous chemical that is a flammable gas or flammable liquid to another person into any container or vehicle provided by that other person unless the worker is at least 16 years of age.</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9"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Examples</w:t>
      </w:r>
    </w:p>
    <w:p>
      <w:pPr>
        <w:tabs>
          <w:tab w:val="left" w:leader="none" w:pos="1296"/>
        </w:tabs>
        <w:spacing w:before="126" w:after="0" w:line="228" w:lineRule="exact"/>
        <w:ind w:right="0" w:left="864"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1	</w:t>
      </w:r>
      <w:r>
        <w:rPr>
          <w:rFonts w:ascii="Times New Roman" w:hAnsi="Times New Roman" w:eastAsia="Times New Roman"/>
          <w:color w:val="000000"/>
          <w:spacing w:val="-1"/>
          <w:w w:val="100"/>
          <w:sz w:val="20"/>
          <w:vertAlign w:val="baseline"/>
          <w:lang w:val="en-US"/>
        </w:rPr>
        <w:t xml:space="preserve">Decanting fuel into a fuel container.</w:t>
      </w:r>
    </w:p>
    <w:p>
      <w:pPr>
        <w:tabs>
          <w:tab w:val="left" w:leader="none" w:pos="1296"/>
        </w:tabs>
        <w:spacing w:before="122" w:after="0" w:line="228" w:lineRule="exact"/>
        <w:ind w:right="0" w:left="864"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2	</w:t>
      </w:r>
      <w:r>
        <w:rPr>
          <w:rFonts w:ascii="Times New Roman" w:hAnsi="Times New Roman" w:eastAsia="Times New Roman"/>
          <w:color w:val="000000"/>
          <w:spacing w:val="-1"/>
          <w:w w:val="100"/>
          <w:sz w:val="20"/>
          <w:vertAlign w:val="baseline"/>
          <w:lang w:val="en-US"/>
        </w:rPr>
        <w:t xml:space="preserve">Refuelling a car.</w:t>
      </w:r>
    </w:p>
    <w:p>
      <w:pPr>
        <w:spacing w:before="119" w:after="0" w:line="273"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337 Retailer or supplier packing hazardous chemicals</w:t>
      </w:r>
    </w:p>
    <w:p>
      <w:pPr>
        <w:spacing w:before="120" w:after="0" w:line="276"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supplier of a hazardous chemical must not supply the hazardous chemical for use at another workplace if the supplier knows or ought reasonably to know that the hazardous chemical is not correctly packed.</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1" w:after="988"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corporate—$18 000.</w:t>
      </w:r>
    </w:p>
    <w:p>
      <w:pPr>
        <w:spacing w:before="121" w:after="988"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236</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spacing w:before="249"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(2) A retailer who supplies a hazardous chemical in a container provided by the person supplied with the chemical must ensure that the hazardous chemical is correctly packed.</w:t>
      </w:r>
    </w:p>
    <w:p>
      <w:pPr>
        <w:spacing w:before="125"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19"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5"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19"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338 Supplier labelling hazardous chemicals</w:t>
      </w:r>
    </w:p>
    <w:p>
      <w:pPr>
        <w:numPr>
          <w:ilvl w:val="0"/>
          <w:numId w:val="577"/>
        </w:numPr>
        <w:tabs>
          <w:tab w:val="clear" w:pos="360"/>
          <w:tab w:val="left" w:pos="1368"/>
        </w:tabs>
        <w:spacing w:before="124" w:after="0" w:line="275"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supplier of a hazardous chemical must not supply the hazardous chemical to another workplace if the supplier knows or ought reasonably to know that the hazardous chemical is not correctly labelled in accordance with regulation 335.</w:t>
      </w:r>
    </w:p>
    <w:p>
      <w:pPr>
        <w:spacing w:before="125"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19"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0"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numPr>
          <w:ilvl w:val="0"/>
          <w:numId w:val="577"/>
        </w:numPr>
        <w:tabs>
          <w:tab w:val="clear" w:pos="360"/>
          <w:tab w:val="left" w:pos="1368"/>
        </w:tabs>
        <w:spacing w:before="124" w:after="0" w:line="275"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Subregulation (1) does not apply to a hazardous chemical manufactured or imported before 1 January 2023 that was, at the time it was manufactured or imported, labelled in accordance with GHS 3.</w:t>
      </w:r>
    </w:p>
    <w:p>
      <w:pPr>
        <w:spacing w:before="124"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339 Supplier to provide safety data sheets</w:t>
      </w:r>
    </w:p>
    <w:p>
      <w:pPr>
        <w:spacing w:before="118" w:after="0" w:line="276"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supplier of a hazardous chemical to a workplace must ensure that the current safety data sheet for the hazardous chemical is provided with the hazardous chemical:</w:t>
      </w:r>
    </w:p>
    <w:p>
      <w:pPr>
        <w:numPr>
          <w:ilvl w:val="0"/>
          <w:numId w:val="578"/>
        </w:numPr>
        <w:tabs>
          <w:tab w:val="clear" w:pos="360"/>
          <w:tab w:val="left" w:pos="1872"/>
        </w:tabs>
        <w:spacing w:before="124" w:after="0" w:line="274" w:lineRule="exact"/>
        <w:ind w:right="115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when the hazardous chemical is first supplied to the workplace; and</w:t>
      </w:r>
    </w:p>
    <w:p>
      <w:pPr>
        <w:numPr>
          <w:ilvl w:val="0"/>
          <w:numId w:val="578"/>
        </w:numPr>
        <w:tabs>
          <w:tab w:val="clear" w:pos="360"/>
          <w:tab w:val="left" w:pos="1872"/>
        </w:tabs>
        <w:spacing w:before="122" w:after="0" w:line="276"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safety data sheet for the hazardous chemical is amended—when the hazardous chemical is first supplied to the workplace after the safety data sheet is amended.</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2"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 hazardous chemical is taken to be </w:t>
      </w:r>
      <w:r>
        <w:rPr>
          <w:rFonts w:ascii="Times New Roman" w:hAnsi="Times New Roman" w:eastAsia="Times New Roman"/>
          <w:b w:val="true"/>
          <w:i w:val="true"/>
          <w:color w:val="000000"/>
          <w:spacing w:val="0"/>
          <w:w w:val="100"/>
          <w:sz w:val="24"/>
          <w:vertAlign w:val="baseline"/>
          <w:lang w:val="en-US"/>
        </w:rPr>
        <w:t xml:space="preserve">first supplied </w:t>
      </w:r>
      <w:r>
        <w:rPr>
          <w:rFonts w:ascii="Times New Roman" w:hAnsi="Times New Roman" w:eastAsia="Times New Roman"/>
          <w:color w:val="000000"/>
          <w:spacing w:val="0"/>
          <w:w w:val="100"/>
          <w:sz w:val="24"/>
          <w:vertAlign w:val="baseline"/>
          <w:lang w:val="en-US"/>
        </w:rPr>
        <w:t xml:space="preserve">to a workplace if the supply is the first supply of the hazardous chemical to the workplace for 5 years.</w:t>
      </w:r>
    </w:p>
    <w:p>
      <w:pPr>
        <w:spacing w:before="116" w:after="1007" w:line="278" w:lineRule="exact"/>
        <w:ind w:right="360" w:left="1368" w:hanging="360"/>
        <w:jc w:val="left"/>
        <w:textAlignment w:val="baseline"/>
        <w:rPr>
          <w:rFonts w:ascii="Times New Roman" w:hAnsi="Times New Roman" w:eastAsia="Times New Roman"/>
          <w:color w:val="000000"/>
          <w:spacing w:val="-1"/>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1"/>
          <w:w w:val="100"/>
          <w:sz w:val="24"/>
          <w:vertAlign w:val="baseline"/>
          <w:lang w:val="en-US"/>
        </w:rPr>
        <w:t xml:space="preserve">(3) The supplier of a hazardous chemical to a workplace must ensure that the current safety data sheet for the hazardous chemical is</w:t>
      </w:r>
    </w:p>
    <w:p>
      <w:pPr>
        <w:spacing w:before="116" w:after="1007"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237</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spacing w:before="244" w:after="0" w:line="279" w:lineRule="exact"/>
        <w:ind w:right="576"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provided to a person at the workplace if the person asks for the safety data sheet.</w:t>
      </w:r>
    </w:p>
    <w:p>
      <w:pPr>
        <w:spacing w:before="121" w:after="0" w:line="272"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7"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2"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6" w:after="0" w:line="273"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This regulation does not apply to a supplier of a hazardous chemical if:</w:t>
      </w:r>
    </w:p>
    <w:p>
      <w:pPr>
        <w:numPr>
          <w:ilvl w:val="0"/>
          <w:numId w:val="579"/>
        </w:numPr>
        <w:tabs>
          <w:tab w:val="clear" w:pos="360"/>
          <w:tab w:val="left" w:pos="1872"/>
        </w:tabs>
        <w:spacing w:before="127" w:after="0" w:line="272" w:lineRule="exact"/>
        <w:ind w:right="0" w:left="1368" w:firstLine="14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hazardous chemical is a consumer product; or</w:t>
      </w:r>
    </w:p>
    <w:p>
      <w:pPr>
        <w:numPr>
          <w:ilvl w:val="0"/>
          <w:numId w:val="579"/>
        </w:numPr>
        <w:tabs>
          <w:tab w:val="clear" w:pos="360"/>
          <w:tab w:val="left" w:pos="1872"/>
        </w:tabs>
        <w:spacing w:before="23" w:after="0" w:line="360" w:lineRule="exact"/>
        <w:ind w:right="0" w:left="1368" w:firstLine="14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supplier is a retailer.</w:t>
        <w:br/>
      </w:r>
      <w:r>
        <w:rPr>
          <w:rFonts w:ascii="Times New Roman" w:hAnsi="Times New Roman" w:eastAsia="Times New Roman"/>
          <w:b w:val="true"/>
          <w:color w:val="000000"/>
          <w:spacing w:val="0"/>
          <w:w w:val="100"/>
          <w:sz w:val="20"/>
          <w:vertAlign w:val="baseline"/>
          <w:lang w:val="en-US"/>
        </w:rPr>
        <w:t xml:space="preserve">Note</w:t>
      </w:r>
    </w:p>
    <w:p>
      <w:pPr>
        <w:spacing w:before="124" w:after="0" w:line="230" w:lineRule="exact"/>
        <w:ind w:right="576"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manufacturer or importer is required to prepare a safety data sheet under regulation 330.</w:t>
      </w:r>
    </w:p>
    <w:p>
      <w:pPr>
        <w:tabs>
          <w:tab w:val="left" w:leader="none" w:pos="864"/>
        </w:tabs>
        <w:spacing w:before="119"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340	</w:t>
      </w:r>
      <w:r>
        <w:rPr>
          <w:rFonts w:ascii="Times New Roman" w:hAnsi="Times New Roman" w:eastAsia="Times New Roman"/>
          <w:b w:val="true"/>
          <w:color w:val="000000"/>
          <w:spacing w:val="0"/>
          <w:w w:val="100"/>
          <w:sz w:val="24"/>
          <w:vertAlign w:val="baseline"/>
          <w:lang w:val="en-US"/>
        </w:rPr>
        <w:t xml:space="preserve">Supply of prohibited and restricted carcinogens</w:t>
      </w:r>
    </w:p>
    <w:p>
      <w:pPr>
        <w:spacing w:before="122" w:after="0"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supplier of a prohibited carcinogen referred to in an item in Schedule 10, table 10.1 must not supply the substance unless the person to be supplied with the substance gives the supplier evidence that:</w:t>
      </w:r>
    </w:p>
    <w:p>
      <w:pPr>
        <w:numPr>
          <w:ilvl w:val="0"/>
          <w:numId w:val="580"/>
        </w:numPr>
        <w:tabs>
          <w:tab w:val="clear" w:pos="360"/>
          <w:tab w:val="left" w:pos="1872"/>
        </w:tabs>
        <w:spacing w:before="126" w:after="0" w:line="273" w:lineRule="exact"/>
        <w:ind w:right="57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substance is to be used, handled or stored for genuine research or analysis; and</w:t>
      </w:r>
    </w:p>
    <w:p>
      <w:pPr>
        <w:numPr>
          <w:ilvl w:val="0"/>
          <w:numId w:val="580"/>
        </w:numPr>
        <w:tabs>
          <w:tab w:val="clear" w:pos="360"/>
          <w:tab w:val="left" w:pos="1872"/>
        </w:tabs>
        <w:spacing w:before="127" w:after="0" w:line="272" w:lineRule="exact"/>
        <w:ind w:right="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either:</w:t>
      </w:r>
    </w:p>
    <w:p>
      <w:pPr>
        <w:numPr>
          <w:ilvl w:val="0"/>
          <w:numId w:val="581"/>
        </w:numPr>
        <w:tabs>
          <w:tab w:val="clear" w:pos="360"/>
          <w:tab w:val="left" w:pos="2376"/>
        </w:tabs>
        <w:spacing w:before="114" w:after="0" w:line="279" w:lineRule="exact"/>
        <w:ind w:right="216"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has authorised the person to use, handle or store the substance under regulation 384; or</w:t>
      </w:r>
    </w:p>
    <w:p>
      <w:pPr>
        <w:numPr>
          <w:ilvl w:val="0"/>
          <w:numId w:val="581"/>
        </w:numPr>
        <w:tabs>
          <w:tab w:val="clear" w:pos="360"/>
          <w:tab w:val="left" w:pos="2376"/>
        </w:tabs>
        <w:spacing w:before="114" w:after="0" w:line="279" w:lineRule="exact"/>
        <w:ind w:right="7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has granted an exemption under Part 11.2 to the person to use, handle or store the substance.</w:t>
      </w:r>
    </w:p>
    <w:p>
      <w:pPr>
        <w:spacing w:before="121" w:after="0" w:line="272"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7"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2"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supplier of a restricted carcinogen referred to in an item in Schedule 10, table 10.2, column 2 must not supply the substance for a use referred to in column 3 for the item unless the person to be supplied with the substance gives the supplier evidence that:</w:t>
      </w:r>
    </w:p>
    <w:p>
      <w:pPr>
        <w:numPr>
          <w:ilvl w:val="0"/>
          <w:numId w:val="582"/>
        </w:numPr>
        <w:tabs>
          <w:tab w:val="clear" w:pos="360"/>
          <w:tab w:val="left" w:pos="1872"/>
        </w:tabs>
        <w:spacing w:before="126" w:after="0" w:line="273"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has authorised the person to use, handle or store the substance under regulation 384; or</w:t>
      </w:r>
    </w:p>
    <w:p>
      <w:pPr>
        <w:numPr>
          <w:ilvl w:val="0"/>
          <w:numId w:val="582"/>
        </w:numPr>
        <w:tabs>
          <w:tab w:val="clear" w:pos="360"/>
          <w:tab w:val="left" w:pos="1872"/>
        </w:tabs>
        <w:spacing w:before="126" w:after="908" w:line="273"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regulator has granted an exemption to the person under Part 11.2 to use, handle or store the substance.</w:t>
      </w:r>
    </w:p>
    <w:p>
      <w:pPr>
        <w:spacing w:before="126" w:after="908"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238</w:t>
      </w:r>
    </w:p>
    <w:p>
      <w:pPr>
        <w:sectPr>
          <w:type w:val="continuous"/>
          <w:pgSz w:w="11909" w:h="16838" w:orient="portrait"/>
          <w:pgMar w:bottom="1082" w:top="1140" w:right="5814" w:left="1975"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spacing w:before="25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6"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A supplier under subregulation (1) or (2) must keep a record of:</w:t>
      </w:r>
    </w:p>
    <w:p>
      <w:pPr>
        <w:numPr>
          <w:ilvl w:val="0"/>
          <w:numId w:val="583"/>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of the person supplied; and</w:t>
      </w:r>
    </w:p>
    <w:p>
      <w:pPr>
        <w:numPr>
          <w:ilvl w:val="0"/>
          <w:numId w:val="583"/>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and quantity of the substance supplied.</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26" w:after="0" w:line="273"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The supplier must keep the record for 5 years after the substance was last supplied to the person.</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35" w:after="0" w:line="389" w:lineRule="exact"/>
        <w:ind w:right="72" w:left="288" w:hanging="288"/>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Subdivision 3 Obligations of persons conducting businesses or undertakings 341 Labelling hazardous chemicals—general requirement</w:t>
      </w:r>
    </w:p>
    <w:p>
      <w:pPr>
        <w:numPr>
          <w:ilvl w:val="0"/>
          <w:numId w:val="584"/>
        </w:numPr>
        <w:tabs>
          <w:tab w:val="clear" w:pos="360"/>
          <w:tab w:val="left" w:pos="1368"/>
        </w:tabs>
        <w:spacing w:before="121"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must ensure that a hazardous chemical used, handled or stored at the workplace is correctly labelled in accordance with regulation 335.</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584"/>
        </w:numPr>
        <w:tabs>
          <w:tab w:val="clear" w:pos="360"/>
          <w:tab w:val="left" w:pos="1368"/>
        </w:tabs>
        <w:spacing w:before="125" w:after="0" w:line="273"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Subregulation (1) does not apply to a hazardous chemical:</w:t>
      </w:r>
    </w:p>
    <w:p>
      <w:pPr>
        <w:numPr>
          <w:ilvl w:val="0"/>
          <w:numId w:val="585"/>
        </w:numPr>
        <w:tabs>
          <w:tab w:val="clear" w:pos="360"/>
          <w:tab w:val="left" w:pos="1872"/>
        </w:tabs>
        <w:spacing w:before="120"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supplied before 1 January 2017 that was, at the time it was supplied, labelled in accordance with the </w:t>
      </w:r>
      <w:r>
        <w:rPr>
          <w:rFonts w:ascii="Times New Roman" w:hAnsi="Times New Roman" w:eastAsia="Times New Roman"/>
          <w:i w:val="true"/>
          <w:color w:val="000000"/>
          <w:spacing w:val="0"/>
          <w:w w:val="100"/>
          <w:sz w:val="24"/>
          <w:vertAlign w:val="baseline"/>
          <w:lang w:val="en-US"/>
        </w:rPr>
        <w:t xml:space="preserve">National Code of Practice for the Labelling of Workplace Substances [NOHSC: 2012 (1994)] </w:t>
      </w:r>
      <w:r>
        <w:rPr>
          <w:rFonts w:ascii="Times New Roman" w:hAnsi="Times New Roman" w:eastAsia="Times New Roman"/>
          <w:color w:val="000000"/>
          <w:spacing w:val="0"/>
          <w:w w:val="100"/>
          <w:sz w:val="24"/>
          <w:vertAlign w:val="baseline"/>
          <w:lang w:val="en-US"/>
        </w:rPr>
        <w:t xml:space="preserve">as in force at that time; or</w:t>
      </w:r>
    </w:p>
    <w:p>
      <w:pPr>
        <w:numPr>
          <w:ilvl w:val="0"/>
          <w:numId w:val="585"/>
        </w:numPr>
        <w:tabs>
          <w:tab w:val="clear" w:pos="360"/>
          <w:tab w:val="left" w:pos="1872"/>
        </w:tabs>
        <w:spacing w:before="116" w:after="0" w:line="278"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supplied before 1 January 2023 that was, at the time it was supplied, labelled in accordance with GHS 3; or</w:t>
      </w:r>
    </w:p>
    <w:p>
      <w:pPr>
        <w:numPr>
          <w:ilvl w:val="0"/>
          <w:numId w:val="585"/>
        </w:numPr>
        <w:tabs>
          <w:tab w:val="clear" w:pos="360"/>
          <w:tab w:val="left" w:pos="1872"/>
        </w:tabs>
        <w:spacing w:before="118" w:after="1238"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manufactured or imported before 1 January 2023 that was, at the time it was manufactured or imported, labelled in accordance with GHS 3.</w:t>
      </w:r>
    </w:p>
    <w:p>
      <w:pPr>
        <w:spacing w:before="118" w:after="1238"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239</w:t>
      </w:r>
    </w:p>
    <w:p>
      <w:pPr>
        <w:sectPr>
          <w:type w:val="continuous"/>
          <w:pgSz w:w="11909" w:h="16838" w:orient="portrait"/>
          <w:pgMar w:bottom="1082" w:top="1140" w:right="5812" w:left="1977"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spacing w:before="255"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Note</w:t>
      </w:r>
    </w:p>
    <w:p>
      <w:pPr>
        <w:spacing w:before="125" w:after="0" w:line="227"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Regulation 338 applies if the chemical is being supplied to another workplace.</w:t>
      </w:r>
    </w:p>
    <w:p>
      <w:pPr>
        <w:spacing w:before="120"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342 Labelling hazardous chemicals—containers</w:t>
      </w:r>
    </w:p>
    <w:p>
      <w:pPr>
        <w:spacing w:before="116"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at a workplace must ensure that a hazardous chemical is correctly labelled in accordance with regulation 335 if the hazardous chemical is:</w:t>
      </w:r>
    </w:p>
    <w:p>
      <w:pPr>
        <w:numPr>
          <w:ilvl w:val="0"/>
          <w:numId w:val="586"/>
        </w:numPr>
        <w:tabs>
          <w:tab w:val="clear" w:pos="360"/>
          <w:tab w:val="left" w:pos="1872"/>
        </w:tabs>
        <w:spacing w:before="126"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manufactured at the workplace; or</w:t>
      </w:r>
    </w:p>
    <w:p>
      <w:pPr>
        <w:numPr>
          <w:ilvl w:val="0"/>
          <w:numId w:val="586"/>
        </w:numPr>
        <w:tabs>
          <w:tab w:val="clear" w:pos="360"/>
          <w:tab w:val="left" w:pos="1872"/>
        </w:tabs>
        <w:spacing w:before="116" w:after="0" w:line="278" w:lineRule="exact"/>
        <w:ind w:right="72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transferred or decanted from its original container at the workplace.</w:t>
      </w:r>
    </w:p>
    <w:p>
      <w:pPr>
        <w:spacing w:before="122" w:after="0" w:line="272"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2"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6" w:after="0" w:line="272"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(1A) Subregulation (1) does not apply to a hazardous chemical:</w:t>
      </w:r>
    </w:p>
    <w:p>
      <w:pPr>
        <w:numPr>
          <w:ilvl w:val="0"/>
          <w:numId w:val="587"/>
        </w:numPr>
        <w:tabs>
          <w:tab w:val="clear" w:pos="360"/>
          <w:tab w:val="left" w:pos="1872"/>
        </w:tabs>
        <w:spacing w:before="118"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manufactured at the workplace, or transferred or decanted from its original container at the workplace, before 1 January 2017 that was, at the time it was manufactured, or transferred or decanted from its original container, labelled in accordance with the </w:t>
      </w:r>
      <w:r>
        <w:rPr>
          <w:rFonts w:ascii="Times New Roman" w:hAnsi="Times New Roman" w:eastAsia="Times New Roman"/>
          <w:i w:val="true"/>
          <w:color w:val="000000"/>
          <w:spacing w:val="0"/>
          <w:w w:val="100"/>
          <w:sz w:val="24"/>
          <w:vertAlign w:val="baseline"/>
          <w:lang w:val="en-US"/>
        </w:rPr>
        <w:t xml:space="preserve">National Code of Practice for the Labelling of Workplace Substances [NOHSC: 2012 (1994)] </w:t>
      </w:r>
      <w:r>
        <w:rPr>
          <w:rFonts w:ascii="Times New Roman" w:hAnsi="Times New Roman" w:eastAsia="Times New Roman"/>
          <w:color w:val="000000"/>
          <w:spacing w:val="0"/>
          <w:w w:val="100"/>
          <w:sz w:val="24"/>
          <w:vertAlign w:val="baseline"/>
          <w:lang w:val="en-US"/>
        </w:rPr>
        <w:t xml:space="preserve">as in force at that time; or</w:t>
      </w:r>
    </w:p>
    <w:p>
      <w:pPr>
        <w:numPr>
          <w:ilvl w:val="0"/>
          <w:numId w:val="587"/>
        </w:numPr>
        <w:tabs>
          <w:tab w:val="clear" w:pos="360"/>
          <w:tab w:val="left" w:pos="1872"/>
        </w:tabs>
        <w:spacing w:before="122" w:after="0" w:line="276"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manufactured at the workplace before 1 January 2023 that was, at the time it was manufactured, labelled in accordance with GHS 3; or</w:t>
      </w:r>
    </w:p>
    <w:p>
      <w:pPr>
        <w:numPr>
          <w:ilvl w:val="0"/>
          <w:numId w:val="587"/>
        </w:numPr>
        <w:tabs>
          <w:tab w:val="clear" w:pos="360"/>
          <w:tab w:val="left" w:pos="1872"/>
        </w:tabs>
        <w:spacing w:before="116" w:after="0" w:line="278" w:lineRule="exact"/>
        <w:ind w:right="72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transferred or decanted from its original container at the workplace that was:</w:t>
      </w:r>
    </w:p>
    <w:p>
      <w:pPr>
        <w:numPr>
          <w:ilvl w:val="0"/>
          <w:numId w:val="588"/>
        </w:numPr>
        <w:tabs>
          <w:tab w:val="clear" w:pos="360"/>
          <w:tab w:val="left" w:pos="2376"/>
        </w:tabs>
        <w:spacing w:before="122" w:after="0" w:line="272"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manufactured or imported before 1 January 2023; and</w:t>
      </w:r>
    </w:p>
    <w:p>
      <w:pPr>
        <w:numPr>
          <w:ilvl w:val="0"/>
          <w:numId w:val="588"/>
        </w:numPr>
        <w:tabs>
          <w:tab w:val="clear" w:pos="360"/>
          <w:tab w:val="left" w:pos="2376"/>
        </w:tabs>
        <w:spacing w:before="124" w:after="0" w:line="274" w:lineRule="exact"/>
        <w:ind w:right="216"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at the time it was manufactured or imported, labelled in accordance with GHS 3.</w:t>
      </w:r>
    </w:p>
    <w:p>
      <w:pPr>
        <w:spacing w:before="130"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7"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Regulation 338 applies if the chemical is being supplied to another workplace.</w:t>
      </w:r>
    </w:p>
    <w:p>
      <w:pPr>
        <w:spacing w:before="118" w:after="0" w:line="275" w:lineRule="exact"/>
        <w:ind w:right="144" w:left="1368" w:hanging="360"/>
        <w:jc w:val="left"/>
        <w:textAlignment w:val="baseline"/>
        <w:rPr>
          <w:rFonts w:ascii="Times New Roman" w:hAnsi="Times New Roman" w:eastAsia="Times New Roman"/>
          <w:color w:val="000000"/>
          <w:spacing w:val="-2"/>
          <w:w w:val="100"/>
          <w:sz w:val="24"/>
          <w:vertAlign w:val="baseline"/>
          <w:lang w:val="en-US"/>
        </w:rPr>
      </w:pPr>
      <w:r>
        <w:rPr>
          <w:rFonts w:ascii="Times New Roman" w:hAnsi="Times New Roman" w:eastAsia="Times New Roman"/>
          <w:color w:val="000000"/>
          <w:spacing w:val="-2"/>
          <w:w w:val="100"/>
          <w:sz w:val="24"/>
          <w:vertAlign w:val="baseline"/>
          <w:lang w:val="en-US"/>
        </w:rPr>
        <w:t xml:space="preserve">(2) 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spacing w:before="126" w:after="0" w:line="272"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2" w:after="797"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an individual—$6 000.</w:t>
      </w:r>
    </w:p>
    <w:p>
      <w:pPr>
        <w:spacing w:before="122" w:after="797" w:line="272"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240</w:t>
      </w:r>
    </w:p>
    <w:p>
      <w:pPr>
        <w:sectPr>
          <w:type w:val="continuous"/>
          <w:pgSz w:w="11909" w:h="16838" w:orient="portrait"/>
          <w:pgMar w:bottom="1082" w:top="1140" w:right="5812" w:left="1977"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spacing w:before="124" w:after="0" w:line="399" w:lineRule="exact"/>
        <w:ind w:right="2016" w:left="792" w:firstLine="1152"/>
        <w:jc w:val="both"/>
        <w:textAlignment w:val="baseline"/>
        <w:rPr>
          <w:rFonts w:ascii="Times New Roman" w:hAnsi="Times New Roman" w:eastAsia="Times New Roman"/>
          <w:color w:val="000000"/>
          <w:spacing w:val="-1"/>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1"/>
          <w:w w:val="100"/>
          <w:sz w:val="24"/>
          <w:vertAlign w:val="baseline"/>
          <w:lang w:val="en-US"/>
        </w:rPr>
        <w:t xml:space="preserve">In the case of a body corporate—$30 000. (2A) Subregulation (2) does not apply to a container:</w:t>
      </w:r>
    </w:p>
    <w:p>
      <w:pPr>
        <w:numPr>
          <w:ilvl w:val="0"/>
          <w:numId w:val="589"/>
        </w:numPr>
        <w:tabs>
          <w:tab w:val="clear" w:pos="360"/>
          <w:tab w:val="left" w:pos="1944"/>
        </w:tabs>
        <w:spacing w:before="121" w:after="0" w:line="276" w:lineRule="exact"/>
        <w:ind w:right="72"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supplied before 1 January 2017 that was, at the time it was supplied, labelled in accordance with the </w:t>
      </w:r>
      <w:r>
        <w:rPr>
          <w:rFonts w:ascii="Times New Roman" w:hAnsi="Times New Roman" w:eastAsia="Times New Roman"/>
          <w:i w:val="true"/>
          <w:color w:val="000000"/>
          <w:spacing w:val="0"/>
          <w:w w:val="100"/>
          <w:sz w:val="24"/>
          <w:vertAlign w:val="baseline"/>
          <w:lang w:val="en-US"/>
        </w:rPr>
        <w:t xml:space="preserve">National Code of Practice for the Labelling of Workplace Substances [NOHSC: 2012 (1994)] </w:t>
      </w:r>
      <w:r>
        <w:rPr>
          <w:rFonts w:ascii="Times New Roman" w:hAnsi="Times New Roman" w:eastAsia="Times New Roman"/>
          <w:color w:val="000000"/>
          <w:spacing w:val="0"/>
          <w:w w:val="100"/>
          <w:sz w:val="24"/>
          <w:vertAlign w:val="baseline"/>
          <w:lang w:val="en-US"/>
        </w:rPr>
        <w:t xml:space="preserve">as in force at that time; or</w:t>
      </w:r>
    </w:p>
    <w:p>
      <w:pPr>
        <w:numPr>
          <w:ilvl w:val="0"/>
          <w:numId w:val="589"/>
        </w:numPr>
        <w:tabs>
          <w:tab w:val="clear" w:pos="360"/>
          <w:tab w:val="left" w:pos="1944"/>
        </w:tabs>
        <w:spacing w:before="113" w:after="0" w:line="279" w:lineRule="exact"/>
        <w:ind w:right="432" w:left="1944"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supplied before 1 January 2023 that was, at the time it was supplied, labelled in accordance with GHS 3; or</w:t>
      </w:r>
    </w:p>
    <w:p>
      <w:pPr>
        <w:numPr>
          <w:ilvl w:val="0"/>
          <w:numId w:val="589"/>
        </w:numPr>
        <w:tabs>
          <w:tab w:val="clear" w:pos="360"/>
          <w:tab w:val="left" w:pos="1944"/>
        </w:tabs>
        <w:spacing w:before="117" w:after="0" w:line="276" w:lineRule="exact"/>
        <w:ind w:right="216"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manufactured or imported before 1 January 2023 that was, at the time it was manufactured or imported, labelled in accordance with GHS 3.</w:t>
      </w:r>
    </w:p>
    <w:p>
      <w:pPr>
        <w:spacing w:before="125"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3" w:after="0" w:line="230" w:lineRule="exact"/>
        <w:ind w:right="648"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Regulation 338 applies if the chemical in the container is being supplied to another workplace.</w:t>
      </w:r>
    </w:p>
    <w:p>
      <w:pPr>
        <w:numPr>
          <w:ilvl w:val="0"/>
          <w:numId w:val="590"/>
        </w:numPr>
        <w:tabs>
          <w:tab w:val="clear" w:pos="360"/>
          <w:tab w:val="left" w:pos="1368"/>
        </w:tabs>
        <w:spacing w:before="116"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must ensure that a container labelled for a hazardous chemical is used only for the use, handling or storage of the hazardous chemical.</w:t>
      </w:r>
    </w:p>
    <w:p>
      <w:pPr>
        <w:spacing w:before="127" w:after="0" w:line="272"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2" w:lineRule="exact"/>
        <w:ind w:right="0" w:left="1944"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In the case of an individual—$6 000.</w:t>
      </w:r>
    </w:p>
    <w:p>
      <w:pPr>
        <w:spacing w:before="127" w:after="0" w:line="272" w:lineRule="exact"/>
        <w:ind w:right="0" w:left="1944"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In the case of a body corporate—$30 000.</w:t>
      </w:r>
    </w:p>
    <w:p>
      <w:pPr>
        <w:numPr>
          <w:ilvl w:val="0"/>
          <w:numId w:val="590"/>
        </w:numPr>
        <w:tabs>
          <w:tab w:val="clear" w:pos="360"/>
          <w:tab w:val="left" w:pos="1368"/>
        </w:tabs>
        <w:spacing w:before="121" w:after="0" w:line="272"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regulation does not apply to a container if:</w:t>
      </w:r>
    </w:p>
    <w:p>
      <w:pPr>
        <w:numPr>
          <w:ilvl w:val="0"/>
          <w:numId w:val="591"/>
        </w:numPr>
        <w:tabs>
          <w:tab w:val="clear" w:pos="360"/>
          <w:tab w:val="left" w:pos="1944"/>
        </w:tabs>
        <w:spacing w:before="126" w:after="0" w:line="273" w:lineRule="exact"/>
        <w:ind w:right="288"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hazardous chemical in the container is used immediately after it is put in the container; and</w:t>
      </w:r>
    </w:p>
    <w:p>
      <w:pPr>
        <w:numPr>
          <w:ilvl w:val="0"/>
          <w:numId w:val="591"/>
        </w:numPr>
        <w:tabs>
          <w:tab w:val="clear" w:pos="360"/>
          <w:tab w:val="left" w:pos="1944"/>
        </w:tabs>
        <w:spacing w:before="124" w:after="0" w:line="275" w:lineRule="exact"/>
        <w:ind w:right="648" w:left="1944"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container is thoroughly cleaned immediately after the hazardous chemical is used, handled or stored so that the container is in the condition it would be in if it had never contained the hazardous chemical.</w:t>
      </w:r>
    </w:p>
    <w:p>
      <w:pPr>
        <w:spacing w:before="520"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343 Labelling hazardous chemicals—pipe work</w:t>
      </w:r>
    </w:p>
    <w:p>
      <w:pPr>
        <w:spacing w:before="122" w:after="0" w:line="275"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must ensure, so far as is reasonably practicable, that a hazardous chemical in pipe work is identified by a label, sign or another way on or near the pipe work.</w:t>
      </w:r>
    </w:p>
    <w:p>
      <w:pPr>
        <w:spacing w:before="127" w:after="0" w:line="272"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2" w:lineRule="exact"/>
        <w:ind w:right="0" w:left="1944"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In the case of an individual—$6 000.</w:t>
      </w:r>
    </w:p>
    <w:p>
      <w:pPr>
        <w:spacing w:before="127" w:after="749" w:line="272" w:lineRule="exact"/>
        <w:ind w:right="0" w:left="1944" w:firstLine="0"/>
        <w:jc w:val="left"/>
        <w:textAlignment w:val="baseline"/>
        <w:rPr>
          <w:rFonts w:ascii="Times New Roman" w:hAnsi="Times New Roman" w:eastAsia="Times New Roman"/>
          <w:color w:val="000000"/>
          <w:spacing w:val="-1"/>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1"/>
          <w:w w:val="100"/>
          <w:sz w:val="24"/>
          <w:vertAlign w:val="baseline"/>
          <w:lang w:val="en-US"/>
        </w:rPr>
        <w:t xml:space="preserve">In the case of a body corporate—$30 000.</w:t>
      </w:r>
    </w:p>
    <w:p>
      <w:pPr>
        <w:spacing w:before="127" w:after="749" w:line="272"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241</w:t>
      </w:r>
    </w:p>
    <w:p>
      <w:pPr>
        <w:sectPr>
          <w:type w:val="continuous"/>
          <w:pgSz w:w="11909" w:h="16838" w:orient="portrait"/>
          <w:pgMar w:bottom="1082" w:top="1140" w:right="5819" w:left="1970"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spacing w:before="246" w:after="0" w:line="279" w:lineRule="exact"/>
        <w:ind w:right="144" w:left="288" w:firstLine="0"/>
        <w:jc w:val="left"/>
        <w:textAlignment w:val="baseline"/>
        <w:rPr>
          <w:rFonts w:ascii="Times New Roman" w:hAnsi="Times New Roman" w:eastAsia="Times New Roman"/>
          <w:b w:val="true"/>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4"/>
          <w:vertAlign w:val="baseline"/>
          <w:lang w:val="en-US"/>
        </w:rPr>
        <w:t xml:space="preserve">344 Person conducting business or undertaking to obtain and give access to safety data sheets</w:t>
      </w:r>
    </w:p>
    <w:p>
      <w:pPr>
        <w:spacing w:before="116"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at a workplace must obtain the current safety data sheet for a hazardous chemical prepared in accordance with these Regulations from the manufacturer, importer or supplier of the hazardous chemical in the following circumstances:</w:t>
      </w:r>
    </w:p>
    <w:p>
      <w:pPr>
        <w:spacing w:before="126"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either:</w:t>
      </w:r>
    </w:p>
    <w:p>
      <w:pPr>
        <w:numPr>
          <w:ilvl w:val="0"/>
          <w:numId w:val="592"/>
        </w:numPr>
        <w:tabs>
          <w:tab w:val="clear" w:pos="360"/>
          <w:tab w:val="left" w:pos="2376"/>
        </w:tabs>
        <w:spacing w:before="114" w:after="0" w:line="279" w:lineRule="exact"/>
        <w:ind w:right="79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not later than when the hazardous chemical is first supplied for use at the workplace; or</w:t>
      </w:r>
    </w:p>
    <w:p>
      <w:pPr>
        <w:numPr>
          <w:ilvl w:val="0"/>
          <w:numId w:val="592"/>
        </w:numPr>
        <w:tabs>
          <w:tab w:val="clear" w:pos="360"/>
          <w:tab w:val="left" w:pos="2376"/>
        </w:tabs>
        <w:spacing w:before="119" w:after="0" w:line="275" w:lineRule="exact"/>
        <w:ind w:right="144" w:left="2376"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if the person is not able to obtain the safety data sheet under subparagraph (i)—as soon as practicable after the hazardous chemical is first supplied to the workplace but before the hazardous chemical is used at the workplace;</w:t>
      </w:r>
    </w:p>
    <w:p>
      <w:pPr>
        <w:spacing w:before="124" w:after="0" w:line="274"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if the safety data sheet for the hazardous chemical is amended either:</w:t>
      </w:r>
    </w:p>
    <w:p>
      <w:pPr>
        <w:numPr>
          <w:ilvl w:val="0"/>
          <w:numId w:val="593"/>
        </w:numPr>
        <w:tabs>
          <w:tab w:val="clear" w:pos="360"/>
          <w:tab w:val="left" w:pos="2376"/>
        </w:tabs>
        <w:spacing w:before="122" w:after="0" w:line="276" w:lineRule="exact"/>
        <w:ind w:right="36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not later than when the hazardous chemical is first supplied to the workplace after the safety data sheet is amended; or</w:t>
      </w:r>
    </w:p>
    <w:p>
      <w:pPr>
        <w:numPr>
          <w:ilvl w:val="0"/>
          <w:numId w:val="593"/>
        </w:numPr>
        <w:tabs>
          <w:tab w:val="clear" w:pos="360"/>
          <w:tab w:val="left" w:pos="2376"/>
        </w:tabs>
        <w:spacing w:before="120" w:after="0" w:line="276" w:lineRule="exact"/>
        <w:ind w:right="72" w:left="2376" w:hanging="360"/>
        <w:jc w:val="left"/>
        <w:textAlignment w:val="baseline"/>
        <w:rPr>
          <w:rFonts w:ascii="Times New Roman" w:hAnsi="Times New Roman" w:eastAsia="Times New Roman"/>
          <w:color w:val="000000"/>
          <w:spacing w:val="2"/>
          <w:w w:val="100"/>
          <w:sz w:val="24"/>
          <w:vertAlign w:val="baseline"/>
          <w:lang w:val="en-US"/>
        </w:rPr>
      </w:pPr>
      <w:r>
        <w:rPr>
          <w:rFonts w:ascii="Times New Roman" w:hAnsi="Times New Roman" w:eastAsia="Times New Roman"/>
          <w:color w:val="000000"/>
          <w:spacing w:val="2"/>
          <w:w w:val="100"/>
          <w:sz w:val="24"/>
          <w:vertAlign w:val="baseline"/>
          <w:lang w:val="en-US"/>
        </w:rPr>
        <w:t xml:space="preserve">if the person is not able to obtain the amended safety data sheet under subparagraph (i)—as soon as practicable after the hazardous chemical is first supplied to the workplace after the safety data sheet is amended and before the hazardous chemical supplied is used at the workplace.</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2"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hazardous chemical is taken to be </w:t>
      </w:r>
      <w:r>
        <w:rPr>
          <w:rFonts w:ascii="Times New Roman" w:hAnsi="Times New Roman" w:eastAsia="Times New Roman"/>
          <w:b w:val="true"/>
          <w:i w:val="true"/>
          <w:color w:val="000000"/>
          <w:spacing w:val="0"/>
          <w:w w:val="100"/>
          <w:sz w:val="24"/>
          <w:vertAlign w:val="baseline"/>
          <w:lang w:val="en-US"/>
        </w:rPr>
        <w:t xml:space="preserve">first supplied </w:t>
      </w:r>
      <w:r>
        <w:rPr>
          <w:rFonts w:ascii="Times New Roman" w:hAnsi="Times New Roman" w:eastAsia="Times New Roman"/>
          <w:color w:val="000000"/>
          <w:spacing w:val="0"/>
          <w:w w:val="100"/>
          <w:sz w:val="24"/>
          <w:vertAlign w:val="baseline"/>
          <w:lang w:val="en-US"/>
        </w:rPr>
        <w:t xml:space="preserve">to a workplace if the supply is the first supply of the hazardous chemical to the workplace for 5 years.</w:t>
      </w:r>
    </w:p>
    <w:p>
      <w:pPr>
        <w:spacing w:before="116" w:after="0" w:line="278"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person must ensure that the current safety data sheet for the hazardous chemical is readily accessible to:</w:t>
      </w:r>
    </w:p>
    <w:p>
      <w:pPr>
        <w:numPr>
          <w:ilvl w:val="0"/>
          <w:numId w:val="594"/>
        </w:numPr>
        <w:tabs>
          <w:tab w:val="clear" w:pos="360"/>
          <w:tab w:val="left" w:pos="1872"/>
        </w:tabs>
        <w:spacing w:before="116" w:after="0" w:line="278"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worker who is involved in using, handling or storing the hazardous chemical at the workplace; and</w:t>
      </w:r>
    </w:p>
    <w:p>
      <w:pPr>
        <w:numPr>
          <w:ilvl w:val="0"/>
          <w:numId w:val="594"/>
        </w:numPr>
        <w:tabs>
          <w:tab w:val="clear" w:pos="360"/>
          <w:tab w:val="left" w:pos="1872"/>
        </w:tabs>
        <w:spacing w:before="116" w:after="936" w:line="278"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an emergency service worker, or anyone else, who is likely to be exposed to the hazardous chemical at the workplace.</w:t>
      </w:r>
    </w:p>
    <w:p>
      <w:pPr>
        <w:spacing w:before="116" w:after="936"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242</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spacing w:before="25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6" w:after="0" w:line="273" w:lineRule="exact"/>
        <w:ind w:right="504"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Subregulations (1) and (3) do not apply to a hazardous chemical that:</w:t>
      </w:r>
    </w:p>
    <w:p>
      <w:pPr>
        <w:spacing w:before="126"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is in transit; or</w:t>
      </w:r>
    </w:p>
    <w:p>
      <w:pPr>
        <w:spacing w:before="114" w:after="0" w:line="279"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if the person conducting the business or undertaking at the workplace is a retailer—is:</w:t>
      </w:r>
    </w:p>
    <w:p>
      <w:pPr>
        <w:numPr>
          <w:ilvl w:val="0"/>
          <w:numId w:val="595"/>
        </w:numPr>
        <w:tabs>
          <w:tab w:val="clear" w:pos="432"/>
          <w:tab w:val="left" w:pos="2376"/>
        </w:tabs>
        <w:spacing w:before="120" w:after="0" w:line="273" w:lineRule="exact"/>
        <w:ind w:right="0" w:left="1944"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consumer product; and</w:t>
      </w:r>
    </w:p>
    <w:p>
      <w:pPr>
        <w:numPr>
          <w:ilvl w:val="0"/>
          <w:numId w:val="595"/>
        </w:numPr>
        <w:tabs>
          <w:tab w:val="clear" w:pos="432"/>
          <w:tab w:val="left" w:pos="2376"/>
        </w:tabs>
        <w:spacing w:before="126" w:after="0" w:line="273" w:lineRule="exact"/>
        <w:ind w:right="0" w:left="1944"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intended for supply to other premises; or</w:t>
      </w:r>
    </w:p>
    <w:p>
      <w:pPr>
        <w:spacing w:before="114" w:after="0" w:line="279"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is a consumer product and it is reasonably foreseeable that the hazardous chemical will be used at the workplace only in:</w:t>
      </w:r>
    </w:p>
    <w:p>
      <w:pPr>
        <w:numPr>
          <w:ilvl w:val="0"/>
          <w:numId w:val="596"/>
        </w:numPr>
        <w:tabs>
          <w:tab w:val="clear" w:pos="504"/>
          <w:tab w:val="left" w:pos="2376"/>
        </w:tabs>
        <w:spacing w:before="120" w:after="0" w:line="273" w:lineRule="exact"/>
        <w:ind w:right="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quantities that are consistent with household use; and</w:t>
      </w:r>
    </w:p>
    <w:p>
      <w:pPr>
        <w:numPr>
          <w:ilvl w:val="0"/>
          <w:numId w:val="596"/>
        </w:numPr>
        <w:tabs>
          <w:tab w:val="clear" w:pos="504"/>
          <w:tab w:val="left" w:pos="2376"/>
        </w:tabs>
        <w:spacing w:before="121" w:after="0" w:line="273" w:lineRule="exact"/>
        <w:ind w:right="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way that is consistent with household use; and</w:t>
      </w:r>
    </w:p>
    <w:p>
      <w:pPr>
        <w:numPr>
          <w:ilvl w:val="0"/>
          <w:numId w:val="596"/>
        </w:numPr>
        <w:tabs>
          <w:tab w:val="clear" w:pos="504"/>
          <w:tab w:val="left" w:pos="2376"/>
        </w:tabs>
        <w:spacing w:before="124" w:after="0" w:line="274" w:lineRule="exact"/>
        <w:ind w:right="216"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way that is incidental to the nature of the work carried out by a worker using the hazardous chemical.</w:t>
      </w:r>
    </w:p>
    <w:p>
      <w:pPr>
        <w:spacing w:before="122" w:after="0" w:line="276" w:lineRule="exact"/>
        <w:ind w:right="144"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(5) In the circumstances referred to in subregulation (4), the person must ensure that sufficient information about the safe use, handling and storage of the hazardous chemical is readily accessible to:</w:t>
      </w:r>
    </w:p>
    <w:p>
      <w:pPr>
        <w:numPr>
          <w:ilvl w:val="0"/>
          <w:numId w:val="597"/>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worker at the workplace; and</w:t>
      </w:r>
    </w:p>
    <w:p>
      <w:pPr>
        <w:numPr>
          <w:ilvl w:val="0"/>
          <w:numId w:val="597"/>
        </w:numPr>
        <w:tabs>
          <w:tab w:val="clear" w:pos="360"/>
          <w:tab w:val="left" w:pos="1872"/>
        </w:tabs>
        <w:spacing w:before="124" w:after="0" w:line="274"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emergency service worker, or anyone else, who is likely to be exposed to the hazardous chemical at the workplace.</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18" w:after="0" w:line="276" w:lineRule="exact"/>
        <w:ind w:right="50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(6) The person must ensure that the current safety data sheet for the hazardous chemical is readily accessible to a person at the workplace if the person:</w:t>
      </w:r>
    </w:p>
    <w:p>
      <w:pPr>
        <w:numPr>
          <w:ilvl w:val="0"/>
          <w:numId w:val="598"/>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likely to be affected by the hazardous chemical; and</w:t>
      </w:r>
    </w:p>
    <w:p>
      <w:pPr>
        <w:numPr>
          <w:ilvl w:val="0"/>
          <w:numId w:val="598"/>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asks for the safety data sheet.</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5" w:after="96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corporate—$18 000.</w:t>
      </w:r>
    </w:p>
    <w:p>
      <w:pPr>
        <w:spacing w:before="125" w:after="960"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243</w:t>
      </w:r>
    </w:p>
    <w:p>
      <w:pPr>
        <w:sectPr>
          <w:type w:val="continuous"/>
          <w:pgSz w:w="11909" w:h="16838" w:orient="portrait"/>
          <w:pgMar w:bottom="1082" w:top="1140" w:right="5817" w:left="1972"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spacing w:before="251"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4"/>
          <w:w w:val="100"/>
          <w:sz w:val="24"/>
          <w:vertAlign w:val="baseline"/>
          <w:lang w:val="en-US"/>
        </w:rPr>
        <w:t xml:space="preserve">345 Changes to safety data sheets</w:t>
      </w:r>
    </w:p>
    <w:p>
      <w:pPr>
        <w:spacing w:before="125" w:after="0" w:line="273" w:lineRule="exact"/>
        <w:ind w:right="144" w:left="1368" w:firstLine="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may change a safety data sheet for a hazardous chemical only if:</w:t>
      </w:r>
    </w:p>
    <w:p>
      <w:pPr>
        <w:spacing w:before="126"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the person:</w:t>
      </w:r>
    </w:p>
    <w:p>
      <w:pPr>
        <w:numPr>
          <w:ilvl w:val="0"/>
          <w:numId w:val="599"/>
        </w:numPr>
        <w:tabs>
          <w:tab w:val="clear" w:pos="360"/>
          <w:tab w:val="left" w:pos="2376"/>
        </w:tabs>
        <w:spacing w:before="114" w:after="0" w:line="279" w:lineRule="exact"/>
        <w:ind w:right="1008"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an importer or manufacturer of the hazardous chemical; and</w:t>
      </w:r>
    </w:p>
    <w:p>
      <w:pPr>
        <w:numPr>
          <w:ilvl w:val="0"/>
          <w:numId w:val="599"/>
        </w:numPr>
        <w:tabs>
          <w:tab w:val="clear" w:pos="360"/>
          <w:tab w:val="left" w:pos="2376"/>
        </w:tabs>
        <w:spacing w:before="117" w:after="0" w:line="276" w:lineRule="exact"/>
        <w:ind w:right="288"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changes the safety data sheet in a way that is consistent with the duties of the importer or manufacturer under regulation 330; or</w:t>
      </w:r>
    </w:p>
    <w:p>
      <w:pPr>
        <w:spacing w:before="123"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the change is only the attachment of a translation of the safety data sheet, and clearly states that the translation is not part of the original safety data sheet.</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4" w:after="0" w:line="230" w:lineRule="exact"/>
        <w:ind w:right="144" w:left="864"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The manufacturer or importer of a hazardous chemical must amend a safety data sheet as necessary to ensure the information is correct and current (see regulation 330(3)(b)).</w:t>
      </w:r>
    </w:p>
    <w:p>
      <w:pPr>
        <w:tabs>
          <w:tab w:val="left" w:leader="none" w:pos="1584"/>
        </w:tabs>
        <w:spacing w:before="244"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3	</w:t>
      </w:r>
      <w:r>
        <w:rPr>
          <w:rFonts w:ascii="Times New Roman" w:hAnsi="Times New Roman" w:eastAsia="Times New Roman"/>
          <w:b w:val="true"/>
          <w:color w:val="000000"/>
          <w:spacing w:val="0"/>
          <w:w w:val="100"/>
          <w:sz w:val="24"/>
          <w:vertAlign w:val="baseline"/>
          <w:lang w:val="en-US"/>
        </w:rPr>
        <w:t xml:space="preserve">Register and manifest of hazardous chemicals</w:t>
      </w:r>
    </w:p>
    <w:p>
      <w:pPr>
        <w:spacing w:before="244"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Subdivision 1 Hazardous chemicals register</w:t>
      </w:r>
    </w:p>
    <w:p>
      <w:pPr>
        <w:spacing w:before="115"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346 Hazardous chemicals register</w:t>
      </w:r>
    </w:p>
    <w:p>
      <w:pPr>
        <w:spacing w:before="125" w:after="0" w:line="273" w:lineRule="exact"/>
        <w:ind w:right="144"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at a workplace must ensure that:</w:t>
      </w:r>
    </w:p>
    <w:p>
      <w:pPr>
        <w:numPr>
          <w:ilvl w:val="0"/>
          <w:numId w:val="600"/>
        </w:numPr>
        <w:tabs>
          <w:tab w:val="clear" w:pos="360"/>
          <w:tab w:val="left" w:pos="1872"/>
        </w:tabs>
        <w:spacing w:before="126" w:after="0" w:line="273"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register of hazardous chemicals used, handled or stored at the workplace is prepared and kept at the workplace; and</w:t>
      </w:r>
    </w:p>
    <w:p>
      <w:pPr>
        <w:numPr>
          <w:ilvl w:val="0"/>
          <w:numId w:val="600"/>
        </w:numPr>
        <w:tabs>
          <w:tab w:val="clear" w:pos="360"/>
          <w:tab w:val="left" w:pos="1872"/>
        </w:tabs>
        <w:spacing w:before="126" w:after="0" w:line="273"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register is maintained to ensure the information in the register is up to date.</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0"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register must include:</w:t>
      </w:r>
    </w:p>
    <w:p>
      <w:pPr>
        <w:spacing w:before="126" w:after="1372"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a list of hazardous chemicals used, handled or stored; and</w:t>
      </w:r>
    </w:p>
    <w:p>
      <w:pPr>
        <w:spacing w:before="126" w:after="1372"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244</w:t>
      </w:r>
    </w:p>
    <w:p>
      <w:pPr>
        <w:sectPr>
          <w:type w:val="continuous"/>
          <w:pgSz w:w="11909" w:h="16838" w:orient="portrait"/>
          <w:pgMar w:bottom="1082" w:top="1140" w:right="5812" w:left="1977"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spacing w:before="245" w:after="0" w:line="279" w:lineRule="exact"/>
        <w:ind w:right="648"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(b) the current safety data sheet for each hazardous chemical listed.</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person must ensure that the register is readily accessible to:</w:t>
      </w:r>
    </w:p>
    <w:p>
      <w:pPr>
        <w:numPr>
          <w:ilvl w:val="0"/>
          <w:numId w:val="601"/>
        </w:numPr>
        <w:tabs>
          <w:tab w:val="clear" w:pos="360"/>
          <w:tab w:val="left" w:pos="1872"/>
        </w:tabs>
        <w:spacing w:before="126" w:after="0" w:line="273"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worker involved in using, handling or storing a hazardous chemical; and</w:t>
      </w:r>
    </w:p>
    <w:p>
      <w:pPr>
        <w:numPr>
          <w:ilvl w:val="0"/>
          <w:numId w:val="601"/>
        </w:numPr>
        <w:tabs>
          <w:tab w:val="clear" w:pos="360"/>
          <w:tab w:val="left" w:pos="1872"/>
        </w:tabs>
        <w:spacing w:before="126" w:after="0" w:line="273" w:lineRule="exact"/>
        <w:ind w:right="79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anyone else who is likely to be affected by a hazardous chemical at the workplace.</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This regulation does not apply to a hazardous chemical if:</w:t>
      </w:r>
    </w:p>
    <w:p>
      <w:pPr>
        <w:numPr>
          <w:ilvl w:val="0"/>
          <w:numId w:val="602"/>
        </w:numPr>
        <w:tabs>
          <w:tab w:val="clear" w:pos="360"/>
          <w:tab w:val="left" w:pos="1872"/>
        </w:tabs>
        <w:spacing w:before="127" w:after="0" w:line="273"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hazardous chemical is in transit, unless there is a significant or frequent presence of the hazardous chemical in transit at the workplace; or</w:t>
      </w:r>
    </w:p>
    <w:p>
      <w:pPr>
        <w:numPr>
          <w:ilvl w:val="0"/>
          <w:numId w:val="602"/>
        </w:numPr>
        <w:tabs>
          <w:tab w:val="clear" w:pos="360"/>
          <w:tab w:val="left" w:pos="1872"/>
        </w:tabs>
        <w:spacing w:before="122" w:after="0" w:line="276"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hazardous chemical is a consumer product and the person is not required to obtain a safety data sheet for the hazardous chemical under regulation 344.</w:t>
      </w:r>
    </w:p>
    <w:p>
      <w:pPr>
        <w:spacing w:before="124"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7"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regulation 344(4).</w:t>
      </w:r>
    </w:p>
    <w:p>
      <w:pPr>
        <w:spacing w:before="245" w:after="0" w:line="273"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Subdivision 2 Manifest of Schedule 11 hazardous chemicals</w:t>
      </w:r>
    </w:p>
    <w:p>
      <w:pPr>
        <w:spacing w:before="124"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4" w:after="0" w:line="228" w:lineRule="exact"/>
        <w:ind w:right="144" w:left="864"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Regulation 361 requires an emergency plan to be prepared if the quantity of hazardous chemicals used, handled or stored at a workplace exceeds the manifest quantity for that hazardous chemical.</w:t>
      </w:r>
    </w:p>
    <w:p>
      <w:pPr>
        <w:spacing w:before="120" w:after="0" w:line="273"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347 Manifest of hazardous chemicals</w:t>
      </w:r>
    </w:p>
    <w:p>
      <w:pPr>
        <w:spacing w:before="122"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at a workplace must, if the quantity of a Schedule 11 hazardous chemical or group of Schedule 11 hazardous chemicals used, handled or stored at the workplace exceeds the manifest quantity for the Schedule 11 hazardous chemical or group of Schedule 11 hazardous chemicals:</w:t>
      </w:r>
    </w:p>
    <w:p>
      <w:pPr>
        <w:numPr>
          <w:ilvl w:val="0"/>
          <w:numId w:val="603"/>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prepare a manifest of Schedule 11 hazardous chemicals; and</w:t>
      </w:r>
    </w:p>
    <w:p>
      <w:pPr>
        <w:numPr>
          <w:ilvl w:val="0"/>
          <w:numId w:val="603"/>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amend the manifest as soon as practicable if:</w:t>
      </w:r>
    </w:p>
    <w:p>
      <w:pPr>
        <w:spacing w:before="118" w:after="1046" w:line="276" w:lineRule="exact"/>
        <w:ind w:right="216" w:left="2376" w:hanging="288"/>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 the type or quantity of Schedule 11 hazardous chemical or group of Schedule 11 hazardous chemicals that must be listed in the manifest changes; or</w:t>
      </w:r>
    </w:p>
    <w:p>
      <w:pPr>
        <w:spacing w:before="118" w:after="1046"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245</w:t>
      </w:r>
    </w:p>
    <w:p>
      <w:pPr>
        <w:sectPr>
          <w:type w:val="continuous"/>
          <w:pgSz w:w="11909" w:h="16838" w:orient="portrait"/>
          <w:pgMar w:bottom="1082" w:top="1140" w:right="5814" w:left="1975"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spacing w:before="245" w:after="0" w:line="279" w:lineRule="exact"/>
        <w:ind w:right="216" w:left="2376"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(ii) there is a significant change in the information required to be recorded in the manifest.</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604"/>
        </w:numPr>
        <w:tabs>
          <w:tab w:val="clear" w:pos="360"/>
          <w:tab w:val="left" w:pos="1368"/>
        </w:tabs>
        <w:spacing w:before="126" w:after="0" w:line="273"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manifest of Schedule 11 hazardous chemicals must comply with Schedule 12.</w:t>
      </w:r>
    </w:p>
    <w:p>
      <w:pPr>
        <w:numPr>
          <w:ilvl w:val="0"/>
          <w:numId w:val="604"/>
        </w:numPr>
        <w:tabs>
          <w:tab w:val="clear" w:pos="360"/>
          <w:tab w:val="left" w:pos="1368"/>
        </w:tabs>
        <w:spacing w:before="126" w:after="0" w:line="273"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keep the manifest:</w:t>
      </w:r>
    </w:p>
    <w:p>
      <w:pPr>
        <w:numPr>
          <w:ilvl w:val="0"/>
          <w:numId w:val="605"/>
        </w:numPr>
        <w:tabs>
          <w:tab w:val="clear" w:pos="360"/>
          <w:tab w:val="left" w:pos="1872"/>
        </w:tabs>
        <w:spacing w:before="114" w:after="0" w:line="279" w:lineRule="exact"/>
        <w:ind w:right="108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a place determined in agreement with the primary emergency service organisation; and</w:t>
      </w:r>
    </w:p>
    <w:p>
      <w:pPr>
        <w:numPr>
          <w:ilvl w:val="0"/>
          <w:numId w:val="605"/>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available for inspection under the Act; and</w:t>
      </w:r>
    </w:p>
    <w:p>
      <w:pPr>
        <w:numPr>
          <w:ilvl w:val="0"/>
          <w:numId w:val="605"/>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readily accessible to the emergency service organisation.</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1" w:after="0" w:line="274" w:lineRule="exact"/>
        <w:ind w:right="0" w:left="0" w:firstLine="0"/>
        <w:jc w:val="center"/>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348 Regulator must be notified if manifest quantities to be exceeded</w:t>
      </w:r>
    </w:p>
    <w:p>
      <w:pPr>
        <w:numPr>
          <w:ilvl w:val="0"/>
          <w:numId w:val="606"/>
        </w:numPr>
        <w:tabs>
          <w:tab w:val="clear" w:pos="360"/>
          <w:tab w:val="left" w:pos="1368"/>
        </w:tabs>
        <w:spacing w:before="121" w:after="0" w:line="276" w:lineRule="exact"/>
        <w:ind w:right="72"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A person conducting a business or undertaking at a workplace must ensure that the regulator is given written notice if a quantity of a Schedule 11 hazardous chemical or group of Schedule 11 hazardous chemicals that exceeds the manifest quantity is used, handled or stored, or is to be used, handled or stored, at the workplace.</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606"/>
        </w:numPr>
        <w:tabs>
          <w:tab w:val="clear" w:pos="360"/>
          <w:tab w:val="left" w:pos="1368"/>
        </w:tabs>
        <w:spacing w:before="125" w:after="0" w:line="273"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notice under subregulation (1) must be given:</w:t>
      </w:r>
    </w:p>
    <w:p>
      <w:pPr>
        <w:numPr>
          <w:ilvl w:val="0"/>
          <w:numId w:val="607"/>
        </w:numPr>
        <w:tabs>
          <w:tab w:val="clear" w:pos="360"/>
          <w:tab w:val="left" w:pos="1872"/>
        </w:tabs>
        <w:spacing w:before="118" w:after="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immediately after the person knows that the Schedule 11 hazardous chemical or group of Schedule 11 hazardous chemicals is to be first used, handled or stored at the workplace or at least 14 days before that first use handling or storage (whichever is earlier); and</w:t>
      </w:r>
    </w:p>
    <w:p>
      <w:pPr>
        <w:numPr>
          <w:ilvl w:val="0"/>
          <w:numId w:val="607"/>
        </w:numPr>
        <w:tabs>
          <w:tab w:val="clear" w:pos="360"/>
          <w:tab w:val="left" w:pos="1872"/>
        </w:tabs>
        <w:spacing w:before="122" w:after="888"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immediately after the person knows that there will be a significant change in the risk of using, handling or storing the Schedule 11 hazardous chemical or group of Schedule 11 hazardous chemicals at the workplace or at least 14 days before that change (whichever is earlier).</w:t>
      </w:r>
    </w:p>
    <w:p>
      <w:pPr>
        <w:spacing w:before="122" w:after="888"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246</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spacing w:before="251"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(3) The notice under subregulation (1) must include the following:</w:t>
      </w:r>
    </w:p>
    <w:p>
      <w:pPr>
        <w:numPr>
          <w:ilvl w:val="0"/>
          <w:numId w:val="608"/>
        </w:numPr>
        <w:tabs>
          <w:tab w:val="clear" w:pos="288"/>
          <w:tab w:val="left" w:pos="1872"/>
        </w:tabs>
        <w:spacing w:before="126" w:after="0" w:line="273" w:lineRule="exact"/>
        <w:ind w:right="288"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and ABN of the person conducting the business or undertaking;</w:t>
      </w:r>
    </w:p>
    <w:p>
      <w:pPr>
        <w:numPr>
          <w:ilvl w:val="0"/>
          <w:numId w:val="608"/>
        </w:numPr>
        <w:tabs>
          <w:tab w:val="clear" w:pos="288"/>
          <w:tab w:val="left" w:pos="1872"/>
        </w:tabs>
        <w:spacing w:before="126" w:after="0" w:line="273"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type of business or undertaking conducted;</w:t>
      </w:r>
    </w:p>
    <w:p>
      <w:pPr>
        <w:numPr>
          <w:ilvl w:val="0"/>
          <w:numId w:val="608"/>
        </w:numPr>
        <w:tabs>
          <w:tab w:val="clear" w:pos="288"/>
          <w:tab w:val="left" w:pos="1872"/>
        </w:tabs>
        <w:spacing w:before="114" w:after="0" w:line="279" w:lineRule="exact"/>
        <w:ind w:right="216"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workplace was previously occupied by someone else— the name of the most recent previous occupier, if known;</w:t>
      </w:r>
    </w:p>
    <w:p>
      <w:pPr>
        <w:numPr>
          <w:ilvl w:val="0"/>
          <w:numId w:val="608"/>
        </w:numPr>
        <w:tabs>
          <w:tab w:val="clear" w:pos="288"/>
          <w:tab w:val="left" w:pos="1872"/>
        </w:tabs>
        <w:spacing w:before="114" w:after="0" w:line="279" w:lineRule="exact"/>
        <w:ind w:right="72"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activities of the business or undertaking that involve using, handling or storing Schedule 11 hazardous chemicals;</w:t>
      </w:r>
    </w:p>
    <w:p>
      <w:pPr>
        <w:numPr>
          <w:ilvl w:val="0"/>
          <w:numId w:val="608"/>
        </w:numPr>
        <w:tabs>
          <w:tab w:val="clear" w:pos="288"/>
          <w:tab w:val="left" w:pos="1872"/>
        </w:tabs>
        <w:spacing w:before="114" w:after="0" w:line="279" w:lineRule="exact"/>
        <w:ind w:right="72"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manifest prepared by the person conducting the business or undertaking under regulation 347;</w:t>
      </w:r>
    </w:p>
    <w:p>
      <w:pPr>
        <w:numPr>
          <w:ilvl w:val="0"/>
          <w:numId w:val="608"/>
        </w:numPr>
        <w:tabs>
          <w:tab w:val="clear" w:pos="288"/>
          <w:tab w:val="left" w:pos="1872"/>
        </w:tabs>
        <w:spacing w:before="114" w:after="0" w:line="279" w:lineRule="exact"/>
        <w:ind w:right="288"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notice under subregulation (2)(b)—details of the changes to the manifest.</w:t>
      </w:r>
    </w:p>
    <w:p>
      <w:pPr>
        <w:spacing w:before="121" w:after="0"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A person conducting a business or undertaking at a workplace must ensure that the regulator is given written notice as soon as practicable after the Schedule 11 hazardous chemical or group of Schedule 11 hazardous chemicals ceases to be used, handled or stored at the workplace if it is not likely to be used, handled or stored at the workplace in the future.</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6" w:after="0" w:line="278"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The notice under subregulation (4) must include the information referred to in subregulation (3)(a), (b) and (d).</w:t>
      </w:r>
    </w:p>
    <w:p>
      <w:pPr>
        <w:spacing w:before="120"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(6) If the regulator asks for any further information about the manifest quantity of a Schedule 11 hazardous chemical or group of Schedule 11 hazardous chemicals, the person must ensure that the information is given to the regulator.</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9"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2043" w:line="228"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25" w:after="2043" w:line="22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247</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tabs>
          <w:tab w:val="left" w:leader="none" w:pos="1584"/>
        </w:tabs>
        <w:spacing w:before="256" w:after="0" w:line="274" w:lineRule="exact"/>
        <w:ind w:right="0" w:left="0" w:firstLine="0"/>
        <w:jc w:val="left"/>
        <w:textAlignment w:val="baseline"/>
        <w:rPr>
          <w:rFonts w:ascii="Times New Roman" w:hAnsi="Times New Roman" w:eastAsia="Times New Roman"/>
          <w:b w:val="true"/>
          <w:color w:val="000000"/>
          <w:spacing w:val="-1"/>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1"/>
          <w:w w:val="100"/>
          <w:sz w:val="24"/>
          <w:vertAlign w:val="baseline"/>
          <w:lang w:val="en-US"/>
        </w:rPr>
        <w:t xml:space="preserve">Division 4	</w:t>
      </w:r>
      <w:r>
        <w:rPr>
          <w:rFonts w:ascii="Times New Roman" w:hAnsi="Times New Roman" w:eastAsia="Times New Roman"/>
          <w:b w:val="true"/>
          <w:color w:val="000000"/>
          <w:spacing w:val="-1"/>
          <w:w w:val="100"/>
          <w:sz w:val="24"/>
          <w:vertAlign w:val="baseline"/>
          <w:lang w:val="en-US"/>
        </w:rPr>
        <w:t xml:space="preserve">Placards</w:t>
      </w:r>
    </w:p>
    <w:p>
      <w:pPr>
        <w:spacing w:before="120"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349 Outer warning placards—requirement to display</w:t>
      </w:r>
    </w:p>
    <w:p>
      <w:pPr>
        <w:numPr>
          <w:ilvl w:val="0"/>
          <w:numId w:val="609"/>
        </w:numPr>
        <w:tabs>
          <w:tab w:val="clear" w:pos="360"/>
          <w:tab w:val="left" w:pos="1368"/>
        </w:tabs>
        <w:spacing w:before="117"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must ensure that an outer warning placard is prominently displayed at the workplace if the total quantity of a Schedule 11 hazardous chemical or group of Schedule 11 hazardous chemicals used, handled or stored at the workplace exceeds the placard quantity for the Schedule 11 hazardous chemical or group of Schedule 11 hazardous chemicals.</w:t>
      </w:r>
    </w:p>
    <w:p>
      <w:pPr>
        <w:spacing w:before="125"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19"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609"/>
        </w:numPr>
        <w:tabs>
          <w:tab w:val="clear" w:pos="360"/>
          <w:tab w:val="left" w:pos="1368"/>
        </w:tabs>
        <w:spacing w:before="119" w:after="0" w:line="274"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outer warning placard must comply with Schedule 13.</w:t>
      </w:r>
    </w:p>
    <w:p>
      <w:pPr>
        <w:numPr>
          <w:ilvl w:val="0"/>
          <w:numId w:val="609"/>
        </w:numPr>
        <w:tabs>
          <w:tab w:val="clear" w:pos="360"/>
          <w:tab w:val="left" w:pos="1368"/>
        </w:tabs>
        <w:spacing w:before="120" w:after="0" w:line="274"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regulation does not apply to a workplace if:</w:t>
      </w:r>
    </w:p>
    <w:p>
      <w:pPr>
        <w:numPr>
          <w:ilvl w:val="0"/>
          <w:numId w:val="610"/>
        </w:numPr>
        <w:tabs>
          <w:tab w:val="clear" w:pos="360"/>
          <w:tab w:val="left" w:pos="1872"/>
        </w:tabs>
        <w:spacing w:before="124" w:after="0" w:line="274"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workplace is a retail outlet; and</w:t>
      </w:r>
    </w:p>
    <w:p>
      <w:pPr>
        <w:numPr>
          <w:ilvl w:val="0"/>
          <w:numId w:val="610"/>
        </w:numPr>
        <w:tabs>
          <w:tab w:val="clear" w:pos="360"/>
          <w:tab w:val="left" w:pos="1872"/>
        </w:tabs>
        <w:spacing w:before="116" w:after="0" w:line="278"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Schedule 11 hazardous chemical or group of Schedule 11 hazardous chemicals is used to refuel a vehicle, and is either:</w:t>
      </w:r>
    </w:p>
    <w:p>
      <w:pPr>
        <w:numPr>
          <w:ilvl w:val="0"/>
          <w:numId w:val="611"/>
        </w:numPr>
        <w:tabs>
          <w:tab w:val="clear" w:pos="360"/>
          <w:tab w:val="left" w:pos="2376"/>
        </w:tabs>
        <w:spacing w:before="120" w:after="0" w:line="274" w:lineRule="exact"/>
        <w:ind w:right="0" w:left="2016"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flammable gas; or</w:t>
      </w:r>
    </w:p>
    <w:p>
      <w:pPr>
        <w:numPr>
          <w:ilvl w:val="0"/>
          <w:numId w:val="611"/>
        </w:numPr>
        <w:tabs>
          <w:tab w:val="clear" w:pos="360"/>
          <w:tab w:val="left" w:pos="2376"/>
        </w:tabs>
        <w:spacing w:before="124" w:after="0" w:line="274" w:lineRule="exact"/>
        <w:ind w:right="0" w:left="2016"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flammable liquid.</w:t>
      </w:r>
    </w:p>
    <w:p>
      <w:pPr>
        <w:spacing w:before="120"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350 Placard—requirement to display</w:t>
      </w:r>
    </w:p>
    <w:p>
      <w:pPr>
        <w:numPr>
          <w:ilvl w:val="0"/>
          <w:numId w:val="612"/>
        </w:numPr>
        <w:tabs>
          <w:tab w:val="clear" w:pos="360"/>
          <w:tab w:val="left" w:pos="1368"/>
        </w:tabs>
        <w:spacing w:before="126" w:after="0"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must ensure that a placard is prominently displayed at the workplace if the total quantity of a Schedule 11 hazardous chemical or group of Schedule 11 hazardous chemicals stored at the workplace exceeds the placard quantity for the Schedule 11 hazardous chemical or group of Schedule 11 hazardous chemicals.</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4"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612"/>
        </w:numPr>
        <w:tabs>
          <w:tab w:val="clear" w:pos="360"/>
          <w:tab w:val="left" w:pos="1368"/>
        </w:tabs>
        <w:spacing w:before="120" w:after="0" w:line="274"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placard must comply with Schedule 13.</w:t>
      </w:r>
    </w:p>
    <w:p>
      <w:pPr>
        <w:numPr>
          <w:ilvl w:val="0"/>
          <w:numId w:val="612"/>
        </w:numPr>
        <w:tabs>
          <w:tab w:val="clear" w:pos="360"/>
          <w:tab w:val="left" w:pos="1368"/>
        </w:tabs>
        <w:spacing w:before="124" w:after="0" w:line="274"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regulation does not apply to a Schedule 11 hazardous chemical or group of Schedule 11 hazardous chemicals if:</w:t>
      </w:r>
    </w:p>
    <w:p>
      <w:pPr>
        <w:spacing w:before="124" w:after="1165" w:line="274"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the Schedule 11 hazardous chemical or group of Schedule 11 hazardous chemicals is in bulk in a container, including an</w:t>
      </w:r>
    </w:p>
    <w:p>
      <w:pPr>
        <w:spacing w:before="124" w:after="1165"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248</w:t>
      </w:r>
    </w:p>
    <w:p>
      <w:pPr>
        <w:sectPr>
          <w:type w:val="continuous"/>
          <w:pgSz w:w="11909" w:h="16838" w:orient="portrait"/>
          <w:pgMar w:bottom="1082" w:top="1140" w:right="5814" w:left="1975"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spacing w:before="244" w:after="0" w:line="279" w:lineRule="exact"/>
        <w:ind w:right="360" w:left="1872" w:firstLine="0"/>
        <w:jc w:val="left"/>
        <w:textAlignment w:val="baseline"/>
        <w:rPr>
          <w:rFonts w:ascii="Times New Roman" w:hAnsi="Times New Roman" w:eastAsia="Times New Roman"/>
          <w:color w:val="000000"/>
          <w:spacing w:val="-1"/>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1"/>
          <w:w w:val="100"/>
          <w:sz w:val="24"/>
          <w:vertAlign w:val="baseline"/>
          <w:lang w:val="en-US"/>
        </w:rPr>
        <w:t xml:space="preserve">IBC, that is intended for transport and a placard is displayed on the container in accordance with the ADG Code; or</w:t>
      </w:r>
    </w:p>
    <w:p>
      <w:pPr>
        <w:spacing w:before="117" w:after="0" w:line="276" w:lineRule="exact"/>
        <w:ind w:right="144" w:left="1872"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(b) the Schedule 11 hazardous chemical or group of Schedule 11 hazardous chemicals is a flammable liquid stored in an underground tank at a retail outlet and used to refuel a vehicle.</w:t>
      </w:r>
    </w:p>
    <w:p>
      <w:pPr>
        <w:tabs>
          <w:tab w:val="left" w:leader="none" w:pos="1584"/>
        </w:tabs>
        <w:spacing w:before="242" w:after="0" w:line="278" w:lineRule="exact"/>
        <w:ind w:right="144" w:left="1512" w:hanging="1512"/>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5	</w:t>
      </w:r>
      <w:r>
        <w:rPr>
          <w:rFonts w:ascii="Times New Roman" w:hAnsi="Times New Roman" w:eastAsia="Times New Roman"/>
          <w:b w:val="true"/>
          <w:color w:val="000000"/>
          <w:spacing w:val="0"/>
          <w:w w:val="100"/>
          <w:sz w:val="24"/>
          <w:vertAlign w:val="baseline"/>
          <w:lang w:val="en-US"/>
        </w:rPr>
        <w:t xml:space="preserve">Control of risk—obligations of persons conducting businesses or undertakings</w:t>
      </w:r>
    </w:p>
    <w:p>
      <w:pPr>
        <w:spacing w:before="246" w:after="0" w:line="273"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Subdivision 1 General obligations relating to management of risk</w:t>
      </w:r>
    </w:p>
    <w:p>
      <w:pPr>
        <w:tabs>
          <w:tab w:val="left" w:leader="none" w:pos="864"/>
        </w:tabs>
        <w:spacing w:before="115" w:after="0" w:line="273"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351	</w:t>
      </w:r>
      <w:r>
        <w:rPr>
          <w:rFonts w:ascii="Times New Roman" w:hAnsi="Times New Roman" w:eastAsia="Times New Roman"/>
          <w:b w:val="true"/>
          <w:color w:val="000000"/>
          <w:spacing w:val="0"/>
          <w:w w:val="100"/>
          <w:sz w:val="24"/>
          <w:vertAlign w:val="baseline"/>
          <w:lang w:val="en-US"/>
        </w:rPr>
        <w:t xml:space="preserve">Management of risks to health or safety</w:t>
      </w:r>
    </w:p>
    <w:p>
      <w:pPr>
        <w:numPr>
          <w:ilvl w:val="0"/>
          <w:numId w:val="613"/>
        </w:numPr>
        <w:tabs>
          <w:tab w:val="clear" w:pos="360"/>
          <w:tab w:val="left" w:pos="1368"/>
        </w:tabs>
        <w:spacing w:before="123" w:after="0" w:line="275"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must manage, in accordance with Part 3.1, risks to health and safety associated with using, handling, generating or storing a hazardous chemical at a workplace.</w:t>
      </w:r>
    </w:p>
    <w:p>
      <w:pPr>
        <w:spacing w:before="125"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8"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WHS Act—section 19 (see regulation 9).</w:t>
      </w:r>
    </w:p>
    <w:p>
      <w:pPr>
        <w:numPr>
          <w:ilvl w:val="0"/>
          <w:numId w:val="613"/>
        </w:numPr>
        <w:tabs>
          <w:tab w:val="clear" w:pos="360"/>
          <w:tab w:val="left" w:pos="1368"/>
        </w:tabs>
        <w:spacing w:before="119" w:after="0" w:line="272"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managing risks the person must have regard to the following:</w:t>
      </w:r>
    </w:p>
    <w:p>
      <w:pPr>
        <w:numPr>
          <w:ilvl w:val="0"/>
          <w:numId w:val="614"/>
        </w:numPr>
        <w:tabs>
          <w:tab w:val="clear" w:pos="360"/>
          <w:tab w:val="left" w:pos="1872"/>
        </w:tabs>
        <w:spacing w:before="126"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hazardous properties of the hazardous chemical;</w:t>
      </w:r>
    </w:p>
    <w:p>
      <w:pPr>
        <w:numPr>
          <w:ilvl w:val="0"/>
          <w:numId w:val="614"/>
        </w:numPr>
        <w:tabs>
          <w:tab w:val="clear" w:pos="360"/>
          <w:tab w:val="left" w:pos="1872"/>
        </w:tabs>
        <w:spacing w:before="120" w:after="0" w:line="276"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potentially hazardous chemical or physical reaction between the hazardous chemical and another substance or mixture, including a substance that may be generated by the reaction;</w:t>
      </w:r>
    </w:p>
    <w:p>
      <w:pPr>
        <w:numPr>
          <w:ilvl w:val="0"/>
          <w:numId w:val="614"/>
        </w:numPr>
        <w:tabs>
          <w:tab w:val="clear" w:pos="360"/>
          <w:tab w:val="left" w:pos="1872"/>
        </w:tabs>
        <w:spacing w:before="116" w:after="0" w:line="278" w:lineRule="exact"/>
        <w:ind w:right="43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nature of the work to be carried out with the hazardous chemical;</w:t>
      </w:r>
    </w:p>
    <w:p>
      <w:pPr>
        <w:numPr>
          <w:ilvl w:val="0"/>
          <w:numId w:val="614"/>
        </w:numPr>
        <w:tabs>
          <w:tab w:val="clear" w:pos="360"/>
          <w:tab w:val="left" w:pos="1872"/>
        </w:tabs>
        <w:spacing w:before="122" w:after="0" w:line="272" w:lineRule="exact"/>
        <w:ind w:right="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structure, plant or system of work:</w:t>
      </w:r>
    </w:p>
    <w:p>
      <w:pPr>
        <w:numPr>
          <w:ilvl w:val="0"/>
          <w:numId w:val="615"/>
        </w:numPr>
        <w:tabs>
          <w:tab w:val="clear" w:pos="360"/>
          <w:tab w:val="left" w:pos="2376"/>
        </w:tabs>
        <w:spacing w:before="124" w:after="0" w:line="274" w:lineRule="exact"/>
        <w:ind w:right="14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is used in the use, handling, generation or storage of the hazardous chemical; or</w:t>
      </w:r>
    </w:p>
    <w:p>
      <w:pPr>
        <w:numPr>
          <w:ilvl w:val="0"/>
          <w:numId w:val="615"/>
        </w:numPr>
        <w:tabs>
          <w:tab w:val="clear" w:pos="360"/>
          <w:tab w:val="left" w:pos="2376"/>
        </w:tabs>
        <w:spacing w:before="124" w:after="0" w:line="274" w:lineRule="exact"/>
        <w:ind w:right="43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could interact with the hazardous chemical at the workplace.</w:t>
      </w:r>
    </w:p>
    <w:p>
      <w:pPr>
        <w:spacing w:before="126" w:after="0" w:line="273"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352 Review of control measures</w:t>
      </w:r>
    </w:p>
    <w:p>
      <w:pPr>
        <w:spacing w:before="117" w:after="1378" w:line="276" w:lineRule="exact"/>
        <w:ind w:right="144"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w:t>
      </w:r>
    </w:p>
    <w:p>
      <w:pPr>
        <w:spacing w:before="117" w:after="1378"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249</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spacing w:before="245" w:after="0" w:line="279" w:lineRule="exact"/>
        <w:ind w:right="72" w:left="1944" w:hanging="432"/>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following any change to the safety data sheet for the hazardous chemical or the register of hazardous chemicals;</w:t>
      </w:r>
    </w:p>
    <w:p>
      <w:pPr>
        <w:spacing w:before="114" w:after="0" w:line="279" w:lineRule="exact"/>
        <w:ind w:right="288" w:left="1944" w:hanging="432"/>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if the person obtains a health monitoring report for a worker under Division 6 that contains:</w:t>
      </w:r>
    </w:p>
    <w:p>
      <w:pPr>
        <w:numPr>
          <w:ilvl w:val="0"/>
          <w:numId w:val="616"/>
        </w:numPr>
        <w:tabs>
          <w:tab w:val="clear" w:pos="432"/>
          <w:tab w:val="left" w:pos="2376"/>
        </w:tabs>
        <w:spacing w:before="116" w:after="0" w:line="277" w:lineRule="exact"/>
        <w:ind w:right="72"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test results that indicate that the worker has been exposed to the hazardous chemical and has an elevated level of metabolites in his or her body for that hazardous chemical; or</w:t>
      </w:r>
    </w:p>
    <w:p>
      <w:pPr>
        <w:numPr>
          <w:ilvl w:val="0"/>
          <w:numId w:val="616"/>
        </w:numPr>
        <w:tabs>
          <w:tab w:val="clear" w:pos="432"/>
          <w:tab w:val="left" w:pos="2376"/>
        </w:tabs>
        <w:spacing w:before="117" w:after="0" w:line="276" w:lineRule="exact"/>
        <w:ind w:right="216"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advice that test results indicate that the worker may have contracted a disease, injury or illness as a result of carrying out the work using, handling, generating or storing the hazardous chemical that triggered the requirement for health monitoring; or</w:t>
      </w:r>
    </w:p>
    <w:p>
      <w:pPr>
        <w:numPr>
          <w:ilvl w:val="0"/>
          <w:numId w:val="616"/>
        </w:numPr>
        <w:tabs>
          <w:tab w:val="clear" w:pos="432"/>
          <w:tab w:val="left" w:pos="2376"/>
        </w:tabs>
        <w:spacing w:before="120" w:after="0" w:line="276" w:lineRule="exact"/>
        <w:ind w:right="288"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spacing w:before="118" w:after="0" w:line="276" w:lineRule="exact"/>
        <w:ind w:right="216" w:left="1944"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if monitoring carried out under regulation 50 determines that the airborne concentration of the hazardous chemical at the workplace exceeds the relevant exposure standard;</w:t>
      </w:r>
    </w:p>
    <w:p>
      <w:pPr>
        <w:spacing w:before="125"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at least once every 5 years.</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944"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In the case of an individual—$6 000.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5" w:after="0" w:line="274" w:lineRule="exact"/>
        <w:ind w:right="0" w:left="288" w:firstLine="0"/>
        <w:jc w:val="left"/>
        <w:textAlignment w:val="baseline"/>
        <w:rPr>
          <w:rFonts w:ascii="Times New Roman" w:hAnsi="Times New Roman" w:eastAsia="Times New Roman"/>
          <w:b w:val="true"/>
          <w:color w:val="000000"/>
          <w:spacing w:val="8"/>
          <w:w w:val="100"/>
          <w:sz w:val="24"/>
          <w:vertAlign w:val="baseline"/>
          <w:lang w:val="en-US"/>
        </w:rPr>
      </w:pPr>
      <w:r>
        <w:rPr>
          <w:rFonts w:ascii="Times New Roman" w:hAnsi="Times New Roman" w:eastAsia="Times New Roman"/>
          <w:b w:val="true"/>
          <w:color w:val="000000"/>
          <w:spacing w:val="8"/>
          <w:w w:val="100"/>
          <w:sz w:val="24"/>
          <w:vertAlign w:val="baseline"/>
          <w:lang w:val="en-US"/>
        </w:rPr>
        <w:t xml:space="preserve">353 Safety signs</w:t>
      </w:r>
    </w:p>
    <w:p>
      <w:pPr>
        <w:numPr>
          <w:ilvl w:val="0"/>
          <w:numId w:val="617"/>
        </w:numPr>
        <w:tabs>
          <w:tab w:val="clear" w:pos="360"/>
          <w:tab w:val="left" w:pos="1368"/>
        </w:tabs>
        <w:spacing w:before="117" w:after="0" w:line="276"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regulation applies if a safety sign is required to control an identified risk in relation to using, handling, generating or storing hazardous chemicals at a workplace.</w:t>
      </w:r>
    </w:p>
    <w:p>
      <w:pPr>
        <w:numPr>
          <w:ilvl w:val="0"/>
          <w:numId w:val="617"/>
        </w:numPr>
        <w:tabs>
          <w:tab w:val="clear" w:pos="360"/>
          <w:tab w:val="left" w:pos="1368"/>
        </w:tabs>
        <w:spacing w:before="124" w:after="0" w:line="274"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the workplace must display a safety sign at the workplace to:</w:t>
      </w:r>
    </w:p>
    <w:p>
      <w:pPr>
        <w:numPr>
          <w:ilvl w:val="0"/>
          <w:numId w:val="618"/>
        </w:numPr>
        <w:tabs>
          <w:tab w:val="clear" w:pos="432"/>
          <w:tab w:val="left" w:pos="1944"/>
        </w:tabs>
        <w:spacing w:before="124" w:after="0" w:line="274" w:lineRule="exact"/>
        <w:ind w:right="576" w:left="1944" w:hanging="432"/>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warn of a particular hazard associated with the hazardous chemicals; or</w:t>
      </w:r>
    </w:p>
    <w:p>
      <w:pPr>
        <w:numPr>
          <w:ilvl w:val="0"/>
          <w:numId w:val="618"/>
        </w:numPr>
        <w:tabs>
          <w:tab w:val="clear" w:pos="432"/>
          <w:tab w:val="left" w:pos="1944"/>
        </w:tabs>
        <w:spacing w:before="124" w:after="0" w:line="274" w:lineRule="exact"/>
        <w:ind w:right="72" w:left="1944"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state the responsibilities of a particular person in relation to the hazardous chemicals.</w:t>
      </w:r>
    </w:p>
    <w:p>
      <w:pPr>
        <w:spacing w:before="125" w:after="816"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Maximum penalty:</w:t>
      </w:r>
    </w:p>
    <w:p>
      <w:pPr>
        <w:spacing w:before="125" w:after="816"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250</w:t>
      </w:r>
    </w:p>
    <w:p>
      <w:pPr>
        <w:sectPr>
          <w:type w:val="continuous"/>
          <w:pgSz w:w="11909" w:h="16838" w:orient="portrait"/>
          <w:pgMar w:bottom="1082" w:top="1140" w:right="5812" w:left="1977" w:header="720" w:footer="720"/>
          <w:titlePg w:val="false"/>
          <w:textDirection w:val="lrTb"/>
        </w:sectPr>
      </w:pPr>
    </w:p>
    <w:p>
      <w:pPr>
        <w:spacing w:before="6" w:after="0" w:line="225"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6" w:after="227" w:line="225"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spacing w:before="251" w:after="0" w:line="273" w:lineRule="exact"/>
        <w:ind w:right="0" w:left="1944" w:firstLine="0"/>
        <w:jc w:val="left"/>
        <w:textAlignment w:val="baseline"/>
        <w:rPr>
          <w:rFonts w:ascii="Times New Roman" w:hAnsi="Times New Roman" w:eastAsia="Times New Roman"/>
          <w:color w:val="000000"/>
          <w:spacing w:val="-1"/>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1"/>
          <w:w w:val="100"/>
          <w:sz w:val="24"/>
          <w:vertAlign w:val="baseline"/>
          <w:lang w:val="en-US"/>
        </w:rPr>
        <w:t xml:space="preserve">In the case of an individual—$6 000.</w:t>
      </w:r>
    </w:p>
    <w:p>
      <w:pPr>
        <w:spacing w:before="126"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0"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person must ensure that the safety sign is:</w:t>
      </w:r>
    </w:p>
    <w:p>
      <w:pPr>
        <w:numPr>
          <w:ilvl w:val="0"/>
          <w:numId w:val="619"/>
        </w:numPr>
        <w:tabs>
          <w:tab w:val="clear" w:pos="432"/>
          <w:tab w:val="left" w:pos="1944"/>
        </w:tabs>
        <w:spacing w:before="126"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located next to the hazard; and</w:t>
      </w:r>
    </w:p>
    <w:p>
      <w:pPr>
        <w:numPr>
          <w:ilvl w:val="0"/>
          <w:numId w:val="619"/>
        </w:numPr>
        <w:tabs>
          <w:tab w:val="clear" w:pos="432"/>
          <w:tab w:val="left" w:pos="1944"/>
        </w:tabs>
        <w:spacing w:before="120"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clearly visible to a person approaching the hazard.</w:t>
      </w:r>
    </w:p>
    <w:p>
      <w:pPr>
        <w:spacing w:before="126" w:after="0" w:line="274"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In this regulation, </w:t>
      </w:r>
      <w:r>
        <w:rPr>
          <w:rFonts w:ascii="Times New Roman" w:hAnsi="Times New Roman" w:eastAsia="Times New Roman"/>
          <w:b w:val="true"/>
          <w:i w:val="true"/>
          <w:color w:val="000000"/>
          <w:spacing w:val="0"/>
          <w:w w:val="100"/>
          <w:sz w:val="24"/>
          <w:vertAlign w:val="baseline"/>
          <w:lang w:val="en-US"/>
        </w:rPr>
        <w:t xml:space="preserve">safety sign </w:t>
      </w:r>
      <w:r>
        <w:rPr>
          <w:rFonts w:ascii="Times New Roman" w:hAnsi="Times New Roman" w:eastAsia="Times New Roman"/>
          <w:color w:val="000000"/>
          <w:spacing w:val="0"/>
          <w:w w:val="100"/>
          <w:sz w:val="24"/>
          <w:vertAlign w:val="baseline"/>
          <w:lang w:val="en-US"/>
        </w:rPr>
        <w:t xml:space="preserve">does not include a placard.</w:t>
      </w:r>
    </w:p>
    <w:p>
      <w:pPr>
        <w:tabs>
          <w:tab w:val="left" w:leader="none" w:pos="864"/>
        </w:tabs>
        <w:spacing w:before="119"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354	</w:t>
      </w:r>
      <w:r>
        <w:rPr>
          <w:rFonts w:ascii="Times New Roman" w:hAnsi="Times New Roman" w:eastAsia="Times New Roman"/>
          <w:b w:val="true"/>
          <w:color w:val="000000"/>
          <w:spacing w:val="0"/>
          <w:w w:val="100"/>
          <w:sz w:val="24"/>
          <w:vertAlign w:val="baseline"/>
          <w:lang w:val="en-US"/>
        </w:rPr>
        <w:t xml:space="preserve">Identification of risk of physical or chemical reaction</w:t>
      </w:r>
    </w:p>
    <w:p>
      <w:pPr>
        <w:numPr>
          <w:ilvl w:val="0"/>
          <w:numId w:val="620"/>
        </w:numPr>
        <w:tabs>
          <w:tab w:val="clear" w:pos="360"/>
          <w:tab w:val="left" w:pos="1368"/>
        </w:tabs>
        <w:spacing w:before="123" w:after="0"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must identify any risk of a physical or chemical reaction in relation to a hazardous chemical used, handled, generated or stored at a workplace.</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944"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In the case of an individual—$6 000.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620"/>
        </w:numPr>
        <w:tabs>
          <w:tab w:val="clear" w:pos="360"/>
          <w:tab w:val="left" w:pos="1368"/>
        </w:tabs>
        <w:spacing w:before="124" w:after="0" w:line="275" w:lineRule="exact"/>
        <w:ind w:right="50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Subregulation (1) does not apply if the hazardous chemical undergoes the physical or chemical reaction in a manufacturing process or as part of a deliberate process or activity at the workplace.</w:t>
      </w:r>
    </w:p>
    <w:p>
      <w:pPr>
        <w:numPr>
          <w:ilvl w:val="0"/>
          <w:numId w:val="620"/>
        </w:numPr>
        <w:tabs>
          <w:tab w:val="clear" w:pos="360"/>
          <w:tab w:val="left" w:pos="1368"/>
        </w:tabs>
        <w:spacing w:before="124" w:after="0"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must take all reasonable steps to ensure that a hazardous chemical is used, handled, generated or stored so as not to contaminate food, food packaging or personal use products.</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944"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26"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Examples</w:t>
      </w:r>
    </w:p>
    <w:p>
      <w:pPr>
        <w:spacing w:before="125" w:after="0" w:line="225"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Personal use products:</w:t>
      </w:r>
    </w:p>
    <w:p>
      <w:pPr>
        <w:numPr>
          <w:ilvl w:val="0"/>
          <w:numId w:val="621"/>
        </w:numPr>
        <w:tabs>
          <w:tab w:val="clear" w:pos="288"/>
          <w:tab w:val="left" w:pos="1944"/>
        </w:tabs>
        <w:spacing w:before="117" w:after="0" w:line="248" w:lineRule="exact"/>
        <w:ind w:right="0" w:left="1656" w:firstLine="0"/>
        <w:jc w:val="left"/>
        <w:textAlignment w:val="baseline"/>
        <w:rPr>
          <w:rFonts w:ascii="Times New Roman" w:hAnsi="Times New Roman" w:eastAsia="Times New Roman"/>
          <w:color w:val="000000"/>
          <w:spacing w:val="-3"/>
          <w:w w:val="100"/>
          <w:sz w:val="20"/>
          <w:vertAlign w:val="baseline"/>
          <w:lang w:val="en-US"/>
        </w:rPr>
      </w:pPr>
      <w:r>
        <w:rPr>
          <w:rFonts w:ascii="Times New Roman" w:hAnsi="Times New Roman" w:eastAsia="Times New Roman"/>
          <w:color w:val="000000"/>
          <w:spacing w:val="-3"/>
          <w:w w:val="100"/>
          <w:sz w:val="20"/>
          <w:vertAlign w:val="baseline"/>
          <w:lang w:val="en-US"/>
        </w:rPr>
        <w:t xml:space="preserve">cosmetics;</w:t>
      </w:r>
    </w:p>
    <w:p>
      <w:pPr>
        <w:numPr>
          <w:ilvl w:val="0"/>
          <w:numId w:val="621"/>
        </w:numPr>
        <w:tabs>
          <w:tab w:val="clear" w:pos="288"/>
          <w:tab w:val="left" w:pos="1944"/>
        </w:tabs>
        <w:spacing w:before="116" w:after="0" w:line="248" w:lineRule="exact"/>
        <w:ind w:right="0" w:left="1656" w:firstLine="0"/>
        <w:jc w:val="left"/>
        <w:textAlignment w:val="baseline"/>
        <w:rPr>
          <w:rFonts w:ascii="Times New Roman" w:hAnsi="Times New Roman" w:eastAsia="Times New Roman"/>
          <w:color w:val="000000"/>
          <w:spacing w:val="-3"/>
          <w:w w:val="100"/>
          <w:sz w:val="20"/>
          <w:vertAlign w:val="baseline"/>
          <w:lang w:val="en-US"/>
        </w:rPr>
      </w:pPr>
      <w:r>
        <w:rPr>
          <w:rFonts w:ascii="Times New Roman" w:hAnsi="Times New Roman" w:eastAsia="Times New Roman"/>
          <w:color w:val="000000"/>
          <w:spacing w:val="-3"/>
          <w:w w:val="100"/>
          <w:sz w:val="20"/>
          <w:vertAlign w:val="baseline"/>
          <w:lang w:val="en-US"/>
        </w:rPr>
        <w:t xml:space="preserve">face washer.</w:t>
      </w:r>
    </w:p>
    <w:p>
      <w:pPr>
        <w:spacing w:before="119"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Subregulation (3) does not apply to the use of a hazardous chemical for agricultural purposes when used in accordance with [insert relevant enactment]</w:t>
      </w:r>
    </w:p>
    <w:p>
      <w:pPr>
        <w:spacing w:before="129" w:after="0" w:line="226"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1047" w:line="225"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25" w:after="1047" w:line="225"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251</w:t>
      </w:r>
    </w:p>
    <w:p>
      <w:pPr>
        <w:sectPr>
          <w:type w:val="continuous"/>
          <w:pgSz w:w="11909" w:h="16838" w:orient="portrait"/>
          <w:pgMar w:bottom="1082" w:top="1140" w:right="5819" w:left="1970"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spacing w:before="251"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3"/>
          <w:w w:val="100"/>
          <w:sz w:val="24"/>
          <w:vertAlign w:val="baseline"/>
          <w:lang w:val="en-US"/>
        </w:rPr>
        <w:t xml:space="preserve">355 Specific control—fire and explosion</w:t>
      </w:r>
    </w:p>
    <w:p>
      <w:pPr>
        <w:spacing w:before="122" w:after="0" w:line="276"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6"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356 Keeping hazardous chemicals stable</w:t>
      </w:r>
    </w:p>
    <w:p>
      <w:pPr>
        <w:spacing w:before="118" w:after="0"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at a workplace must ensure, so far as is reasonably practicable, that a hazardous chemical used, handled or stored at the workplace does not become unstable, decompose or change so as to:</w:t>
      </w:r>
    </w:p>
    <w:p>
      <w:pPr>
        <w:numPr>
          <w:ilvl w:val="0"/>
          <w:numId w:val="622"/>
        </w:numPr>
        <w:tabs>
          <w:tab w:val="clear" w:pos="360"/>
          <w:tab w:val="left" w:pos="1872"/>
        </w:tabs>
        <w:spacing w:before="124" w:after="0" w:line="274"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create a hazard that is different from the hazard originally created by the hazardous chemical; or</w:t>
      </w:r>
    </w:p>
    <w:p>
      <w:pPr>
        <w:numPr>
          <w:ilvl w:val="0"/>
          <w:numId w:val="622"/>
        </w:numPr>
        <w:tabs>
          <w:tab w:val="clear" w:pos="360"/>
          <w:tab w:val="left" w:pos="1872"/>
        </w:tabs>
        <w:spacing w:before="124" w:after="0" w:line="274"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significantly increase the risk associated with any hazard in relation to the hazardous chemical.</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6" w:after="0" w:line="278" w:lineRule="exact"/>
        <w:ind w:right="72"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 person conducting a business or undertaking at a workplace must ensure that:</w:t>
      </w:r>
    </w:p>
    <w:p>
      <w:pPr>
        <w:numPr>
          <w:ilvl w:val="0"/>
          <w:numId w:val="623"/>
        </w:numPr>
        <w:tabs>
          <w:tab w:val="clear" w:pos="360"/>
          <w:tab w:val="left" w:pos="1872"/>
        </w:tabs>
        <w:spacing w:before="120"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stability of a hazardous chemical used, handled or stored at the workplace is dependent on the maintenance of the proportions of the ingredients of the hazardous chemical—the proportions are maintained as stated in the safety data sheet for the chemical or by the manufacturer of the hazardous chemical; and</w:t>
      </w:r>
    </w:p>
    <w:p>
      <w:pPr>
        <w:numPr>
          <w:ilvl w:val="0"/>
          <w:numId w:val="623"/>
        </w:numPr>
        <w:tabs>
          <w:tab w:val="clear" w:pos="360"/>
          <w:tab w:val="left" w:pos="1872"/>
        </w:tabs>
        <w:spacing w:before="120" w:after="0" w:line="276"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a hazardous chemical used, handled or stored at the workplace is known to be unstable above a particular temperature—the hazardous chemical is used, handled or stored at or below that temperature.</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854"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corporate—$30 000.</w:t>
      </w:r>
    </w:p>
    <w:p>
      <w:pPr>
        <w:spacing w:before="121" w:after="854"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252</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spacing w:before="251"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(3) This regulation does not apply if:</w:t>
      </w:r>
    </w:p>
    <w:p>
      <w:pPr>
        <w:numPr>
          <w:ilvl w:val="0"/>
          <w:numId w:val="624"/>
        </w:numPr>
        <w:tabs>
          <w:tab w:val="clear" w:pos="360"/>
          <w:tab w:val="left" w:pos="1872"/>
        </w:tabs>
        <w:spacing w:before="123"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hazardous chemical is changed or allowed to become unstable, without risk to health or safety, as part of a deliberate process or activity at the workplace; or</w:t>
      </w:r>
    </w:p>
    <w:p>
      <w:pPr>
        <w:numPr>
          <w:ilvl w:val="0"/>
          <w:numId w:val="624"/>
        </w:numPr>
        <w:tabs>
          <w:tab w:val="clear" w:pos="360"/>
          <w:tab w:val="left" w:pos="1872"/>
        </w:tabs>
        <w:spacing w:before="117" w:after="0" w:line="276"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hazardous chemical undergoes a chemical reaction in a manufacturing process or as part of a deliberate process or activity at the workplace.</w:t>
      </w:r>
    </w:p>
    <w:p>
      <w:pPr>
        <w:spacing w:before="251" w:after="0" w:line="273"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Subdivision 2 Spills and damage</w:t>
      </w:r>
    </w:p>
    <w:p>
      <w:pPr>
        <w:spacing w:before="115" w:after="0" w:line="273"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357 Containing and managing spills</w:t>
      </w:r>
    </w:p>
    <w:p>
      <w:pPr>
        <w:numPr>
          <w:ilvl w:val="0"/>
          <w:numId w:val="625"/>
        </w:numPr>
        <w:tabs>
          <w:tab w:val="clear" w:pos="360"/>
          <w:tab w:val="left" w:pos="1368"/>
        </w:tabs>
        <w:spacing w:before="128" w:after="0" w:line="275"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workplace any part of the hazardous chemical that spills or leaks, and any resulting effluent.</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625"/>
        </w:numPr>
        <w:tabs>
          <w:tab w:val="clear" w:pos="360"/>
          <w:tab w:val="left" w:pos="1368"/>
        </w:tabs>
        <w:spacing w:before="122"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ensure that the spill containment system does not create a hazard by bringing together different hazardous chemicals that are not compatible.</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625"/>
        </w:numPr>
        <w:tabs>
          <w:tab w:val="clear" w:pos="360"/>
          <w:tab w:val="left" w:pos="1368"/>
        </w:tabs>
        <w:spacing w:before="122"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ensure that the spill containment system provides for the cleanup and disposal of a hazardous chemical that spills or leaks, and any resulting effluent.</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625"/>
        </w:numPr>
        <w:tabs>
          <w:tab w:val="clear" w:pos="360"/>
          <w:tab w:val="left" w:pos="1368"/>
        </w:tabs>
        <w:spacing w:before="124" w:after="734"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subregulation (2), </w:t>
      </w:r>
      <w:r>
        <w:rPr>
          <w:rFonts w:ascii="Times New Roman" w:hAnsi="Times New Roman" w:eastAsia="Times New Roman"/>
          <w:b w:val="true"/>
          <w:i w:val="true"/>
          <w:color w:val="000000"/>
          <w:spacing w:val="0"/>
          <w:w w:val="100"/>
          <w:sz w:val="24"/>
          <w:vertAlign w:val="baseline"/>
          <w:lang w:val="en-US"/>
        </w:rPr>
        <w:t xml:space="preserve">compatible</w:t>
      </w:r>
      <w:r>
        <w:rPr>
          <w:rFonts w:ascii="Times New Roman" w:hAnsi="Times New Roman" w:eastAsia="Times New Roman"/>
          <w:color w:val="000000"/>
          <w:spacing w:val="0"/>
          <w:w w:val="100"/>
          <w:sz w:val="24"/>
          <w:vertAlign w:val="baseline"/>
          <w:lang w:val="en-US"/>
        </w:rPr>
        <w:t xml:space="preserve">, for 2 or more substances, mixtures or items, means that the substances, mixtures or items do not react together to cause a fire, explosion, harmful reaction or evolution of flammable, toxic or corrosive vapour.</w:t>
      </w:r>
    </w:p>
    <w:p>
      <w:pPr>
        <w:spacing w:before="124" w:after="734" w:line="275"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253</w:t>
      </w:r>
    </w:p>
    <w:p>
      <w:pPr>
        <w:sectPr>
          <w:type w:val="continuous"/>
          <w:pgSz w:w="11909" w:h="16838" w:orient="portrait"/>
          <w:pgMar w:bottom="1082" w:top="1140" w:right="5817" w:left="1972"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spacing w:before="251" w:after="0" w:line="273"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3"/>
          <w:w w:val="100"/>
          <w:sz w:val="24"/>
          <w:vertAlign w:val="baseline"/>
          <w:lang w:val="en-US"/>
        </w:rPr>
        <w:t xml:space="preserve">358 Protecting hazardous chemicals from damage</w:t>
      </w:r>
    </w:p>
    <w:p>
      <w:pPr>
        <w:spacing w:before="123" w:after="0" w:line="276"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must ensure, so far as is reasonably practicable, that containers of hazardous chemicals and any associated pipe work or attachments are protected against damage caused by an impact or excessive loads.</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944"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In the case of an individual—$6 000.</w:t>
      </w:r>
    </w:p>
    <w:p>
      <w:pPr>
        <w:spacing w:before="120" w:after="0" w:line="273" w:lineRule="exact"/>
        <w:ind w:right="0" w:left="1944"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In the case of a body corporate—$30 000.</w:t>
      </w:r>
    </w:p>
    <w:p>
      <w:pPr>
        <w:spacing w:before="251" w:after="0" w:line="273"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Subdivision 3 Emergency plans and safety equipment</w:t>
      </w:r>
    </w:p>
    <w:p>
      <w:pPr>
        <w:spacing w:before="115" w:after="0" w:line="273"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359 Fire protection and firefighting equipment</w:t>
      </w:r>
    </w:p>
    <w:p>
      <w:pPr>
        <w:spacing w:before="126" w:after="0" w:line="273" w:lineRule="exact"/>
        <w:ind w:right="72"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at a workplace must ensure the following:</w:t>
      </w:r>
    </w:p>
    <w:p>
      <w:pPr>
        <w:spacing w:before="120" w:after="0" w:line="276" w:lineRule="exact"/>
        <w:ind w:right="72" w:left="1944" w:hanging="432"/>
        <w:jc w:val="left"/>
        <w:textAlignment w:val="baseline"/>
        <w:rPr>
          <w:rFonts w:ascii="Times New Roman" w:hAnsi="Times New Roman" w:eastAsia="Times New Roman"/>
          <w:color w:val="000000"/>
          <w:spacing w:val="-2"/>
          <w:w w:val="100"/>
          <w:sz w:val="24"/>
          <w:vertAlign w:val="baseline"/>
          <w:lang w:val="en-US"/>
        </w:rPr>
      </w:pPr>
      <w:r>
        <w:rPr>
          <w:rFonts w:ascii="Times New Roman" w:hAnsi="Times New Roman" w:eastAsia="Times New Roman"/>
          <w:color w:val="000000"/>
          <w:spacing w:val="-2"/>
          <w:w w:val="100"/>
          <w:sz w:val="24"/>
          <w:vertAlign w:val="baseline"/>
          <w:lang w:val="en-US"/>
        </w:rPr>
        <w:t xml:space="preserve">(a) 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w:t>
      </w:r>
    </w:p>
    <w:p>
      <w:pPr>
        <w:numPr>
          <w:ilvl w:val="0"/>
          <w:numId w:val="626"/>
        </w:numPr>
        <w:tabs>
          <w:tab w:val="clear" w:pos="432"/>
          <w:tab w:val="left" w:pos="2376"/>
        </w:tabs>
        <w:spacing w:before="121" w:after="0" w:line="273"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fire load of the hazardous chemicals; and</w:t>
      </w:r>
    </w:p>
    <w:p>
      <w:pPr>
        <w:numPr>
          <w:ilvl w:val="0"/>
          <w:numId w:val="626"/>
        </w:numPr>
        <w:tabs>
          <w:tab w:val="clear" w:pos="432"/>
          <w:tab w:val="left" w:pos="2376"/>
        </w:tabs>
        <w:spacing w:before="125" w:after="0" w:line="273"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fire load from other sources; and</w:t>
      </w:r>
    </w:p>
    <w:p>
      <w:pPr>
        <w:numPr>
          <w:ilvl w:val="0"/>
          <w:numId w:val="626"/>
        </w:numPr>
        <w:tabs>
          <w:tab w:val="clear" w:pos="432"/>
          <w:tab w:val="left" w:pos="2376"/>
        </w:tabs>
        <w:spacing w:before="116" w:after="0" w:line="278" w:lineRule="exact"/>
        <w:ind w:right="216"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compatibility of the hazardous chemicals with other substances and mixtures at the workplace;</w:t>
      </w:r>
    </w:p>
    <w:p>
      <w:pPr>
        <w:spacing w:before="118" w:after="0" w:line="276" w:lineRule="exact"/>
        <w:ind w:right="360" w:left="1944"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the fire protection and firefighting equipment is compatible with firefighting equipment used by the primary emergency service organisation;</w:t>
      </w:r>
    </w:p>
    <w:p>
      <w:pPr>
        <w:spacing w:before="124" w:after="0" w:line="274" w:lineRule="exact"/>
        <w:ind w:right="648" w:left="1944"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the fire protection and firefighting equipment is properly installed, tested and maintained;</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a dated record is kept of the latest testing results and</w:t>
      </w:r>
    </w:p>
    <w:p>
      <w:pPr>
        <w:spacing w:before="1" w:after="0" w:line="273" w:lineRule="exact"/>
        <w:ind w:right="0" w:left="1944"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maintenance until the next test is conducted.</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944"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In the case of an individual—$6 000.</w:t>
      </w:r>
    </w:p>
    <w:p>
      <w:pPr>
        <w:spacing w:before="125" w:after="1560" w:line="273" w:lineRule="exact"/>
        <w:ind w:right="0" w:left="1944" w:firstLine="0"/>
        <w:jc w:val="left"/>
        <w:textAlignment w:val="baseline"/>
        <w:rPr>
          <w:rFonts w:ascii="Times New Roman" w:hAnsi="Times New Roman" w:eastAsia="Times New Roman"/>
          <w:color w:val="000000"/>
          <w:spacing w:val="-1"/>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1"/>
          <w:w w:val="100"/>
          <w:sz w:val="24"/>
          <w:vertAlign w:val="baseline"/>
          <w:lang w:val="en-US"/>
        </w:rPr>
        <w:t xml:space="preserve">In the case of a body corporate—$30 000.</w:t>
      </w:r>
    </w:p>
    <w:p>
      <w:pPr>
        <w:spacing w:before="125" w:after="1560"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254</w:t>
      </w:r>
    </w:p>
    <w:p>
      <w:pPr>
        <w:sectPr>
          <w:type w:val="continuous"/>
          <w:pgSz w:w="11909" w:h="16838" w:orient="portrait"/>
          <w:pgMar w:bottom="1082" w:top="1140" w:right="5812" w:left="1977" w:header="720" w:footer="720"/>
          <w:titlePg w:val="false"/>
          <w:textDirection w:val="lrTb"/>
        </w:sectPr>
      </w:pPr>
    </w:p>
    <w:p>
      <w:pPr>
        <w:spacing w:before="6"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2" w:after="223"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spacing w:before="249"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(2) If a part of the fire protection and firefighting equipment provided at the workplace becomes unserviceable or inoperative, the person must ensure that:</w:t>
      </w:r>
    </w:p>
    <w:p>
      <w:pPr>
        <w:numPr>
          <w:ilvl w:val="0"/>
          <w:numId w:val="627"/>
        </w:numPr>
        <w:tabs>
          <w:tab w:val="clear" w:pos="360"/>
          <w:tab w:val="left" w:pos="1872"/>
        </w:tabs>
        <w:spacing w:before="126" w:after="0" w:line="273" w:lineRule="exact"/>
        <w:ind w:right="64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implications of the equipment being unserviceable or inoperative are assessed; and</w:t>
      </w:r>
    </w:p>
    <w:p>
      <w:pPr>
        <w:numPr>
          <w:ilvl w:val="0"/>
          <w:numId w:val="627"/>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risks that were controlled by the equipment when</w:t>
      </w:r>
    </w:p>
    <w:p>
      <w:pPr>
        <w:spacing w:before="0" w:after="0" w:line="276" w:lineRule="exact"/>
        <w:ind w:right="72"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functioning fully, alternative measures are taken to manage the risks.</w:t>
      </w:r>
    </w:p>
    <w:p>
      <w:pPr>
        <w:spacing w:before="119"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19"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6" w:after="0" w:line="273" w:lineRule="exact"/>
        <w:ind w:right="576"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(3) The person must ensure that the fire protection and firefighting equipment is returned to full operation as soon as practicable.</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74" w:lineRule="exact"/>
        <w:ind w:right="0" w:left="288" w:firstLine="0"/>
        <w:jc w:val="left"/>
        <w:textAlignment w:val="baseline"/>
        <w:rPr>
          <w:rFonts w:ascii="Times New Roman" w:hAnsi="Times New Roman" w:eastAsia="Times New Roman"/>
          <w:b w:val="true"/>
          <w:color w:val="000000"/>
          <w:spacing w:val="6"/>
          <w:w w:val="100"/>
          <w:sz w:val="24"/>
          <w:vertAlign w:val="baseline"/>
          <w:lang w:val="en-US"/>
        </w:rPr>
      </w:pPr>
      <w:r>
        <w:rPr>
          <w:rFonts w:ascii="Times New Roman" w:hAnsi="Times New Roman" w:eastAsia="Times New Roman"/>
          <w:b w:val="true"/>
          <w:color w:val="000000"/>
          <w:spacing w:val="6"/>
          <w:w w:val="100"/>
          <w:sz w:val="24"/>
          <w:vertAlign w:val="baseline"/>
          <w:lang w:val="en-US"/>
        </w:rPr>
        <w:t xml:space="preserve">360 Emergency equipment</w:t>
      </w:r>
    </w:p>
    <w:p>
      <w:pPr>
        <w:spacing w:before="120" w:after="0" w:line="276" w:lineRule="exact"/>
        <w:ind w:right="216"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that uses, handles, generates or stores hazardous chemicals must ensure that equipment is always available at the workplace for use in an emergency.</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8"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0" w:after="0" w:line="373" w:lineRule="exact"/>
        <w:ind w:right="72" w:left="288" w:firstLine="576"/>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person conducting a business or undertaking must comply with Division 4 of Part 3.2. </w:t>
      </w:r>
      <w:r>
        <w:rPr>
          <w:rFonts w:ascii="Times New Roman" w:hAnsi="Times New Roman" w:eastAsia="Times New Roman"/>
          <w:b w:val="true"/>
          <w:color w:val="000000"/>
          <w:spacing w:val="0"/>
          <w:w w:val="100"/>
          <w:sz w:val="24"/>
          <w:vertAlign w:val="baseline"/>
          <w:lang w:val="en-US"/>
        </w:rPr>
        <w:t xml:space="preserve">361 Emergency plans</w:t>
      </w:r>
    </w:p>
    <w:p>
      <w:pPr>
        <w:numPr>
          <w:ilvl w:val="0"/>
          <w:numId w:val="628"/>
        </w:numPr>
        <w:tabs>
          <w:tab w:val="clear" w:pos="360"/>
          <w:tab w:val="left" w:pos="1368"/>
        </w:tabs>
        <w:spacing w:before="118"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regulation applies if the quantity of a Schedule 11 hazardous chemical used, handled, generated or stored at a workplace exceeds the manifest quantity for that hazardous chemical.</w:t>
      </w:r>
    </w:p>
    <w:p>
      <w:pPr>
        <w:numPr>
          <w:ilvl w:val="0"/>
          <w:numId w:val="628"/>
        </w:numPr>
        <w:tabs>
          <w:tab w:val="clear" w:pos="360"/>
          <w:tab w:val="left" w:pos="1368"/>
        </w:tabs>
        <w:spacing w:before="124" w:after="0" w:line="275"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the workplace must give a copy of the emergency plan prepared under Division 4 of Part 3.2 for the workplace to the primary emergency service organisation.</w:t>
      </w:r>
    </w:p>
    <w:p>
      <w:pPr>
        <w:spacing w:before="124" w:after="858"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Maximum penalty:</w:t>
      </w:r>
    </w:p>
    <w:p>
      <w:pPr>
        <w:spacing w:before="124" w:after="858"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255</w:t>
      </w:r>
    </w:p>
    <w:p>
      <w:pPr>
        <w:sectPr>
          <w:type w:val="continuous"/>
          <w:pgSz w:w="11909" w:h="16838" w:orient="portrait"/>
          <w:pgMar w:bottom="1082" w:top="1140" w:right="5814" w:left="1975"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spacing w:before="25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an individual—$6 000.</w:t>
      </w:r>
    </w:p>
    <w:p>
      <w:pPr>
        <w:spacing w:before="126"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6" w:after="0" w:line="277"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If the primary emergency service organisation gives the person a written recommendation about the content or effectiveness of the emergency plan, the person must revise the plan in accordance with the recommendation.</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6" w:after="0" w:line="274" w:lineRule="exact"/>
        <w:ind w:right="0" w:left="288" w:firstLine="0"/>
        <w:jc w:val="left"/>
        <w:textAlignment w:val="baseline"/>
        <w:rPr>
          <w:rFonts w:ascii="Times New Roman" w:hAnsi="Times New Roman" w:eastAsia="Times New Roman"/>
          <w:b w:val="true"/>
          <w:color w:val="000000"/>
          <w:spacing w:val="7"/>
          <w:w w:val="100"/>
          <w:sz w:val="24"/>
          <w:vertAlign w:val="baseline"/>
          <w:lang w:val="en-US"/>
        </w:rPr>
      </w:pPr>
      <w:r>
        <w:rPr>
          <w:rFonts w:ascii="Times New Roman" w:hAnsi="Times New Roman" w:eastAsia="Times New Roman"/>
          <w:b w:val="true"/>
          <w:color w:val="000000"/>
          <w:spacing w:val="7"/>
          <w:w w:val="100"/>
          <w:sz w:val="24"/>
          <w:vertAlign w:val="baseline"/>
          <w:lang w:val="en-US"/>
        </w:rPr>
        <w:t xml:space="preserve">362 Safety equipment</w:t>
      </w:r>
    </w:p>
    <w:p>
      <w:pPr>
        <w:numPr>
          <w:ilvl w:val="0"/>
          <w:numId w:val="629"/>
        </w:numPr>
        <w:tabs>
          <w:tab w:val="clear" w:pos="360"/>
          <w:tab w:val="left" w:pos="1368"/>
        </w:tabs>
        <w:spacing w:before="116"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regulation applies if safety equipment is required to control an identified risk in relation to using, handling, generating or storing hazardous chemicals at a workplace.</w:t>
      </w:r>
    </w:p>
    <w:p>
      <w:pPr>
        <w:numPr>
          <w:ilvl w:val="0"/>
          <w:numId w:val="629"/>
        </w:numPr>
        <w:tabs>
          <w:tab w:val="clear" w:pos="360"/>
          <w:tab w:val="left" w:pos="1368"/>
        </w:tabs>
        <w:spacing w:before="118"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the workplace must ensure that the safety equipment is provided, maintained and readily accessible to persons at the workplace.</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246"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Subdivision 4 Storage and handling systems</w:t>
      </w:r>
    </w:p>
    <w:p>
      <w:pPr>
        <w:spacing w:before="119"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363 Control of risks from storage or handling systems</w:t>
      </w:r>
    </w:p>
    <w:p>
      <w:pPr>
        <w:spacing w:before="117" w:after="0" w:line="276" w:lineRule="exact"/>
        <w:ind w:right="144"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(1) A person conducting a business or undertaking at a workplace must ensure, so far as is reasonably practicable, that a system used at the workplace for the use, handling or storage of hazardous chemicals:</w:t>
      </w:r>
    </w:p>
    <w:p>
      <w:pPr>
        <w:numPr>
          <w:ilvl w:val="0"/>
          <w:numId w:val="630"/>
        </w:numPr>
        <w:tabs>
          <w:tab w:val="clear" w:pos="360"/>
          <w:tab w:val="left" w:pos="1872"/>
        </w:tabs>
        <w:spacing w:before="124" w:after="0" w:line="274" w:lineRule="exact"/>
        <w:ind w:right="1080" w:left="1872"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is used only for a purpose for which it was designed, manufactured, modified, supplied or installed; and</w:t>
      </w:r>
    </w:p>
    <w:p>
      <w:pPr>
        <w:numPr>
          <w:ilvl w:val="0"/>
          <w:numId w:val="630"/>
        </w:numPr>
        <w:tabs>
          <w:tab w:val="clear" w:pos="360"/>
          <w:tab w:val="left" w:pos="1872"/>
        </w:tabs>
        <w:spacing w:before="122" w:after="0" w:line="276"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operated, tested, maintained, installed, repaired and decommissioned having regard to the health and safety of workers and other persons at the workplace.</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926" w:line="274" w:lineRule="exact"/>
        <w:ind w:right="504" w:left="1368" w:hanging="360"/>
        <w:jc w:val="left"/>
        <w:textAlignment w:val="baseline"/>
        <w:rPr>
          <w:rFonts w:ascii="Times New Roman" w:hAnsi="Times New Roman" w:eastAsia="Times New Roman"/>
          <w:color w:val="000000"/>
          <w:spacing w:val="-1"/>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1"/>
          <w:w w:val="100"/>
          <w:sz w:val="24"/>
          <w:vertAlign w:val="baseline"/>
          <w:lang w:val="en-US"/>
        </w:rPr>
        <w:t xml:space="preserve">(2) The person must ensure that sufficient information, training and instruction is given to a person who operates, tests, maintains or</w:t>
      </w:r>
    </w:p>
    <w:p>
      <w:pPr>
        <w:spacing w:before="124" w:after="926"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256</w:t>
      </w:r>
    </w:p>
    <w:p>
      <w:pPr>
        <w:sectPr>
          <w:type w:val="continuous"/>
          <w:pgSz w:w="11909" w:h="16838" w:orient="portrait"/>
          <w:pgMar w:bottom="1082" w:top="1140" w:right="5812" w:left="1977" w:header="720" w:footer="720"/>
          <w:titlePg w:val="false"/>
          <w:textDirection w:val="lrTb"/>
        </w:sectPr>
      </w:pPr>
    </w:p>
    <w:p>
      <w:pPr>
        <w:spacing w:before="6"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2" w:after="223"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spacing w:before="248" w:after="0" w:line="276" w:lineRule="exact"/>
        <w:ind w:right="216"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decommissions a system used at a workplace for the use, handling or storage of hazardous chemicals for the activity to be carried out safely.</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6"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Example</w:t>
      </w:r>
    </w:p>
    <w:p>
      <w:pPr>
        <w:spacing w:before="125" w:after="0" w:line="229"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Information provided at a training course.</w:t>
      </w:r>
    </w:p>
    <w:p>
      <w:pPr>
        <w:spacing w:before="118" w:after="0" w:line="273" w:lineRule="exact"/>
        <w:ind w:right="0" w:left="0" w:firstLine="0"/>
        <w:jc w:val="center"/>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364 Containers for hazardous chemicals used, handled or stored in bulk</w:t>
      </w:r>
    </w:p>
    <w:p>
      <w:pPr>
        <w:spacing w:before="120" w:after="0" w:line="276"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must ensure that a container in which a hazardous chemical is used, handled or stored in bulk and any associated pipe work or attachments:</w:t>
      </w:r>
    </w:p>
    <w:p>
      <w:pPr>
        <w:numPr>
          <w:ilvl w:val="0"/>
          <w:numId w:val="631"/>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have stable foundations and supports; and</w:t>
      </w:r>
    </w:p>
    <w:p>
      <w:pPr>
        <w:numPr>
          <w:ilvl w:val="0"/>
          <w:numId w:val="631"/>
        </w:numPr>
        <w:tabs>
          <w:tab w:val="clear" w:pos="360"/>
          <w:tab w:val="left" w:pos="1872"/>
        </w:tabs>
        <w:spacing w:before="122"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are secured to the foundations and supports to prevent any movement between the container and the associated pipe work or attachments to prevent:</w:t>
      </w:r>
    </w:p>
    <w:p>
      <w:pPr>
        <w:numPr>
          <w:ilvl w:val="0"/>
          <w:numId w:val="632"/>
        </w:numPr>
        <w:tabs>
          <w:tab w:val="clear" w:pos="360"/>
          <w:tab w:val="left" w:pos="2376"/>
        </w:tabs>
        <w:spacing w:before="116" w:after="0" w:line="278" w:lineRule="exact"/>
        <w:ind w:right="50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damage to the container, the associated pipe work or attachments; and</w:t>
      </w:r>
    </w:p>
    <w:p>
      <w:pPr>
        <w:numPr>
          <w:ilvl w:val="0"/>
          <w:numId w:val="632"/>
        </w:numPr>
        <w:tabs>
          <w:tab w:val="clear" w:pos="360"/>
          <w:tab w:val="left" w:pos="2376"/>
        </w:tabs>
        <w:spacing w:before="121" w:after="0" w:line="273"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notifiable incident.</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21" w:after="0" w:line="273"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365 Stopping use and disposing of handling systems</w:t>
      </w:r>
    </w:p>
    <w:p>
      <w:pPr>
        <w:numPr>
          <w:ilvl w:val="0"/>
          <w:numId w:val="633"/>
        </w:numPr>
        <w:tabs>
          <w:tab w:val="clear" w:pos="360"/>
          <w:tab w:val="left" w:pos="1368"/>
        </w:tabs>
        <w:spacing w:before="122"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regulation applies to a system used at a workplace for the use, handling or storage of hazardous chemicals if a person conducting a business or undertaking at the workplace intends that the system no longer be used for the use, handling or storage of the hazardous chemicals or be disposed of.</w:t>
      </w:r>
    </w:p>
    <w:p>
      <w:pPr>
        <w:numPr>
          <w:ilvl w:val="0"/>
          <w:numId w:val="633"/>
        </w:numPr>
        <w:tabs>
          <w:tab w:val="clear" w:pos="360"/>
          <w:tab w:val="left" w:pos="1368"/>
        </w:tabs>
        <w:spacing w:before="120"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ensure, so far as is reasonably practicable, that the system is free of the hazardous chemicals when the system stops being used for the use, handling or storage of the hazardous chemicals or is disposed of.</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979"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979"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257</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spacing w:before="25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corporate—$30 000.</w:t>
      </w:r>
    </w:p>
    <w:p>
      <w:pPr>
        <w:spacing w:before="123" w:after="0" w:line="276" w:lineRule="exact"/>
        <w:ind w:right="57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If it is not reasonably practicable to remove the hazardous chemicals from the system, the person must correctly label the system.</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8"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For correctly labelling hazardous chemicals, see Subdivision 3 of Division 2.</w:t>
      </w:r>
    </w:p>
    <w:p>
      <w:pPr>
        <w:spacing w:before="119"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366 Stopping use of underground storage and handling systems</w:t>
      </w:r>
    </w:p>
    <w:p>
      <w:pPr>
        <w:numPr>
          <w:ilvl w:val="0"/>
          <w:numId w:val="634"/>
        </w:numPr>
        <w:tabs>
          <w:tab w:val="clear" w:pos="360"/>
          <w:tab w:val="left" w:pos="1368"/>
        </w:tabs>
        <w:spacing w:before="121"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regulation applies in relation to a system used at a workplace for the use, handling or storage of hazardous chemicals underground if a person conducting a business or undertaking at the workplace intends that the system no longer be used for the use, handling or storage of the hazardous chemicals or be disposed of.</w:t>
      </w:r>
    </w:p>
    <w:p>
      <w:pPr>
        <w:numPr>
          <w:ilvl w:val="0"/>
          <w:numId w:val="634"/>
        </w:numPr>
        <w:tabs>
          <w:tab w:val="clear" w:pos="360"/>
          <w:tab w:val="left" w:pos="1368"/>
        </w:tabs>
        <w:spacing w:before="116" w:after="0" w:line="278"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ensure, so far as is reasonably practicable, that the system is removed.</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634"/>
        </w:numPr>
        <w:tabs>
          <w:tab w:val="clear" w:pos="360"/>
          <w:tab w:val="left" w:pos="1368"/>
        </w:tabs>
        <w:spacing w:before="122"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it is not reasonably practicable to remove the system, the person must ensure, so far as is reasonably practicable, that the system is without risks to health and safety.</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5"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367 Notification of abandoned tank</w:t>
      </w:r>
    </w:p>
    <w:p>
      <w:pPr>
        <w:spacing w:before="115" w:after="0" w:line="278" w:lineRule="exact"/>
        <w:ind w:right="86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regulation applies to a person conducting a business or undertaking at a workplace if:</w:t>
      </w:r>
    </w:p>
    <w:p>
      <w:pPr>
        <w:numPr>
          <w:ilvl w:val="0"/>
          <w:numId w:val="635"/>
        </w:numPr>
        <w:tabs>
          <w:tab w:val="clear" w:pos="360"/>
          <w:tab w:val="left" w:pos="1872"/>
        </w:tabs>
        <w:spacing w:before="116" w:after="0" w:line="278"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controls or manages a tank at the workplace that is underground, partially underground or fully mounded; and</w:t>
      </w:r>
    </w:p>
    <w:p>
      <w:pPr>
        <w:numPr>
          <w:ilvl w:val="0"/>
          <w:numId w:val="635"/>
        </w:numPr>
        <w:tabs>
          <w:tab w:val="clear" w:pos="360"/>
          <w:tab w:val="left" w:pos="1872"/>
        </w:tabs>
        <w:spacing w:before="116" w:after="0" w:line="278" w:lineRule="exact"/>
        <w:ind w:right="64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tank was used to store flammable gases or flammable liquids.</w:t>
      </w:r>
    </w:p>
    <w:p>
      <w:pPr>
        <w:spacing w:before="121" w:after="1017"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(2) The tank is taken to be abandoned if:</w:t>
      </w:r>
    </w:p>
    <w:p>
      <w:pPr>
        <w:spacing w:before="121" w:after="1017"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258</w:t>
      </w:r>
    </w:p>
    <w:p>
      <w:pPr>
        <w:sectPr>
          <w:type w:val="continuous"/>
          <w:pgSz w:w="11909" w:h="16838" w:orient="portrait"/>
          <w:pgMar w:bottom="1082" w:top="1140" w:right="5814" w:left="1975"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numPr>
          <w:ilvl w:val="0"/>
          <w:numId w:val="636"/>
        </w:numPr>
        <w:tabs>
          <w:tab w:val="clear" w:pos="360"/>
          <w:tab w:val="left" w:pos="1872"/>
        </w:tabs>
        <w:spacing w:before="244" w:after="0" w:line="279" w:lineRule="exact"/>
        <w:ind w:right="864"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tank has not been used to store flammable gases or flammable liquids for 2 years; or</w:t>
      </w:r>
    </w:p>
    <w:p>
      <w:pPr>
        <w:numPr>
          <w:ilvl w:val="0"/>
          <w:numId w:val="636"/>
        </w:numPr>
        <w:tabs>
          <w:tab w:val="clear" w:pos="360"/>
          <w:tab w:val="left" w:pos="1872"/>
        </w:tabs>
        <w:spacing w:before="114" w:after="0" w:line="279"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does not intend to use the tank to store flammable gases or flammable liquids again.</w:t>
      </w:r>
    </w:p>
    <w:p>
      <w:pPr>
        <w:numPr>
          <w:ilvl w:val="0"/>
          <w:numId w:val="637"/>
        </w:numPr>
        <w:tabs>
          <w:tab w:val="clear" w:pos="360"/>
          <w:tab w:val="left" w:pos="1368"/>
        </w:tabs>
        <w:spacing w:before="114" w:after="0" w:line="279"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notify the regulator of the abandonment of the tank as soon as practicable after the tank is abandoned.</w:t>
      </w:r>
    </w:p>
    <w:p>
      <w:pPr>
        <w:spacing w:before="121" w:after="0" w:line="272"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7"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637"/>
        </w:numPr>
        <w:tabs>
          <w:tab w:val="clear" w:pos="360"/>
          <w:tab w:val="left" w:pos="1368"/>
        </w:tabs>
        <w:spacing w:before="124" w:after="0" w:line="275"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this regulation, </w:t>
      </w:r>
      <w:r>
        <w:rPr>
          <w:rFonts w:ascii="Times New Roman" w:hAnsi="Times New Roman" w:eastAsia="Times New Roman"/>
          <w:b w:val="true"/>
          <w:i w:val="true"/>
          <w:color w:val="000000"/>
          <w:spacing w:val="0"/>
          <w:w w:val="100"/>
          <w:sz w:val="24"/>
          <w:vertAlign w:val="baseline"/>
          <w:lang w:val="en-US"/>
        </w:rPr>
        <w:t xml:space="preserve">tank </w:t>
      </w:r>
      <w:r>
        <w:rPr>
          <w:rFonts w:ascii="Times New Roman" w:hAnsi="Times New Roman" w:eastAsia="Times New Roman"/>
          <w:color w:val="000000"/>
          <w:spacing w:val="0"/>
          <w:w w:val="100"/>
          <w:sz w:val="24"/>
          <w:vertAlign w:val="baseline"/>
          <w:lang w:val="en-US"/>
        </w:rPr>
        <w:t xml:space="preserve">means a container, other than an IBC designed to use, handle or store hazardous chemicals in bulk, and includes fittings, closures and other equipment attached to the container.</w:t>
      </w:r>
    </w:p>
    <w:p>
      <w:pPr>
        <w:tabs>
          <w:tab w:val="left" w:leader="none" w:pos="1584"/>
        </w:tabs>
        <w:spacing w:before="247"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6	</w:t>
      </w:r>
      <w:r>
        <w:rPr>
          <w:rFonts w:ascii="Times New Roman" w:hAnsi="Times New Roman" w:eastAsia="Times New Roman"/>
          <w:b w:val="true"/>
          <w:color w:val="000000"/>
          <w:spacing w:val="0"/>
          <w:w w:val="100"/>
          <w:sz w:val="24"/>
          <w:vertAlign w:val="baseline"/>
          <w:lang w:val="en-US"/>
        </w:rPr>
        <w:t xml:space="preserve">Health monitoring</w:t>
      </w:r>
    </w:p>
    <w:p>
      <w:pPr>
        <w:spacing w:before="119"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368 Duty to provide health monitoring</w:t>
      </w:r>
    </w:p>
    <w:p>
      <w:pPr>
        <w:spacing w:before="116" w:after="0" w:line="276" w:lineRule="exact"/>
        <w:ind w:right="144"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must ensure that health monitoring is provided to a worker carrying out work for the business or undertaking if:</w:t>
      </w:r>
    </w:p>
    <w:p>
      <w:pPr>
        <w:numPr>
          <w:ilvl w:val="0"/>
          <w:numId w:val="638"/>
        </w:numPr>
        <w:tabs>
          <w:tab w:val="clear" w:pos="360"/>
          <w:tab w:val="left" w:pos="1872"/>
        </w:tabs>
        <w:spacing w:before="122" w:after="0" w:line="276"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worker is carrying out ongoing work at a workplace using, handling, generating or storing hazardous chemicals and there is a significant risk to the worker's health because of exposure to a hazardous chemical referred to in Schedule 14, table 14.1, column 2; or</w:t>
      </w:r>
    </w:p>
    <w:p>
      <w:pPr>
        <w:numPr>
          <w:ilvl w:val="0"/>
          <w:numId w:val="638"/>
        </w:numPr>
        <w:tabs>
          <w:tab w:val="clear" w:pos="360"/>
          <w:tab w:val="left" w:pos="1872"/>
        </w:tabs>
        <w:spacing w:before="118"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identifies that because of ongoing work carried out by a worker using, handling, generating or storing hazardous chemicals there is a significant risk that the worker will be exposed to a hazardous chemical (other than a hazardous chemical referred to in Schedule 14, table 14.1) and either:</w:t>
      </w:r>
    </w:p>
    <w:p>
      <w:pPr>
        <w:numPr>
          <w:ilvl w:val="0"/>
          <w:numId w:val="639"/>
        </w:numPr>
        <w:tabs>
          <w:tab w:val="clear" w:pos="360"/>
          <w:tab w:val="left" w:pos="2376"/>
        </w:tabs>
        <w:spacing w:before="124" w:after="0" w:line="274" w:lineRule="exact"/>
        <w:ind w:right="216"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valid techniques are available to detect the effect on the worker's health; or</w:t>
      </w:r>
    </w:p>
    <w:p>
      <w:pPr>
        <w:numPr>
          <w:ilvl w:val="0"/>
          <w:numId w:val="639"/>
        </w:numPr>
        <w:tabs>
          <w:tab w:val="clear" w:pos="360"/>
          <w:tab w:val="left" w:pos="2376"/>
        </w:tabs>
        <w:spacing w:before="122" w:after="0" w:line="276" w:lineRule="exact"/>
        <w:ind w:right="43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valid way of determining biological exposure to the hazardous chemical is available and it is uncertain, on reasonable grounds, whether the exposure to the hazardous chemical has resulted in the biological exposure standard being exceeded.</w:t>
      </w:r>
    </w:p>
    <w:p>
      <w:pPr>
        <w:spacing w:before="122" w:after="1095" w:line="272"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Maximum penalty:</w:t>
      </w:r>
    </w:p>
    <w:p>
      <w:pPr>
        <w:spacing w:before="122" w:after="1095" w:line="272"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259</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spacing w:before="25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an individual—$6 000.</w:t>
      </w:r>
    </w:p>
    <w:p>
      <w:pPr>
        <w:spacing w:before="126"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8"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The biological exposure standard is published by Safe Work Australia.</w:t>
      </w:r>
    </w:p>
    <w:p>
      <w:pPr>
        <w:spacing w:before="119"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369 Duty to inform of health monitoring</w:t>
      </w:r>
    </w:p>
    <w:p>
      <w:pPr>
        <w:spacing w:before="117" w:after="0" w:line="276" w:lineRule="exact"/>
        <w:ind w:right="144"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who is required to provide health monitoring to a worker must give information about the health monitoring requirements to:</w:t>
      </w:r>
    </w:p>
    <w:p>
      <w:pPr>
        <w:numPr>
          <w:ilvl w:val="0"/>
          <w:numId w:val="640"/>
        </w:numPr>
        <w:tabs>
          <w:tab w:val="clear" w:pos="360"/>
          <w:tab w:val="left" w:pos="1872"/>
        </w:tabs>
        <w:spacing w:before="124" w:after="0" w:line="274" w:lineRule="exact"/>
        <w:ind w:right="288" w:left="1872" w:hanging="360"/>
        <w:jc w:val="both"/>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a person who is likely to be engaged to carry out work using, handling, generating or storing a hazardous chemical; and</w:t>
      </w:r>
    </w:p>
    <w:p>
      <w:pPr>
        <w:numPr>
          <w:ilvl w:val="0"/>
          <w:numId w:val="640"/>
        </w:numPr>
        <w:tabs>
          <w:tab w:val="clear" w:pos="360"/>
          <w:tab w:val="left" w:pos="1872"/>
        </w:tabs>
        <w:spacing w:before="122" w:after="0" w:line="276"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worker for the business or undertaking, before the worker commences work using, handling, generating or storing a hazardous chemical.</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5" w:after="0" w:line="274" w:lineRule="exact"/>
        <w:ind w:right="0" w:left="0" w:firstLine="0"/>
        <w:jc w:val="center"/>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370 Duty to ensure that appropriate health monitoring is provided</w:t>
      </w:r>
    </w:p>
    <w:p>
      <w:pPr>
        <w:spacing w:before="117" w:after="0" w:line="276" w:lineRule="exact"/>
        <w:ind w:right="144"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w:t>
      </w:r>
    </w:p>
    <w:p>
      <w:pPr>
        <w:numPr>
          <w:ilvl w:val="0"/>
          <w:numId w:val="641"/>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equal or better type of health monitoring is available; and</w:t>
      </w:r>
    </w:p>
    <w:p>
      <w:pPr>
        <w:numPr>
          <w:ilvl w:val="0"/>
          <w:numId w:val="641"/>
        </w:numPr>
        <w:tabs>
          <w:tab w:val="clear" w:pos="360"/>
          <w:tab w:val="left" w:pos="1872"/>
        </w:tabs>
        <w:spacing w:before="118" w:after="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use of that other type of monitoring is recommended by a registered medical practitioner with experience in health monitoring.</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519" w:after="0" w:line="274" w:lineRule="exact"/>
        <w:ind w:right="72"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371 Duty to ensure health monitoring is supervised by registered medical practitioner with experience.</w:t>
      </w:r>
    </w:p>
    <w:p>
      <w:pPr>
        <w:spacing w:before="123" w:after="1137" w:line="274" w:lineRule="exact"/>
        <w:ind w:right="144" w:left="1368" w:hanging="36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(1) A person conducting a business or undertaking must ensure that the health monitoring of a worker referred to in regulation 368 is</w:t>
      </w:r>
    </w:p>
    <w:p>
      <w:pPr>
        <w:spacing w:before="123" w:after="1137"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260</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spacing w:before="246" w:after="0" w:line="279" w:lineRule="exact"/>
        <w:ind w:right="648"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carried out by or under the supervision of a registered medical practitioner with experience in health monitoring.</w:t>
      </w:r>
    </w:p>
    <w:p>
      <w:pPr>
        <w:spacing w:before="119"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19"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6" w:after="0" w:line="273" w:lineRule="exact"/>
        <w:ind w:right="288"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person must consult the worker in relation to the selection of the registered medical practitioner.</w:t>
      </w:r>
    </w:p>
    <w:p>
      <w:pPr>
        <w:spacing w:before="125"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19"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5"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19"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372 Duty to pay costs of health monitoring</w:t>
      </w:r>
    </w:p>
    <w:p>
      <w:pPr>
        <w:numPr>
          <w:ilvl w:val="0"/>
          <w:numId w:val="642"/>
        </w:numPr>
        <w:tabs>
          <w:tab w:val="clear" w:pos="360"/>
          <w:tab w:val="left" w:pos="1368"/>
        </w:tabs>
        <w:spacing w:before="126" w:after="0" w:line="273" w:lineRule="exact"/>
        <w:ind w:right="144"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A person conducting a business or undertaking must pay all expenses relating to health monitoring referred to in regulation 368.</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0"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numPr>
          <w:ilvl w:val="0"/>
          <w:numId w:val="642"/>
        </w:numPr>
        <w:tabs>
          <w:tab w:val="clear" w:pos="360"/>
          <w:tab w:val="left" w:pos="1368"/>
        </w:tabs>
        <w:spacing w:before="126" w:after="0" w:line="275"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spacing w:before="124" w:after="0" w:line="274" w:lineRule="exact"/>
        <w:ind w:right="0" w:left="0" w:firstLine="0"/>
        <w:jc w:val="center"/>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373 Information that must be provided to registered medical practitioner</w:t>
      </w:r>
    </w:p>
    <w:p>
      <w:pPr>
        <w:spacing w:before="120" w:after="0" w:line="276" w:lineRule="exact"/>
        <w:ind w:right="288"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who commissions health monitoring for a worker must provide the following information to the registered medical practitioner carrying out or supervising the health monitoring:</w:t>
      </w:r>
    </w:p>
    <w:p>
      <w:pPr>
        <w:numPr>
          <w:ilvl w:val="0"/>
          <w:numId w:val="643"/>
        </w:numPr>
        <w:tabs>
          <w:tab w:val="clear" w:pos="360"/>
          <w:tab w:val="left" w:pos="1872"/>
        </w:tabs>
        <w:spacing w:before="116" w:after="0" w:line="278"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and address of the person conducting the business or undertaking;</w:t>
      </w:r>
    </w:p>
    <w:p>
      <w:pPr>
        <w:numPr>
          <w:ilvl w:val="0"/>
          <w:numId w:val="643"/>
        </w:numPr>
        <w:tabs>
          <w:tab w:val="clear" w:pos="360"/>
          <w:tab w:val="left" w:pos="1872"/>
        </w:tabs>
        <w:spacing w:before="120" w:after="0" w:line="274"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and date of birth of the worker;</w:t>
      </w:r>
    </w:p>
    <w:p>
      <w:pPr>
        <w:numPr>
          <w:ilvl w:val="0"/>
          <w:numId w:val="643"/>
        </w:numPr>
        <w:tabs>
          <w:tab w:val="clear" w:pos="360"/>
          <w:tab w:val="left" w:pos="1872"/>
        </w:tabs>
        <w:spacing w:before="124" w:after="0" w:line="274"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work that the worker is, or will be, carrying out that has triggered the requirement for health monitoring;</w:t>
      </w:r>
    </w:p>
    <w:p>
      <w:pPr>
        <w:numPr>
          <w:ilvl w:val="0"/>
          <w:numId w:val="643"/>
        </w:numPr>
        <w:tabs>
          <w:tab w:val="clear" w:pos="360"/>
          <w:tab w:val="left" w:pos="1872"/>
        </w:tabs>
        <w:spacing w:before="124" w:after="0" w:line="274"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worker has started that work—how long the worker has been carrying out that work.</w:t>
      </w:r>
    </w:p>
    <w:p>
      <w:pPr>
        <w:spacing w:before="124" w:after="767"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Maximum penalty:</w:t>
      </w:r>
    </w:p>
    <w:p>
      <w:pPr>
        <w:spacing w:before="124" w:after="767"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261</w:t>
      </w:r>
    </w:p>
    <w:p>
      <w:pPr>
        <w:sectPr>
          <w:type w:val="continuous"/>
          <w:pgSz w:w="11909" w:h="16838" w:orient="portrait"/>
          <w:pgMar w:bottom="1082" w:top="1140" w:right="5819" w:left="1970"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spacing w:before="25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an individual—$3 600.</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0"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374 Duty to obtain health monitoring report</w:t>
      </w:r>
    </w:p>
    <w:p>
      <w:pPr>
        <w:numPr>
          <w:ilvl w:val="0"/>
          <w:numId w:val="644"/>
        </w:numPr>
        <w:tabs>
          <w:tab w:val="clear" w:pos="360"/>
          <w:tab w:val="left" w:pos="1368"/>
        </w:tabs>
        <w:spacing w:before="125" w:after="0" w:line="275"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644"/>
        </w:numPr>
        <w:tabs>
          <w:tab w:val="clear" w:pos="360"/>
          <w:tab w:val="left" w:pos="1368"/>
        </w:tabs>
        <w:spacing w:before="120" w:after="0" w:line="273"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health monitoring report must include the following:</w:t>
      </w:r>
    </w:p>
    <w:p>
      <w:pPr>
        <w:numPr>
          <w:ilvl w:val="0"/>
          <w:numId w:val="645"/>
        </w:numPr>
        <w:tabs>
          <w:tab w:val="clear" w:pos="288"/>
          <w:tab w:val="left" w:pos="1872"/>
        </w:tabs>
        <w:spacing w:before="121"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and date of birth of the worker;</w:t>
      </w:r>
    </w:p>
    <w:p>
      <w:pPr>
        <w:numPr>
          <w:ilvl w:val="0"/>
          <w:numId w:val="645"/>
        </w:numPr>
        <w:tabs>
          <w:tab w:val="clear" w:pos="288"/>
          <w:tab w:val="left" w:pos="1872"/>
        </w:tabs>
        <w:spacing w:before="124" w:after="0" w:line="274" w:lineRule="exact"/>
        <w:ind w:right="432"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and registration number of the registered medical practitioner;</w:t>
      </w:r>
    </w:p>
    <w:p>
      <w:pPr>
        <w:numPr>
          <w:ilvl w:val="0"/>
          <w:numId w:val="645"/>
        </w:numPr>
        <w:tabs>
          <w:tab w:val="clear" w:pos="288"/>
          <w:tab w:val="left" w:pos="1872"/>
        </w:tabs>
        <w:spacing w:before="124" w:after="0" w:line="274" w:lineRule="exact"/>
        <w:ind w:right="144"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and address of the person conducting the business or undertaking who commissioned the health monitoring;</w:t>
      </w:r>
    </w:p>
    <w:p>
      <w:pPr>
        <w:numPr>
          <w:ilvl w:val="0"/>
          <w:numId w:val="645"/>
        </w:numPr>
        <w:tabs>
          <w:tab w:val="clear" w:pos="288"/>
          <w:tab w:val="left" w:pos="1872"/>
        </w:tabs>
        <w:spacing w:before="125"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date of the health monitoring;</w:t>
      </w:r>
    </w:p>
    <w:p>
      <w:pPr>
        <w:numPr>
          <w:ilvl w:val="0"/>
          <w:numId w:val="645"/>
        </w:numPr>
        <w:tabs>
          <w:tab w:val="clear" w:pos="288"/>
          <w:tab w:val="left" w:pos="1872"/>
        </w:tabs>
        <w:spacing w:before="116" w:after="0" w:line="278" w:lineRule="exact"/>
        <w:ind w:right="504"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test results that indicate whether or not the worker has been exposed to a hazardous chemical;</w:t>
      </w:r>
    </w:p>
    <w:p>
      <w:pPr>
        <w:numPr>
          <w:ilvl w:val="0"/>
          <w:numId w:val="645"/>
        </w:numPr>
        <w:tabs>
          <w:tab w:val="clear" w:pos="288"/>
          <w:tab w:val="left" w:pos="1872"/>
        </w:tabs>
        <w:spacing w:before="118" w:after="0" w:line="276"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advice that test results indicate that the worker may have contracted a disease, injury or illness as a result of carrying out the work that triggered the requirement for health monitoring;</w:t>
      </w:r>
    </w:p>
    <w:p>
      <w:pPr>
        <w:numPr>
          <w:ilvl w:val="0"/>
          <w:numId w:val="645"/>
        </w:numPr>
        <w:tabs>
          <w:tab w:val="clear" w:pos="288"/>
          <w:tab w:val="left" w:pos="1872"/>
        </w:tabs>
        <w:spacing w:before="124" w:after="0" w:line="275" w:lineRule="exact"/>
        <w:ind w:right="144"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recommendation that the person conducting the business or undertaking take remedial measures, including whether the worker can continue to carry out the type of work that triggered the requirement for health monitoring;</w:t>
      </w:r>
    </w:p>
    <w:p>
      <w:pPr>
        <w:numPr>
          <w:ilvl w:val="0"/>
          <w:numId w:val="645"/>
        </w:numPr>
        <w:tabs>
          <w:tab w:val="clear" w:pos="288"/>
          <w:tab w:val="left" w:pos="1872"/>
        </w:tabs>
        <w:spacing w:before="122" w:after="0" w:line="276" w:lineRule="exact"/>
        <w:ind w:right="288"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whether medical counselling is required for the worker in relation to the work that triggered the requirement for health monitoring.</w:t>
      </w:r>
    </w:p>
    <w:p>
      <w:pPr>
        <w:spacing w:before="121"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375 Duty to give health monitoring report to worker</w:t>
      </w:r>
    </w:p>
    <w:p>
      <w:pPr>
        <w:spacing w:before="123" w:after="854" w:line="275" w:lineRule="exact"/>
        <w:ind w:right="216"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person conducting a business or undertaking who commissioned health monitoring for a worker must give a copy of the health monitoring report to the worker as soon as practicable after the person obtains the report.</w:t>
      </w:r>
    </w:p>
    <w:p>
      <w:pPr>
        <w:spacing w:before="123" w:after="854" w:line="275"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262</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spacing w:before="251"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Maximum penalty:</w:t>
      </w:r>
    </w:p>
    <w:p>
      <w:pPr>
        <w:spacing w:before="125"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19"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5"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376 Duty to give health monitoring report to regulator</w:t>
      </w:r>
    </w:p>
    <w:p>
      <w:pPr>
        <w:spacing w:before="117" w:after="0" w:line="276" w:lineRule="exact"/>
        <w:ind w:right="216"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for whom a worker is carrying out work for which health monitoring is required must give a copy of the health monitoring report relating to a worker to the regulator as soon as practicable after obtaining the report if the report contains:</w:t>
      </w:r>
    </w:p>
    <w:p>
      <w:pPr>
        <w:numPr>
          <w:ilvl w:val="0"/>
          <w:numId w:val="646"/>
        </w:numPr>
        <w:tabs>
          <w:tab w:val="clear" w:pos="360"/>
          <w:tab w:val="left" w:pos="1872"/>
        </w:tabs>
        <w:spacing w:before="128" w:after="0" w:line="274"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advice that test results indicate that the worker may have contracted a disease, injury or illness as a result of carrying out the work using, handling, generating or storing hazardous chemicals that triggered the requirement for health monitoring; or</w:t>
      </w:r>
    </w:p>
    <w:p>
      <w:pPr>
        <w:numPr>
          <w:ilvl w:val="0"/>
          <w:numId w:val="646"/>
        </w:numPr>
        <w:tabs>
          <w:tab w:val="clear" w:pos="360"/>
          <w:tab w:val="left" w:pos="1872"/>
        </w:tabs>
        <w:spacing w:before="122" w:after="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recommendation that the person conducting the business or undertaking take remedial measures, including whether the worker can continue to carry out the work using, handling, generating or storing hazardous chemicals that triggered the requirement for health monitoring.</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377 Duty to give health monitoring report to relevant persons conducting businesses or undertakings</w:t>
      </w:r>
    </w:p>
    <w:p>
      <w:pPr>
        <w:spacing w:before="122" w:after="0" w:line="276" w:lineRule="exact"/>
        <w:ind w:right="36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378 Health monitoring records</w:t>
      </w:r>
    </w:p>
    <w:p>
      <w:pPr>
        <w:spacing w:before="118" w:after="973" w:line="276" w:lineRule="exact"/>
        <w:ind w:right="216" w:left="1368" w:hanging="360"/>
        <w:jc w:val="left"/>
        <w:textAlignment w:val="baseline"/>
        <w:rPr>
          <w:rFonts w:ascii="Times New Roman" w:hAnsi="Times New Roman" w:eastAsia="Times New Roman"/>
          <w:color w:val="000000"/>
          <w:spacing w:val="-1"/>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1"/>
          <w:w w:val="100"/>
          <w:sz w:val="24"/>
          <w:vertAlign w:val="baseline"/>
          <w:lang w:val="en-US"/>
        </w:rPr>
        <w:t xml:space="preserve">(1) A person conducting a business or undertaking must ensure that health monitoring reports in relation to a worker carrying out work for the business or undertaking are kept as a confidential record:</w:t>
      </w:r>
    </w:p>
    <w:p>
      <w:pPr>
        <w:spacing w:before="118" w:after="973"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263</w:t>
      </w:r>
    </w:p>
    <w:p>
      <w:pPr>
        <w:sectPr>
          <w:type w:val="continuous"/>
          <w:pgSz w:w="11909" w:h="16838" w:orient="portrait"/>
          <w:pgMar w:bottom="1082" w:top="1140" w:right="5817" w:left="1972"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numPr>
          <w:ilvl w:val="0"/>
          <w:numId w:val="647"/>
        </w:numPr>
        <w:tabs>
          <w:tab w:val="clear" w:pos="360"/>
          <w:tab w:val="left" w:pos="1872"/>
        </w:tabs>
        <w:spacing w:before="25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identified as a record in relation to the worker; and</w:t>
      </w:r>
    </w:p>
    <w:p>
      <w:pPr>
        <w:numPr>
          <w:ilvl w:val="0"/>
          <w:numId w:val="647"/>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at least 30 years after the record is made.</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numPr>
          <w:ilvl w:val="0"/>
          <w:numId w:val="648"/>
        </w:numPr>
        <w:tabs>
          <w:tab w:val="clear" w:pos="360"/>
          <w:tab w:val="left" w:pos="1368"/>
        </w:tabs>
        <w:spacing w:before="123"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ensure that the health monitoring report and results of a worker are not disclosed to another person without the worker's written consent.</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numPr>
          <w:ilvl w:val="0"/>
          <w:numId w:val="648"/>
        </w:numPr>
        <w:tabs>
          <w:tab w:val="clear" w:pos="360"/>
          <w:tab w:val="left" w:pos="1368"/>
        </w:tabs>
        <w:spacing w:before="127" w:after="0" w:line="273"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Subregulation (2) does not apply if the record is disclosed under regulation 376 or 377 or to a person who must keep the record confidential under a duty of professional confidentiality.</w:t>
      </w:r>
    </w:p>
    <w:p>
      <w:pPr>
        <w:tabs>
          <w:tab w:val="left" w:leader="none" w:pos="1584"/>
        </w:tabs>
        <w:spacing w:before="133" w:after="0" w:line="389" w:lineRule="exact"/>
        <w:ind w:right="1440" w:left="288" w:hanging="288"/>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7	</w:t>
      </w:r>
      <w:r>
        <w:rPr>
          <w:rFonts w:ascii="Times New Roman" w:hAnsi="Times New Roman" w:eastAsia="Times New Roman"/>
          <w:b w:val="true"/>
          <w:color w:val="000000"/>
          <w:spacing w:val="0"/>
          <w:w w:val="100"/>
          <w:sz w:val="24"/>
          <w:vertAlign w:val="baseline"/>
          <w:lang w:val="en-US"/>
        </w:rPr>
        <w:t xml:space="preserve">Induction, information, training and supervision 379 Duty to provide supervision</w:t>
      </w:r>
    </w:p>
    <w:p>
      <w:pPr>
        <w:spacing w:before="125" w:after="0"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at a workplace must provide any supervision to a worker that is necessary to protect the worker from risks to the worker's health and safety arising from the work if, at the workplace, the worker:</w:t>
      </w:r>
    </w:p>
    <w:p>
      <w:pPr>
        <w:numPr>
          <w:ilvl w:val="0"/>
          <w:numId w:val="649"/>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uses, handles, generates or stores a hazardous chemical; or</w:t>
      </w:r>
    </w:p>
    <w:p>
      <w:pPr>
        <w:numPr>
          <w:ilvl w:val="0"/>
          <w:numId w:val="649"/>
        </w:numPr>
        <w:tabs>
          <w:tab w:val="clear" w:pos="360"/>
          <w:tab w:val="left" w:pos="1872"/>
        </w:tabs>
        <w:spacing w:before="116" w:after="0" w:line="278"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operates, tests, maintains, repairs or decommissions a storage or handling system for a hazardous chemical; or</w:t>
      </w:r>
    </w:p>
    <w:p>
      <w:pPr>
        <w:numPr>
          <w:ilvl w:val="0"/>
          <w:numId w:val="649"/>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likely to be exposed to a hazardous chemical.</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6" w:after="0" w:line="278" w:lineRule="exact"/>
        <w:ind w:right="79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person must ensure that the supervision of the worker is suitable and adequate having regard to:</w:t>
      </w:r>
    </w:p>
    <w:p>
      <w:pPr>
        <w:numPr>
          <w:ilvl w:val="0"/>
          <w:numId w:val="650"/>
        </w:numPr>
        <w:tabs>
          <w:tab w:val="clear" w:pos="360"/>
          <w:tab w:val="left" w:pos="1872"/>
        </w:tabs>
        <w:spacing w:before="116" w:after="0" w:line="278"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nature of the risks associated with the hazardous chemical; and</w:t>
      </w:r>
    </w:p>
    <w:p>
      <w:pPr>
        <w:numPr>
          <w:ilvl w:val="0"/>
          <w:numId w:val="650"/>
        </w:numPr>
        <w:tabs>
          <w:tab w:val="clear" w:pos="360"/>
          <w:tab w:val="left" w:pos="1872"/>
        </w:tabs>
        <w:spacing w:before="116" w:after="0" w:line="278" w:lineRule="exact"/>
        <w:ind w:right="79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information, training and instruction required under regulation 39.</w:t>
      </w:r>
    </w:p>
    <w:p>
      <w:pPr>
        <w:spacing w:before="124" w:after="731"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Note</w:t>
      </w:r>
    </w:p>
    <w:p>
      <w:pPr>
        <w:spacing w:before="124" w:after="731" w:line="225"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264</w:t>
      </w:r>
    </w:p>
    <w:p>
      <w:pPr>
        <w:sectPr>
          <w:type w:val="continuous"/>
          <w:pgSz w:w="11909" w:h="16838" w:orient="portrait"/>
          <w:pgMar w:bottom="1082" w:top="1140" w:right="5812" w:left="1977" w:header="720" w:footer="720"/>
          <w:titlePg w:val="false"/>
          <w:textDirection w:val="lrTb"/>
        </w:sectPr>
      </w:pPr>
    </w:p>
    <w:p>
      <w:pPr>
        <w:spacing w:before="6" w:after="0" w:line="225"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6" w:after="227" w:line="225"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spacing w:before="250" w:after="0" w:line="230" w:lineRule="exact"/>
        <w:ind w:right="504" w:left="1368"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In addition, section 19(3)(f) of the Act requires the provision of information, training, instruction and supervision.</w:t>
      </w:r>
    </w:p>
    <w:p>
      <w:pPr>
        <w:tabs>
          <w:tab w:val="left" w:leader="none" w:pos="1584"/>
        </w:tabs>
        <w:spacing w:before="641" w:after="0" w:line="269"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8	</w:t>
      </w:r>
      <w:r>
        <w:rPr>
          <w:rFonts w:ascii="Times New Roman" w:hAnsi="Times New Roman" w:eastAsia="Times New Roman"/>
          <w:b w:val="true"/>
          <w:color w:val="000000"/>
          <w:spacing w:val="0"/>
          <w:w w:val="100"/>
          <w:sz w:val="24"/>
          <w:vertAlign w:val="baseline"/>
          <w:lang w:val="en-US"/>
        </w:rPr>
        <w:t xml:space="preserve">Prohibition, authorisation and restricted use</w:t>
      </w:r>
    </w:p>
    <w:p>
      <w:pPr>
        <w:spacing w:before="124" w:after="0" w:line="269"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380 Using, handling and storing prohibited carcinogens</w:t>
      </w:r>
    </w:p>
    <w:p>
      <w:pPr>
        <w:spacing w:before="121" w:after="0" w:line="276"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must not use, handle or store, or direct or allow a worker at the workplace to use, handle or store, a prohibited carcinogen referred to in Schedule 10, table 10.1, column 2 unless:</w:t>
      </w:r>
    </w:p>
    <w:p>
      <w:pPr>
        <w:numPr>
          <w:ilvl w:val="0"/>
          <w:numId w:val="651"/>
        </w:numPr>
        <w:tabs>
          <w:tab w:val="clear" w:pos="360"/>
          <w:tab w:val="left" w:pos="1872"/>
        </w:tabs>
        <w:spacing w:before="120" w:after="0" w:line="276" w:lineRule="exact"/>
        <w:ind w:right="79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prohibited carcinogen is used, handled or stored for genuine research or analysis; and</w:t>
      </w:r>
    </w:p>
    <w:p>
      <w:pPr>
        <w:numPr>
          <w:ilvl w:val="0"/>
          <w:numId w:val="651"/>
        </w:numPr>
        <w:tabs>
          <w:tab w:val="clear" w:pos="360"/>
          <w:tab w:val="left" w:pos="1872"/>
        </w:tabs>
        <w:spacing w:before="120"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has authorised the use, handling or storage of the prohibited carcinogen under regulation 384.</w:t>
      </w:r>
    </w:p>
    <w:p>
      <w:pPr>
        <w:spacing w:before="127"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5"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section 43 of the Act.</w:t>
      </w:r>
    </w:p>
    <w:p>
      <w:pPr>
        <w:spacing w:before="122" w:after="0" w:line="269"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381 Using, handling and storing restricted carcinogens</w:t>
      </w:r>
    </w:p>
    <w:p>
      <w:pPr>
        <w:spacing w:before="121" w:after="0" w:line="276"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must not use, handle or store, or direct or allow a worker at the workplace to use, handle or store, a restricted carcinogen referred to in an item in Schedule 10, table 10.2, column 2 for a purpose referred to in column 3 for the item unless the regulator has authorised the use, handling or storage of the restricted carcinogen under</w:t>
      </w:r>
    </w:p>
    <w:p>
      <w:pPr>
        <w:spacing w:before="2" w:after="0" w:line="276"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regulation 384.</w:t>
      </w:r>
    </w:p>
    <w:p>
      <w:pPr>
        <w:spacing w:before="127"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5"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section 43 of the Act.</w:t>
      </w:r>
    </w:p>
    <w:p>
      <w:pPr>
        <w:spacing w:before="122" w:after="0" w:line="269"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382 Using, handling and storing restricted hazardous chemicals</w:t>
      </w:r>
    </w:p>
    <w:p>
      <w:pPr>
        <w:numPr>
          <w:ilvl w:val="0"/>
          <w:numId w:val="652"/>
        </w:numPr>
        <w:tabs>
          <w:tab w:val="clear" w:pos="360"/>
          <w:tab w:val="left" w:pos="1368"/>
        </w:tabs>
        <w:spacing w:before="119" w:after="0" w:line="276"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spacing w:before="132"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5"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section 43 of the Act.</w:t>
      </w:r>
    </w:p>
    <w:p>
      <w:pPr>
        <w:numPr>
          <w:ilvl w:val="0"/>
          <w:numId w:val="652"/>
        </w:numPr>
        <w:tabs>
          <w:tab w:val="clear" w:pos="360"/>
          <w:tab w:val="left" w:pos="1368"/>
        </w:tabs>
        <w:spacing w:before="114" w:after="828" w:line="276"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person conducting a business or undertaking at a workplace must not use, handle or store, or direct or allow a worker at the workplace to use, handle or store, polychlorinated biphenyls (PCBs) unless the use, handling or storage is:</w:t>
      </w:r>
    </w:p>
    <w:p>
      <w:pPr>
        <w:spacing w:before="114" w:after="828"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265</w:t>
      </w:r>
    </w:p>
    <w:p>
      <w:pPr>
        <w:sectPr>
          <w:type w:val="continuous"/>
          <w:pgSz w:w="11909" w:h="16838" w:orient="portrait"/>
          <w:pgMar w:bottom="1082" w:top="1140" w:right="5814" w:left="1975"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numPr>
          <w:ilvl w:val="0"/>
          <w:numId w:val="653"/>
        </w:numPr>
        <w:tabs>
          <w:tab w:val="clear" w:pos="360"/>
          <w:tab w:val="left" w:pos="1872"/>
        </w:tabs>
        <w:spacing w:before="244" w:after="0" w:line="279"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relation to existing electrical equipment or construction material; or</w:t>
      </w:r>
    </w:p>
    <w:p>
      <w:pPr>
        <w:numPr>
          <w:ilvl w:val="0"/>
          <w:numId w:val="653"/>
        </w:numPr>
        <w:tabs>
          <w:tab w:val="clear" w:pos="360"/>
          <w:tab w:val="left" w:pos="1872"/>
        </w:tabs>
        <w:spacing w:before="121"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disposal purposes; or</w:t>
      </w:r>
    </w:p>
    <w:p>
      <w:pPr>
        <w:numPr>
          <w:ilvl w:val="0"/>
          <w:numId w:val="653"/>
        </w:numPr>
        <w:tabs>
          <w:tab w:val="clear" w:pos="360"/>
          <w:tab w:val="left" w:pos="1872"/>
        </w:tabs>
        <w:spacing w:before="127"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genuine research and analysis.</w:t>
      </w:r>
    </w:p>
    <w:p>
      <w:pPr>
        <w:spacing w:before="125"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30"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section 43 of the Act.</w:t>
      </w:r>
    </w:p>
    <w:p>
      <w:pPr>
        <w:spacing w:before="115" w:after="0" w:line="274" w:lineRule="exact"/>
        <w:ind w:right="216"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383 Application for authorisation to use, handle or store prohibited and restricted carcinogens</w:t>
      </w:r>
    </w:p>
    <w:p>
      <w:pPr>
        <w:numPr>
          <w:ilvl w:val="0"/>
          <w:numId w:val="654"/>
        </w:numPr>
        <w:tabs>
          <w:tab w:val="clear" w:pos="360"/>
          <w:tab w:val="left" w:pos="1368"/>
        </w:tabs>
        <w:spacing w:before="124" w:after="0" w:line="275"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may apply in writing to the regulator for authorisation to use, handle or store a prohibited carcinogen or restricted carcinogen referred to in Schedule 10 at the workplace.</w:t>
      </w:r>
    </w:p>
    <w:p>
      <w:pPr>
        <w:numPr>
          <w:ilvl w:val="0"/>
          <w:numId w:val="654"/>
        </w:numPr>
        <w:tabs>
          <w:tab w:val="clear" w:pos="360"/>
          <w:tab w:val="left" w:pos="1368"/>
        </w:tabs>
        <w:spacing w:before="126" w:after="0" w:line="272"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application must include the following information:</w:t>
      </w:r>
    </w:p>
    <w:p>
      <w:pPr>
        <w:spacing w:before="122" w:after="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the applicant's name and business address;</w:t>
      </w:r>
    </w:p>
    <w:p>
      <w:pPr>
        <w:spacing w:before="124" w:after="0" w:line="274"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if the applicant conducts the business or undertaking under a business name, that business name;</w:t>
      </w:r>
    </w:p>
    <w:p>
      <w:pPr>
        <w:spacing w:before="126" w:after="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the name and address of the supplier of the carcinogen;</w:t>
      </w:r>
    </w:p>
    <w:p>
      <w:pPr>
        <w:spacing w:before="116" w:after="0" w:line="278"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the address where the carcinogen will be used, handled or stored;</w:t>
      </w:r>
    </w:p>
    <w:p>
      <w:pPr>
        <w:spacing w:before="122" w:after="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 the name of the carcinogen;</w:t>
      </w:r>
    </w:p>
    <w:p>
      <w:pPr>
        <w:spacing w:before="124" w:after="0" w:line="274"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 the quantity of the carcinogen to be used, handled or stored at the workplace each year;</w:t>
      </w:r>
    </w:p>
    <w:p>
      <w:pPr>
        <w:spacing w:before="124" w:after="0" w:line="274"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 the purpose and activity for which the carcinogen will be used, handled or stored;</w:t>
      </w:r>
    </w:p>
    <w:p>
      <w:pPr>
        <w:spacing w:before="126" w:after="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 the number of workers that may be exposed to the carcinogen;</w:t>
      </w:r>
    </w:p>
    <w:p>
      <w:pPr>
        <w:spacing w:before="118"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 information about how the person will manage risks to health and safety, including a summary of the steps taken, or to be taken, by the person in relation to the following:</w:t>
      </w:r>
    </w:p>
    <w:p>
      <w:pPr>
        <w:numPr>
          <w:ilvl w:val="0"/>
          <w:numId w:val="655"/>
        </w:numPr>
        <w:tabs>
          <w:tab w:val="clear" w:pos="504"/>
          <w:tab w:val="left" w:pos="2376"/>
        </w:tabs>
        <w:spacing w:before="126" w:after="0" w:line="272" w:lineRule="exact"/>
        <w:ind w:right="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hazard identification;</w:t>
      </w:r>
    </w:p>
    <w:p>
      <w:pPr>
        <w:numPr>
          <w:ilvl w:val="0"/>
          <w:numId w:val="655"/>
        </w:numPr>
        <w:tabs>
          <w:tab w:val="clear" w:pos="504"/>
          <w:tab w:val="left" w:pos="2376"/>
        </w:tabs>
        <w:spacing w:before="122" w:after="0" w:line="272" w:lineRule="exact"/>
        <w:ind w:right="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control measures;</w:t>
      </w:r>
    </w:p>
    <w:p>
      <w:pPr>
        <w:numPr>
          <w:ilvl w:val="0"/>
          <w:numId w:val="655"/>
        </w:numPr>
        <w:tabs>
          <w:tab w:val="clear" w:pos="504"/>
          <w:tab w:val="left" w:pos="2376"/>
        </w:tabs>
        <w:spacing w:before="122" w:after="0" w:line="276" w:lineRule="exact"/>
        <w:ind w:right="504"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elimination or substitution of the carcinogen is not reasonably practicable—why the elimination or substitution is not reasonably practicable;</w:t>
      </w:r>
    </w:p>
    <w:p>
      <w:pPr>
        <w:spacing w:before="122" w:after="1138"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(j) any other information requested by the regulator.</w:t>
      </w:r>
    </w:p>
    <w:p>
      <w:pPr>
        <w:spacing w:before="122" w:after="1138" w:line="272"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266</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spacing w:before="245" w:after="0" w:line="279" w:lineRule="exact"/>
        <w:ind w:right="504" w:left="288" w:firstLine="0"/>
        <w:jc w:val="left"/>
        <w:textAlignment w:val="baseline"/>
        <w:rPr>
          <w:rFonts w:ascii="Times New Roman" w:hAnsi="Times New Roman" w:eastAsia="Times New Roman"/>
          <w:b w:val="true"/>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4"/>
          <w:vertAlign w:val="baseline"/>
          <w:lang w:val="en-US"/>
        </w:rPr>
        <w:t xml:space="preserve">384 Authorisation to use, handle or store prohibited carcinogens and restricted carcinogens</w:t>
      </w:r>
    </w:p>
    <w:p>
      <w:pPr>
        <w:numPr>
          <w:ilvl w:val="0"/>
          <w:numId w:val="656"/>
        </w:numPr>
        <w:tabs>
          <w:tab w:val="clear" w:pos="360"/>
          <w:tab w:val="left" w:pos="1368"/>
        </w:tabs>
        <w:spacing w:before="117"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a person applies under regulation 383, the regulator may grant an authorisation to use, handle or store a prohibited carcinogen or restricted carcinogen under this regulation.</w:t>
      </w:r>
    </w:p>
    <w:p>
      <w:pPr>
        <w:numPr>
          <w:ilvl w:val="0"/>
          <w:numId w:val="656"/>
        </w:numPr>
        <w:tabs>
          <w:tab w:val="clear" w:pos="360"/>
          <w:tab w:val="left" w:pos="1368"/>
        </w:tabs>
        <w:spacing w:before="124" w:after="0" w:line="275"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may authorise the person to use, handle or store a prohibited carcinogen referred to in an item in Schedule 10, table 10.1 at the workplace only if the carcinogen will be used, handled or stored only for genuine research or analysis.</w:t>
      </w:r>
    </w:p>
    <w:p>
      <w:pPr>
        <w:numPr>
          <w:ilvl w:val="0"/>
          <w:numId w:val="656"/>
        </w:numPr>
        <w:tabs>
          <w:tab w:val="clear" w:pos="360"/>
          <w:tab w:val="left" w:pos="1368"/>
        </w:tabs>
        <w:spacing w:before="124" w:after="0" w:line="275"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may authorise the person to use, handle or store a restricted carcinogen referred to in an item in Schedule 10, table 10.2 at the workplace only if the carcinogen will be used, handled or stored only for a use referred to in column 3 for the item.</w:t>
      </w:r>
    </w:p>
    <w:p>
      <w:pPr>
        <w:numPr>
          <w:ilvl w:val="0"/>
          <w:numId w:val="656"/>
        </w:numPr>
        <w:tabs>
          <w:tab w:val="clear" w:pos="360"/>
          <w:tab w:val="left" w:pos="1368"/>
        </w:tabs>
        <w:spacing w:before="118"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may impose any conditions on the authorisation that the regulator considers necessary to achieve the objectives of the Act or these Regulations.</w:t>
      </w:r>
    </w:p>
    <w:p>
      <w:pPr>
        <w:numPr>
          <w:ilvl w:val="0"/>
          <w:numId w:val="656"/>
        </w:numPr>
        <w:tabs>
          <w:tab w:val="clear" w:pos="360"/>
          <w:tab w:val="left" w:pos="1368"/>
        </w:tabs>
        <w:spacing w:before="124" w:after="0" w:line="274"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must refuse to authorise the use, handling or storage of the carcinogen for a use not referred to in this regulation.</w:t>
      </w:r>
    </w:p>
    <w:p>
      <w:pPr>
        <w:spacing w:before="129"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8"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decision to refuse an authorisation is a reviewable decision (see regulation 676).</w:t>
      </w:r>
    </w:p>
    <w:p>
      <w:pPr>
        <w:spacing w:before="119" w:after="0" w:line="273"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385 Changes to information in application to be reported</w:t>
      </w:r>
    </w:p>
    <w:p>
      <w:pPr>
        <w:spacing w:before="118" w:after="0" w:line="276"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1" w:after="0" w:line="273"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386 Regulator may cancel authorisation</w:t>
      </w:r>
    </w:p>
    <w:p>
      <w:pPr>
        <w:spacing w:before="122" w:after="0" w:line="276" w:lineRule="exact"/>
        <w:ind w:right="216"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may cancel an authorisation to use, handle or store a prohibited carcinogen or restricted carcinogen given under regulation 384 if satisfied that:</w:t>
      </w:r>
    </w:p>
    <w:p>
      <w:pPr>
        <w:spacing w:before="116" w:after="1459" w:line="278"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the person granted the authorisation has not complied with a condition on the authorisation; or</w:t>
      </w:r>
    </w:p>
    <w:p>
      <w:pPr>
        <w:spacing w:before="116" w:after="1459"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267</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spacing w:before="248"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(b) the risk to the health or safety of a worker that may be affected by using, handling or storing the carcinogen has changed since the authorisation was granted.</w:t>
      </w:r>
    </w:p>
    <w:p>
      <w:pPr>
        <w:spacing w:before="124"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8"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decision to cancel an authorisation is a reviewable decision (see regulation 676).</w:t>
      </w:r>
    </w:p>
    <w:p>
      <w:pPr>
        <w:spacing w:before="0" w:after="0" w:line="395" w:lineRule="exact"/>
        <w:ind w:right="0" w:left="1008" w:hanging="72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387 Statement of exposure to be given to workers</w:t>
        <w:br/>
      </w:r>
      <w:r>
        <w:rPr>
          <w:rFonts w:ascii="Times New Roman" w:hAnsi="Times New Roman" w:eastAsia="Times New Roman"/>
          <w:color w:val="000000"/>
          <w:spacing w:val="0"/>
          <w:w w:val="100"/>
          <w:sz w:val="24"/>
          <w:vertAlign w:val="baseline"/>
          <w:lang w:val="en-US"/>
        </w:rPr>
        <w:t xml:space="preserve">(1) This regulation applies if:</w:t>
      </w:r>
    </w:p>
    <w:p>
      <w:pPr>
        <w:numPr>
          <w:ilvl w:val="0"/>
          <w:numId w:val="657"/>
        </w:numPr>
        <w:tabs>
          <w:tab w:val="clear" w:pos="360"/>
          <w:tab w:val="left" w:pos="1872"/>
        </w:tabs>
        <w:spacing w:before="120" w:after="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is authorised under regulation 384 to use, handle or store a prohibited carcinogen or restricted carcinogen at the workplace; and</w:t>
      </w:r>
    </w:p>
    <w:p>
      <w:pPr>
        <w:numPr>
          <w:ilvl w:val="0"/>
          <w:numId w:val="657"/>
        </w:numPr>
        <w:tabs>
          <w:tab w:val="clear" w:pos="360"/>
          <w:tab w:val="left" w:pos="1872"/>
        </w:tabs>
        <w:spacing w:before="116" w:after="0" w:line="278"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worker uses, handles or stores the prohibited carcinogen or restricted carcinogen at the workplace.</w:t>
      </w:r>
    </w:p>
    <w:p>
      <w:pPr>
        <w:spacing w:before="116" w:after="0" w:line="278" w:lineRule="exact"/>
        <w:ind w:right="504"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(2) The person must give to the worker, at the end of the worker's engagement by the person, a written statement of the following:</w:t>
      </w:r>
    </w:p>
    <w:p>
      <w:pPr>
        <w:numPr>
          <w:ilvl w:val="0"/>
          <w:numId w:val="658"/>
        </w:numPr>
        <w:tabs>
          <w:tab w:val="clear" w:pos="360"/>
          <w:tab w:val="left" w:pos="1872"/>
        </w:tabs>
        <w:spacing w:before="116" w:after="0" w:line="278" w:lineRule="exact"/>
        <w:ind w:right="360" w:left="1872"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the name of the prohibited or restricted carcinogen to which the worker may have been exposed during the engagement;</w:t>
      </w:r>
    </w:p>
    <w:p>
      <w:pPr>
        <w:numPr>
          <w:ilvl w:val="0"/>
          <w:numId w:val="658"/>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time the worker may have been exposed;</w:t>
      </w:r>
    </w:p>
    <w:p>
      <w:pPr>
        <w:numPr>
          <w:ilvl w:val="0"/>
          <w:numId w:val="658"/>
        </w:numPr>
        <w:tabs>
          <w:tab w:val="clear" w:pos="360"/>
          <w:tab w:val="left" w:pos="1872"/>
        </w:tabs>
        <w:spacing w:before="124" w:after="0" w:line="274"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how and where the worker may obtain records of the possible exposure;</w:t>
      </w:r>
    </w:p>
    <w:p>
      <w:pPr>
        <w:numPr>
          <w:ilvl w:val="0"/>
          <w:numId w:val="658"/>
        </w:numPr>
        <w:tabs>
          <w:tab w:val="clear" w:pos="360"/>
          <w:tab w:val="left" w:pos="1872"/>
        </w:tabs>
        <w:spacing w:before="124" w:after="0" w:line="274" w:lineRule="exact"/>
        <w:ind w:right="1152" w:left="1872"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whether the worker should undertake regular health</w:t>
        <w:br/>
      </w:r>
      <w:r>
        <w:rPr>
          <w:rFonts w:ascii="Times New Roman" w:hAnsi="Times New Roman" w:eastAsia="Times New Roman"/>
          <w:color w:val="000000"/>
          <w:spacing w:val="-1"/>
          <w:w w:val="100"/>
          <w:sz w:val="24"/>
          <w:vertAlign w:val="baseline"/>
          <w:lang w:val="en-US"/>
        </w:rPr>
        <w:t xml:space="preserve">assessments, and the relevant tests to undertake.</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1" w:after="0" w:line="274" w:lineRule="exact"/>
        <w:ind w:right="0" w:left="288" w:firstLine="0"/>
        <w:jc w:val="left"/>
        <w:textAlignment w:val="baseline"/>
        <w:rPr>
          <w:rFonts w:ascii="Times New Roman" w:hAnsi="Times New Roman" w:eastAsia="Times New Roman"/>
          <w:b w:val="true"/>
          <w:color w:val="000000"/>
          <w:spacing w:val="6"/>
          <w:w w:val="100"/>
          <w:sz w:val="24"/>
          <w:vertAlign w:val="baseline"/>
          <w:lang w:val="en-US"/>
        </w:rPr>
      </w:pPr>
      <w:r>
        <w:rPr>
          <w:rFonts w:ascii="Times New Roman" w:hAnsi="Times New Roman" w:eastAsia="Times New Roman"/>
          <w:b w:val="true"/>
          <w:color w:val="000000"/>
          <w:spacing w:val="6"/>
          <w:w w:val="100"/>
          <w:sz w:val="24"/>
          <w:vertAlign w:val="baseline"/>
          <w:lang w:val="en-US"/>
        </w:rPr>
        <w:t xml:space="preserve">388 Records to be kept</w:t>
      </w:r>
    </w:p>
    <w:p>
      <w:pPr>
        <w:numPr>
          <w:ilvl w:val="0"/>
          <w:numId w:val="659"/>
        </w:numPr>
        <w:tabs>
          <w:tab w:val="clear" w:pos="360"/>
          <w:tab w:val="left" w:pos="1368"/>
        </w:tabs>
        <w:spacing w:before="123" w:after="0"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regulation applies if a person conducting a business or undertaking at a workplace is authorised under regulation 384 to use, handle or store a prohibited carcinogen or restricted carcinogen at the workplace.</w:t>
      </w:r>
    </w:p>
    <w:p>
      <w:pPr>
        <w:numPr>
          <w:ilvl w:val="0"/>
          <w:numId w:val="659"/>
        </w:numPr>
        <w:tabs>
          <w:tab w:val="clear" w:pos="360"/>
          <w:tab w:val="left" w:pos="1368"/>
        </w:tabs>
        <w:spacing w:before="125" w:after="0" w:line="273"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w:t>
      </w:r>
    </w:p>
    <w:p>
      <w:pPr>
        <w:spacing w:before="118" w:after="1377"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record the full name, date of birth and address of each worker likely to be exposed to the prohibited carcinogen or restricted carcinogen during the period of authorisation; and</w:t>
      </w:r>
    </w:p>
    <w:p>
      <w:pPr>
        <w:spacing w:before="118" w:after="1377"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268</w:t>
      </w:r>
    </w:p>
    <w:p>
      <w:pPr>
        <w:sectPr>
          <w:type w:val="continuous"/>
          <w:pgSz w:w="11909" w:h="16838" w:orient="portrait"/>
          <w:pgMar w:bottom="1082" w:top="1140" w:right="5814" w:left="1975" w:header="720" w:footer="720"/>
          <w:titlePg w:val="false"/>
          <w:textDirection w:val="lrTb"/>
        </w:sectPr>
      </w:pPr>
    </w:p>
    <w:p>
      <w:pPr>
        <w:spacing w:before="6"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5" w:after="226"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spacing w:before="246" w:after="0" w:line="279" w:lineRule="exact"/>
        <w:ind w:right="864" w:left="1872" w:hanging="360"/>
        <w:jc w:val="left"/>
        <w:textAlignment w:val="baseline"/>
        <w:rPr>
          <w:rFonts w:ascii="Times New Roman" w:hAnsi="Times New Roman" w:eastAsia="Times New Roman"/>
          <w:color w:val="000000"/>
          <w:spacing w:val="-1"/>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1"/>
          <w:w w:val="100"/>
          <w:sz w:val="24"/>
          <w:vertAlign w:val="baseline"/>
          <w:lang w:val="en-US"/>
        </w:rPr>
        <w:t xml:space="preserve">(b) keep a copy of each authorisation given to the person including any conditions imposed on the authorisation.</w:t>
      </w:r>
    </w:p>
    <w:p>
      <w:pPr>
        <w:spacing w:before="119"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19"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6" w:after="0" w:line="273" w:lineRule="exact"/>
        <w:ind w:right="129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person must keep the records for 30 years after the authorisation ends.</w:t>
      </w:r>
    </w:p>
    <w:p>
      <w:pPr>
        <w:spacing w:before="125"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19"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5"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tabs>
          <w:tab w:val="left" w:leader="none" w:pos="1584"/>
        </w:tabs>
        <w:spacing w:before="244" w:after="0" w:line="273" w:lineRule="exact"/>
        <w:ind w:right="0" w:left="0" w:firstLine="0"/>
        <w:jc w:val="left"/>
        <w:textAlignment w:val="baseline"/>
        <w:rPr>
          <w:rFonts w:ascii="Times New Roman" w:hAnsi="Times New Roman" w:eastAsia="Times New Roman"/>
          <w:b w:val="true"/>
          <w:color w:val="000000"/>
          <w:spacing w:val="-1"/>
          <w:w w:val="100"/>
          <w:sz w:val="24"/>
          <w:vertAlign w:val="baseline"/>
          <w:lang w:val="en-US"/>
        </w:rPr>
      </w:pPr>
      <w:r>
        <w:rPr>
          <w:rFonts w:ascii="Times New Roman" w:hAnsi="Times New Roman" w:eastAsia="Times New Roman"/>
          <w:b w:val="true"/>
          <w:color w:val="000000"/>
          <w:spacing w:val="-1"/>
          <w:w w:val="100"/>
          <w:sz w:val="24"/>
          <w:vertAlign w:val="baseline"/>
          <w:lang w:val="en-US"/>
        </w:rPr>
        <w:t xml:space="preserve">Division 9	</w:t>
      </w:r>
      <w:r>
        <w:rPr>
          <w:rFonts w:ascii="Times New Roman" w:hAnsi="Times New Roman" w:eastAsia="Times New Roman"/>
          <w:b w:val="true"/>
          <w:color w:val="000000"/>
          <w:spacing w:val="-1"/>
          <w:w w:val="100"/>
          <w:sz w:val="24"/>
          <w:vertAlign w:val="baseline"/>
          <w:lang w:val="en-US"/>
        </w:rPr>
        <w:t xml:space="preserve">Pipelines</w:t>
      </w:r>
    </w:p>
    <w:p>
      <w:pPr>
        <w:spacing w:before="119"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6"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21" w:after="0" w:line="273"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389 Management of risk by pipeline owner</w:t>
      </w:r>
    </w:p>
    <w:p>
      <w:pPr>
        <w:numPr>
          <w:ilvl w:val="0"/>
          <w:numId w:val="660"/>
        </w:numPr>
        <w:tabs>
          <w:tab w:val="clear" w:pos="360"/>
          <w:tab w:val="left" w:pos="1368"/>
        </w:tabs>
        <w:spacing w:before="123"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owner of a pipeline used to transfer hazardous chemicals must manage risks associated with the transfer of the hazardous chemicals through that pipeline.</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8"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Example</w:t>
      </w:r>
    </w:p>
    <w:p>
      <w:pPr>
        <w:spacing w:before="121" w:after="0" w:line="230" w:lineRule="exact"/>
        <w:ind w:right="792"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Risks associated with the testing, installation, commissioning, operation, maintenance and decommissioning of the pipeline.</w:t>
      </w:r>
    </w:p>
    <w:p>
      <w:pPr>
        <w:numPr>
          <w:ilvl w:val="0"/>
          <w:numId w:val="660"/>
        </w:numPr>
        <w:tabs>
          <w:tab w:val="clear" w:pos="360"/>
          <w:tab w:val="left" w:pos="1368"/>
        </w:tabs>
        <w:spacing w:before="119" w:after="0" w:line="276" w:lineRule="exact"/>
        <w:ind w:right="72"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The owner of a pipeline used to transfer hazardous chemicals must ensure, so far as is reasonably practicable, that an activity, structure, equipment or substance that is not part of the pipeline does not affect the hazardous chemicals or the pipeline in a way that increases risk.</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0" w:after="0" w:line="273"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390 Pipeline builder's duties</w:t>
      </w:r>
    </w:p>
    <w:p>
      <w:pPr>
        <w:spacing w:before="125" w:after="795" w:line="274"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(1) This regulation applies to a person who intends to build a pipeline that will:</w:t>
      </w:r>
    </w:p>
    <w:p>
      <w:pPr>
        <w:spacing w:before="125" w:after="795"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269</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numPr>
          <w:ilvl w:val="0"/>
          <w:numId w:val="661"/>
        </w:numPr>
        <w:tabs>
          <w:tab w:val="clear" w:pos="360"/>
          <w:tab w:val="left" w:pos="1872"/>
        </w:tabs>
        <w:spacing w:before="25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cross into a public place; and</w:t>
      </w:r>
    </w:p>
    <w:p>
      <w:pPr>
        <w:numPr>
          <w:ilvl w:val="0"/>
          <w:numId w:val="661"/>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be used to transfer a Schedule 11 hazardous chemical.</w:t>
      </w:r>
    </w:p>
    <w:p>
      <w:pPr>
        <w:spacing w:before="114" w:after="0" w:line="279" w:lineRule="exact"/>
        <w:ind w:right="50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person must ensure that, before the building of the pipeline commences, the regulator is given the following information:</w:t>
      </w:r>
    </w:p>
    <w:p>
      <w:pPr>
        <w:numPr>
          <w:ilvl w:val="0"/>
          <w:numId w:val="662"/>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of the pipeline's intended owner and operator;</w:t>
      </w:r>
    </w:p>
    <w:p>
      <w:pPr>
        <w:numPr>
          <w:ilvl w:val="0"/>
          <w:numId w:val="662"/>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pipeline's specifications;</w:t>
      </w:r>
    </w:p>
    <w:p>
      <w:pPr>
        <w:numPr>
          <w:ilvl w:val="0"/>
          <w:numId w:val="662"/>
        </w:numPr>
        <w:tabs>
          <w:tab w:val="clear" w:pos="360"/>
          <w:tab w:val="left" w:pos="1872"/>
        </w:tabs>
        <w:spacing w:before="114" w:after="0" w:line="279" w:lineRule="exact"/>
        <w:ind w:right="72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intended procedures for the operation, maintenance, renewal and relaying of the pipeline;</w:t>
      </w:r>
    </w:p>
    <w:p>
      <w:pPr>
        <w:numPr>
          <w:ilvl w:val="0"/>
          <w:numId w:val="662"/>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public place that the pipeline will cross;</w:t>
      </w:r>
    </w:p>
    <w:p>
      <w:pPr>
        <w:numPr>
          <w:ilvl w:val="0"/>
          <w:numId w:val="662"/>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intended emergency response procedures.</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16" w:after="0" w:line="278"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person must ensure that the regulator is given the information in the following circumstances:</w:t>
      </w:r>
    </w:p>
    <w:p>
      <w:pPr>
        <w:numPr>
          <w:ilvl w:val="0"/>
          <w:numId w:val="663"/>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before the pipeline is commissioned;</w:t>
      </w:r>
    </w:p>
    <w:p>
      <w:pPr>
        <w:numPr>
          <w:ilvl w:val="0"/>
          <w:numId w:val="663"/>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before the pipeline is likely to contain a hazardous chemical;</w:t>
      </w:r>
    </w:p>
    <w:p>
      <w:pPr>
        <w:numPr>
          <w:ilvl w:val="0"/>
          <w:numId w:val="663"/>
        </w:numPr>
        <w:tabs>
          <w:tab w:val="clear" w:pos="360"/>
          <w:tab w:val="left" w:pos="1872"/>
        </w:tabs>
        <w:spacing w:before="116" w:after="0" w:line="278" w:lineRule="exact"/>
        <w:ind w:right="1080" w:left="1872"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if there is any change in the information given under subregulation (2)—when the information changes;</w:t>
      </w:r>
    </w:p>
    <w:p>
      <w:pPr>
        <w:numPr>
          <w:ilvl w:val="0"/>
          <w:numId w:val="663"/>
        </w:numPr>
        <w:tabs>
          <w:tab w:val="clear" w:pos="360"/>
          <w:tab w:val="left" w:pos="1872"/>
        </w:tabs>
        <w:spacing w:before="116" w:after="0" w:line="278"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part of the pipeline is to be repaired—before the pipeline is repaired;</w:t>
      </w:r>
    </w:p>
    <w:p>
      <w:pPr>
        <w:numPr>
          <w:ilvl w:val="0"/>
          <w:numId w:val="663"/>
        </w:numPr>
        <w:tabs>
          <w:tab w:val="clear" w:pos="360"/>
          <w:tab w:val="left" w:pos="1872"/>
        </w:tabs>
        <w:spacing w:before="118" w:after="0" w:line="276"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part of the pipeline is removed, decommissioned, closed or abandoned—when the removal, decommissioning, closure or abandonment occurs.</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tabs>
          <w:tab w:val="left" w:leader="none" w:pos="864"/>
        </w:tabs>
        <w:spacing w:before="121"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391	</w:t>
      </w:r>
      <w:r>
        <w:rPr>
          <w:rFonts w:ascii="Times New Roman" w:hAnsi="Times New Roman" w:eastAsia="Times New Roman"/>
          <w:b w:val="true"/>
          <w:color w:val="000000"/>
          <w:spacing w:val="0"/>
          <w:w w:val="100"/>
          <w:sz w:val="24"/>
          <w:vertAlign w:val="baseline"/>
          <w:lang w:val="en-US"/>
        </w:rPr>
        <w:t xml:space="preserve">Management of risks to health and safety by pipeline operator</w:t>
      </w:r>
    </w:p>
    <w:p>
      <w:pPr>
        <w:spacing w:before="121"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at a workplace who is the operator of a pipeline (the </w:t>
      </w:r>
      <w:r>
        <w:rPr>
          <w:rFonts w:ascii="Times New Roman" w:hAnsi="Times New Roman" w:eastAsia="Times New Roman"/>
          <w:b w:val="true"/>
          <w:i w:val="true"/>
          <w:color w:val="000000"/>
          <w:spacing w:val="0"/>
          <w:w w:val="100"/>
          <w:sz w:val="24"/>
          <w:vertAlign w:val="baseline"/>
          <w:lang w:val="en-US"/>
        </w:rPr>
        <w:t xml:space="preserve">operator</w:t>
      </w:r>
      <w:r>
        <w:rPr>
          <w:rFonts w:ascii="Times New Roman" w:hAnsi="Times New Roman" w:eastAsia="Times New Roman"/>
          <w:color w:val="000000"/>
          <w:spacing w:val="0"/>
          <w:w w:val="100"/>
          <w:sz w:val="24"/>
          <w:vertAlign w:val="baseline"/>
          <w:lang w:val="en-US"/>
        </w:rPr>
        <w:t xml:space="preserve">) used to transfer hazardous chemicals must manage, in accordance with Part 3.1, risks to health and safety associated with the transfer of the hazardous chemicals through the pipeline.</w:t>
      </w:r>
    </w:p>
    <w:p>
      <w:pPr>
        <w:spacing w:before="124" w:after="851"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Note</w:t>
      </w:r>
    </w:p>
    <w:p>
      <w:pPr>
        <w:spacing w:before="124" w:after="851" w:line="225"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270</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w:t>
      </w:r>
      <w:r>
        <w:rPr>
          <w:rFonts w:ascii="Times New Roman" w:hAnsi="Times New Roman" w:eastAsia="Times New Roman"/>
          <w:color w:val="000000"/>
          <w:spacing w:val="0"/>
          <w:w w:val="100"/>
          <w:sz w:val="20"/>
          <w:vertAlign w:val="baseline"/>
          <w:lang w:val="en-US"/>
        </w:rPr>
        <w:t xml:space="preserve">Hazardous Chemicals</w:t>
      </w:r>
    </w:p>
    <w:p>
      <w:pPr>
        <w:spacing w:before="255" w:after="0" w:line="228"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WHS Act—section 19 (see regulation 9).</w:t>
      </w:r>
    </w:p>
    <w:p>
      <w:pPr>
        <w:numPr>
          <w:ilvl w:val="0"/>
          <w:numId w:val="664"/>
        </w:numPr>
        <w:tabs>
          <w:tab w:val="clear" w:pos="360"/>
          <w:tab w:val="left" w:pos="1368"/>
        </w:tabs>
        <w:spacing w:before="117" w:after="0" w:line="275"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operator of a pipeline used to transfer a hazardous chemical must ensure, so far as is reasonably practicable, that the hazardous chemical transferred is identified by a label, sign or another way on or near the pipeline.</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6"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664"/>
        </w:numPr>
        <w:tabs>
          <w:tab w:val="clear" w:pos="360"/>
          <w:tab w:val="left" w:pos="1368"/>
        </w:tabs>
        <w:spacing w:before="117" w:after="0" w:line="276"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operator of a pipeline that transfers a Schedule 11 hazardous chemical into a public place must ensure that the regulator is notified of:</w:t>
      </w:r>
    </w:p>
    <w:p>
      <w:pPr>
        <w:numPr>
          <w:ilvl w:val="0"/>
          <w:numId w:val="665"/>
        </w:numPr>
        <w:tabs>
          <w:tab w:val="clear" w:pos="360"/>
          <w:tab w:val="left" w:pos="1872"/>
        </w:tabs>
        <w:spacing w:before="126"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supplier of the hazardous chemical; and</w:t>
      </w:r>
    </w:p>
    <w:p>
      <w:pPr>
        <w:numPr>
          <w:ilvl w:val="0"/>
          <w:numId w:val="665"/>
        </w:numPr>
        <w:tabs>
          <w:tab w:val="clear" w:pos="360"/>
          <w:tab w:val="left" w:pos="1872"/>
        </w:tabs>
        <w:spacing w:before="120"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receiver of the hazardous chemical; and</w:t>
      </w:r>
    </w:p>
    <w:p>
      <w:pPr>
        <w:numPr>
          <w:ilvl w:val="0"/>
          <w:numId w:val="665"/>
        </w:numPr>
        <w:tabs>
          <w:tab w:val="clear" w:pos="360"/>
          <w:tab w:val="left" w:pos="1872"/>
        </w:tabs>
        <w:spacing w:before="126"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correct classification of the hazardous chemical.</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0" w:after="626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333"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1.05pt,0.3pt" style="position:absolute;mso-position-horizontal-relative:text;mso-position-vertical-relative:text;">
            <v:stroke dashstyle="solid"/>
          </v:line>
        </w:pict>
      </w:r>
    </w:p>
    <w:p>
      <w:pPr>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271</w:t>
      </w:r>
    </w:p>
    <w:p>
      <w:pPr>
        <w:sectPr>
          <w:type w:val="continuous"/>
          <w:pgSz w:w="11909" w:h="16838" w:orient="portrait"/>
          <w:pgMar w:bottom="1082" w:top="1140" w:right="5819" w:left="1970" w:header="720" w:footer="720"/>
          <w:titlePg w:val="false"/>
          <w:textDirection w:val="lrTb"/>
        </w:sectPr>
      </w:pPr>
    </w:p>
    <w:p>
      <w:pPr>
        <w:spacing w:before="6"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5" w:after="226"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7.2	</w:t>
      </w:r>
      <w:r>
        <w:rPr>
          <w:rFonts w:ascii="Times New Roman" w:hAnsi="Times New Roman" w:eastAsia="Times New Roman"/>
          <w:color w:val="000000"/>
          <w:spacing w:val="0"/>
          <w:w w:val="100"/>
          <w:sz w:val="20"/>
          <w:vertAlign w:val="baseline"/>
          <w:lang w:val="en-US"/>
        </w:rPr>
        <w:t xml:space="preserve">Lead</w:t>
      </w:r>
    </w:p>
    <w:p>
      <w:pPr>
        <w:spacing w:before="258" w:after="0" w:line="316" w:lineRule="exact"/>
        <w:ind w:right="0" w:left="0" w:firstLine="0"/>
        <w:jc w:val="left"/>
        <w:textAlignment w:val="baseline"/>
        <w:rPr>
          <w:rFonts w:ascii="Times New Roman" w:hAnsi="Times New Roman" w:eastAsia="Times New Roman"/>
          <w:b w:val="true"/>
          <w:color w:val="000000"/>
          <w:spacing w:val="17"/>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17"/>
          <w:w w:val="100"/>
          <w:sz w:val="28"/>
          <w:vertAlign w:val="baseline"/>
          <w:lang w:val="en-US"/>
        </w:rPr>
        <w:t xml:space="preserve">Part 7.2 Lead</w:t>
      </w:r>
    </w:p>
    <w:p>
      <w:pPr>
        <w:spacing w:before="122"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2" w:after="0" w:line="230" w:lineRule="exact"/>
        <w:ind w:right="216"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In workplaces where lead processes are carried out, this Part applies in addition to Part 7.1.</w:t>
      </w:r>
    </w:p>
    <w:p>
      <w:pPr>
        <w:tabs>
          <w:tab w:val="left" w:leader="none" w:pos="1584"/>
        </w:tabs>
        <w:spacing w:before="246" w:after="0" w:line="274" w:lineRule="exact"/>
        <w:ind w:right="0" w:left="0" w:firstLine="0"/>
        <w:jc w:val="left"/>
        <w:textAlignment w:val="baseline"/>
        <w:rPr>
          <w:rFonts w:ascii="Times New Roman" w:hAnsi="Times New Roman" w:eastAsia="Times New Roman"/>
          <w:b w:val="true"/>
          <w:color w:val="000000"/>
          <w:spacing w:val="-1"/>
          <w:w w:val="100"/>
          <w:sz w:val="24"/>
          <w:vertAlign w:val="baseline"/>
          <w:lang w:val="en-US"/>
        </w:rPr>
      </w:pPr>
      <w:r>
        <w:rPr>
          <w:rFonts w:ascii="Times New Roman" w:hAnsi="Times New Roman" w:eastAsia="Times New Roman"/>
          <w:b w:val="true"/>
          <w:color w:val="000000"/>
          <w:spacing w:val="-1"/>
          <w:w w:val="100"/>
          <w:sz w:val="24"/>
          <w:vertAlign w:val="baseline"/>
          <w:lang w:val="en-US"/>
        </w:rPr>
        <w:t xml:space="preserve">Division 1	</w:t>
      </w:r>
      <w:r>
        <w:rPr>
          <w:rFonts w:ascii="Times New Roman" w:hAnsi="Times New Roman" w:eastAsia="Times New Roman"/>
          <w:b w:val="true"/>
          <w:color w:val="000000"/>
          <w:spacing w:val="-1"/>
          <w:w w:val="100"/>
          <w:sz w:val="24"/>
          <w:vertAlign w:val="baseline"/>
          <w:lang w:val="en-US"/>
        </w:rPr>
        <w:t xml:space="preserve">Lead process</w:t>
      </w:r>
    </w:p>
    <w:p>
      <w:pPr>
        <w:tabs>
          <w:tab w:val="left" w:leader="none" w:pos="864"/>
        </w:tabs>
        <w:spacing w:before="115"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392	</w:t>
      </w:r>
      <w:r>
        <w:rPr>
          <w:rFonts w:ascii="Times New Roman" w:hAnsi="Times New Roman" w:eastAsia="Times New Roman"/>
          <w:b w:val="true"/>
          <w:color w:val="000000"/>
          <w:spacing w:val="0"/>
          <w:w w:val="100"/>
          <w:sz w:val="24"/>
          <w:vertAlign w:val="baseline"/>
          <w:lang w:val="en-US"/>
        </w:rPr>
        <w:t xml:space="preserve">Meaning of </w:t>
      </w:r>
      <w:r>
        <w:rPr>
          <w:rFonts w:ascii="Times New Roman" w:hAnsi="Times New Roman" w:eastAsia="Times New Roman"/>
          <w:b w:val="true"/>
          <w:i w:val="true"/>
          <w:color w:val="000000"/>
          <w:spacing w:val="0"/>
          <w:w w:val="100"/>
          <w:sz w:val="24"/>
          <w:vertAlign w:val="baseline"/>
          <w:lang w:val="en-US"/>
        </w:rPr>
        <w:t xml:space="preserve">lead process</w:t>
      </w:r>
    </w:p>
    <w:p>
      <w:pPr>
        <w:spacing w:before="121" w:after="0" w:line="274" w:lineRule="exact"/>
        <w:ind w:right="216"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this Part, a </w:t>
      </w:r>
      <w:r>
        <w:rPr>
          <w:rFonts w:ascii="Times New Roman" w:hAnsi="Times New Roman" w:eastAsia="Times New Roman"/>
          <w:b w:val="true"/>
          <w:i w:val="true"/>
          <w:color w:val="000000"/>
          <w:spacing w:val="0"/>
          <w:w w:val="100"/>
          <w:sz w:val="24"/>
          <w:vertAlign w:val="baseline"/>
          <w:lang w:val="en-US"/>
        </w:rPr>
        <w:t xml:space="preserve">lead process </w:t>
      </w:r>
      <w:r>
        <w:rPr>
          <w:rFonts w:ascii="Times New Roman" w:hAnsi="Times New Roman" w:eastAsia="Times New Roman"/>
          <w:color w:val="000000"/>
          <w:spacing w:val="0"/>
          <w:w w:val="100"/>
          <w:sz w:val="24"/>
          <w:vertAlign w:val="baseline"/>
          <w:lang w:val="en-US"/>
        </w:rPr>
        <w:t xml:space="preserve">consists of any of the following carried out at a workplace:</w:t>
      </w:r>
    </w:p>
    <w:p>
      <w:pPr>
        <w:numPr>
          <w:ilvl w:val="0"/>
          <w:numId w:val="666"/>
        </w:numPr>
        <w:tabs>
          <w:tab w:val="clear" w:pos="288"/>
          <w:tab w:val="left" w:pos="1872"/>
        </w:tabs>
        <w:spacing w:before="124" w:after="0" w:line="274" w:lineRule="exact"/>
        <w:ind w:right="216"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work that exposes a person to lead dust or lead fumes arising from the manufacture or handling of dry lead compounds;</w:t>
      </w:r>
    </w:p>
    <w:p>
      <w:pPr>
        <w:numPr>
          <w:ilvl w:val="0"/>
          <w:numId w:val="666"/>
        </w:numPr>
        <w:tabs>
          <w:tab w:val="clear" w:pos="288"/>
          <w:tab w:val="left" w:pos="1872"/>
        </w:tabs>
        <w:spacing w:before="124" w:after="0" w:line="275" w:lineRule="exact"/>
        <w:ind w:right="144"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work in connection with the manufacture, assembly, handling or repair of, or parts of, batteries containing lead that involves the manipulation of dry lead compounds, or pasting or casting lead;</w:t>
      </w:r>
    </w:p>
    <w:p>
      <w:pPr>
        <w:numPr>
          <w:ilvl w:val="0"/>
          <w:numId w:val="666"/>
        </w:numPr>
        <w:tabs>
          <w:tab w:val="clear" w:pos="288"/>
          <w:tab w:val="left" w:pos="1872"/>
        </w:tabs>
        <w:spacing w:before="122" w:after="0" w:line="276" w:lineRule="exact"/>
        <w:ind w:right="216" w:left="1872" w:hanging="288"/>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breaking up or dismantling batteries containing lead, or sorting, packing and handling plates or other parts containing lead that are removed or recovered from the batteries;</w:t>
      </w:r>
    </w:p>
    <w:p>
      <w:pPr>
        <w:numPr>
          <w:ilvl w:val="0"/>
          <w:numId w:val="666"/>
        </w:numPr>
        <w:tabs>
          <w:tab w:val="clear" w:pos="288"/>
          <w:tab w:val="left" w:pos="1872"/>
        </w:tabs>
        <w:spacing w:before="116" w:after="0" w:line="278" w:lineRule="exact"/>
        <w:ind w:right="144"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spraying molten lead metal or alloys containing more than 5% by weight of lead metal;</w:t>
      </w:r>
    </w:p>
    <w:p>
      <w:pPr>
        <w:numPr>
          <w:ilvl w:val="0"/>
          <w:numId w:val="666"/>
        </w:numPr>
        <w:tabs>
          <w:tab w:val="clear" w:pos="288"/>
          <w:tab w:val="left" w:pos="1872"/>
        </w:tabs>
        <w:spacing w:before="120" w:after="0" w:line="278" w:lineRule="exact"/>
        <w:ind w:right="288"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melting or casting lead alloys containing more than 5% by weight of lead metal in which the temperature of the molten material exceeds 450</w:t>
      </w:r>
      <w:r>
        <w:rPr>
          <w:rFonts w:ascii="Arial" w:hAnsi="Arial" w:eastAsia="Arial"/>
          <w:i w:val="true"/>
          <w:color w:val="000000"/>
          <w:spacing w:val="0"/>
          <w:w w:val="100"/>
          <w:sz w:val="25"/>
          <w:vertAlign w:val="baseline"/>
          <w:lang w:val="en-US"/>
        </w:rPr>
        <w:t xml:space="preserve">°</w:t>
      </w:r>
      <w:r>
        <w:rPr>
          <w:rFonts w:ascii="Times New Roman" w:hAnsi="Times New Roman" w:eastAsia="Times New Roman"/>
          <w:color w:val="000000"/>
          <w:spacing w:val="0"/>
          <w:w w:val="100"/>
          <w:sz w:val="24"/>
          <w:vertAlign w:val="baseline"/>
          <w:lang w:val="en-US"/>
        </w:rPr>
        <w:t xml:space="preserve">C;</w:t>
      </w:r>
    </w:p>
    <w:p>
      <w:pPr>
        <w:numPr>
          <w:ilvl w:val="0"/>
          <w:numId w:val="666"/>
        </w:numPr>
        <w:tabs>
          <w:tab w:val="clear" w:pos="288"/>
          <w:tab w:val="left" w:pos="1872"/>
        </w:tabs>
        <w:spacing w:before="111" w:after="0" w:line="279" w:lineRule="exact"/>
        <w:ind w:right="288"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recovering lead from its ores, oxides or other compounds by thermal reduction process;</w:t>
      </w:r>
    </w:p>
    <w:p>
      <w:pPr>
        <w:numPr>
          <w:ilvl w:val="0"/>
          <w:numId w:val="666"/>
        </w:numPr>
        <w:tabs>
          <w:tab w:val="clear" w:pos="288"/>
          <w:tab w:val="left" w:pos="1872"/>
        </w:tabs>
        <w:spacing w:before="119" w:after="0" w:line="274" w:lineRule="exact"/>
        <w:ind w:right="144" w:left="1872" w:hanging="288"/>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dry machine grinding, discing, buffing or cutting by power tools alloys containing more than 5% by weight of lead metal;</w:t>
      </w:r>
    </w:p>
    <w:p>
      <w:pPr>
        <w:numPr>
          <w:ilvl w:val="0"/>
          <w:numId w:val="666"/>
        </w:numPr>
        <w:tabs>
          <w:tab w:val="clear" w:pos="288"/>
          <w:tab w:val="left" w:pos="1872"/>
        </w:tabs>
        <w:spacing w:before="124" w:after="0" w:line="274" w:lineRule="exact"/>
        <w:ind w:right="864"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machine sanding or buffing surfaces coated with paint containing more than 1% by dry weight of lead;</w:t>
      </w:r>
    </w:p>
    <w:p>
      <w:pPr>
        <w:numPr>
          <w:ilvl w:val="0"/>
          <w:numId w:val="666"/>
        </w:numPr>
        <w:tabs>
          <w:tab w:val="clear" w:pos="288"/>
          <w:tab w:val="left" w:pos="1872"/>
        </w:tabs>
        <w:spacing w:before="124" w:after="0" w:line="275"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process by which electric arc, oxyacetylene, oxy gas, plasma arc or a flame is applied for welding, cutting or cleaning, to the surface of metal coated with lead or paint containing more than 1% by dry weight of lead metal;</w:t>
      </w:r>
    </w:p>
    <w:p>
      <w:pPr>
        <w:numPr>
          <w:ilvl w:val="0"/>
          <w:numId w:val="666"/>
        </w:numPr>
        <w:tabs>
          <w:tab w:val="clear" w:pos="288"/>
          <w:tab w:val="left" w:pos="1872"/>
        </w:tabs>
        <w:spacing w:before="124" w:after="0" w:line="274" w:lineRule="exact"/>
        <w:ind w:right="288"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radiator repairs that may cause exposure to lead dust or lead fumes;</w:t>
      </w:r>
    </w:p>
    <w:p>
      <w:pPr>
        <w:numPr>
          <w:ilvl w:val="0"/>
          <w:numId w:val="666"/>
        </w:numPr>
        <w:tabs>
          <w:tab w:val="clear" w:pos="288"/>
          <w:tab w:val="left" w:pos="1872"/>
        </w:tabs>
        <w:spacing w:before="127" w:after="1221" w:line="271"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fire assays if lead, lead compounds or lead alloys are used;</w:t>
      </w:r>
    </w:p>
    <w:p>
      <w:pPr>
        <w:spacing w:before="127" w:after="1221" w:line="271"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272</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36"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36"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7.2	</w:t>
      </w:r>
      <w:r>
        <w:rPr>
          <w:rFonts w:ascii="Times New Roman" w:hAnsi="Times New Roman" w:eastAsia="Times New Roman"/>
          <w:color w:val="000000"/>
          <w:spacing w:val="0"/>
          <w:w w:val="100"/>
          <w:sz w:val="20"/>
          <w:vertAlign w:val="baseline"/>
          <w:lang w:val="en-US"/>
        </w:rPr>
        <w:t xml:space="preserve">Lead</w:t>
      </w:r>
    </w:p>
    <w:p>
      <w:pPr>
        <w:spacing w:before="245" w:after="0" w:line="279"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(l) hand grinding and finishing lead or alloys containing more than 50% by dry weight of lead;</w:t>
      </w:r>
    </w:p>
    <w:p>
      <w:pPr>
        <w:spacing w:before="114" w:after="0" w:line="279" w:lineRule="exact"/>
        <w:ind w:right="3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 spray painting with lead paint containing more than 1% by dry weight of lead;</w:t>
      </w:r>
    </w:p>
    <w:p>
      <w:pPr>
        <w:spacing w:before="117" w:after="0" w:line="277"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(n) melting lead metal or alloys containing more than 50% by weight of lead metal if the exposed surface area of the molten material exceeds 0.1 square metre and the temperature of the molten material does not exceed 450</w:t>
      </w:r>
      <w:r>
        <w:rPr>
          <w:rFonts w:ascii="Arial" w:hAnsi="Arial" w:eastAsia="Arial"/>
          <w:i w:val="true"/>
          <w:color w:val="000000"/>
          <w:spacing w:val="0"/>
          <w:w w:val="100"/>
          <w:sz w:val="25"/>
          <w:vertAlign w:val="baseline"/>
          <w:lang w:val="en-US"/>
        </w:rPr>
        <w:t xml:space="preserve">°</w:t>
      </w:r>
      <w:r>
        <w:rPr>
          <w:rFonts w:ascii="Times New Roman" w:hAnsi="Times New Roman" w:eastAsia="Times New Roman"/>
          <w:color w:val="000000"/>
          <w:spacing w:val="0"/>
          <w:w w:val="100"/>
          <w:sz w:val="24"/>
          <w:vertAlign w:val="baseline"/>
          <w:lang w:val="en-US"/>
        </w:rPr>
        <w:t xml:space="preserve">C;</w:t>
      </w:r>
    </w:p>
    <w:p>
      <w:pPr>
        <w:spacing w:before="115" w:after="0" w:line="277"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(o) using a power tool, including abrasive blasting and high pressure water jets, to remove a surface coated with paint containing more than 1% by dry weight of lead and handling waste containing lead resulting from the removal;</w:t>
      </w:r>
    </w:p>
    <w:p>
      <w:pPr>
        <w:spacing w:before="117" w:after="0" w:line="276"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 a process that exposes a person to lead dust or lead fumes arising from manufacturing or testing detonators or other explosives that contain lead;</w:t>
      </w:r>
    </w:p>
    <w:p>
      <w:pPr>
        <w:spacing w:before="126" w:after="0" w:line="273" w:lineRule="exact"/>
        <w:ind w:right="57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(q) a process that exposes a person to lead dust or lead fumes arising from firing weapons at an indoor firing range;</w:t>
      </w:r>
    </w:p>
    <w:p>
      <w:pPr>
        <w:spacing w:before="126" w:after="0" w:line="273" w:lineRule="exact"/>
        <w:ind w:right="36"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 foundry processes involving:</w:t>
      </w:r>
    </w:p>
    <w:p>
      <w:pPr>
        <w:numPr>
          <w:ilvl w:val="0"/>
          <w:numId w:val="667"/>
        </w:numPr>
        <w:tabs>
          <w:tab w:val="clear" w:pos="360"/>
          <w:tab w:val="left" w:pos="2376"/>
        </w:tabs>
        <w:spacing w:before="117" w:after="0" w:line="278" w:lineRule="exact"/>
        <w:ind w:right="288" w:left="2376"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melting or casting lead alloys containing more than 1% by weight of lead metal in which the temperature of the molten material exceeds 450</w:t>
      </w:r>
      <w:r>
        <w:rPr>
          <w:rFonts w:ascii="Arial" w:hAnsi="Arial" w:eastAsia="Arial"/>
          <w:i w:val="true"/>
          <w:color w:val="000000"/>
          <w:spacing w:val="0"/>
          <w:w w:val="100"/>
          <w:sz w:val="25"/>
          <w:vertAlign w:val="baseline"/>
          <w:lang w:val="en-US"/>
        </w:rPr>
        <w:t xml:space="preserve">°</w:t>
      </w:r>
      <w:r>
        <w:rPr>
          <w:rFonts w:ascii="Times New Roman" w:hAnsi="Times New Roman" w:eastAsia="Times New Roman"/>
          <w:color w:val="000000"/>
          <w:spacing w:val="0"/>
          <w:w w:val="100"/>
          <w:sz w:val="24"/>
          <w:vertAlign w:val="baseline"/>
          <w:lang w:val="en-US"/>
        </w:rPr>
        <w:t xml:space="preserve">C; or</w:t>
      </w:r>
    </w:p>
    <w:p>
      <w:pPr>
        <w:numPr>
          <w:ilvl w:val="0"/>
          <w:numId w:val="667"/>
        </w:numPr>
        <w:tabs>
          <w:tab w:val="clear" w:pos="360"/>
          <w:tab w:val="left" w:pos="2376"/>
        </w:tabs>
        <w:spacing w:before="117" w:after="0" w:line="276" w:lineRule="exact"/>
        <w:ind w:right="576" w:left="2376"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dry machine grinding, discing, buffing or cutting by power tools lead alloys containing more than 1% by weight of lead metal;</w:t>
      </w:r>
    </w:p>
    <w:p>
      <w:pPr>
        <w:spacing w:before="114" w:after="0" w:line="279" w:lineRule="exact"/>
        <w:ind w:right="288"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 a process decided by the regulator to be a lead process under regulation 393.</w:t>
      </w:r>
    </w:p>
    <w:p>
      <w:pPr>
        <w:spacing w:before="120" w:after="0" w:line="274" w:lineRule="exact"/>
        <w:ind w:right="36"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393 Regulator may decide lead process</w:t>
      </w:r>
    </w:p>
    <w:p>
      <w:pPr>
        <w:numPr>
          <w:ilvl w:val="0"/>
          <w:numId w:val="668"/>
        </w:numPr>
        <w:tabs>
          <w:tab w:val="clear" w:pos="360"/>
          <w:tab w:val="left" w:pos="1368"/>
        </w:tabs>
        <w:spacing w:before="125" w:after="0" w:line="273" w:lineRule="exact"/>
        <w:ind w:right="72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may decide that a process to be carried out at a workplace is a lead process.</w:t>
      </w:r>
    </w:p>
    <w:p>
      <w:pPr>
        <w:numPr>
          <w:ilvl w:val="0"/>
          <w:numId w:val="668"/>
        </w:numPr>
        <w:tabs>
          <w:tab w:val="clear" w:pos="360"/>
          <w:tab w:val="left" w:pos="1368"/>
        </w:tabs>
        <w:spacing w:before="123" w:after="0" w:line="276" w:lineRule="exact"/>
        <w:ind w:right="50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spacing w:before="124" w:after="0" w:line="225" w:lineRule="exact"/>
        <w:ind w:right="36"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1299" w:line="228" w:lineRule="exact"/>
        <w:ind w:right="36" w:left="0" w:firstLine="0"/>
        <w:jc w:val="right"/>
        <w:textAlignment w:val="baseline"/>
        <w:rPr>
          <w:rFonts w:ascii="Times New Roman" w:hAnsi="Times New Roman" w:eastAsia="Times New Roman"/>
          <w:color w:val="000000"/>
          <w:spacing w:val="0"/>
          <w:w w:val="100"/>
          <w:sz w:val="20"/>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A decision that a process is a lead process is a reviewable decision (see regulation 676).</w:t>
      </w:r>
    </w:p>
    <w:p>
      <w:pPr>
        <w:spacing w:before="125" w:after="1299" w:line="22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273</w:t>
      </w:r>
    </w:p>
    <w:p>
      <w:pPr>
        <w:sectPr>
          <w:type w:val="continuous"/>
          <w:pgSz w:w="11909" w:h="16838" w:orient="portrait"/>
          <w:pgMar w:bottom="1082" w:top="1140" w:right="5817" w:left="1972"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7.2	</w:t>
      </w:r>
      <w:r>
        <w:rPr>
          <w:rFonts w:ascii="Times New Roman" w:hAnsi="Times New Roman" w:eastAsia="Times New Roman"/>
          <w:color w:val="000000"/>
          <w:spacing w:val="0"/>
          <w:w w:val="100"/>
          <w:sz w:val="20"/>
          <w:vertAlign w:val="baseline"/>
          <w:lang w:val="en-US"/>
        </w:rPr>
        <w:t xml:space="preserve">Lead</w:t>
      </w:r>
    </w:p>
    <w:p>
      <w:pPr>
        <w:spacing w:before="245" w:after="0" w:line="279"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(3) The regulator must, within 14 days after a decision is made under subregulation (1), give written notice of the decision to the person</w:t>
      </w:r>
    </w:p>
    <w:p>
      <w:pPr>
        <w:spacing w:before="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conducting a business or undertaking at the workplace.</w:t>
      </w:r>
    </w:p>
    <w:p>
      <w:pPr>
        <w:spacing w:before="126" w:after="0" w:line="274"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394 Meaning of </w:t>
      </w:r>
      <w:r>
        <w:rPr>
          <w:rFonts w:ascii="Times New Roman" w:hAnsi="Times New Roman" w:eastAsia="Times New Roman"/>
          <w:b w:val="true"/>
          <w:i w:val="true"/>
          <w:color w:val="000000"/>
          <w:spacing w:val="5"/>
          <w:w w:val="100"/>
          <w:sz w:val="24"/>
          <w:vertAlign w:val="baseline"/>
          <w:lang w:val="en-US"/>
        </w:rPr>
        <w:t xml:space="preserve">lead risk work</w:t>
      </w:r>
    </w:p>
    <w:p>
      <w:pPr>
        <w:spacing w:before="116" w:after="0" w:line="276"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this Part, </w:t>
      </w:r>
      <w:r>
        <w:rPr>
          <w:rFonts w:ascii="Times New Roman" w:hAnsi="Times New Roman" w:eastAsia="Times New Roman"/>
          <w:b w:val="true"/>
          <w:i w:val="true"/>
          <w:color w:val="000000"/>
          <w:spacing w:val="0"/>
          <w:w w:val="100"/>
          <w:sz w:val="24"/>
          <w:vertAlign w:val="baseline"/>
          <w:lang w:val="en-US"/>
        </w:rPr>
        <w:t xml:space="preserve">lead risk work </w:t>
      </w:r>
      <w:r>
        <w:rPr>
          <w:rFonts w:ascii="Times New Roman" w:hAnsi="Times New Roman" w:eastAsia="Times New Roman"/>
          <w:color w:val="000000"/>
          <w:spacing w:val="0"/>
          <w:w w:val="100"/>
          <w:sz w:val="24"/>
          <w:vertAlign w:val="baseline"/>
          <w:lang w:val="en-US"/>
        </w:rPr>
        <w:t xml:space="preserve">means work carried out in a lead process that is likely to cause the blood lead level of a worker carrying out the work to exceed:</w:t>
      </w:r>
    </w:p>
    <w:p>
      <w:pPr>
        <w:numPr>
          <w:ilvl w:val="0"/>
          <w:numId w:val="669"/>
        </w:numPr>
        <w:tabs>
          <w:tab w:val="clear" w:pos="360"/>
          <w:tab w:val="left" w:pos="1872"/>
        </w:tabs>
        <w:spacing w:before="126" w:after="0" w:line="273"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a female of reproductive capacity—5μg/dL (0.24μmol/L); or</w:t>
      </w:r>
    </w:p>
    <w:p>
      <w:pPr>
        <w:numPr>
          <w:ilvl w:val="0"/>
          <w:numId w:val="669"/>
        </w:numPr>
        <w:tabs>
          <w:tab w:val="clear" w:pos="360"/>
          <w:tab w:val="left" w:pos="1872"/>
        </w:tabs>
        <w:spacing w:before="126" w:after="0" w:line="273" w:lineRule="exact"/>
        <w:ind w:right="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any other case—20μg/dL (0.97μmol/L).</w:t>
      </w:r>
    </w:p>
    <w:p>
      <w:pPr>
        <w:spacing w:before="120"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395 Duty to give information about health risks of lead process</w:t>
      </w:r>
    </w:p>
    <w:p>
      <w:pPr>
        <w:spacing w:before="125" w:after="0" w:line="273"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that carries out a lead process must give information about the lead process to:</w:t>
      </w:r>
    </w:p>
    <w:p>
      <w:pPr>
        <w:numPr>
          <w:ilvl w:val="0"/>
          <w:numId w:val="670"/>
        </w:numPr>
        <w:tabs>
          <w:tab w:val="clear" w:pos="360"/>
          <w:tab w:val="left" w:pos="1872"/>
        </w:tabs>
        <w:spacing w:before="116" w:after="0" w:line="278"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who is likely to be engaged to carry out the lead process—before the person is engaged; and</w:t>
      </w:r>
    </w:p>
    <w:p>
      <w:pPr>
        <w:numPr>
          <w:ilvl w:val="0"/>
          <w:numId w:val="670"/>
        </w:numPr>
        <w:tabs>
          <w:tab w:val="clear" w:pos="360"/>
          <w:tab w:val="left" w:pos="1872"/>
        </w:tabs>
        <w:spacing w:before="116" w:after="0" w:line="278"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worker for the business or undertaking—before the worker commences the lead process.</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2"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 of this Part.</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5"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information that must be given is:</w:t>
      </w:r>
    </w:p>
    <w:p>
      <w:pPr>
        <w:numPr>
          <w:ilvl w:val="0"/>
          <w:numId w:val="671"/>
        </w:numPr>
        <w:tabs>
          <w:tab w:val="clear" w:pos="360"/>
          <w:tab w:val="left" w:pos="1872"/>
        </w:tabs>
        <w:spacing w:before="116" w:after="0" w:line="278"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information about the health risks and toxic effects associated with exposure to lead; and</w:t>
      </w:r>
    </w:p>
    <w:p>
      <w:pPr>
        <w:numPr>
          <w:ilvl w:val="0"/>
          <w:numId w:val="671"/>
        </w:numPr>
        <w:tabs>
          <w:tab w:val="clear" w:pos="360"/>
          <w:tab w:val="left" w:pos="1872"/>
        </w:tabs>
        <w:spacing w:before="116" w:after="1560" w:line="278"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if the lead process involves lead risk work—the need for, and details of, health monitoring under Division 4 of this Part.</w:t>
      </w:r>
    </w:p>
    <w:p>
      <w:pPr>
        <w:spacing w:before="116" w:after="1560"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274</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7.2	</w:t>
      </w:r>
      <w:r>
        <w:rPr>
          <w:rFonts w:ascii="Times New Roman" w:hAnsi="Times New Roman" w:eastAsia="Times New Roman"/>
          <w:color w:val="000000"/>
          <w:spacing w:val="0"/>
          <w:w w:val="100"/>
          <w:sz w:val="20"/>
          <w:vertAlign w:val="baseline"/>
          <w:lang w:val="en-US"/>
        </w:rPr>
        <w:t xml:space="preserve">Lead</w:t>
      </w:r>
    </w:p>
    <w:p>
      <w:pPr>
        <w:tabs>
          <w:tab w:val="left" w:leader="none" w:pos="1584"/>
        </w:tabs>
        <w:spacing w:before="256" w:after="0" w:line="273"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4"/>
          <w:vertAlign w:val="baseline"/>
          <w:lang w:val="en-US"/>
        </w:rPr>
        <w:t xml:space="preserve">Division 2	</w:t>
      </w:r>
      <w:r>
        <w:rPr>
          <w:rFonts w:ascii="Times New Roman" w:hAnsi="Times New Roman" w:eastAsia="Times New Roman"/>
          <w:b w:val="true"/>
          <w:color w:val="000000"/>
          <w:spacing w:val="0"/>
          <w:w w:val="100"/>
          <w:sz w:val="24"/>
          <w:vertAlign w:val="baseline"/>
          <w:lang w:val="en-US"/>
        </w:rPr>
        <w:t xml:space="preserve">Control of risk</w:t>
      </w:r>
    </w:p>
    <w:p>
      <w:pPr>
        <w:spacing w:before="121" w:after="0" w:line="273"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396 Containment of lead contamination</w:t>
      </w:r>
    </w:p>
    <w:p>
      <w:pPr>
        <w:spacing w:before="114" w:after="0" w:line="279"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must ensure, so far as is reasonably practicable, that contamination by</w:t>
      </w:r>
    </w:p>
    <w:p>
      <w:pPr>
        <w:spacing w:before="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lead is confined to a lead process area at the workplace.</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6"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0" w:after="0" w:line="273" w:lineRule="exact"/>
        <w:ind w:right="0" w:left="288" w:firstLine="0"/>
        <w:jc w:val="left"/>
        <w:textAlignment w:val="baseline"/>
        <w:rPr>
          <w:rFonts w:ascii="Times New Roman" w:hAnsi="Times New Roman" w:eastAsia="Times New Roman"/>
          <w:b w:val="true"/>
          <w:color w:val="000000"/>
          <w:spacing w:val="6"/>
          <w:w w:val="100"/>
          <w:sz w:val="24"/>
          <w:vertAlign w:val="baseline"/>
          <w:lang w:val="en-US"/>
        </w:rPr>
      </w:pPr>
      <w:r>
        <w:rPr>
          <w:rFonts w:ascii="Times New Roman" w:hAnsi="Times New Roman" w:eastAsia="Times New Roman"/>
          <w:b w:val="true"/>
          <w:color w:val="000000"/>
          <w:spacing w:val="6"/>
          <w:w w:val="100"/>
          <w:sz w:val="24"/>
          <w:vertAlign w:val="baseline"/>
          <w:lang w:val="en-US"/>
        </w:rPr>
        <w:t xml:space="preserve">397 Cleaning methods</w:t>
      </w:r>
    </w:p>
    <w:p>
      <w:pPr>
        <w:numPr>
          <w:ilvl w:val="0"/>
          <w:numId w:val="672"/>
        </w:numPr>
        <w:tabs>
          <w:tab w:val="clear" w:pos="360"/>
          <w:tab w:val="left" w:pos="1368"/>
        </w:tabs>
        <w:spacing w:before="123"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must ensure, so far as is reasonably practicable, that a lead process area at the workplace is kept clean.</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672"/>
        </w:numPr>
        <w:tabs>
          <w:tab w:val="clear" w:pos="360"/>
          <w:tab w:val="left" w:pos="1368"/>
        </w:tabs>
        <w:spacing w:before="116" w:after="0" w:line="278" w:lineRule="exact"/>
        <w:ind w:right="72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ensure that the methods used to clean a lead process area:</w:t>
      </w:r>
    </w:p>
    <w:p>
      <w:pPr>
        <w:numPr>
          <w:ilvl w:val="0"/>
          <w:numId w:val="673"/>
        </w:numPr>
        <w:tabs>
          <w:tab w:val="clear" w:pos="360"/>
          <w:tab w:val="left" w:pos="1872"/>
        </w:tabs>
        <w:spacing w:before="116" w:after="0" w:line="278"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do not create a risk to the health of persons in the immediate vicinity of the area; and</w:t>
      </w:r>
    </w:p>
    <w:p>
      <w:pPr>
        <w:numPr>
          <w:ilvl w:val="0"/>
          <w:numId w:val="673"/>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do not have the potential to spread the contamination of lead.</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1" w:after="0" w:line="273"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398 Prohibition on eating, drinking and smoking</w:t>
      </w:r>
    </w:p>
    <w:p>
      <w:pPr>
        <w:numPr>
          <w:ilvl w:val="0"/>
          <w:numId w:val="674"/>
        </w:numPr>
        <w:tabs>
          <w:tab w:val="clear" w:pos="360"/>
          <w:tab w:val="left" w:pos="1368"/>
        </w:tabs>
        <w:spacing w:before="124" w:after="0"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must take all reasonable steps to ensure that a person does not eat, drink, chew gum, smoke or carry materials used for smoking in a lead process area at the workplace.</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674"/>
        </w:numPr>
        <w:tabs>
          <w:tab w:val="clear" w:pos="360"/>
          <w:tab w:val="left" w:pos="1368"/>
        </w:tabs>
        <w:spacing w:before="116" w:after="1080" w:line="278" w:lineRule="exact"/>
        <w:ind w:right="72" w:left="1368" w:hanging="36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person conducting a business or undertaking at a workplace must provide workers with an eating and drinking area that, so far as is</w:t>
      </w:r>
    </w:p>
    <w:p>
      <w:pPr>
        <w:spacing w:before="116" w:after="1080"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275</w:t>
      </w:r>
    </w:p>
    <w:p>
      <w:pPr>
        <w:sectPr>
          <w:type w:val="continuous"/>
          <w:pgSz w:w="11909" w:h="16838" w:orient="portrait"/>
          <w:pgMar w:bottom="1082" w:top="1140" w:right="5814" w:left="1975"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7.2	</w:t>
      </w:r>
      <w:r>
        <w:rPr>
          <w:rFonts w:ascii="Times New Roman" w:hAnsi="Times New Roman" w:eastAsia="Times New Roman"/>
          <w:color w:val="000000"/>
          <w:spacing w:val="0"/>
          <w:w w:val="100"/>
          <w:sz w:val="20"/>
          <w:vertAlign w:val="baseline"/>
          <w:lang w:val="en-US"/>
        </w:rPr>
        <w:t xml:space="preserve">Lead</w:t>
      </w:r>
    </w:p>
    <w:p>
      <w:pPr>
        <w:spacing w:before="245" w:after="0" w:line="279" w:lineRule="exact"/>
        <w:ind w:right="432"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reasonably practicable, cannot be contaminated with lead from a lead process.</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6" w:after="0" w:line="273"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399 Provision of changing and washing facilities</w:t>
      </w:r>
    </w:p>
    <w:p>
      <w:pPr>
        <w:spacing w:before="117"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at a workplace must provide and maintain in good working order changing rooms and washing, showering and toilet facilities at the workplace so as to:</w:t>
      </w:r>
    </w:p>
    <w:p>
      <w:pPr>
        <w:numPr>
          <w:ilvl w:val="0"/>
          <w:numId w:val="675"/>
        </w:numPr>
        <w:tabs>
          <w:tab w:val="clear" w:pos="360"/>
          <w:tab w:val="left" w:pos="1872"/>
        </w:tabs>
        <w:spacing w:before="126" w:after="0" w:line="273" w:lineRule="exact"/>
        <w:ind w:right="86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minimise secondary lead exposure from contaminated clothing; and</w:t>
      </w:r>
    </w:p>
    <w:p>
      <w:pPr>
        <w:numPr>
          <w:ilvl w:val="0"/>
          <w:numId w:val="675"/>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minimise ingestion of lead; and</w:t>
      </w:r>
    </w:p>
    <w:p>
      <w:pPr>
        <w:numPr>
          <w:ilvl w:val="0"/>
          <w:numId w:val="675"/>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avoid the spread of lead contamination.</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75"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person must ensure, so far as is reasonably practicable, that workers at the workplace remove clothing and equipment that is or is likely to be contaminated with lead, and wash their hands and faces, before entering an eating or drinking area at the workplace.</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1" w:after="0" w:line="273" w:lineRule="exact"/>
        <w:ind w:right="0" w:left="0" w:firstLine="0"/>
        <w:jc w:val="center"/>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400 Laundering, disposal and removal of personal protective equipment</w:t>
      </w:r>
    </w:p>
    <w:p>
      <w:pPr>
        <w:spacing w:before="122"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at a workplace must ensure that personal protective equipment that is likely to be contaminated with lead dust:</w:t>
      </w:r>
    </w:p>
    <w:p>
      <w:pPr>
        <w:numPr>
          <w:ilvl w:val="0"/>
          <w:numId w:val="676"/>
        </w:numPr>
        <w:tabs>
          <w:tab w:val="clear" w:pos="360"/>
          <w:tab w:val="left" w:pos="1872"/>
        </w:tabs>
        <w:spacing w:before="116" w:after="0" w:line="278" w:lineRule="exact"/>
        <w:ind w:right="36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sealed in a container before being removed from the lead process area; and</w:t>
      </w:r>
    </w:p>
    <w:p>
      <w:pPr>
        <w:numPr>
          <w:ilvl w:val="0"/>
          <w:numId w:val="676"/>
        </w:numPr>
        <w:tabs>
          <w:tab w:val="clear" w:pos="360"/>
          <w:tab w:val="left" w:pos="1872"/>
        </w:tabs>
        <w:spacing w:before="118" w:after="0" w:line="276" w:lineRule="exact"/>
        <w:ind w:right="64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so far as is reasonably practicable, is disposed of on the completion of the lead process work at a site equipped to accept lead-contaminated equipment; and</w:t>
      </w:r>
    </w:p>
    <w:p>
      <w:pPr>
        <w:numPr>
          <w:ilvl w:val="0"/>
          <w:numId w:val="676"/>
        </w:numPr>
        <w:tabs>
          <w:tab w:val="clear" w:pos="360"/>
          <w:tab w:val="left" w:pos="1872"/>
        </w:tabs>
        <w:spacing w:before="124" w:after="1046" w:line="274"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if it is not reasonably practicable to dispose of the personal protective equipment that is clothing:</w:t>
      </w:r>
    </w:p>
    <w:p>
      <w:pPr>
        <w:spacing w:before="124" w:after="1046"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276</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7.2	</w:t>
      </w:r>
      <w:r>
        <w:rPr>
          <w:rFonts w:ascii="Times New Roman" w:hAnsi="Times New Roman" w:eastAsia="Times New Roman"/>
          <w:color w:val="000000"/>
          <w:spacing w:val="0"/>
          <w:w w:val="100"/>
          <w:sz w:val="20"/>
          <w:vertAlign w:val="baseline"/>
          <w:lang w:val="en-US"/>
        </w:rPr>
        <w:t xml:space="preserve">Lead</w:t>
      </w:r>
    </w:p>
    <w:p>
      <w:pPr>
        <w:numPr>
          <w:ilvl w:val="0"/>
          <w:numId w:val="677"/>
        </w:numPr>
        <w:tabs>
          <w:tab w:val="clear" w:pos="360"/>
          <w:tab w:val="left" w:pos="2376"/>
        </w:tabs>
        <w:spacing w:before="245" w:after="0" w:line="279" w:lineRule="exact"/>
        <w:ind w:right="576" w:left="2376" w:hanging="360"/>
        <w:jc w:val="left"/>
        <w:textAlignment w:val="baseline"/>
        <w:rPr>
          <w:rFonts w:ascii="Times New Roman" w:hAnsi="Times New Roman" w:eastAsia="Times New Roman"/>
          <w:color w:val="000000"/>
          <w:spacing w:val="-1"/>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1"/>
          <w:w w:val="100"/>
          <w:sz w:val="24"/>
          <w:vertAlign w:val="baseline"/>
          <w:lang w:val="en-US"/>
        </w:rPr>
        <w:t xml:space="preserve">is laundered at a laundry, whether on-site or off-site, equipped to launder lead-contaminated clothing; or</w:t>
      </w:r>
    </w:p>
    <w:p>
      <w:pPr>
        <w:numPr>
          <w:ilvl w:val="0"/>
          <w:numId w:val="677"/>
        </w:numPr>
        <w:tabs>
          <w:tab w:val="clear" w:pos="360"/>
          <w:tab w:val="left" w:pos="2376"/>
        </w:tabs>
        <w:spacing w:before="117" w:after="0" w:line="276" w:lineRule="exact"/>
        <w:ind w:right="14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it is not practicable to launder the clothing—is kept in the sealed container until it is re-used for lead process work; and</w:t>
      </w:r>
    </w:p>
    <w:p>
      <w:pPr>
        <w:spacing w:before="126" w:after="0" w:line="273" w:lineRule="exact"/>
        <w:ind w:right="43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if it is not reasonably practicable to dispose of the personal protective equipment that is not clothing:</w:t>
      </w:r>
    </w:p>
    <w:p>
      <w:pPr>
        <w:numPr>
          <w:ilvl w:val="0"/>
          <w:numId w:val="678"/>
        </w:numPr>
        <w:tabs>
          <w:tab w:val="clear" w:pos="360"/>
          <w:tab w:val="left" w:pos="2376"/>
        </w:tabs>
        <w:spacing w:before="126" w:after="0" w:line="273" w:lineRule="exact"/>
        <w:ind w:right="50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decontaminated before it is removed from the lead process area; or</w:t>
      </w:r>
    </w:p>
    <w:p>
      <w:pPr>
        <w:numPr>
          <w:ilvl w:val="0"/>
          <w:numId w:val="678"/>
        </w:numPr>
        <w:tabs>
          <w:tab w:val="clear" w:pos="360"/>
          <w:tab w:val="left" w:pos="2376"/>
        </w:tabs>
        <w:spacing w:before="123" w:after="0" w:line="276" w:lineRule="exact"/>
        <w:ind w:right="14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it is not practicable to decontaminate the equipment in the lead process area—is kept in the sealed container until it is re-used for lead process work.</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 w:after="0" w:line="351"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Example</w:t>
        <w:br/>
      </w:r>
      <w:r>
        <w:rPr>
          <w:rFonts w:ascii="Times New Roman" w:hAnsi="Times New Roman" w:eastAsia="Times New Roman"/>
          <w:color w:val="000000"/>
          <w:spacing w:val="0"/>
          <w:w w:val="100"/>
          <w:sz w:val="20"/>
          <w:vertAlign w:val="baseline"/>
          <w:lang w:val="en-US"/>
        </w:rPr>
        <w:t xml:space="preserve">Work boots.</w:t>
      </w:r>
    </w:p>
    <w:p>
      <w:pPr>
        <w:numPr>
          <w:ilvl w:val="0"/>
          <w:numId w:val="679"/>
        </w:numPr>
        <w:tabs>
          <w:tab w:val="clear" w:pos="360"/>
          <w:tab w:val="left" w:pos="1368"/>
        </w:tabs>
        <w:spacing w:before="116"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ensure that a sealed container referred to in subregulation (1) is decontaminated before being removed from the lead process area.</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26"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3" w:after="0" w:line="230" w:lineRule="exact"/>
        <w:ind w:right="144" w:left="1368"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Regulation 335 also requires the container to be labelled to indicate the presence of lead.</w:t>
      </w:r>
    </w:p>
    <w:p>
      <w:pPr>
        <w:numPr>
          <w:ilvl w:val="0"/>
          <w:numId w:val="679"/>
        </w:numPr>
        <w:tabs>
          <w:tab w:val="clear" w:pos="360"/>
          <w:tab w:val="left" w:pos="1368"/>
        </w:tabs>
        <w:spacing w:before="116" w:after="0" w:line="276"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take all reasonable steps to ensure that clothing contaminated with lead-dust is not removed from the workplace unless it is to be:</w:t>
      </w:r>
    </w:p>
    <w:p>
      <w:pPr>
        <w:numPr>
          <w:ilvl w:val="0"/>
          <w:numId w:val="680"/>
        </w:numPr>
        <w:tabs>
          <w:tab w:val="clear" w:pos="360"/>
          <w:tab w:val="left" w:pos="1872"/>
        </w:tabs>
        <w:spacing w:before="125"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laundered in accordance with this regulation; or</w:t>
      </w:r>
    </w:p>
    <w:p>
      <w:pPr>
        <w:numPr>
          <w:ilvl w:val="0"/>
          <w:numId w:val="680"/>
        </w:numPr>
        <w:tabs>
          <w:tab w:val="clear" w:pos="360"/>
          <w:tab w:val="left" w:pos="1872"/>
        </w:tabs>
        <w:spacing w:before="121"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disposed of.</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1156"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corporate—$30 000.</w:t>
      </w:r>
    </w:p>
    <w:p>
      <w:pPr>
        <w:spacing w:before="121" w:after="1156"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277</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7.2	</w:t>
      </w:r>
      <w:r>
        <w:rPr>
          <w:rFonts w:ascii="Times New Roman" w:hAnsi="Times New Roman" w:eastAsia="Times New Roman"/>
          <w:color w:val="000000"/>
          <w:spacing w:val="0"/>
          <w:w w:val="100"/>
          <w:sz w:val="20"/>
          <w:vertAlign w:val="baseline"/>
          <w:lang w:val="en-US"/>
        </w:rPr>
        <w:t xml:space="preserve">Lead</w:t>
      </w:r>
    </w:p>
    <w:p>
      <w:pPr>
        <w:spacing w:before="251" w:after="0" w:line="273"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4"/>
          <w:w w:val="100"/>
          <w:sz w:val="24"/>
          <w:vertAlign w:val="baseline"/>
          <w:lang w:val="en-US"/>
        </w:rPr>
        <w:t xml:space="preserve">401 Review of control measures</w:t>
      </w:r>
    </w:p>
    <w:p>
      <w:pPr>
        <w:spacing w:before="123" w:after="0" w:line="275"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at a workplace must ensure that any measures implemented to control health risks from exposure to lead at the workplace are reviewed and as necessary revised in the following circumstances:</w:t>
      </w:r>
    </w:p>
    <w:p>
      <w:pPr>
        <w:spacing w:before="126" w:after="0" w:line="273" w:lineRule="exact"/>
        <w:ind w:right="360" w:left="1944"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a worker is removed from carrying out lead risk work at the workplace under regulation 415;</w:t>
      </w:r>
    </w:p>
    <w:p>
      <w:pPr>
        <w:spacing w:before="126" w:after="0" w:line="273" w:lineRule="exact"/>
        <w:ind w:right="504" w:left="1944"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the person obtains a health monitoring report for a worker under Division 4 that contains:</w:t>
      </w:r>
    </w:p>
    <w:p>
      <w:pPr>
        <w:numPr>
          <w:ilvl w:val="0"/>
          <w:numId w:val="681"/>
        </w:numPr>
        <w:tabs>
          <w:tab w:val="clear" w:pos="432"/>
          <w:tab w:val="left" w:pos="2376"/>
        </w:tabs>
        <w:spacing w:before="123" w:after="0" w:line="276" w:lineRule="exact"/>
        <w:ind w:right="36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test results that indicate that the worker has reached or exceeded the relevant blood lead level for that worker under regulation 415; and</w:t>
      </w:r>
    </w:p>
    <w:p>
      <w:pPr>
        <w:numPr>
          <w:ilvl w:val="0"/>
          <w:numId w:val="681"/>
        </w:numPr>
        <w:tabs>
          <w:tab w:val="clear" w:pos="432"/>
          <w:tab w:val="left" w:pos="2376"/>
        </w:tabs>
        <w:spacing w:before="119" w:after="0" w:line="275" w:lineRule="exact"/>
        <w:ind w:right="216"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advice that test results indicate that the worker may have contracted a disease, injury or illness as a result of carrying out the lead risk work that triggered the requirement for health monitoring; and</w:t>
      </w:r>
    </w:p>
    <w:p>
      <w:pPr>
        <w:numPr>
          <w:ilvl w:val="0"/>
          <w:numId w:val="681"/>
        </w:numPr>
        <w:tabs>
          <w:tab w:val="clear" w:pos="432"/>
          <w:tab w:val="left" w:pos="2376"/>
        </w:tabs>
        <w:spacing w:before="124" w:after="0" w:line="275" w:lineRule="exact"/>
        <w:ind w:right="144"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recommendation that the person conducting the business or undertaking take remedial measures, including a recommendation that the worker be removed from carrying out lead risk work at the workplace;</w:t>
      </w:r>
    </w:p>
    <w:p>
      <w:pPr>
        <w:spacing w:before="124" w:after="0" w:line="274" w:lineRule="exact"/>
        <w:ind w:right="504" w:left="1944" w:hanging="432"/>
        <w:jc w:val="left"/>
        <w:textAlignment w:val="baseline"/>
        <w:rPr>
          <w:rFonts w:ascii="Times New Roman" w:hAnsi="Times New Roman" w:eastAsia="Times New Roman"/>
          <w:color w:val="000000"/>
          <w:spacing w:val="-2"/>
          <w:w w:val="100"/>
          <w:sz w:val="24"/>
          <w:vertAlign w:val="baseline"/>
          <w:lang w:val="en-US"/>
        </w:rPr>
      </w:pPr>
      <w:r>
        <w:rPr>
          <w:rFonts w:ascii="Times New Roman" w:hAnsi="Times New Roman" w:eastAsia="Times New Roman"/>
          <w:color w:val="000000"/>
          <w:spacing w:val="-2"/>
          <w:w w:val="100"/>
          <w:sz w:val="24"/>
          <w:vertAlign w:val="baseline"/>
          <w:lang w:val="en-US"/>
        </w:rPr>
        <w:t xml:space="preserve">(c) the control measure does not control the risk it was implemented to control so far as is reasonably practicable;</w:t>
      </w:r>
    </w:p>
    <w:p>
      <w:pPr>
        <w:spacing w:before="130" w:after="0" w:line="225" w:lineRule="exact"/>
        <w:ind w:right="0" w:left="1944" w:firstLine="0"/>
        <w:jc w:val="left"/>
        <w:textAlignment w:val="baseline"/>
        <w:rPr>
          <w:rFonts w:ascii="Times New Roman" w:hAnsi="Times New Roman" w:eastAsia="Times New Roman"/>
          <w:b w:val="true"/>
          <w:color w:val="000000"/>
          <w:spacing w:val="-3"/>
          <w:w w:val="100"/>
          <w:sz w:val="20"/>
          <w:vertAlign w:val="baseline"/>
          <w:lang w:val="en-US"/>
        </w:rPr>
      </w:pPr>
      <w:r>
        <w:rPr>
          <w:rFonts w:ascii="Times New Roman" w:hAnsi="Times New Roman" w:eastAsia="Times New Roman"/>
          <w:b w:val="true"/>
          <w:color w:val="000000"/>
          <w:spacing w:val="-3"/>
          <w:w w:val="100"/>
          <w:sz w:val="20"/>
          <w:vertAlign w:val="baseline"/>
          <w:lang w:val="en-US"/>
        </w:rPr>
        <w:t xml:space="preserve">Examples</w:t>
      </w:r>
    </w:p>
    <w:p>
      <w:pPr>
        <w:tabs>
          <w:tab w:val="left" w:leader="none" w:pos="2304"/>
        </w:tabs>
        <w:spacing w:before="125" w:after="0" w:line="230" w:lineRule="exact"/>
        <w:ind w:right="0" w:left="19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Results of any monitoring.</w:t>
      </w:r>
    </w:p>
    <w:p>
      <w:pPr>
        <w:tabs>
          <w:tab w:val="left" w:leader="none" w:pos="2304"/>
        </w:tabs>
        <w:spacing w:before="121" w:after="0" w:line="230" w:lineRule="exact"/>
        <w:ind w:right="0" w:left="19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A notifiable incident occurs because of the risk.</w:t>
      </w:r>
    </w:p>
    <w:p>
      <w:pPr>
        <w:spacing w:before="113" w:after="0" w:line="276" w:lineRule="exact"/>
        <w:ind w:right="144" w:left="1944"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before a change at the workplace that is likely to give rise to a new or different risk to health or safety that the measure may not effectively control;</w:t>
      </w:r>
    </w:p>
    <w:p>
      <w:pPr>
        <w:spacing w:before="121" w:after="0" w:line="272"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 a new relevant hazard or risk is identified;</w:t>
      </w:r>
    </w:p>
    <w:p>
      <w:pPr>
        <w:spacing w:before="126" w:after="0" w:line="273" w:lineRule="exact"/>
        <w:ind w:right="144" w:left="1944" w:hanging="432"/>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 the results of consultation by the person under the Act or these Regulations indicate that a review is necessary;</w:t>
      </w:r>
    </w:p>
    <w:p>
      <w:pPr>
        <w:spacing w:before="126" w:after="0" w:line="273" w:lineRule="exact"/>
        <w:ind w:right="504" w:left="1944"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 a health and safety representative requests a review under subregulation (3);</w:t>
      </w:r>
    </w:p>
    <w:p>
      <w:pPr>
        <w:spacing w:before="127" w:after="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 the regulator requires the review;</w:t>
      </w:r>
    </w:p>
    <w:p>
      <w:pPr>
        <w:spacing w:before="121" w:after="1388"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 at least once every 5 years.</w:t>
      </w:r>
    </w:p>
    <w:p>
      <w:pPr>
        <w:spacing w:before="121" w:after="1388" w:line="272"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278</w:t>
      </w:r>
    </w:p>
    <w:p>
      <w:pPr>
        <w:sectPr>
          <w:type w:val="continuous"/>
          <w:pgSz w:w="11909" w:h="16838" w:orient="portrait"/>
          <w:pgMar w:bottom="1082" w:top="1140" w:right="5814" w:left="1975"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7.2	</w:t>
      </w:r>
      <w:r>
        <w:rPr>
          <w:rFonts w:ascii="Times New Roman" w:hAnsi="Times New Roman" w:eastAsia="Times New Roman"/>
          <w:color w:val="000000"/>
          <w:spacing w:val="0"/>
          <w:w w:val="100"/>
          <w:sz w:val="20"/>
          <w:vertAlign w:val="baseline"/>
          <w:lang w:val="en-US"/>
        </w:rPr>
        <w:t xml:space="preserve">Lead</w:t>
      </w:r>
    </w:p>
    <w:p>
      <w:pPr>
        <w:spacing w:before="25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6" w:after="0" w:line="273"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Without limiting subregulation (1)(d), a change at the workplace includes:</w:t>
      </w:r>
    </w:p>
    <w:p>
      <w:pPr>
        <w:numPr>
          <w:ilvl w:val="0"/>
          <w:numId w:val="682"/>
        </w:numPr>
        <w:tabs>
          <w:tab w:val="clear" w:pos="288"/>
          <w:tab w:val="left" w:pos="1872"/>
        </w:tabs>
        <w:spacing w:before="126" w:after="0" w:line="273" w:lineRule="exact"/>
        <w:ind w:right="576"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change to the workplace itself or any aspect of the work environment; or</w:t>
      </w:r>
    </w:p>
    <w:p>
      <w:pPr>
        <w:numPr>
          <w:ilvl w:val="0"/>
          <w:numId w:val="682"/>
        </w:numPr>
        <w:tabs>
          <w:tab w:val="clear" w:pos="288"/>
          <w:tab w:val="left" w:pos="1872"/>
        </w:tabs>
        <w:spacing w:before="126"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change to a system of work, a process or a procedure.</w:t>
      </w:r>
    </w:p>
    <w:p>
      <w:pPr>
        <w:spacing w:before="117"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A health and safety representative for workers at a workplace may request a review of a control measure if the representative reasonably believes that:</w:t>
      </w:r>
    </w:p>
    <w:p>
      <w:pPr>
        <w:numPr>
          <w:ilvl w:val="0"/>
          <w:numId w:val="683"/>
        </w:numPr>
        <w:tabs>
          <w:tab w:val="clear" w:pos="288"/>
          <w:tab w:val="left" w:pos="1872"/>
        </w:tabs>
        <w:spacing w:before="124" w:after="0" w:line="275" w:lineRule="exact"/>
        <w:ind w:right="144"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circumstance referred to in subregulation (1)(a), (b), (c), (d), (e) or (f) affects or may affect the health and safety of a member of the work group represented by the health and safety representative; and</w:t>
      </w:r>
    </w:p>
    <w:p>
      <w:pPr>
        <w:numPr>
          <w:ilvl w:val="0"/>
          <w:numId w:val="683"/>
        </w:numPr>
        <w:tabs>
          <w:tab w:val="clear" w:pos="288"/>
          <w:tab w:val="left" w:pos="1872"/>
        </w:tabs>
        <w:spacing w:before="116" w:after="0" w:line="278" w:lineRule="exact"/>
        <w:ind w:right="792"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duty holder has not adequately reviewed the control measure in response to the circumstance.</w:t>
      </w:r>
    </w:p>
    <w:p>
      <w:pPr>
        <w:tabs>
          <w:tab w:val="left" w:leader="none" w:pos="1584"/>
        </w:tabs>
        <w:spacing w:before="127" w:after="0" w:line="393" w:lineRule="exact"/>
        <w:ind w:right="0" w:left="288" w:hanging="288"/>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3	</w:t>
      </w:r>
      <w:r>
        <w:rPr>
          <w:rFonts w:ascii="Times New Roman" w:hAnsi="Times New Roman" w:eastAsia="Times New Roman"/>
          <w:b w:val="true"/>
          <w:color w:val="000000"/>
          <w:spacing w:val="0"/>
          <w:w w:val="100"/>
          <w:sz w:val="24"/>
          <w:vertAlign w:val="baseline"/>
          <w:lang w:val="en-US"/>
        </w:rPr>
        <w:t xml:space="preserve">Lead risk work</w:t>
        <w:br/>
      </w:r>
      <w:r>
        <w:rPr>
          <w:rFonts w:ascii="Times New Roman" w:hAnsi="Times New Roman" w:eastAsia="Times New Roman"/>
          <w:b w:val="true"/>
          <w:color w:val="000000"/>
          <w:spacing w:val="0"/>
          <w:w w:val="100"/>
          <w:sz w:val="24"/>
          <w:vertAlign w:val="baseline"/>
          <w:lang w:val="en-US"/>
        </w:rPr>
        <w:t xml:space="preserve">402 Identifying lead risk work</w:t>
      </w:r>
    </w:p>
    <w:p>
      <w:pPr>
        <w:numPr>
          <w:ilvl w:val="0"/>
          <w:numId w:val="684"/>
        </w:numPr>
        <w:tabs>
          <w:tab w:val="clear" w:pos="360"/>
          <w:tab w:val="left" w:pos="1368"/>
        </w:tabs>
        <w:spacing w:before="119"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must assess each lead process carried out by the business or undertaking at the workplace to determine if lead risk work is carried out in the process.</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684"/>
        </w:numPr>
        <w:tabs>
          <w:tab w:val="clear" w:pos="360"/>
          <w:tab w:val="left" w:pos="1368"/>
        </w:tabs>
        <w:spacing w:before="124" w:after="0" w:line="274" w:lineRule="exact"/>
        <w:ind w:right="64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assessing a lead process, the person must have regard to the following:</w:t>
      </w:r>
    </w:p>
    <w:p>
      <w:pPr>
        <w:numPr>
          <w:ilvl w:val="0"/>
          <w:numId w:val="685"/>
        </w:numPr>
        <w:tabs>
          <w:tab w:val="clear" w:pos="288"/>
          <w:tab w:val="left" w:pos="1872"/>
        </w:tabs>
        <w:spacing w:before="125"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past biological monitoring results of workers;</w:t>
      </w:r>
    </w:p>
    <w:p>
      <w:pPr>
        <w:numPr>
          <w:ilvl w:val="0"/>
          <w:numId w:val="685"/>
        </w:numPr>
        <w:tabs>
          <w:tab w:val="clear" w:pos="288"/>
          <w:tab w:val="left" w:pos="1872"/>
        </w:tabs>
        <w:spacing w:before="121"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airborne lead levels;</w:t>
      </w:r>
    </w:p>
    <w:p>
      <w:pPr>
        <w:numPr>
          <w:ilvl w:val="0"/>
          <w:numId w:val="685"/>
        </w:numPr>
        <w:tabs>
          <w:tab w:val="clear" w:pos="288"/>
          <w:tab w:val="left" w:pos="1872"/>
        </w:tabs>
        <w:spacing w:before="125"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form of lead used;</w:t>
      </w:r>
    </w:p>
    <w:p>
      <w:pPr>
        <w:numPr>
          <w:ilvl w:val="0"/>
          <w:numId w:val="685"/>
        </w:numPr>
        <w:tabs>
          <w:tab w:val="clear" w:pos="288"/>
          <w:tab w:val="left" w:pos="1872"/>
        </w:tabs>
        <w:spacing w:before="121"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tasks and processes required to be undertaken with lead;</w:t>
      </w:r>
    </w:p>
    <w:p>
      <w:pPr>
        <w:numPr>
          <w:ilvl w:val="0"/>
          <w:numId w:val="685"/>
        </w:numPr>
        <w:tabs>
          <w:tab w:val="clear" w:pos="288"/>
          <w:tab w:val="left" w:pos="1872"/>
        </w:tabs>
        <w:spacing w:before="125"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likely duration and frequency of exposure to lead;</w:t>
      </w:r>
    </w:p>
    <w:p>
      <w:pPr>
        <w:numPr>
          <w:ilvl w:val="0"/>
          <w:numId w:val="685"/>
        </w:numPr>
        <w:tabs>
          <w:tab w:val="clear" w:pos="288"/>
          <w:tab w:val="left" w:pos="1872"/>
        </w:tabs>
        <w:spacing w:before="121" w:after="806"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possible routes of exposure to lead;</w:t>
      </w:r>
    </w:p>
    <w:p>
      <w:pPr>
        <w:spacing w:before="121" w:after="806"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279</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7.2	</w:t>
      </w:r>
      <w:r>
        <w:rPr>
          <w:rFonts w:ascii="Times New Roman" w:hAnsi="Times New Roman" w:eastAsia="Times New Roman"/>
          <w:color w:val="000000"/>
          <w:spacing w:val="0"/>
          <w:w w:val="100"/>
          <w:sz w:val="20"/>
          <w:vertAlign w:val="baseline"/>
          <w:lang w:val="en-US"/>
        </w:rPr>
        <w:t xml:space="preserve">Lead</w:t>
      </w:r>
    </w:p>
    <w:p>
      <w:pPr>
        <w:spacing w:before="251"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(g) any information about incidents, illnesses or diseases in</w:t>
      </w:r>
    </w:p>
    <w:p>
      <w:pPr>
        <w:spacing w:before="6"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relation to the use of lead at the workplace.</w:t>
      </w:r>
    </w:p>
    <w:p>
      <w:pPr>
        <w:numPr>
          <w:ilvl w:val="0"/>
          <w:numId w:val="686"/>
        </w:numPr>
        <w:tabs>
          <w:tab w:val="clear" w:pos="360"/>
          <w:tab w:val="left" w:pos="1368"/>
        </w:tabs>
        <w:spacing w:before="117" w:after="0" w:line="276"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assessing a lead process, the person must not have regard to the effect of using personal protective equipment on the health and safety of workers at the workplace.</w:t>
      </w:r>
    </w:p>
    <w:p>
      <w:pPr>
        <w:numPr>
          <w:ilvl w:val="0"/>
          <w:numId w:val="686"/>
        </w:numPr>
        <w:tabs>
          <w:tab w:val="clear" w:pos="360"/>
          <w:tab w:val="left" w:pos="1368"/>
        </w:tabs>
        <w:spacing w:before="123" w:after="0" w:line="276"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spacing w:before="120" w:after="0" w:line="273"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403 Notification of lead risk work</w:t>
      </w:r>
    </w:p>
    <w:p>
      <w:pPr>
        <w:spacing w:before="124" w:after="0" w:line="275"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Subject to subregulation (5), if a person conducting a business or undertaking at a workplace determines that work at the workplace is lead risk work, the person must give the regulator written notice within 7 days that the work is lead risk work.</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4" w:after="0" w:line="274"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 notice under this regulation must state the kind of lead process being carried out that includes the lead risk work.</w:t>
      </w:r>
    </w:p>
    <w:p>
      <w:pPr>
        <w:spacing w:before="125"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person must:</w:t>
      </w:r>
    </w:p>
    <w:p>
      <w:pPr>
        <w:numPr>
          <w:ilvl w:val="0"/>
          <w:numId w:val="687"/>
        </w:numPr>
        <w:tabs>
          <w:tab w:val="clear" w:pos="360"/>
          <w:tab w:val="left" w:pos="1872"/>
        </w:tabs>
        <w:spacing w:before="116" w:after="0" w:line="278"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keep a copy of the notice given to the regulator while the lead risk work is carried out at the workplace; and</w:t>
      </w:r>
    </w:p>
    <w:p>
      <w:pPr>
        <w:numPr>
          <w:ilvl w:val="0"/>
          <w:numId w:val="687"/>
        </w:numPr>
        <w:tabs>
          <w:tab w:val="clear" w:pos="360"/>
          <w:tab w:val="left" w:pos="1872"/>
        </w:tabs>
        <w:spacing w:before="118" w:after="0" w:line="276"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ensure that a copy of the notice is readily accessible to a worker who is likely to be exposed to lead, and the worker's health and safety representative.</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16" w:after="0" w:line="278"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Subregulation (5) applies to an emergency service organisation in relation to work carried out by an emergency service worker who, at</w:t>
      </w:r>
    </w:p>
    <w:p>
      <w:pPr>
        <w:spacing w:before="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direction of the emergency service organisation, is:</w:t>
      </w:r>
    </w:p>
    <w:p>
      <w:pPr>
        <w:numPr>
          <w:ilvl w:val="0"/>
          <w:numId w:val="688"/>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rescuing a person; or</w:t>
      </w:r>
    </w:p>
    <w:p>
      <w:pPr>
        <w:numPr>
          <w:ilvl w:val="0"/>
          <w:numId w:val="688"/>
        </w:numPr>
        <w:tabs>
          <w:tab w:val="clear" w:pos="360"/>
          <w:tab w:val="left" w:pos="1872"/>
        </w:tabs>
        <w:spacing w:before="121" w:after="1406"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providing first aid to a person.</w:t>
      </w:r>
    </w:p>
    <w:p>
      <w:pPr>
        <w:spacing w:before="121" w:after="1406"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280</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7.2	</w:t>
      </w:r>
      <w:r>
        <w:rPr>
          <w:rFonts w:ascii="Times New Roman" w:hAnsi="Times New Roman" w:eastAsia="Times New Roman"/>
          <w:color w:val="000000"/>
          <w:spacing w:val="0"/>
          <w:w w:val="100"/>
          <w:sz w:val="20"/>
          <w:vertAlign w:val="baseline"/>
          <w:lang w:val="en-US"/>
        </w:rPr>
        <w:t xml:space="preserve">Lead</w:t>
      </w:r>
    </w:p>
    <w:p>
      <w:pPr>
        <w:spacing w:before="249" w:after="0" w:line="276"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(5) The emergency service organisation must give notice under subregulation (1) as soon as practicable after determining that the work is lead risk work.</w:t>
      </w:r>
    </w:p>
    <w:p>
      <w:pPr>
        <w:tabs>
          <w:tab w:val="left" w:leader="none" w:pos="864"/>
        </w:tabs>
        <w:spacing w:before="125"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404	</w:t>
      </w:r>
      <w:r>
        <w:rPr>
          <w:rFonts w:ascii="Times New Roman" w:hAnsi="Times New Roman" w:eastAsia="Times New Roman"/>
          <w:b w:val="true"/>
          <w:color w:val="000000"/>
          <w:spacing w:val="0"/>
          <w:w w:val="100"/>
          <w:sz w:val="24"/>
          <w:vertAlign w:val="baseline"/>
          <w:lang w:val="en-US"/>
        </w:rPr>
        <w:t xml:space="preserve">Changes to information in notification of lead risk work</w:t>
      </w:r>
    </w:p>
    <w:p>
      <w:pPr>
        <w:numPr>
          <w:ilvl w:val="0"/>
          <w:numId w:val="689"/>
        </w:numPr>
        <w:tabs>
          <w:tab w:val="clear" w:pos="360"/>
          <w:tab w:val="left" w:pos="1368"/>
        </w:tabs>
        <w:spacing w:before="116" w:after="0" w:line="277" w:lineRule="exact"/>
        <w:ind w:right="144"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A person conducting a business or undertaking at a workplace must give the regulator written notice of any change in the information given in a notice under regulation 403 before the change or as soon as practicable after the person becomes aware of the change.</w:t>
      </w:r>
    </w:p>
    <w:p>
      <w:pPr>
        <w:spacing w:before="119"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19"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numPr>
          <w:ilvl w:val="0"/>
          <w:numId w:val="689"/>
        </w:numPr>
        <w:tabs>
          <w:tab w:val="clear" w:pos="360"/>
          <w:tab w:val="left" w:pos="1368"/>
        </w:tabs>
        <w:spacing w:before="125" w:after="0" w:line="274"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w:t>
      </w:r>
    </w:p>
    <w:p>
      <w:pPr>
        <w:numPr>
          <w:ilvl w:val="0"/>
          <w:numId w:val="690"/>
        </w:numPr>
        <w:tabs>
          <w:tab w:val="clear" w:pos="360"/>
          <w:tab w:val="left" w:pos="1872"/>
        </w:tabs>
        <w:spacing w:before="119" w:after="0" w:line="274"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keep a copy of the notice given to the regulator while the lead risk work is carried out at the workplace; and</w:t>
      </w:r>
    </w:p>
    <w:p>
      <w:pPr>
        <w:numPr>
          <w:ilvl w:val="0"/>
          <w:numId w:val="690"/>
        </w:numPr>
        <w:tabs>
          <w:tab w:val="clear" w:pos="360"/>
          <w:tab w:val="left" w:pos="1872"/>
        </w:tabs>
        <w:spacing w:before="122" w:after="0" w:line="276"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ensure that a copy of the notice is readily accessible to a worker who is likely to be exposed to lead, and the worker's health and safety representative.</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tabs>
          <w:tab w:val="left" w:leader="none" w:pos="1584"/>
        </w:tabs>
        <w:spacing w:before="0" w:after="0" w:line="458" w:lineRule="exact"/>
        <w:ind w:right="0" w:left="0" w:firstLine="187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</w:t>
        <w:br/>
      </w:r>
      <w:r>
        <w:rPr>
          <w:rFonts w:ascii="Times New Roman" w:hAnsi="Times New Roman" w:eastAsia="Times New Roman"/>
          <w:b w:val="true"/>
          <w:color w:val="000000"/>
          <w:spacing w:val="0"/>
          <w:w w:val="100"/>
          <w:sz w:val="24"/>
          <w:vertAlign w:val="baseline"/>
          <w:lang w:val="en-US"/>
        </w:rPr>
        <w:t xml:space="preserve">Division 4	</w:t>
      </w:r>
      <w:r>
        <w:rPr>
          <w:rFonts w:ascii="Times New Roman" w:hAnsi="Times New Roman" w:eastAsia="Times New Roman"/>
          <w:b w:val="true"/>
          <w:color w:val="000000"/>
          <w:spacing w:val="0"/>
          <w:w w:val="100"/>
          <w:sz w:val="24"/>
          <w:vertAlign w:val="baseline"/>
          <w:lang w:val="en-US"/>
        </w:rPr>
        <w:t xml:space="preserve">Health monitoring</w:t>
      </w:r>
    </w:p>
    <w:p>
      <w:pPr>
        <w:spacing w:before="111" w:after="0" w:line="278" w:lineRule="exact"/>
        <w:ind w:right="72"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405 Duty to provide health monitoring before first commencing lead risk work</w:t>
      </w:r>
    </w:p>
    <w:p>
      <w:pPr>
        <w:spacing w:before="120" w:after="0" w:line="274" w:lineRule="exact"/>
        <w:ind w:right="72" w:left="0" w:firstLine="0"/>
        <w:jc w:val="righ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at a workplace must</w:t>
      </w:r>
    </w:p>
    <w:p>
      <w:pPr>
        <w:spacing w:before="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ensure that health monitoring is provided to a worker:</w:t>
      </w:r>
    </w:p>
    <w:p>
      <w:pPr>
        <w:numPr>
          <w:ilvl w:val="0"/>
          <w:numId w:val="691"/>
        </w:numPr>
        <w:tabs>
          <w:tab w:val="clear" w:pos="360"/>
          <w:tab w:val="left" w:pos="1872"/>
        </w:tabs>
        <w:spacing w:before="116" w:after="0" w:line="278" w:lineRule="exact"/>
        <w:ind w:right="64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before the worker first commences lead risk work for the person; and</w:t>
      </w:r>
    </w:p>
    <w:p>
      <w:pPr>
        <w:numPr>
          <w:ilvl w:val="0"/>
          <w:numId w:val="691"/>
        </w:numPr>
        <w:tabs>
          <w:tab w:val="clear" w:pos="360"/>
          <w:tab w:val="left" w:pos="1872"/>
        </w:tabs>
        <w:spacing w:before="116" w:after="0" w:line="278" w:lineRule="exact"/>
        <w:ind w:right="288"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month after the worker first commences lead risk work for the person.</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1597"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corporate—$30 000.</w:t>
      </w:r>
    </w:p>
    <w:p>
      <w:pPr>
        <w:spacing w:before="120" w:after="1597"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281</w:t>
      </w:r>
    </w:p>
    <w:p>
      <w:pPr>
        <w:sectPr>
          <w:type w:val="continuous"/>
          <w:pgSz w:w="11909" w:h="16838" w:orient="portrait"/>
          <w:pgMar w:bottom="1082" w:top="1140" w:right="5819" w:left="1970"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7.2	</w:t>
      </w:r>
      <w:r>
        <w:rPr>
          <w:rFonts w:ascii="Times New Roman" w:hAnsi="Times New Roman" w:eastAsia="Times New Roman"/>
          <w:color w:val="000000"/>
          <w:spacing w:val="0"/>
          <w:w w:val="100"/>
          <w:sz w:val="20"/>
          <w:vertAlign w:val="baseline"/>
          <w:lang w:val="en-US"/>
        </w:rPr>
        <w:t xml:space="preserve">Lead</w:t>
      </w:r>
    </w:p>
    <w:p>
      <w:pPr>
        <w:spacing w:before="245" w:after="0" w:line="279" w:lineRule="exact"/>
        <w:ind w:right="0" w:left="1368" w:hanging="36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(2) If work is identified as lead risk work after a worker commences the work, the person conducting the business or undertaking must</w:t>
      </w:r>
    </w:p>
    <w:p>
      <w:pPr>
        <w:spacing w:before="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ensure that health monitoring of the worker is provided:</w:t>
      </w:r>
    </w:p>
    <w:p>
      <w:pPr>
        <w:numPr>
          <w:ilvl w:val="0"/>
          <w:numId w:val="692"/>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as soon as practicable after the lead risk work is identified; and</w:t>
      </w:r>
    </w:p>
    <w:p>
      <w:pPr>
        <w:numPr>
          <w:ilvl w:val="0"/>
          <w:numId w:val="692"/>
        </w:numPr>
        <w:tabs>
          <w:tab w:val="clear" w:pos="360"/>
          <w:tab w:val="left" w:pos="1872"/>
        </w:tabs>
        <w:spacing w:before="114" w:after="0" w:line="279" w:lineRule="exact"/>
        <w:ind w:right="86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month after the first monitoring of the worker under paragraph (a).</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6" w:after="0" w:line="274" w:lineRule="exact"/>
        <w:ind w:right="0" w:left="0" w:firstLine="0"/>
        <w:jc w:val="center"/>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406 Duty to ensure that appropriate health monitoring is provided</w:t>
      </w:r>
    </w:p>
    <w:p>
      <w:pPr>
        <w:spacing w:before="118" w:after="0" w:line="275"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Subject to regulation 407, a person conducting a business or undertaking must ensure that health monitoring of a worker referred to in regulation 405 includes health monitoring of a type referred to in an item in Schedule 14, table 14.2 unless:</w:t>
      </w:r>
    </w:p>
    <w:p>
      <w:pPr>
        <w:numPr>
          <w:ilvl w:val="0"/>
          <w:numId w:val="693"/>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equal or better type of health monitoring is available; and</w:t>
      </w:r>
    </w:p>
    <w:p>
      <w:pPr>
        <w:numPr>
          <w:ilvl w:val="0"/>
          <w:numId w:val="693"/>
        </w:numPr>
        <w:tabs>
          <w:tab w:val="clear" w:pos="360"/>
          <w:tab w:val="left" w:pos="1872"/>
        </w:tabs>
        <w:spacing w:before="118" w:after="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use of that other type of monitoring is recommended by a registered medical practitioner with experience in health monitoring.</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1"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407 Frequency of biological monitoring</w:t>
      </w:r>
    </w:p>
    <w:p>
      <w:pPr>
        <w:spacing w:before="123" w:after="0" w:line="275" w:lineRule="exact"/>
        <w:ind w:right="72"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(1) A person conducting a business or undertaking at a workplace must arrange for biological monitoring of each worker who carries out lead risk work for the person to be carried out at the following times:</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for females not of reproductive capacity and males:</w:t>
      </w:r>
    </w:p>
    <w:p>
      <w:pPr>
        <w:numPr>
          <w:ilvl w:val="0"/>
          <w:numId w:val="694"/>
        </w:numPr>
        <w:tabs>
          <w:tab w:val="clear" w:pos="360"/>
          <w:tab w:val="left" w:pos="2376"/>
        </w:tabs>
        <w:spacing w:before="118" w:after="0" w:line="276" w:lineRule="exact"/>
        <w:ind w:right="50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last monitoring shows a blood lead level of less than 10μg/dL (0.48μmol/L)—6 months after the last biological monitoring of the worker; or</w:t>
      </w:r>
    </w:p>
    <w:p>
      <w:pPr>
        <w:numPr>
          <w:ilvl w:val="0"/>
          <w:numId w:val="694"/>
        </w:numPr>
        <w:tabs>
          <w:tab w:val="clear" w:pos="360"/>
          <w:tab w:val="left" w:pos="2376"/>
        </w:tabs>
        <w:spacing w:before="124" w:after="1406" w:line="275" w:lineRule="exact"/>
        <w:ind w:right="432" w:left="2376"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if the last monitoring shows a blood lead level of 10μg/dL (0.48μmol/L) or more but less than 20μg/dL (0.97μmol/L)—3 months after the last biological monitoring of the worker; or</w:t>
      </w:r>
    </w:p>
    <w:p>
      <w:pPr>
        <w:spacing w:before="124" w:after="1406" w:line="275"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282</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7.2	</w:t>
      </w:r>
      <w:r>
        <w:rPr>
          <w:rFonts w:ascii="Times New Roman" w:hAnsi="Times New Roman" w:eastAsia="Times New Roman"/>
          <w:color w:val="000000"/>
          <w:spacing w:val="0"/>
          <w:w w:val="100"/>
          <w:sz w:val="20"/>
          <w:vertAlign w:val="baseline"/>
          <w:lang w:val="en-US"/>
        </w:rPr>
        <w:t xml:space="preserve">Lead</w:t>
      </w:r>
    </w:p>
    <w:p>
      <w:pPr>
        <w:spacing w:before="249" w:after="0" w:line="276" w:lineRule="exact"/>
        <w:ind w:right="360" w:left="2376" w:hanging="504"/>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(iii) if the last monitoring shows a blood lead level of 20μg/dL (0.97μmol/L) or more—6 weeks after the last biological monitoring of the worker;</w:t>
      </w:r>
    </w:p>
    <w:p>
      <w:pPr>
        <w:spacing w:before="125" w:after="0" w:line="274"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for females of reproductive capacity:</w:t>
      </w:r>
    </w:p>
    <w:p>
      <w:pPr>
        <w:spacing w:before="117" w:after="0" w:line="276" w:lineRule="exact"/>
        <w:ind w:right="504" w:left="2376"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 if the last monitoring shows a blood lead level of less than 5μg/dL (0.24μmol/L)—3 months after the last biological monitoring of the worker; or</w:t>
      </w:r>
    </w:p>
    <w:p>
      <w:pPr>
        <w:spacing w:before="124" w:after="0" w:line="275" w:lineRule="exact"/>
        <w:ind w:right="144"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(ii) if the last monitoring shows a blood lead level of 5μg/dL (0.24μmol/L) or more but less than 10μg/dL (0.48μmol/L)—6 weeks after the last biological monitoring of the worker.</w:t>
      </w:r>
    </w:p>
    <w:p>
      <w:pPr>
        <w:spacing w:before="125"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19"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person must increase the frequency of biological monitoring of a worker who carries out lead risk work if the worker carries out an activity that is likely to significantly change the nature or increase the duration or frequency of the worker's lead exposure.</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4"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8" w:after="0" w:line="276"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regulator may determine a different frequency for biological monitoring of workers at a workplace, or a class of workers, carrying out lead risk work having regard to:</w:t>
      </w:r>
    </w:p>
    <w:p>
      <w:pPr>
        <w:numPr>
          <w:ilvl w:val="0"/>
          <w:numId w:val="695"/>
        </w:numPr>
        <w:tabs>
          <w:tab w:val="clear" w:pos="360"/>
          <w:tab w:val="left" w:pos="1872"/>
        </w:tabs>
        <w:spacing w:before="124" w:after="0" w:line="274"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nature of the work and the likely duration and frequency of the workers' lead exposure; and</w:t>
      </w:r>
    </w:p>
    <w:p>
      <w:pPr>
        <w:numPr>
          <w:ilvl w:val="0"/>
          <w:numId w:val="695"/>
        </w:numPr>
        <w:tabs>
          <w:tab w:val="clear" w:pos="360"/>
          <w:tab w:val="left" w:pos="1872"/>
        </w:tabs>
        <w:spacing w:before="124" w:after="0" w:line="274" w:lineRule="exact"/>
        <w:ind w:right="50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likelihood that the blood lead level of the workers will significantly increase.</w:t>
      </w:r>
    </w:p>
    <w:p>
      <w:pPr>
        <w:spacing w:before="122" w:after="0" w:line="276"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The regulator must give a person conducting a business or undertaking written notice of a determination under subregulation (3) within 14 days after making the determination.</w:t>
      </w:r>
    </w:p>
    <w:p>
      <w:pPr>
        <w:spacing w:before="120" w:after="1367" w:line="276"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(5) The person conducting a business or undertaking at the workplace must arrange for biological monitoring to be carried out at the frequency stated in a determination notified to the person under subregulation (4).</w:t>
      </w:r>
    </w:p>
    <w:p>
      <w:pPr>
        <w:spacing w:before="120" w:after="1367"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283</w:t>
      </w:r>
    </w:p>
    <w:p>
      <w:pPr>
        <w:sectPr>
          <w:type w:val="continuous"/>
          <w:pgSz w:w="11909" w:h="16838" w:orient="portrait"/>
          <w:pgMar w:bottom="1082" w:top="1140" w:right="5817" w:left="1972"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7.2	</w:t>
      </w:r>
      <w:r>
        <w:rPr>
          <w:rFonts w:ascii="Times New Roman" w:hAnsi="Times New Roman" w:eastAsia="Times New Roman"/>
          <w:color w:val="000000"/>
          <w:spacing w:val="0"/>
          <w:w w:val="100"/>
          <w:sz w:val="20"/>
          <w:vertAlign w:val="baseline"/>
          <w:lang w:val="en-US"/>
        </w:rPr>
        <w:t xml:space="preserve">Lead</w:t>
      </w:r>
    </w:p>
    <w:p>
      <w:pPr>
        <w:spacing w:before="25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4" w:after="0" w:line="230" w:lineRule="exact"/>
        <w:ind w:right="576"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determination of a different frequency for biological monitoring is a reviewable decision (see regulation 676).</w:t>
      </w:r>
    </w:p>
    <w:p>
      <w:pPr>
        <w:spacing w:before="113" w:after="0" w:line="279" w:lineRule="exact"/>
        <w:ind w:right="72"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408 Duty to ensure health monitoring is supervised by registered medical practitioner with relevant experience</w:t>
      </w:r>
    </w:p>
    <w:p>
      <w:pPr>
        <w:numPr>
          <w:ilvl w:val="0"/>
          <w:numId w:val="696"/>
        </w:numPr>
        <w:tabs>
          <w:tab w:val="clear" w:pos="360"/>
          <w:tab w:val="left" w:pos="1368"/>
        </w:tabs>
        <w:spacing w:before="116" w:after="0" w:line="277"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must ensure that the health monitoring of a worker referred to in this Division is carried out by or under the supervision of a registered medical practitioner with experience in health monitoring.</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696"/>
        </w:numPr>
        <w:tabs>
          <w:tab w:val="clear" w:pos="360"/>
          <w:tab w:val="left" w:pos="1368"/>
        </w:tabs>
        <w:spacing w:before="126" w:after="0" w:line="273"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consult the worker in relation to the selection of the registered medical practitioner.</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6"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0" w:after="0" w:line="273"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409 Duty to pay costs of health monitoring</w:t>
      </w:r>
    </w:p>
    <w:p>
      <w:pPr>
        <w:numPr>
          <w:ilvl w:val="0"/>
          <w:numId w:val="697"/>
        </w:numPr>
        <w:tabs>
          <w:tab w:val="clear" w:pos="360"/>
          <w:tab w:val="left" w:pos="1368"/>
        </w:tabs>
        <w:spacing w:before="126" w:after="0" w:line="273" w:lineRule="exact"/>
        <w:ind w:right="288"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A person conducting a business or undertaking must pay all expenses relating to health monitoring referred to in this Division.</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6"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numPr>
          <w:ilvl w:val="0"/>
          <w:numId w:val="697"/>
        </w:numPr>
        <w:tabs>
          <w:tab w:val="clear" w:pos="360"/>
          <w:tab w:val="left" w:pos="1368"/>
        </w:tabs>
        <w:spacing w:before="120"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spacing w:before="120" w:after="0" w:line="273" w:lineRule="exact"/>
        <w:ind w:right="0" w:left="0" w:firstLine="0"/>
        <w:jc w:val="center"/>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410 Information that must be provided to registered medical practitioner</w:t>
      </w:r>
    </w:p>
    <w:p>
      <w:pPr>
        <w:spacing w:before="126" w:after="787" w:line="273" w:lineRule="exact"/>
        <w:ind w:right="288"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person conducting a business or undertaking who commissions health monitoring for a worker must provide the following</w:t>
      </w:r>
    </w:p>
    <w:p>
      <w:pPr>
        <w:spacing w:before="126" w:after="787"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284</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7.2	</w:t>
      </w:r>
      <w:r>
        <w:rPr>
          <w:rFonts w:ascii="Times New Roman" w:hAnsi="Times New Roman" w:eastAsia="Times New Roman"/>
          <w:color w:val="000000"/>
          <w:spacing w:val="0"/>
          <w:w w:val="100"/>
          <w:sz w:val="20"/>
          <w:vertAlign w:val="baseline"/>
          <w:lang w:val="en-US"/>
        </w:rPr>
        <w:t xml:space="preserve">Lead</w:t>
      </w:r>
    </w:p>
    <w:p>
      <w:pPr>
        <w:spacing w:before="245" w:after="0" w:line="279" w:lineRule="exact"/>
        <w:ind w:right="432"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information to the registered medical practitioner carrying out or supervising the health monitoring:</w:t>
      </w:r>
    </w:p>
    <w:p>
      <w:pPr>
        <w:numPr>
          <w:ilvl w:val="0"/>
          <w:numId w:val="698"/>
        </w:numPr>
        <w:tabs>
          <w:tab w:val="clear" w:pos="288"/>
          <w:tab w:val="left" w:pos="1872"/>
        </w:tabs>
        <w:spacing w:before="114" w:after="0" w:line="279" w:lineRule="exact"/>
        <w:ind w:right="72"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and address of the person conducting the business or undertaking;</w:t>
      </w:r>
    </w:p>
    <w:p>
      <w:pPr>
        <w:numPr>
          <w:ilvl w:val="0"/>
          <w:numId w:val="698"/>
        </w:numPr>
        <w:tabs>
          <w:tab w:val="clear" w:pos="288"/>
          <w:tab w:val="left" w:pos="1872"/>
        </w:tabs>
        <w:spacing w:before="120" w:after="0" w:line="273"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and date of birth of the worker;</w:t>
      </w:r>
    </w:p>
    <w:p>
      <w:pPr>
        <w:numPr>
          <w:ilvl w:val="0"/>
          <w:numId w:val="698"/>
        </w:numPr>
        <w:tabs>
          <w:tab w:val="clear" w:pos="288"/>
          <w:tab w:val="left" w:pos="1872"/>
        </w:tabs>
        <w:spacing w:before="126" w:after="0" w:line="273" w:lineRule="exact"/>
        <w:ind w:right="288"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lead risk work that the worker is, or will be, carrying out that has triggered the requirement for health monitoring;</w:t>
      </w:r>
    </w:p>
    <w:p>
      <w:pPr>
        <w:numPr>
          <w:ilvl w:val="0"/>
          <w:numId w:val="698"/>
        </w:numPr>
        <w:tabs>
          <w:tab w:val="clear" w:pos="288"/>
          <w:tab w:val="left" w:pos="1872"/>
        </w:tabs>
        <w:spacing w:before="126" w:after="0" w:line="273" w:lineRule="exact"/>
        <w:ind w:right="288"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worker has started that work, how long the worker has been carrying out that work.</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6"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0"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411 Duty to obtain health monitoring report</w:t>
      </w:r>
    </w:p>
    <w:p>
      <w:pPr>
        <w:numPr>
          <w:ilvl w:val="0"/>
          <w:numId w:val="699"/>
        </w:numPr>
        <w:tabs>
          <w:tab w:val="clear" w:pos="360"/>
          <w:tab w:val="left" w:pos="1368"/>
        </w:tabs>
        <w:spacing w:before="119"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who commissioned health monitoring referred to in this Division must take all reasonable steps to obtain a health monitoring report from the registered medical practitioner who carried out or supervised the monitoring as soon as practicable after the monitoring is carried out in relation to a worker.</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699"/>
        </w:numPr>
        <w:tabs>
          <w:tab w:val="clear" w:pos="360"/>
          <w:tab w:val="left" w:pos="1368"/>
        </w:tabs>
        <w:spacing w:before="125" w:after="0" w:line="273"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health monitoring report must include the following:</w:t>
      </w:r>
    </w:p>
    <w:p>
      <w:pPr>
        <w:numPr>
          <w:ilvl w:val="0"/>
          <w:numId w:val="700"/>
        </w:numPr>
        <w:tabs>
          <w:tab w:val="clear" w:pos="288"/>
          <w:tab w:val="left" w:pos="1872"/>
        </w:tabs>
        <w:spacing w:before="121"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and date of birth of the worker;</w:t>
      </w:r>
    </w:p>
    <w:p>
      <w:pPr>
        <w:numPr>
          <w:ilvl w:val="0"/>
          <w:numId w:val="700"/>
        </w:numPr>
        <w:tabs>
          <w:tab w:val="clear" w:pos="288"/>
          <w:tab w:val="left" w:pos="1872"/>
        </w:tabs>
        <w:spacing w:before="124" w:after="0" w:line="274" w:lineRule="exact"/>
        <w:ind w:right="432"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and registration number of the registered medical practitioner;</w:t>
      </w:r>
    </w:p>
    <w:p>
      <w:pPr>
        <w:numPr>
          <w:ilvl w:val="0"/>
          <w:numId w:val="700"/>
        </w:numPr>
        <w:tabs>
          <w:tab w:val="clear" w:pos="288"/>
          <w:tab w:val="left" w:pos="1872"/>
        </w:tabs>
        <w:spacing w:before="124" w:after="0" w:line="274" w:lineRule="exact"/>
        <w:ind w:right="72"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and address of the person conducting the business or undertaking who commissioned the health monitoring;</w:t>
      </w:r>
    </w:p>
    <w:p>
      <w:pPr>
        <w:numPr>
          <w:ilvl w:val="0"/>
          <w:numId w:val="700"/>
        </w:numPr>
        <w:tabs>
          <w:tab w:val="clear" w:pos="288"/>
          <w:tab w:val="left" w:pos="1872"/>
        </w:tabs>
        <w:spacing w:before="125" w:after="0" w:line="273"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date of health monitoring;</w:t>
      </w:r>
    </w:p>
    <w:p>
      <w:pPr>
        <w:numPr>
          <w:ilvl w:val="0"/>
          <w:numId w:val="700"/>
        </w:numPr>
        <w:tabs>
          <w:tab w:val="clear" w:pos="288"/>
          <w:tab w:val="left" w:pos="1872"/>
        </w:tabs>
        <w:spacing w:before="121" w:after="0" w:line="273"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a blood sample is taken—the date the blood sample is taken;</w:t>
      </w:r>
    </w:p>
    <w:p>
      <w:pPr>
        <w:numPr>
          <w:ilvl w:val="0"/>
          <w:numId w:val="700"/>
        </w:numPr>
        <w:tabs>
          <w:tab w:val="clear" w:pos="288"/>
          <w:tab w:val="left" w:pos="1872"/>
        </w:tabs>
        <w:spacing w:before="124" w:after="0" w:line="274" w:lineRule="exact"/>
        <w:ind w:right="432"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results of biological monitoring that indicate blood lead levels in the worker's body;</w:t>
      </w:r>
    </w:p>
    <w:p>
      <w:pPr>
        <w:numPr>
          <w:ilvl w:val="0"/>
          <w:numId w:val="700"/>
        </w:numPr>
        <w:tabs>
          <w:tab w:val="clear" w:pos="288"/>
          <w:tab w:val="left" w:pos="1872"/>
        </w:tabs>
        <w:spacing w:before="125" w:after="1320" w:line="273"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name of the pathology service used to carry out tests;</w:t>
      </w:r>
    </w:p>
    <w:p>
      <w:pPr>
        <w:spacing w:before="125" w:after="1320"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285</w:t>
      </w:r>
    </w:p>
    <w:p>
      <w:pPr>
        <w:sectPr>
          <w:type w:val="continuous"/>
          <w:pgSz w:w="11909" w:h="16838" w:orient="portrait"/>
          <w:pgMar w:bottom="1082" w:top="1140" w:right="5814" w:left="1975"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7.2	</w:t>
      </w:r>
      <w:r>
        <w:rPr>
          <w:rFonts w:ascii="Times New Roman" w:hAnsi="Times New Roman" w:eastAsia="Times New Roman"/>
          <w:color w:val="000000"/>
          <w:spacing w:val="0"/>
          <w:w w:val="100"/>
          <w:sz w:val="20"/>
          <w:vertAlign w:val="baseline"/>
          <w:lang w:val="en-US"/>
        </w:rPr>
        <w:t xml:space="preserve">Lead</w:t>
      </w:r>
    </w:p>
    <w:p>
      <w:pPr>
        <w:numPr>
          <w:ilvl w:val="0"/>
          <w:numId w:val="700"/>
        </w:numPr>
        <w:tabs>
          <w:tab w:val="clear" w:pos="288"/>
          <w:tab w:val="left" w:pos="1872"/>
        </w:tabs>
        <w:spacing w:before="248" w:after="0" w:line="276" w:lineRule="exact"/>
        <w:ind w:right="360" w:left="1872" w:hanging="288"/>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any test results that indicate that the worker has reached or exceeded the relevant blood lead level for that worker under regulation 415;</w:t>
      </w:r>
    </w:p>
    <w:p>
      <w:pPr>
        <w:numPr>
          <w:ilvl w:val="0"/>
          <w:numId w:val="700"/>
        </w:numPr>
        <w:tabs>
          <w:tab w:val="clear" w:pos="288"/>
          <w:tab w:val="left" w:pos="1872"/>
        </w:tabs>
        <w:spacing w:before="124" w:after="0" w:line="275"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advice that test results indicate that the worker may have contracted a disease, injury or illness as a result of carrying out the lead risk work that triggered the requirement for health monitoring;</w:t>
      </w:r>
    </w:p>
    <w:p>
      <w:pPr>
        <w:numPr>
          <w:ilvl w:val="0"/>
          <w:numId w:val="700"/>
        </w:numPr>
        <w:tabs>
          <w:tab w:val="clear" w:pos="288"/>
          <w:tab w:val="left" w:pos="1872"/>
        </w:tabs>
        <w:spacing w:before="124" w:after="0" w:line="275" w:lineRule="exact"/>
        <w:ind w:right="216"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recommendation that the person conducting the business or undertaking take remedial measures, including whether the worker can continue to carry out the type of work that triggered the requirement for health monitoring;</w:t>
      </w:r>
    </w:p>
    <w:p>
      <w:pPr>
        <w:spacing w:before="124"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4" w:after="0" w:line="230" w:lineRule="exact"/>
        <w:ind w:right="216"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The duty under regulation 415 to remove a worker from carrying out lead risk work applies even if there is no recommendation of a registered medical practitioner to do so.</w:t>
      </w:r>
    </w:p>
    <w:p>
      <w:pPr>
        <w:numPr>
          <w:ilvl w:val="0"/>
          <w:numId w:val="700"/>
        </w:numPr>
        <w:tabs>
          <w:tab w:val="clear" w:pos="288"/>
          <w:tab w:val="left" w:pos="1872"/>
        </w:tabs>
        <w:spacing w:before="117" w:after="0" w:line="276" w:lineRule="exact"/>
        <w:ind w:right="288"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whether medical counselling is required for the worker in relation to the work that triggered the requirement for health monitoring.</w:t>
      </w:r>
    </w:p>
    <w:p>
      <w:pPr>
        <w:spacing w:before="125"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412 Duty to give health monitoring report to worker</w:t>
      </w:r>
    </w:p>
    <w:p>
      <w:pPr>
        <w:spacing w:before="119" w:after="0" w:line="276" w:lineRule="exact"/>
        <w:ind w:right="216"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who commissioned health monitoring for a worker must give a copy of the health monitoring report to the worker as soon as practicable after the person obtains the report.</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5"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413 Duty to give health monitoring report to regulator</w:t>
      </w:r>
    </w:p>
    <w:p>
      <w:pPr>
        <w:spacing w:before="117" w:after="0" w:line="276"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for which a worker is carrying out work for which health monitoring is required must give a copy of the health monitoring report relating to the worker to the regulator as soon as practicable after obtaining the report if the report contains:</w:t>
      </w:r>
    </w:p>
    <w:p>
      <w:pPr>
        <w:numPr>
          <w:ilvl w:val="0"/>
          <w:numId w:val="701"/>
        </w:numPr>
        <w:tabs>
          <w:tab w:val="clear" w:pos="288"/>
          <w:tab w:val="left" w:pos="1872"/>
        </w:tabs>
        <w:spacing w:before="122" w:after="0" w:line="276" w:lineRule="exact"/>
        <w:ind w:right="36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test results that indicate that the worker has reached or exceeded the relevant blood lead level for that person under regulation 415; or</w:t>
      </w:r>
    </w:p>
    <w:p>
      <w:pPr>
        <w:numPr>
          <w:ilvl w:val="0"/>
          <w:numId w:val="701"/>
        </w:numPr>
        <w:tabs>
          <w:tab w:val="clear" w:pos="288"/>
          <w:tab w:val="left" w:pos="1872"/>
        </w:tabs>
        <w:spacing w:before="116" w:after="1118" w:line="278"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any advice that test results indicate that the worker may have contracted a disease, injury or illness as a result of carrying out</w:t>
      </w:r>
    </w:p>
    <w:p>
      <w:pPr>
        <w:spacing w:before="116" w:after="1118"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286</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7.2	</w:t>
      </w:r>
      <w:r>
        <w:rPr>
          <w:rFonts w:ascii="Times New Roman" w:hAnsi="Times New Roman" w:eastAsia="Times New Roman"/>
          <w:color w:val="000000"/>
          <w:spacing w:val="0"/>
          <w:w w:val="100"/>
          <w:sz w:val="20"/>
          <w:vertAlign w:val="baseline"/>
          <w:lang w:val="en-US"/>
        </w:rPr>
        <w:t xml:space="preserve">Lead</w:t>
      </w:r>
    </w:p>
    <w:p>
      <w:pPr>
        <w:spacing w:before="245" w:after="0" w:line="279" w:lineRule="exact"/>
        <w:ind w:right="144"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work that triggered the requirement for health monitoring; or</w:t>
      </w:r>
    </w:p>
    <w:p>
      <w:pPr>
        <w:spacing w:before="116" w:after="0" w:line="277"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any recommendation that the person conducting the business or undertaking take remedial measures, including whether the worker can continue to carry out the work that triggered the requirement for health monitoring.</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7" w:after="0" w:line="273"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414 Duty to give health monitoring report to relevant persons conducting businesses or undertakings</w:t>
      </w:r>
    </w:p>
    <w:p>
      <w:pPr>
        <w:spacing w:before="125" w:after="0" w:line="275"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5"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415 Removal of worker from lead risk work</w:t>
      </w:r>
    </w:p>
    <w:p>
      <w:pPr>
        <w:spacing w:before="117"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for which a worker is carrying out work must immediately remove the worker from carrying out lead risk work if following health monitoring:</w:t>
      </w:r>
    </w:p>
    <w:p>
      <w:pPr>
        <w:spacing w:before="124" w:after="0" w:line="274"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biological monitoring of the worker shows that the worker's blood lead level is, or is more than:</w:t>
      </w:r>
    </w:p>
    <w:p>
      <w:pPr>
        <w:numPr>
          <w:ilvl w:val="0"/>
          <w:numId w:val="702"/>
        </w:numPr>
        <w:tabs>
          <w:tab w:val="clear" w:pos="360"/>
          <w:tab w:val="left" w:pos="2376"/>
        </w:tabs>
        <w:spacing w:before="124" w:after="0" w:line="274" w:lineRule="exact"/>
        <w:ind w:right="50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females not of reproductive capacity and males— 30μg/dL (1.45μmol/L); or</w:t>
      </w:r>
    </w:p>
    <w:p>
      <w:pPr>
        <w:numPr>
          <w:ilvl w:val="0"/>
          <w:numId w:val="702"/>
        </w:numPr>
        <w:tabs>
          <w:tab w:val="clear" w:pos="360"/>
          <w:tab w:val="left" w:pos="2376"/>
        </w:tabs>
        <w:spacing w:before="124" w:after="0" w:line="274" w:lineRule="exact"/>
        <w:ind w:right="1008"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females of reproductive capacity—10μg/dL (0.48μmol/L); or</w:t>
      </w:r>
    </w:p>
    <w:p>
      <w:pPr>
        <w:spacing w:before="122" w:after="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the registered medical practitioner who supervised the health monitoring recommends that the worker be removed from carrying out the lead risk work; or</w:t>
      </w:r>
    </w:p>
    <w:p>
      <w:pPr>
        <w:spacing w:before="118" w:after="974" w:line="276"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(c) there is an indication that a risk control measure has failed and, as a result, the worker's blood lead level is likely to reach the relevant level for the worker referred to in paragraph (a).</w:t>
      </w:r>
    </w:p>
    <w:p>
      <w:pPr>
        <w:spacing w:before="118" w:after="974"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287</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7.2	</w:t>
      </w:r>
      <w:r>
        <w:rPr>
          <w:rFonts w:ascii="Times New Roman" w:hAnsi="Times New Roman" w:eastAsia="Times New Roman"/>
          <w:color w:val="000000"/>
          <w:spacing w:val="0"/>
          <w:w w:val="100"/>
          <w:sz w:val="20"/>
          <w:vertAlign w:val="baseline"/>
          <w:lang w:val="en-US"/>
        </w:rPr>
        <w:t xml:space="preserve">Lead</w:t>
      </w:r>
    </w:p>
    <w:p>
      <w:pPr>
        <w:spacing w:before="251"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Maximum penalty:</w:t>
      </w:r>
    </w:p>
    <w:p>
      <w:pPr>
        <w:spacing w:before="125"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19"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3" w:after="0" w:line="276" w:lineRule="exact"/>
        <w:ind w:right="57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person must notify the regulator as soon as practicable if a worker is removed from carrying out lead risk work under subregulation (1).</w:t>
      </w:r>
    </w:p>
    <w:p>
      <w:pPr>
        <w:spacing w:before="119"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19"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6" w:after="0" w:line="273" w:lineRule="exact"/>
        <w:ind w:right="36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416 Duty to ensure medical examination if worker removed from lead risk work</w:t>
      </w:r>
    </w:p>
    <w:p>
      <w:pPr>
        <w:numPr>
          <w:ilvl w:val="0"/>
          <w:numId w:val="703"/>
        </w:numPr>
        <w:tabs>
          <w:tab w:val="clear" w:pos="360"/>
          <w:tab w:val="left" w:pos="1368"/>
        </w:tabs>
        <w:spacing w:before="126" w:after="0" w:line="273" w:lineRule="exact"/>
        <w:ind w:right="360"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regulation applies if a worker is removed from carrying out lead risk work under regulation 415.</w:t>
      </w:r>
    </w:p>
    <w:p>
      <w:pPr>
        <w:numPr>
          <w:ilvl w:val="0"/>
          <w:numId w:val="703"/>
        </w:numPr>
        <w:tabs>
          <w:tab w:val="clear" w:pos="360"/>
          <w:tab w:val="left" w:pos="1368"/>
        </w:tabs>
        <w:spacing w:before="118" w:after="0" w:line="276"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4"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703"/>
        </w:numPr>
        <w:tabs>
          <w:tab w:val="clear" w:pos="360"/>
          <w:tab w:val="left" w:pos="1368"/>
        </w:tabs>
        <w:spacing w:before="116" w:after="0" w:line="278" w:lineRule="exact"/>
        <w:ind w:right="100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consult the worker in the selection of the registered medical practitioner.</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4" w:after="0" w:line="394" w:lineRule="exact"/>
        <w:ind w:right="0" w:left="1008" w:hanging="72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417 Return to lead risk work after removal</w:t>
        <w:br/>
      </w:r>
      <w:r>
        <w:rPr>
          <w:rFonts w:ascii="Times New Roman" w:hAnsi="Times New Roman" w:eastAsia="Times New Roman"/>
          <w:color w:val="000000"/>
          <w:spacing w:val="0"/>
          <w:w w:val="100"/>
          <w:sz w:val="24"/>
          <w:vertAlign w:val="baseline"/>
          <w:lang w:val="en-US"/>
        </w:rPr>
        <w:t xml:space="preserve">(1) This regulation applies if:</w:t>
      </w:r>
    </w:p>
    <w:p>
      <w:pPr>
        <w:numPr>
          <w:ilvl w:val="0"/>
          <w:numId w:val="704"/>
        </w:numPr>
        <w:tabs>
          <w:tab w:val="clear" w:pos="360"/>
          <w:tab w:val="left" w:pos="1872"/>
        </w:tabs>
        <w:spacing w:before="124" w:after="0" w:line="274"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worker is removed from carrying out lead risk work under regulation 415; and</w:t>
      </w:r>
    </w:p>
    <w:p>
      <w:pPr>
        <w:numPr>
          <w:ilvl w:val="0"/>
          <w:numId w:val="704"/>
        </w:numPr>
        <w:tabs>
          <w:tab w:val="clear" w:pos="360"/>
          <w:tab w:val="left" w:pos="1872"/>
        </w:tabs>
        <w:spacing w:before="122" w:after="1319" w:line="276"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person conducting a business or undertaking at the workplace who removed the worker expects the worker to return to carrying out lead risk work at the workplace.</w:t>
      </w:r>
    </w:p>
    <w:p>
      <w:pPr>
        <w:spacing w:before="122" w:after="1319"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288</w:t>
      </w:r>
    </w:p>
    <w:p>
      <w:pPr>
        <w:sectPr>
          <w:type w:val="continuous"/>
          <w:pgSz w:w="11909" w:h="16838" w:orient="portrait"/>
          <w:pgMar w:bottom="1082" w:top="1140" w:right="5814" w:left="1975"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7.2	</w:t>
      </w:r>
      <w:r>
        <w:rPr>
          <w:rFonts w:ascii="Times New Roman" w:hAnsi="Times New Roman" w:eastAsia="Times New Roman"/>
          <w:color w:val="000000"/>
          <w:spacing w:val="0"/>
          <w:w w:val="100"/>
          <w:sz w:val="20"/>
          <w:vertAlign w:val="baseline"/>
          <w:lang w:val="en-US"/>
        </w:rPr>
        <w:t xml:space="preserve">Lead</w:t>
      </w:r>
    </w:p>
    <w:p>
      <w:pPr>
        <w:numPr>
          <w:ilvl w:val="0"/>
          <w:numId w:val="705"/>
        </w:numPr>
        <w:tabs>
          <w:tab w:val="clear" w:pos="360"/>
          <w:tab w:val="left" w:pos="1368"/>
        </w:tabs>
        <w:spacing w:before="252"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spacing w:before="119"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19"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705"/>
        </w:numPr>
        <w:tabs>
          <w:tab w:val="clear" w:pos="360"/>
          <w:tab w:val="left" w:pos="1368"/>
        </w:tabs>
        <w:spacing w:before="126" w:after="0" w:line="273"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conducting the business or undertaking must ensure that the worker does not return to carrying out lead risk work until:</w:t>
      </w:r>
    </w:p>
    <w:p>
      <w:pPr>
        <w:spacing w:before="125" w:after="0" w:line="274"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the worker's blood lead level is less than:</w:t>
      </w:r>
    </w:p>
    <w:p>
      <w:pPr>
        <w:numPr>
          <w:ilvl w:val="0"/>
          <w:numId w:val="706"/>
        </w:numPr>
        <w:tabs>
          <w:tab w:val="clear" w:pos="360"/>
          <w:tab w:val="left" w:pos="2376"/>
        </w:tabs>
        <w:spacing w:before="119" w:after="0" w:line="274" w:lineRule="exact"/>
        <w:ind w:right="50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females not of reproductive capacity and males— 20μg/dL (0.97μmol/L); or</w:t>
      </w:r>
    </w:p>
    <w:p>
      <w:pPr>
        <w:numPr>
          <w:ilvl w:val="0"/>
          <w:numId w:val="706"/>
        </w:numPr>
        <w:tabs>
          <w:tab w:val="clear" w:pos="360"/>
          <w:tab w:val="left" w:pos="2376"/>
        </w:tabs>
        <w:spacing w:before="124" w:after="0" w:line="274" w:lineRule="exact"/>
        <w:ind w:right="115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females of reproductive capacity—5μg/dL (0.24μmol/L); and</w:t>
      </w:r>
    </w:p>
    <w:p>
      <w:pPr>
        <w:spacing w:before="122" w:after="0" w:line="276"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a registered medical practitioner with experience in health monitoring is satisfied that the worker is fit to return to carrying out lead risk work.</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418 Health monitoring records</w:t>
      </w:r>
    </w:p>
    <w:p>
      <w:pPr>
        <w:spacing w:before="118"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must ensure that health monitoring reports in relation to a worker carrying out work for the business or undertaking are kept as a confidential record:</w:t>
      </w:r>
    </w:p>
    <w:p>
      <w:pPr>
        <w:numPr>
          <w:ilvl w:val="0"/>
          <w:numId w:val="707"/>
        </w:numPr>
        <w:tabs>
          <w:tab w:val="clear" w:pos="360"/>
          <w:tab w:val="left" w:pos="1872"/>
        </w:tabs>
        <w:spacing w:before="124" w:after="0" w:line="274"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identified as a record in relation to the worker; and</w:t>
      </w:r>
    </w:p>
    <w:p>
      <w:pPr>
        <w:numPr>
          <w:ilvl w:val="0"/>
          <w:numId w:val="707"/>
        </w:numPr>
        <w:tabs>
          <w:tab w:val="clear" w:pos="360"/>
          <w:tab w:val="left" w:pos="1872"/>
        </w:tabs>
        <w:spacing w:before="120" w:after="0" w:line="274"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at least 30 years after the record is made.</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4"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18" w:after="1165"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(2) The person must ensure that the health monitoring report and results of a worker are not disclosed to another person without the worker's written consent.</w:t>
      </w:r>
    </w:p>
    <w:p>
      <w:pPr>
        <w:spacing w:before="118" w:after="1165"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289</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7.2	</w:t>
      </w:r>
      <w:r>
        <w:rPr>
          <w:rFonts w:ascii="Times New Roman" w:hAnsi="Times New Roman" w:eastAsia="Times New Roman"/>
          <w:color w:val="000000"/>
          <w:spacing w:val="0"/>
          <w:w w:val="100"/>
          <w:sz w:val="20"/>
          <w:vertAlign w:val="baseline"/>
          <w:lang w:val="en-US"/>
        </w:rPr>
        <w:t xml:space="preserve">Lead</w:t>
      </w:r>
    </w:p>
    <w:p>
      <w:pPr>
        <w:spacing w:before="251"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Maximum penalty:</w:t>
      </w:r>
    </w:p>
    <w:p>
      <w:pPr>
        <w:spacing w:before="125"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19"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23" w:after="10204"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pict>
          <v:line strokeweight="0.7pt" strokecolor="#000000" from="243.6pt,235.9pt" to="352.15pt,235.9pt" style="position:absolute;mso-position-horizontal-relative:page;mso-position-vertical-relative:page;">
            <v:stroke dashstyle="solid"/>
          </v:line>
        </w:pict>
      </w: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(3) Subregulation (2) does not apply if the record is disclosed under regulation 412, 413 or 414 or to a person who must keep the record confidential under a duty of professional confidentiality.</w:t>
      </w:r>
    </w:p>
    <w:p>
      <w:pPr>
        <w:spacing w:before="321" w:after="0" w:line="288" w:lineRule="exact"/>
        <w:ind w:right="0" w:left="0" w:firstLine="0"/>
        <w:jc w:val="left"/>
        <w:textAlignment w:val="baseline"/>
        <w:rPr>
          <w:rFonts w:ascii="Times New Roman" w:hAnsi="Times New Roman" w:eastAsia="Times New Roman"/>
          <w:color w:val="000000"/>
          <w:w w:val="100"/>
          <w:sz w:val="24"/>
          <w:vertAlign w:val="baseline"/>
          <w:lang w:val="en-US"/>
        </w:rPr>
      </w:pPr>
    </w:p>
    <w:p>
      <w:pPr>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290</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8.1	</w:t>
      </w:r>
      <w:r>
        <w:rPr>
          <w:rFonts w:ascii="Times New Roman" w:hAnsi="Times New Roman" w:eastAsia="Times New Roman"/>
          <w:color w:val="000000"/>
          <w:spacing w:val="0"/>
          <w:w w:val="100"/>
          <w:sz w:val="20"/>
          <w:vertAlign w:val="baseline"/>
          <w:lang w:val="en-US"/>
        </w:rPr>
        <w:t xml:space="preserve">Prohibitions and Authorised Conduct</w:t>
      </w:r>
    </w:p>
    <w:p>
      <w:pPr>
        <w:spacing w:before="269" w:after="0" w:line="287" w:lineRule="exact"/>
        <w:ind w:right="0" w:left="0" w:firstLine="0"/>
        <w:jc w:val="left"/>
        <w:textAlignment w:val="baseline"/>
        <w:rPr>
          <w:rFonts w:ascii="Times New Roman" w:hAnsi="Times New Roman" w:eastAsia="Times New Roman"/>
          <w:b w:val="true"/>
          <w:color w:val="000000"/>
          <w:spacing w:val="13"/>
          <w:w w:val="100"/>
          <w:sz w:val="25"/>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13"/>
          <w:w w:val="100"/>
          <w:sz w:val="25"/>
          <w:vertAlign w:val="baseline"/>
          <w:lang w:val="en-US"/>
        </w:rPr>
        <w:t xml:space="preserve">CHAPTER 8 ASBESTOS</w:t>
      </w:r>
    </w:p>
    <w:p>
      <w:pPr>
        <w:spacing w:before="239" w:after="0" w:line="316" w:lineRule="exact"/>
        <w:ind w:right="0" w:left="0" w:firstLine="0"/>
        <w:jc w:val="left"/>
        <w:textAlignment w:val="baseline"/>
        <w:rPr>
          <w:rFonts w:ascii="Times New Roman" w:hAnsi="Times New Roman" w:eastAsia="Times New Roman"/>
          <w:b w:val="true"/>
          <w:color w:val="000000"/>
          <w:spacing w:val="5"/>
          <w:w w:val="100"/>
          <w:sz w:val="28"/>
          <w:vertAlign w:val="baseline"/>
          <w:lang w:val="en-US"/>
        </w:rPr>
      </w:pPr>
      <w:r>
        <w:rPr>
          <w:rFonts w:ascii="Times New Roman" w:hAnsi="Times New Roman" w:eastAsia="Times New Roman"/>
          <w:b w:val="true"/>
          <w:color w:val="000000"/>
          <w:spacing w:val="5"/>
          <w:w w:val="100"/>
          <w:sz w:val="28"/>
          <w:vertAlign w:val="baseline"/>
          <w:lang w:val="en-US"/>
        </w:rPr>
        <w:t xml:space="preserve">Part 8.1 Prohibitions and Authorised Conduct</w:t>
      </w:r>
    </w:p>
    <w:p>
      <w:pPr>
        <w:spacing w:before="120" w:after="0" w:line="273" w:lineRule="exact"/>
        <w:ind w:right="0" w:left="0" w:firstLine="0"/>
        <w:jc w:val="center"/>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419 Work involving asbestos or ACM—prohibitions and exceptions</w:t>
      </w:r>
    </w:p>
    <w:p>
      <w:pPr>
        <w:numPr>
          <w:ilvl w:val="0"/>
          <w:numId w:val="708"/>
        </w:numPr>
        <w:tabs>
          <w:tab w:val="clear" w:pos="360"/>
          <w:tab w:val="left" w:pos="1368"/>
        </w:tabs>
        <w:spacing w:before="121" w:after="0" w:line="274" w:lineRule="exact"/>
        <w:ind w:right="216"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A person conducting a business or undertaking must not carry out, or direct or allow a worker to carry out, work involving asbestos.</w:t>
      </w:r>
    </w:p>
    <w:p>
      <w:pPr>
        <w:spacing w:before="128" w:after="0" w:line="270"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0"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8" w:after="0" w:line="270"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708"/>
        </w:numPr>
        <w:tabs>
          <w:tab w:val="clear" w:pos="360"/>
          <w:tab w:val="left" w:pos="1368"/>
        </w:tabs>
        <w:spacing w:before="120"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this regulation, work </w:t>
      </w:r>
      <w:r>
        <w:rPr>
          <w:rFonts w:ascii="Times New Roman" w:hAnsi="Times New Roman" w:eastAsia="Times New Roman"/>
          <w:b w:val="true"/>
          <w:i w:val="true"/>
          <w:color w:val="000000"/>
          <w:spacing w:val="0"/>
          <w:w w:val="100"/>
          <w:sz w:val="24"/>
          <w:vertAlign w:val="baseline"/>
          <w:lang w:val="en-US"/>
        </w:rPr>
        <w:t xml:space="preserve">involves </w:t>
      </w:r>
      <w:r>
        <w:rPr>
          <w:rFonts w:ascii="Times New Roman" w:hAnsi="Times New Roman" w:eastAsia="Times New Roman"/>
          <w:color w:val="000000"/>
          <w:spacing w:val="0"/>
          <w:w w:val="100"/>
          <w:sz w:val="24"/>
          <w:vertAlign w:val="baseline"/>
          <w:lang w:val="en-US"/>
        </w:rPr>
        <w:t xml:space="preserve">asbestos if the work involves manufacturing, supplying, transporting, storing, removing, using, installing, handling, treating, disposing of or disturbing asbestos or ACM.</w:t>
      </w:r>
    </w:p>
    <w:p>
      <w:pPr>
        <w:numPr>
          <w:ilvl w:val="0"/>
          <w:numId w:val="708"/>
        </w:numPr>
        <w:tabs>
          <w:tab w:val="clear" w:pos="360"/>
          <w:tab w:val="left" w:pos="1368"/>
        </w:tabs>
        <w:spacing w:before="116" w:after="0" w:line="278"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Subregulation (1) does not apply if the work involving asbestos is any of the following:</w:t>
      </w:r>
    </w:p>
    <w:p>
      <w:pPr>
        <w:numPr>
          <w:ilvl w:val="0"/>
          <w:numId w:val="709"/>
        </w:numPr>
        <w:tabs>
          <w:tab w:val="clear" w:pos="288"/>
          <w:tab w:val="left" w:pos="1872"/>
        </w:tabs>
        <w:spacing w:before="124" w:after="0" w:line="270"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genuine research and analysis;</w:t>
      </w:r>
    </w:p>
    <w:p>
      <w:pPr>
        <w:numPr>
          <w:ilvl w:val="0"/>
          <w:numId w:val="709"/>
        </w:numPr>
        <w:tabs>
          <w:tab w:val="clear" w:pos="288"/>
          <w:tab w:val="left" w:pos="1872"/>
        </w:tabs>
        <w:spacing w:before="124" w:after="0" w:line="274" w:lineRule="exact"/>
        <w:ind w:right="108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sampling and identification in accordance with these Regulations;</w:t>
      </w:r>
    </w:p>
    <w:p>
      <w:pPr>
        <w:numPr>
          <w:ilvl w:val="0"/>
          <w:numId w:val="709"/>
        </w:numPr>
        <w:tabs>
          <w:tab w:val="clear" w:pos="288"/>
          <w:tab w:val="left" w:pos="1872"/>
        </w:tabs>
        <w:spacing w:before="122" w:after="0" w:line="276" w:lineRule="exact"/>
        <w:ind w:right="36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maintenance of, or service work on, non-friable asbestos or ACM, fixed or installed before 31 December 2003, in accordance with these Regulations;</w:t>
      </w:r>
    </w:p>
    <w:p>
      <w:pPr>
        <w:numPr>
          <w:ilvl w:val="0"/>
          <w:numId w:val="709"/>
        </w:numPr>
        <w:tabs>
          <w:tab w:val="clear" w:pos="288"/>
          <w:tab w:val="left" w:pos="1872"/>
        </w:tabs>
        <w:spacing w:before="116" w:after="0" w:line="278"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removal or disposal of asbestos or ACM, including demolition, in accordance with these Regulations;</w:t>
      </w:r>
    </w:p>
    <w:p>
      <w:pPr>
        <w:numPr>
          <w:ilvl w:val="0"/>
          <w:numId w:val="709"/>
        </w:numPr>
        <w:tabs>
          <w:tab w:val="clear" w:pos="288"/>
          <w:tab w:val="left" w:pos="1872"/>
        </w:tabs>
        <w:spacing w:before="116" w:after="0" w:line="278" w:lineRule="exact"/>
        <w:ind w:right="576"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transport and disposal of asbestos or asbestos waste in accordance with [jurisdictional legislation];</w:t>
      </w:r>
    </w:p>
    <w:p>
      <w:pPr>
        <w:spacing w:before="127"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8"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jurisdictional note in the Appendix.</w:t>
      </w:r>
    </w:p>
    <w:p>
      <w:pPr>
        <w:numPr>
          <w:ilvl w:val="0"/>
          <w:numId w:val="709"/>
        </w:numPr>
        <w:tabs>
          <w:tab w:val="clear" w:pos="288"/>
          <w:tab w:val="left" w:pos="1872"/>
        </w:tabs>
        <w:spacing w:before="110" w:after="0" w:line="279" w:lineRule="exact"/>
        <w:ind w:right="288"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demonstrations, education or practical training in relation to asbestos or ACM;</w:t>
      </w:r>
    </w:p>
    <w:p>
      <w:pPr>
        <w:numPr>
          <w:ilvl w:val="0"/>
          <w:numId w:val="709"/>
        </w:numPr>
        <w:tabs>
          <w:tab w:val="clear" w:pos="288"/>
          <w:tab w:val="left" w:pos="1872"/>
        </w:tabs>
        <w:spacing w:before="114" w:after="0" w:line="279" w:lineRule="exact"/>
        <w:ind w:right="720" w:left="1872" w:hanging="288"/>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display, or preparation or maintenance for display, of an artefact or thing that is, or includes, asbestos or ACM;</w:t>
      </w:r>
    </w:p>
    <w:p>
      <w:pPr>
        <w:numPr>
          <w:ilvl w:val="0"/>
          <w:numId w:val="709"/>
        </w:numPr>
        <w:tabs>
          <w:tab w:val="clear" w:pos="288"/>
          <w:tab w:val="left" w:pos="1872"/>
        </w:tabs>
        <w:spacing w:before="114" w:after="0" w:line="279" w:lineRule="exact"/>
        <w:ind w:right="144" w:left="1872" w:hanging="288"/>
        <w:jc w:val="both"/>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management in accordance with these Regulations of in situ asbestos that was installed or fixed before 31 December 2003;</w:t>
      </w:r>
    </w:p>
    <w:p>
      <w:pPr>
        <w:numPr>
          <w:ilvl w:val="0"/>
          <w:numId w:val="709"/>
        </w:numPr>
        <w:tabs>
          <w:tab w:val="clear" w:pos="288"/>
          <w:tab w:val="left" w:pos="1872"/>
        </w:tabs>
        <w:spacing w:before="117" w:after="795" w:line="276" w:lineRule="exact"/>
        <w:ind w:right="360" w:left="1872" w:hanging="288"/>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work that disturbs asbestos during mining operations that involve the extraction of, or exploration for, a mineral other than asbestos;</w:t>
      </w:r>
    </w:p>
    <w:p>
      <w:pPr>
        <w:spacing w:before="117" w:after="795"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291</w:t>
      </w:r>
    </w:p>
    <w:p>
      <w:pPr>
        <w:sectPr>
          <w:type w:val="continuous"/>
          <w:pgSz w:w="11909" w:h="16838" w:orient="portrait"/>
          <w:pgMar w:bottom="1082" w:top="1140" w:right="5819" w:left="1970"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8.1	</w:t>
      </w:r>
      <w:r>
        <w:rPr>
          <w:rFonts w:ascii="Times New Roman" w:hAnsi="Times New Roman" w:eastAsia="Times New Roman"/>
          <w:color w:val="000000"/>
          <w:spacing w:val="0"/>
          <w:w w:val="100"/>
          <w:sz w:val="20"/>
          <w:vertAlign w:val="baseline"/>
          <w:lang w:val="en-US"/>
        </w:rPr>
        <w:t xml:space="preserve">Prohibitions and Authorised Conduct</w:t>
      </w:r>
    </w:p>
    <w:p>
      <w:pPr>
        <w:numPr>
          <w:ilvl w:val="0"/>
          <w:numId w:val="709"/>
        </w:numPr>
        <w:tabs>
          <w:tab w:val="clear" w:pos="288"/>
          <w:tab w:val="left" w:pos="1872"/>
        </w:tabs>
        <w:spacing w:before="245" w:after="0" w:line="279" w:lineRule="exact"/>
        <w:ind w:right="144" w:left="1872" w:hanging="288"/>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laundering asbestos contaminated clothing in accordance with these Regulations;</w:t>
      </w:r>
    </w:p>
    <w:p>
      <w:pPr>
        <w:numPr>
          <w:ilvl w:val="0"/>
          <w:numId w:val="709"/>
        </w:numPr>
        <w:tabs>
          <w:tab w:val="clear" w:pos="288"/>
          <w:tab w:val="left" w:pos="1872"/>
        </w:tabs>
        <w:spacing w:before="114" w:after="0" w:line="279" w:lineRule="exact"/>
        <w:ind w:right="144"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work that is being carried out in accordance with a prohibited asbestos notice issued under section 197B of the Act.</w:t>
      </w:r>
    </w:p>
    <w:p>
      <w:pPr>
        <w:numPr>
          <w:ilvl w:val="0"/>
          <w:numId w:val="710"/>
        </w:numPr>
        <w:tabs>
          <w:tab w:val="clear" w:pos="360"/>
          <w:tab w:val="left" w:pos="1368"/>
        </w:tabs>
        <w:spacing w:before="114" w:after="0" w:line="279" w:lineRule="exact"/>
        <w:ind w:right="720"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Subregulation (1) does not apply if the regulator approves the method adopted for managing risk associated with asbestos.</w:t>
      </w:r>
    </w:p>
    <w:p>
      <w:pPr>
        <w:numPr>
          <w:ilvl w:val="0"/>
          <w:numId w:val="710"/>
        </w:numPr>
        <w:tabs>
          <w:tab w:val="clear" w:pos="360"/>
          <w:tab w:val="left" w:pos="1368"/>
        </w:tabs>
        <w:spacing w:before="120" w:after="0" w:line="273"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Subregulation (1) does not apply to the following:</w:t>
      </w:r>
    </w:p>
    <w:p>
      <w:pPr>
        <w:spacing w:before="126"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soil that a competent person has determined:</w:t>
      </w:r>
    </w:p>
    <w:p>
      <w:pPr>
        <w:numPr>
          <w:ilvl w:val="0"/>
          <w:numId w:val="711"/>
        </w:numPr>
        <w:tabs>
          <w:tab w:val="clear" w:pos="360"/>
          <w:tab w:val="left" w:pos="2376"/>
        </w:tabs>
        <w:spacing w:before="120" w:after="0" w:line="273"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does not contain any visible ACM or friable asbestos; or</w:t>
      </w:r>
    </w:p>
    <w:p>
      <w:pPr>
        <w:numPr>
          <w:ilvl w:val="0"/>
          <w:numId w:val="711"/>
        </w:numPr>
        <w:tabs>
          <w:tab w:val="clear" w:pos="360"/>
          <w:tab w:val="left" w:pos="2376"/>
        </w:tabs>
        <w:spacing w:before="124" w:after="0" w:line="275" w:lineRule="exact"/>
        <w:ind w:right="14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friable asbestos is visible—does not contain more than trace levels of asbestos determined in accordance with AS 4964:2004 (Method for the qualitative identification of asbestos in bulk samples);</w:t>
      </w:r>
    </w:p>
    <w:p>
      <w:pPr>
        <w:spacing w:before="116" w:after="7244" w:line="278" w:lineRule="exact"/>
        <w:ind w:right="360" w:left="1872" w:hanging="360"/>
        <w:jc w:val="both"/>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(b) naturally occurring asbestos managed in accordance with an asbestos management plan prepared under regulation 432.</w:t>
      </w:r>
    </w:p>
    <w:p>
      <w:pPr>
        <w:spacing w:before="333"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1.05pt,0.3pt" style="position:absolute;mso-position-horizontal-relative:text;mso-position-vertical-relative:text;">
            <v:stroke dashstyle="solid"/>
          </v:line>
        </w:pict>
      </w:r>
    </w:p>
    <w:p>
      <w:pPr>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292</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8.2	</w:t>
      </w:r>
      <w:r>
        <w:rPr>
          <w:rFonts w:ascii="Times New Roman" w:hAnsi="Times New Roman" w:eastAsia="Times New Roman"/>
          <w:color w:val="000000"/>
          <w:spacing w:val="0"/>
          <w:w w:val="100"/>
          <w:sz w:val="20"/>
          <w:vertAlign w:val="baseline"/>
          <w:lang w:val="en-US"/>
        </w:rPr>
        <w:t xml:space="preserve">General Duty</w:t>
      </w:r>
    </w:p>
    <w:p>
      <w:pPr>
        <w:spacing w:before="258" w:after="0" w:line="317" w:lineRule="exact"/>
        <w:ind w:right="0" w:left="0" w:firstLine="0"/>
        <w:jc w:val="left"/>
        <w:textAlignment w:val="baseline"/>
        <w:rPr>
          <w:rFonts w:ascii="Times New Roman" w:hAnsi="Times New Roman" w:eastAsia="Times New Roman"/>
          <w:b w:val="true"/>
          <w:color w:val="000000"/>
          <w:spacing w:val="11"/>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11"/>
          <w:w w:val="100"/>
          <w:sz w:val="28"/>
          <w:vertAlign w:val="baseline"/>
          <w:lang w:val="en-US"/>
        </w:rPr>
        <w:t xml:space="preserve">Part 8.2 General Duty</w:t>
      </w:r>
    </w:p>
    <w:p>
      <w:pPr>
        <w:spacing w:before="118"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420 Exposure to airborne asbestos at workplace</w:t>
      </w:r>
    </w:p>
    <w:p>
      <w:pPr>
        <w:spacing w:before="124" w:after="0" w:line="274" w:lineRule="exact"/>
        <w:ind w:right="72"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at a workplace must ensure that:</w:t>
      </w:r>
    </w:p>
    <w:p>
      <w:pPr>
        <w:numPr>
          <w:ilvl w:val="0"/>
          <w:numId w:val="712"/>
        </w:numPr>
        <w:tabs>
          <w:tab w:val="clear" w:pos="360"/>
          <w:tab w:val="left" w:pos="1872"/>
        </w:tabs>
        <w:spacing w:before="124" w:after="0" w:line="274"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exposure of a person at the workplace to airborne asbestos is eliminated so far as is reasonably practicable; and</w:t>
      </w:r>
    </w:p>
    <w:p>
      <w:pPr>
        <w:numPr>
          <w:ilvl w:val="0"/>
          <w:numId w:val="712"/>
        </w:numPr>
        <w:tabs>
          <w:tab w:val="clear" w:pos="360"/>
          <w:tab w:val="left" w:pos="1872"/>
        </w:tabs>
        <w:spacing w:before="122" w:after="0" w:line="276" w:lineRule="exact"/>
        <w:ind w:right="79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it not reasonably practicable to eliminate exposure to airborne asbestos—exposure is minimised so far as is reasonably practicable.</w:t>
      </w:r>
    </w:p>
    <w:p>
      <w:pPr>
        <w:spacing w:before="123"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8"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WHS Act—section 19 (see regulation 9).</w:t>
      </w:r>
    </w:p>
    <w:p>
      <w:pPr>
        <w:spacing w:before="117" w:after="0" w:line="276" w:lineRule="exact"/>
        <w:ind w:right="72"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 person conducting a business or undertaking at a workplace must ensure that the exposure standard for asbestos is not exceeded at the workplace.</w:t>
      </w:r>
    </w:p>
    <w:p>
      <w:pPr>
        <w:spacing w:before="119"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19"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6" w:after="0" w:line="273" w:lineRule="exact"/>
        <w:ind w:right="72"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Subregulations (1)(a) and (2) do not apply in relation to an asbestos removal area:</w:t>
      </w:r>
    </w:p>
    <w:p>
      <w:pPr>
        <w:numPr>
          <w:ilvl w:val="0"/>
          <w:numId w:val="713"/>
        </w:numPr>
        <w:tabs>
          <w:tab w:val="clear" w:pos="360"/>
          <w:tab w:val="left" w:pos="1872"/>
        </w:tabs>
        <w:spacing w:before="126" w:after="0" w:line="273"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is enclosed to prevent the release of respirable asbestos fibres in accordance with regulation 477; and</w:t>
      </w:r>
    </w:p>
    <w:p>
      <w:pPr>
        <w:numPr>
          <w:ilvl w:val="0"/>
          <w:numId w:val="713"/>
        </w:numPr>
        <w:tabs>
          <w:tab w:val="clear" w:pos="360"/>
          <w:tab w:val="left" w:pos="1872"/>
        </w:tabs>
        <w:spacing w:before="126" w:after="4363" w:line="273"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which negative pressure is used in accordance with that regulation.</w:t>
      </w:r>
    </w:p>
    <w:p>
      <w:pPr>
        <w:spacing w:before="333"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1.05pt,0.3pt" style="position:absolute;mso-position-horizontal-relative:text;mso-position-vertical-relative:text;">
            <v:stroke dashstyle="solid"/>
          </v:line>
        </w:pict>
      </w:r>
    </w:p>
    <w:p>
      <w:pPr>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293</w:t>
      </w:r>
    </w:p>
    <w:p>
      <w:pPr>
        <w:sectPr>
          <w:type w:val="continuous"/>
          <w:pgSz w:w="11909" w:h="16838" w:orient="portrait"/>
          <w:pgMar w:bottom="1082" w:top="1140" w:right="5817" w:left="1972"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8.3	</w:t>
      </w:r>
      <w:r>
        <w:rPr>
          <w:rFonts w:ascii="Times New Roman" w:hAnsi="Times New Roman" w:eastAsia="Times New Roman"/>
          <w:color w:val="000000"/>
          <w:spacing w:val="0"/>
          <w:w w:val="100"/>
          <w:sz w:val="20"/>
          <w:vertAlign w:val="baseline"/>
          <w:lang w:val="en-US"/>
        </w:rPr>
        <w:t xml:space="preserve">Management of Asbestos and Associated Risks</w:t>
      </w:r>
    </w:p>
    <w:p>
      <w:pPr>
        <w:spacing w:before="258" w:after="0" w:line="317" w:lineRule="exact"/>
        <w:ind w:right="0" w:left="0" w:firstLine="0"/>
        <w:jc w:val="left"/>
        <w:textAlignment w:val="baseline"/>
        <w:rPr>
          <w:rFonts w:ascii="Times New Roman" w:hAnsi="Times New Roman" w:eastAsia="Times New Roman"/>
          <w:b w:val="true"/>
          <w:color w:val="000000"/>
          <w:spacing w:val="4"/>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4"/>
          <w:w w:val="100"/>
          <w:sz w:val="28"/>
          <w:vertAlign w:val="baseline"/>
          <w:lang w:val="en-US"/>
        </w:rPr>
        <w:t xml:space="preserve">Part 8.3 Management of Asbestos and Associated Risks</w:t>
      </w:r>
    </w:p>
    <w:p>
      <w:pPr>
        <w:tabs>
          <w:tab w:val="left" w:leader="none" w:pos="864"/>
        </w:tabs>
        <w:spacing w:before="118"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421	</w:t>
      </w:r>
      <w:r>
        <w:rPr>
          <w:rFonts w:ascii="Times New Roman" w:hAnsi="Times New Roman" w:eastAsia="Times New Roman"/>
          <w:b w:val="true"/>
          <w:color w:val="000000"/>
          <w:spacing w:val="0"/>
          <w:w w:val="100"/>
          <w:sz w:val="24"/>
          <w:vertAlign w:val="baseline"/>
          <w:lang w:val="en-US"/>
        </w:rPr>
        <w:t xml:space="preserve">Application of Part 8.3</w:t>
      </w:r>
    </w:p>
    <w:p>
      <w:pPr>
        <w:numPr>
          <w:ilvl w:val="0"/>
          <w:numId w:val="714"/>
        </w:numPr>
        <w:tabs>
          <w:tab w:val="clear" w:pos="360"/>
          <w:tab w:val="left" w:pos="1368"/>
        </w:tabs>
        <w:spacing w:before="124" w:after="0" w:line="273"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Part does not apply to naturally occurring asbestos.</w:t>
      </w:r>
    </w:p>
    <w:p>
      <w:pPr>
        <w:numPr>
          <w:ilvl w:val="0"/>
          <w:numId w:val="714"/>
        </w:numPr>
        <w:tabs>
          <w:tab w:val="clear" w:pos="360"/>
          <w:tab w:val="left" w:pos="1368"/>
        </w:tabs>
        <w:spacing w:before="118" w:after="0" w:line="276"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Regulations 425, 426, 427, 428, 429 and 430 do not apply to any part of residential premises that is used only for residential purposes.</w:t>
      </w:r>
    </w:p>
    <w:p>
      <w:pPr>
        <w:spacing w:before="125"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422 Asbestos to be identified or assumed at workplace</w:t>
      </w:r>
    </w:p>
    <w:p>
      <w:pPr>
        <w:spacing w:before="117"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with management or control of a workplace must ensure, so far as is reasonably practicable, that all asbestos or ACM at the workplace is identified by a competent person.</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 person with management or control of a workplace must:</w:t>
      </w:r>
    </w:p>
    <w:p>
      <w:pPr>
        <w:numPr>
          <w:ilvl w:val="0"/>
          <w:numId w:val="715"/>
        </w:numPr>
        <w:tabs>
          <w:tab w:val="clear" w:pos="360"/>
          <w:tab w:val="left" w:pos="1872"/>
        </w:tabs>
        <w:spacing w:before="122" w:after="0" w:line="276"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material at the workplace cannot be identified but a competent person reasonably believes that the material is asbestos or ACM—assume that the material is asbestos; and</w:t>
      </w:r>
    </w:p>
    <w:p>
      <w:pPr>
        <w:numPr>
          <w:ilvl w:val="0"/>
          <w:numId w:val="715"/>
        </w:numPr>
        <w:tabs>
          <w:tab w:val="clear" w:pos="360"/>
          <w:tab w:val="left" w:pos="1872"/>
        </w:tabs>
        <w:spacing w:before="118"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part of the workplace is inaccessible to workers and likely to contain asbestos or ACM—assume that asbestos is present in the part of the workplace.</w:t>
      </w:r>
    </w:p>
    <w:p>
      <w:pPr>
        <w:spacing w:before="125"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Subregulation (1) does not apply if the person:</w:t>
      </w:r>
    </w:p>
    <w:p>
      <w:pPr>
        <w:numPr>
          <w:ilvl w:val="0"/>
          <w:numId w:val="716"/>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assumes that asbestos or ACM is present; or</w:t>
      </w:r>
    </w:p>
    <w:p>
      <w:pPr>
        <w:numPr>
          <w:ilvl w:val="0"/>
          <w:numId w:val="716"/>
        </w:numPr>
        <w:tabs>
          <w:tab w:val="clear" w:pos="360"/>
          <w:tab w:val="left" w:pos="1872"/>
        </w:tabs>
        <w:spacing w:before="124" w:after="0" w:line="274"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has reasonable grounds to believe that asbestos or ACM is not present.</w:t>
      </w:r>
    </w:p>
    <w:p>
      <w:pPr>
        <w:spacing w:before="124" w:after="0" w:line="274"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If asbestos or ACM is assumed to be present at a workplace, it is taken to be identified at the workplace.</w:t>
      </w:r>
    </w:p>
    <w:p>
      <w:pPr>
        <w:spacing w:before="125" w:after="0" w:line="274" w:lineRule="exact"/>
        <w:ind w:right="0" w:left="288" w:firstLine="0"/>
        <w:jc w:val="left"/>
        <w:textAlignment w:val="baseline"/>
        <w:rPr>
          <w:rFonts w:ascii="Times New Roman" w:hAnsi="Times New Roman" w:eastAsia="Times New Roman"/>
          <w:b w:val="true"/>
          <w:color w:val="000000"/>
          <w:spacing w:val="6"/>
          <w:w w:val="100"/>
          <w:sz w:val="24"/>
          <w:vertAlign w:val="baseline"/>
          <w:lang w:val="en-US"/>
        </w:rPr>
      </w:pPr>
      <w:r>
        <w:rPr>
          <w:rFonts w:ascii="Times New Roman" w:hAnsi="Times New Roman" w:eastAsia="Times New Roman"/>
          <w:b w:val="true"/>
          <w:color w:val="000000"/>
          <w:spacing w:val="6"/>
          <w:w w:val="100"/>
          <w:sz w:val="24"/>
          <w:vertAlign w:val="baseline"/>
          <w:lang w:val="en-US"/>
        </w:rPr>
        <w:t xml:space="preserve">423 Analysis of sample</w:t>
      </w:r>
    </w:p>
    <w:p>
      <w:pPr>
        <w:numPr>
          <w:ilvl w:val="0"/>
          <w:numId w:val="717"/>
        </w:numPr>
        <w:tabs>
          <w:tab w:val="clear" w:pos="360"/>
          <w:tab w:val="left" w:pos="1368"/>
        </w:tabs>
        <w:spacing w:before="117" w:after="0" w:line="276" w:lineRule="exact"/>
        <w:ind w:right="216"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A person with management or control of a workplace may identify asbestos or ACM by arranging for a sample of material at the workplace to be analysed for the presence of asbestos or ACM.</w:t>
      </w:r>
    </w:p>
    <w:p>
      <w:pPr>
        <w:numPr>
          <w:ilvl w:val="0"/>
          <w:numId w:val="717"/>
        </w:numPr>
        <w:tabs>
          <w:tab w:val="clear" w:pos="360"/>
          <w:tab w:val="left" w:pos="1368"/>
        </w:tabs>
        <w:spacing w:before="118" w:after="0" w:line="276" w:lineRule="exact"/>
        <w:ind w:right="72"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a person with management or control of a workplace arranges for an analysis, the person must ensure that the sample is analysed only by:</w:t>
      </w:r>
    </w:p>
    <w:p>
      <w:pPr>
        <w:spacing w:before="124" w:after="844" w:line="274"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a NATA-accredited laboratory accredited for the relevant test method; or</w:t>
      </w:r>
    </w:p>
    <w:p>
      <w:pPr>
        <w:spacing w:before="124" w:after="844"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294</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8.3	</w:t>
      </w:r>
      <w:r>
        <w:rPr>
          <w:rFonts w:ascii="Times New Roman" w:hAnsi="Times New Roman" w:eastAsia="Times New Roman"/>
          <w:color w:val="000000"/>
          <w:spacing w:val="0"/>
          <w:w w:val="100"/>
          <w:sz w:val="20"/>
          <w:vertAlign w:val="baseline"/>
          <w:lang w:val="en-US"/>
        </w:rPr>
        <w:t xml:space="preserve">Management of Asbestos and Associated Risks</w:t>
      </w:r>
    </w:p>
    <w:p>
      <w:pPr>
        <w:numPr>
          <w:ilvl w:val="0"/>
          <w:numId w:val="718"/>
        </w:numPr>
        <w:tabs>
          <w:tab w:val="clear" w:pos="360"/>
          <w:tab w:val="left" w:pos="1872"/>
        </w:tabs>
        <w:spacing w:before="246" w:after="0" w:line="279"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laboratory approved by the regulator in accordance with guidelines published by Safe Work Australia; or</w:t>
      </w:r>
    </w:p>
    <w:p>
      <w:pPr>
        <w:numPr>
          <w:ilvl w:val="0"/>
          <w:numId w:val="718"/>
        </w:numPr>
        <w:tabs>
          <w:tab w:val="clear" w:pos="360"/>
          <w:tab w:val="left" w:pos="1872"/>
        </w:tabs>
        <w:spacing w:before="119" w:after="0" w:line="274"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laboratory operated by the regulator.</w:t>
      </w:r>
    </w:p>
    <w:p>
      <w:pPr>
        <w:spacing w:before="125"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19"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5"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19"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424 Presence and location of asbestos to be indicated</w:t>
      </w:r>
    </w:p>
    <w:p>
      <w:pPr>
        <w:spacing w:before="126" w:after="0" w:line="273" w:lineRule="exact"/>
        <w:ind w:right="288"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with management or control of a workplace must ensure that:</w:t>
      </w:r>
    </w:p>
    <w:p>
      <w:pPr>
        <w:numPr>
          <w:ilvl w:val="0"/>
          <w:numId w:val="719"/>
        </w:numPr>
        <w:tabs>
          <w:tab w:val="clear" w:pos="360"/>
          <w:tab w:val="left" w:pos="1872"/>
        </w:tabs>
        <w:spacing w:before="126" w:after="0" w:line="273"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presence and location of asbestos or ACM identified at the workplace under regulation 422 is clearly indicated; and</w:t>
      </w:r>
    </w:p>
    <w:p>
      <w:pPr>
        <w:numPr>
          <w:ilvl w:val="0"/>
          <w:numId w:val="719"/>
        </w:numPr>
        <w:tabs>
          <w:tab w:val="clear" w:pos="360"/>
          <w:tab w:val="left" w:pos="1872"/>
        </w:tabs>
        <w:spacing w:before="126" w:after="0" w:line="273"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it is reasonably practicable to do so, indicate the presence and location of the asbestos or ACM by a label.</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74" w:lineRule="exact"/>
        <w:ind w:right="0" w:left="288" w:firstLine="0"/>
        <w:jc w:val="left"/>
        <w:textAlignment w:val="baseline"/>
        <w:rPr>
          <w:rFonts w:ascii="Times New Roman" w:hAnsi="Times New Roman" w:eastAsia="Times New Roman"/>
          <w:b w:val="true"/>
          <w:color w:val="000000"/>
          <w:spacing w:val="6"/>
          <w:w w:val="100"/>
          <w:sz w:val="24"/>
          <w:vertAlign w:val="baseline"/>
          <w:lang w:val="en-US"/>
        </w:rPr>
      </w:pPr>
      <w:r>
        <w:rPr>
          <w:rFonts w:ascii="Times New Roman" w:hAnsi="Times New Roman" w:eastAsia="Times New Roman"/>
          <w:b w:val="true"/>
          <w:color w:val="000000"/>
          <w:spacing w:val="6"/>
          <w:w w:val="100"/>
          <w:sz w:val="24"/>
          <w:vertAlign w:val="baseline"/>
          <w:lang w:val="en-US"/>
        </w:rPr>
        <w:t xml:space="preserve">425 Asbestos register</w:t>
      </w:r>
    </w:p>
    <w:p>
      <w:pPr>
        <w:numPr>
          <w:ilvl w:val="0"/>
          <w:numId w:val="720"/>
        </w:numPr>
        <w:tabs>
          <w:tab w:val="clear" w:pos="360"/>
          <w:tab w:val="left" w:pos="1368"/>
        </w:tabs>
        <w:spacing w:before="118" w:after="0" w:line="276"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with management or control of a workplace must ensure that a register (an </w:t>
      </w:r>
      <w:r>
        <w:rPr>
          <w:rFonts w:ascii="Times New Roman" w:hAnsi="Times New Roman" w:eastAsia="Times New Roman"/>
          <w:b w:val="true"/>
          <w:i w:val="true"/>
          <w:color w:val="000000"/>
          <w:spacing w:val="0"/>
          <w:w w:val="100"/>
          <w:sz w:val="24"/>
          <w:vertAlign w:val="baseline"/>
          <w:lang w:val="en-US"/>
        </w:rPr>
        <w:t xml:space="preserve">asbestos register</w:t>
      </w:r>
      <w:r>
        <w:rPr>
          <w:rFonts w:ascii="Times New Roman" w:hAnsi="Times New Roman" w:eastAsia="Times New Roman"/>
          <w:color w:val="000000"/>
          <w:spacing w:val="0"/>
          <w:w w:val="100"/>
          <w:sz w:val="24"/>
          <w:vertAlign w:val="baseline"/>
          <w:lang w:val="en-US"/>
        </w:rPr>
        <w:t xml:space="preserve">) is prepared and kept at the workplace.</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numPr>
          <w:ilvl w:val="0"/>
          <w:numId w:val="720"/>
        </w:numPr>
        <w:tabs>
          <w:tab w:val="clear" w:pos="360"/>
          <w:tab w:val="left" w:pos="1368"/>
        </w:tabs>
        <w:spacing w:before="116" w:after="0" w:line="278"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ensure that the asbestos register is maintained to ensure the information in the register is up to date.</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numPr>
          <w:ilvl w:val="0"/>
          <w:numId w:val="720"/>
        </w:numPr>
        <w:tabs>
          <w:tab w:val="clear" w:pos="360"/>
          <w:tab w:val="left" w:pos="1368"/>
        </w:tabs>
        <w:spacing w:before="124" w:after="0" w:line="274"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asbestos register must:</w:t>
      </w:r>
    </w:p>
    <w:p>
      <w:pPr>
        <w:spacing w:before="118" w:after="1357"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record any asbestos or ACM identified at the workplace under regulation 422, or likely to be present at the workplace from time to time including:</w:t>
      </w:r>
    </w:p>
    <w:p>
      <w:pPr>
        <w:spacing w:before="118" w:after="1357"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295</w:t>
      </w:r>
    </w:p>
    <w:p>
      <w:pPr>
        <w:sectPr>
          <w:type w:val="continuous"/>
          <w:pgSz w:w="11909" w:h="16838" w:orient="portrait"/>
          <w:pgMar w:bottom="1082" w:top="1140" w:right="5814" w:left="1975"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8.3	</w:t>
      </w:r>
      <w:r>
        <w:rPr>
          <w:rFonts w:ascii="Times New Roman" w:hAnsi="Times New Roman" w:eastAsia="Times New Roman"/>
          <w:color w:val="000000"/>
          <w:spacing w:val="0"/>
          <w:w w:val="100"/>
          <w:sz w:val="20"/>
          <w:vertAlign w:val="baseline"/>
          <w:lang w:val="en-US"/>
        </w:rPr>
        <w:t xml:space="preserve">Management of Asbestos and Associated Risks</w:t>
      </w:r>
    </w:p>
    <w:p>
      <w:pPr>
        <w:numPr>
          <w:ilvl w:val="0"/>
          <w:numId w:val="721"/>
        </w:numPr>
        <w:tabs>
          <w:tab w:val="clear" w:pos="360"/>
          <w:tab w:val="left" w:pos="2376"/>
        </w:tabs>
        <w:spacing w:before="245" w:after="0" w:line="279" w:lineRule="exact"/>
        <w:ind w:right="360" w:left="2376"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date on which the asbestos or ACM was identified; and</w:t>
      </w:r>
    </w:p>
    <w:p>
      <w:pPr>
        <w:numPr>
          <w:ilvl w:val="0"/>
          <w:numId w:val="721"/>
        </w:numPr>
        <w:tabs>
          <w:tab w:val="clear" w:pos="360"/>
          <w:tab w:val="left" w:pos="2376"/>
        </w:tabs>
        <w:spacing w:before="114" w:after="0" w:line="279" w:lineRule="exact"/>
        <w:ind w:right="216"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location, type and condition of the asbestos or ACM; or</w:t>
      </w:r>
    </w:p>
    <w:p>
      <w:pPr>
        <w:spacing w:before="117"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state that no asbestos or ACM is identified at the workplace if the person knows that no asbestos or ACM is identified, or is likely to be present from time to time, at the workplace.</w:t>
      </w:r>
    </w:p>
    <w:p>
      <w:pPr>
        <w:numPr>
          <w:ilvl w:val="0"/>
          <w:numId w:val="722"/>
        </w:numPr>
        <w:tabs>
          <w:tab w:val="clear" w:pos="360"/>
          <w:tab w:val="left" w:pos="1368"/>
        </w:tabs>
        <w:spacing w:before="123" w:after="0" w:line="276" w:lineRule="exact"/>
        <w:ind w:right="64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is not required to prepare an asbestos register for a workplace if a register has already been prepared for that workplace.</w:t>
      </w:r>
    </w:p>
    <w:p>
      <w:pPr>
        <w:numPr>
          <w:ilvl w:val="0"/>
          <w:numId w:val="722"/>
        </w:numPr>
        <w:tabs>
          <w:tab w:val="clear" w:pos="360"/>
          <w:tab w:val="left" w:pos="1368"/>
        </w:tabs>
        <w:spacing w:before="114" w:after="0" w:line="279" w:lineRule="exact"/>
        <w:ind w:right="504"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Subject to subregulation (6), this regulation applies to buildings whenever constructed.</w:t>
      </w:r>
    </w:p>
    <w:p>
      <w:pPr>
        <w:numPr>
          <w:ilvl w:val="0"/>
          <w:numId w:val="722"/>
        </w:numPr>
        <w:tabs>
          <w:tab w:val="clear" w:pos="360"/>
          <w:tab w:val="left" w:pos="1368"/>
        </w:tabs>
        <w:spacing w:before="120" w:after="0" w:line="273" w:lineRule="exact"/>
        <w:ind w:right="0"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regulation does not apply to a workplace if:</w:t>
      </w:r>
    </w:p>
    <w:p>
      <w:pPr>
        <w:numPr>
          <w:ilvl w:val="0"/>
          <w:numId w:val="723"/>
        </w:numPr>
        <w:tabs>
          <w:tab w:val="clear" w:pos="360"/>
          <w:tab w:val="left" w:pos="1872"/>
        </w:tabs>
        <w:spacing w:before="116" w:after="0" w:line="278" w:lineRule="exact"/>
        <w:ind w:right="72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workplace is a building that was constructed after 31 December 2003; and</w:t>
      </w:r>
    </w:p>
    <w:p>
      <w:pPr>
        <w:numPr>
          <w:ilvl w:val="0"/>
          <w:numId w:val="723"/>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no asbestos has been identified at the workplace; and</w:t>
      </w:r>
    </w:p>
    <w:p>
      <w:pPr>
        <w:numPr>
          <w:ilvl w:val="0"/>
          <w:numId w:val="723"/>
        </w:numPr>
        <w:tabs>
          <w:tab w:val="clear" w:pos="360"/>
          <w:tab w:val="left" w:pos="1872"/>
        </w:tabs>
        <w:spacing w:before="124" w:after="0" w:line="274"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no asbestos is likely to be present at the workplace from time to time.</w:t>
      </w:r>
    </w:p>
    <w:p>
      <w:pPr>
        <w:spacing w:before="125"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426 Review of asbestos register</w:t>
      </w:r>
    </w:p>
    <w:p>
      <w:pPr>
        <w:spacing w:before="117" w:after="0" w:line="276" w:lineRule="exact"/>
        <w:ind w:right="36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with management or control of a workplace where an asbestos register is kept must ensure that the register is reviewed and as necessary revised if:</w:t>
      </w:r>
    </w:p>
    <w:p>
      <w:pPr>
        <w:numPr>
          <w:ilvl w:val="0"/>
          <w:numId w:val="724"/>
        </w:numPr>
        <w:tabs>
          <w:tab w:val="clear" w:pos="360"/>
          <w:tab w:val="left" w:pos="1872"/>
        </w:tabs>
        <w:spacing w:before="124" w:after="0" w:line="274"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asbestos management plan is reviewed under regulation 430; or</w:t>
      </w:r>
    </w:p>
    <w:p>
      <w:pPr>
        <w:numPr>
          <w:ilvl w:val="0"/>
          <w:numId w:val="724"/>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further asbestos or ACM is identified at the workplace; or</w:t>
      </w:r>
    </w:p>
    <w:p>
      <w:pPr>
        <w:numPr>
          <w:ilvl w:val="0"/>
          <w:numId w:val="724"/>
        </w:numPr>
        <w:tabs>
          <w:tab w:val="clear" w:pos="360"/>
          <w:tab w:val="left" w:pos="1872"/>
        </w:tabs>
        <w:spacing w:before="116" w:after="0" w:line="278"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asbestos is removed from, or disturbed, sealed or enclosed at, the workplace.</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5"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427 Access to asbestos register</w:t>
      </w:r>
    </w:p>
    <w:p>
      <w:pPr>
        <w:spacing w:before="117" w:after="1286" w:line="276" w:lineRule="exact"/>
        <w:ind w:right="504"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(1) A person with management or control of a workplace where an asbestos register is kept must ensure that the asbestos register is readily accessible to:</w:t>
      </w:r>
    </w:p>
    <w:p>
      <w:pPr>
        <w:spacing w:before="117" w:after="1286"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296</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8.3	</w:t>
      </w:r>
      <w:r>
        <w:rPr>
          <w:rFonts w:ascii="Times New Roman" w:hAnsi="Times New Roman" w:eastAsia="Times New Roman"/>
          <w:color w:val="000000"/>
          <w:spacing w:val="0"/>
          <w:w w:val="100"/>
          <w:sz w:val="20"/>
          <w:vertAlign w:val="baseline"/>
          <w:lang w:val="en-US"/>
        </w:rPr>
        <w:t xml:space="preserve">Management of Asbestos and Associated Risks</w:t>
      </w:r>
    </w:p>
    <w:p>
      <w:pPr>
        <w:numPr>
          <w:ilvl w:val="0"/>
          <w:numId w:val="725"/>
        </w:numPr>
        <w:tabs>
          <w:tab w:val="clear" w:pos="360"/>
          <w:tab w:val="left" w:pos="1872"/>
        </w:tabs>
        <w:spacing w:before="245" w:after="0" w:line="279"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worker who has carried out, carries out or intends to carry out, work at the workplace; and</w:t>
      </w:r>
    </w:p>
    <w:p>
      <w:pPr>
        <w:numPr>
          <w:ilvl w:val="0"/>
          <w:numId w:val="725"/>
        </w:numPr>
        <w:tabs>
          <w:tab w:val="clear" w:pos="360"/>
          <w:tab w:val="left" w:pos="1872"/>
        </w:tabs>
        <w:spacing w:before="114" w:after="0" w:line="279"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health and safety representative who represents a worker referred to in paragraph (a); and</w:t>
      </w:r>
    </w:p>
    <w:p>
      <w:pPr>
        <w:numPr>
          <w:ilvl w:val="0"/>
          <w:numId w:val="725"/>
        </w:numPr>
        <w:tabs>
          <w:tab w:val="clear" w:pos="360"/>
          <w:tab w:val="left" w:pos="1872"/>
        </w:tabs>
        <w:spacing w:before="117"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who has carried out, carries out or intends to carry out, work at the workplace; and</w:t>
      </w:r>
    </w:p>
    <w:p>
      <w:pPr>
        <w:numPr>
          <w:ilvl w:val="0"/>
          <w:numId w:val="725"/>
        </w:numPr>
        <w:tabs>
          <w:tab w:val="clear" w:pos="360"/>
          <w:tab w:val="left" w:pos="1872"/>
        </w:tabs>
        <w:spacing w:before="123"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who has required, requires, or intends to require work to be carried out at the workplace.</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18"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17" w:after="0" w:line="278" w:lineRule="exact"/>
        <w:ind w:right="72"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428 Transfer of asbestos register by person relinquishing management or control</w:t>
      </w:r>
    </w:p>
    <w:p>
      <w:pPr>
        <w:spacing w:before="117" w:after="0" w:line="276"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a person with management or control of a workplace plans to relinquish management or control of the workplace, the person must ensure, so far as is reasonably practicable, that the asbestos register is given to the person, if any, assuming management or control of the workplace.</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1" w:after="0" w:line="274"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429 Asbestos management plan</w:t>
      </w:r>
    </w:p>
    <w:p>
      <w:pPr>
        <w:spacing w:before="124"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regulation applies if asbestos or ACM is:</w:t>
      </w:r>
    </w:p>
    <w:p>
      <w:pPr>
        <w:numPr>
          <w:ilvl w:val="0"/>
          <w:numId w:val="726"/>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identified at a workplace under regulation 422; or</w:t>
      </w:r>
    </w:p>
    <w:p>
      <w:pPr>
        <w:numPr>
          <w:ilvl w:val="0"/>
          <w:numId w:val="726"/>
        </w:numPr>
        <w:tabs>
          <w:tab w:val="clear" w:pos="360"/>
          <w:tab w:val="left" w:pos="1872"/>
        </w:tabs>
        <w:spacing w:before="125" w:after="888"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likely to be present at a workplace from time to time.</w:t>
      </w:r>
    </w:p>
    <w:p>
      <w:pPr>
        <w:spacing w:before="125" w:after="888"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297</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8.3	</w:t>
      </w:r>
      <w:r>
        <w:rPr>
          <w:rFonts w:ascii="Times New Roman" w:hAnsi="Times New Roman" w:eastAsia="Times New Roman"/>
          <w:color w:val="000000"/>
          <w:spacing w:val="0"/>
          <w:w w:val="100"/>
          <w:sz w:val="20"/>
          <w:vertAlign w:val="baseline"/>
          <w:lang w:val="en-US"/>
        </w:rPr>
        <w:t xml:space="preserve">Management of Asbestos and Associated Risks</w:t>
      </w:r>
    </w:p>
    <w:p>
      <w:pPr>
        <w:spacing w:before="248"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(2) A person with management or control of the workplace must ensure that a written plan (an </w:t>
      </w:r>
      <w:r>
        <w:rPr>
          <w:rFonts w:ascii="Times New Roman" w:hAnsi="Times New Roman" w:eastAsia="Times New Roman"/>
          <w:b w:val="true"/>
          <w:i w:val="true"/>
          <w:color w:val="000000"/>
          <w:spacing w:val="0"/>
          <w:w w:val="100"/>
          <w:sz w:val="24"/>
          <w:vertAlign w:val="baseline"/>
          <w:lang w:val="en-US"/>
        </w:rPr>
        <w:t xml:space="preserve">asbestos management plan</w:t>
      </w:r>
      <w:r>
        <w:rPr>
          <w:rFonts w:ascii="Times New Roman" w:hAnsi="Times New Roman" w:eastAsia="Times New Roman"/>
          <w:color w:val="000000"/>
          <w:spacing w:val="0"/>
          <w:w w:val="100"/>
          <w:sz w:val="24"/>
          <w:vertAlign w:val="baseline"/>
          <w:lang w:val="en-US"/>
        </w:rPr>
        <w:t xml:space="preserve">) for the workplace is prepared.</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7"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A person with management or control of the workplace must ensure that the asbestos management plan is maintained to ensure the information in the plan is up to date.</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9" w:after="0" w:line="274" w:lineRule="exact"/>
        <w:ind w:right="216"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An asbestos management plan must include information about the following:</w:t>
      </w:r>
    </w:p>
    <w:p>
      <w:pPr>
        <w:numPr>
          <w:ilvl w:val="0"/>
          <w:numId w:val="727"/>
        </w:numPr>
        <w:tabs>
          <w:tab w:val="clear" w:pos="360"/>
          <w:tab w:val="left" w:pos="1872"/>
        </w:tabs>
        <w:spacing w:before="27" w:after="0" w:line="360"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identification of asbestos or ACM;</w:t>
        <w:br/>
      </w:r>
      <w:r>
        <w:rPr>
          <w:rFonts w:ascii="Times New Roman" w:hAnsi="Times New Roman" w:eastAsia="Times New Roman"/>
          <w:b w:val="true"/>
          <w:color w:val="000000"/>
          <w:spacing w:val="0"/>
          <w:w w:val="100"/>
          <w:sz w:val="20"/>
          <w:vertAlign w:val="baseline"/>
          <w:lang w:val="en-US"/>
        </w:rPr>
        <w:t xml:space="preserve">Example</w:t>
      </w:r>
    </w:p>
    <w:p>
      <w:pPr>
        <w:spacing w:before="124" w:after="0" w:line="230" w:lineRule="exact"/>
        <w:ind w:right="216" w:left="1872"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reference or link to the asbestos register for the workplace and signage and labelling.</w:t>
      </w:r>
    </w:p>
    <w:p>
      <w:pPr>
        <w:numPr>
          <w:ilvl w:val="0"/>
          <w:numId w:val="727"/>
        </w:numPr>
        <w:tabs>
          <w:tab w:val="clear" w:pos="360"/>
          <w:tab w:val="left" w:pos="1872"/>
        </w:tabs>
        <w:spacing w:before="113" w:after="0" w:line="279" w:lineRule="exact"/>
        <w:ind w:right="7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decisions, and reasons for decisions, about the management of asbestos at the workplace;</w:t>
      </w:r>
    </w:p>
    <w:p>
      <w:pPr>
        <w:spacing w:before="124"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Example</w:t>
      </w:r>
    </w:p>
    <w:p>
      <w:pPr>
        <w:spacing w:before="125" w:after="0" w:line="228"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Safe work procedures and control measures.</w:t>
      </w:r>
    </w:p>
    <w:p>
      <w:pPr>
        <w:numPr>
          <w:ilvl w:val="0"/>
          <w:numId w:val="727"/>
        </w:numPr>
        <w:tabs>
          <w:tab w:val="clear" w:pos="360"/>
          <w:tab w:val="left" w:pos="1872"/>
        </w:tabs>
        <w:spacing w:before="114" w:after="0" w:line="278"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procedures for detailing incidents or emergencies involving asbestos or ACM at the workplace;</w:t>
      </w:r>
    </w:p>
    <w:p>
      <w:pPr>
        <w:numPr>
          <w:ilvl w:val="0"/>
          <w:numId w:val="727"/>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workers carrying out work involving asbestos.</w:t>
      </w:r>
    </w:p>
    <w:p>
      <w:pPr>
        <w:spacing w:before="124"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Example</w:t>
      </w:r>
    </w:p>
    <w:p>
      <w:pPr>
        <w:spacing w:before="125" w:after="0" w:line="228"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Consultation, responsibilities, information and training.</w:t>
      </w:r>
    </w:p>
    <w:p>
      <w:pPr>
        <w:spacing w:before="116"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A person with management or control of a workplace must ensure that a copy of the asbestos management plan for the workplace is readily accessible to:</w:t>
      </w:r>
    </w:p>
    <w:p>
      <w:pPr>
        <w:numPr>
          <w:ilvl w:val="0"/>
          <w:numId w:val="728"/>
        </w:numPr>
        <w:tabs>
          <w:tab w:val="clear" w:pos="360"/>
          <w:tab w:val="left" w:pos="1872"/>
        </w:tabs>
        <w:spacing w:before="126" w:after="0" w:line="273"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worker who has carried out, carries out or intends to carry out, work at the workplace; and</w:t>
      </w:r>
    </w:p>
    <w:p>
      <w:pPr>
        <w:numPr>
          <w:ilvl w:val="0"/>
          <w:numId w:val="728"/>
        </w:numPr>
        <w:tabs>
          <w:tab w:val="clear" w:pos="360"/>
          <w:tab w:val="left" w:pos="1872"/>
        </w:tabs>
        <w:spacing w:before="126" w:after="1248" w:line="273"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health and safety representative who represents a worker referred to in paragraph (a); and</w:t>
      </w:r>
    </w:p>
    <w:p>
      <w:pPr>
        <w:spacing w:before="126" w:after="1248"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298</w:t>
      </w:r>
    </w:p>
    <w:p>
      <w:pPr>
        <w:sectPr>
          <w:type w:val="continuous"/>
          <w:pgSz w:w="11909" w:h="16838" w:orient="portrait"/>
          <w:pgMar w:bottom="1082" w:top="1140" w:right="5814" w:left="1975"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8.3	</w:t>
      </w:r>
      <w:r>
        <w:rPr>
          <w:rFonts w:ascii="Times New Roman" w:hAnsi="Times New Roman" w:eastAsia="Times New Roman"/>
          <w:color w:val="000000"/>
          <w:spacing w:val="0"/>
          <w:w w:val="100"/>
          <w:sz w:val="20"/>
          <w:vertAlign w:val="baseline"/>
          <w:lang w:val="en-US"/>
        </w:rPr>
        <w:t xml:space="preserve">Management of Asbestos and Associated Risks</w:t>
      </w:r>
    </w:p>
    <w:p>
      <w:pPr>
        <w:numPr>
          <w:ilvl w:val="0"/>
          <w:numId w:val="728"/>
        </w:numPr>
        <w:tabs>
          <w:tab w:val="clear" w:pos="360"/>
          <w:tab w:val="left" w:pos="1872"/>
        </w:tabs>
        <w:spacing w:before="248"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person conducting a business or undertaking who has carried out, carries out or intends to carry out, work at the workplace; and</w:t>
      </w:r>
    </w:p>
    <w:p>
      <w:pPr>
        <w:numPr>
          <w:ilvl w:val="0"/>
          <w:numId w:val="728"/>
        </w:numPr>
        <w:tabs>
          <w:tab w:val="clear" w:pos="360"/>
          <w:tab w:val="left" w:pos="1872"/>
        </w:tabs>
        <w:spacing w:before="123" w:after="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who has required, requires, or intends to require work to be carried out at the workplace.</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6"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430 Review of asbestos management plan</w:t>
      </w:r>
    </w:p>
    <w:p>
      <w:pPr>
        <w:spacing w:before="116" w:after="0" w:line="276" w:lineRule="exact"/>
        <w:ind w:right="432" w:left="1368" w:hanging="360"/>
        <w:jc w:val="both"/>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(1) A person with management or control of a workplace that has an asbestos management plan must ensure that the plan is reviewed and as necessary revised in the following circumstances:</w:t>
      </w:r>
    </w:p>
    <w:p>
      <w:pPr>
        <w:numPr>
          <w:ilvl w:val="0"/>
          <w:numId w:val="729"/>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there is a review of the asbestos register or a control measure;</w:t>
      </w:r>
    </w:p>
    <w:p>
      <w:pPr>
        <w:numPr>
          <w:ilvl w:val="0"/>
          <w:numId w:val="729"/>
        </w:numPr>
        <w:tabs>
          <w:tab w:val="clear" w:pos="360"/>
          <w:tab w:val="left" w:pos="1872"/>
        </w:tabs>
        <w:spacing w:before="124" w:after="0" w:line="274"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asbestos is removed from, or disturbed, sealed or enclosed at, the workplace;</w:t>
      </w:r>
    </w:p>
    <w:p>
      <w:pPr>
        <w:numPr>
          <w:ilvl w:val="0"/>
          <w:numId w:val="729"/>
        </w:numPr>
        <w:tabs>
          <w:tab w:val="clear" w:pos="360"/>
          <w:tab w:val="left" w:pos="1872"/>
        </w:tabs>
        <w:spacing w:before="124" w:after="0" w:line="274"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plan is no longer adequate for managing asbestos or ACM at the workplace;</w:t>
      </w:r>
    </w:p>
    <w:p>
      <w:pPr>
        <w:numPr>
          <w:ilvl w:val="0"/>
          <w:numId w:val="729"/>
        </w:numPr>
        <w:tabs>
          <w:tab w:val="clear" w:pos="360"/>
          <w:tab w:val="left" w:pos="1872"/>
        </w:tabs>
        <w:spacing w:before="124" w:after="0" w:line="274"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health and safety representative requests a review under subregulation (2);</w:t>
      </w:r>
    </w:p>
    <w:p>
      <w:pPr>
        <w:numPr>
          <w:ilvl w:val="0"/>
          <w:numId w:val="729"/>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at least once every 5 years.</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5" w:after="0" w:line="273" w:lineRule="exact"/>
        <w:ind w:right="144" w:left="0" w:firstLine="0"/>
        <w:jc w:val="righ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 health and safety representative for workers at a workplace may</w:t>
      </w:r>
    </w:p>
    <w:p>
      <w:pPr>
        <w:spacing w:before="0" w:after="0" w:line="276" w:lineRule="exact"/>
        <w:ind w:right="1296"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request a review of an asbestos management plan if the representative reasonably believes that:</w:t>
      </w:r>
    </w:p>
    <w:p>
      <w:pPr>
        <w:numPr>
          <w:ilvl w:val="0"/>
          <w:numId w:val="730"/>
        </w:numPr>
        <w:tabs>
          <w:tab w:val="clear" w:pos="360"/>
          <w:tab w:val="left" w:pos="1872"/>
        </w:tabs>
        <w:spacing w:before="120" w:after="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circumstance referred to in subregulation (1)(a), (b) or (c) affects or may affect the health and safety of a member of the work group represented by the health and safety representative; and</w:t>
      </w:r>
    </w:p>
    <w:p>
      <w:pPr>
        <w:numPr>
          <w:ilvl w:val="0"/>
          <w:numId w:val="730"/>
        </w:numPr>
        <w:tabs>
          <w:tab w:val="clear" w:pos="360"/>
          <w:tab w:val="left" w:pos="1872"/>
        </w:tabs>
        <w:spacing w:before="118" w:after="1406"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person with management and control of the workplace has not adequately reviewed the asbestos management plan in response to the circumstance.</w:t>
      </w:r>
    </w:p>
    <w:p>
      <w:pPr>
        <w:spacing w:before="118" w:after="1406"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299</w:t>
      </w:r>
    </w:p>
    <w:p>
      <w:pPr>
        <w:sectPr>
          <w:type w:val="continuous"/>
          <w:pgSz w:w="11909" w:h="16838" w:orient="portrait"/>
          <w:pgMar w:bottom="1082" w:top="1140" w:right="5812" w:left="1977"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8.4	</w:t>
      </w:r>
      <w:r>
        <w:rPr>
          <w:rFonts w:ascii="Times New Roman" w:hAnsi="Times New Roman" w:eastAsia="Times New Roman"/>
          <w:color w:val="000000"/>
          <w:spacing w:val="0"/>
          <w:w w:val="100"/>
          <w:sz w:val="20"/>
          <w:vertAlign w:val="baseline"/>
          <w:lang w:val="en-US"/>
        </w:rPr>
        <w:t xml:space="preserve">Management of Naturally Occurring Asbestos</w:t>
      </w:r>
    </w:p>
    <w:p>
      <w:pPr>
        <w:spacing w:before="258" w:after="0" w:line="317" w:lineRule="exact"/>
        <w:ind w:right="0" w:left="0" w:firstLine="0"/>
        <w:jc w:val="left"/>
        <w:textAlignment w:val="baseline"/>
        <w:rPr>
          <w:rFonts w:ascii="Times New Roman" w:hAnsi="Times New Roman" w:eastAsia="Times New Roman"/>
          <w:b w:val="true"/>
          <w:color w:val="000000"/>
          <w:spacing w:val="4"/>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4"/>
          <w:w w:val="100"/>
          <w:sz w:val="28"/>
          <w:vertAlign w:val="baseline"/>
          <w:lang w:val="en-US"/>
        </w:rPr>
        <w:t xml:space="preserve">Part 8.4 Management of Naturally Occurring Asbestos</w:t>
      </w:r>
    </w:p>
    <w:p>
      <w:pPr>
        <w:spacing w:before="118"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431 Naturally occurring asbestos</w:t>
      </w:r>
    </w:p>
    <w:p>
      <w:pPr>
        <w:spacing w:before="121" w:after="0" w:line="276" w:lineRule="exact"/>
        <w:ind w:right="648" w:left="1368"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The person with management or control of a workplace must manage, in accordance with Part 3.1, risks to health and safety associated with naturally occurring asbestos at the workplace.</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7"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WHS Act—section 20 (see regulation 9).</w:t>
      </w:r>
    </w:p>
    <w:p>
      <w:pPr>
        <w:spacing w:before="120" w:after="0" w:line="274"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432 Asbestos management plan</w:t>
      </w:r>
    </w:p>
    <w:p>
      <w:pPr>
        <w:spacing w:before="119"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regulation applies if naturally occurring asbestos is:</w:t>
      </w:r>
    </w:p>
    <w:p>
      <w:pPr>
        <w:numPr>
          <w:ilvl w:val="0"/>
          <w:numId w:val="731"/>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identified at a workplace; or</w:t>
      </w:r>
    </w:p>
    <w:p>
      <w:pPr>
        <w:numPr>
          <w:ilvl w:val="0"/>
          <w:numId w:val="731"/>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likely to be present at a workplace.</w:t>
      </w:r>
    </w:p>
    <w:p>
      <w:pPr>
        <w:spacing w:before="123" w:after="0" w:line="276" w:lineRule="exact"/>
        <w:ind w:right="72"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(2) A person with management or control of the workplace must ensure that a written plan (an </w:t>
      </w:r>
      <w:r>
        <w:rPr>
          <w:rFonts w:ascii="Times New Roman" w:hAnsi="Times New Roman" w:eastAsia="Times New Roman"/>
          <w:b w:val="true"/>
          <w:i w:val="true"/>
          <w:color w:val="000000"/>
          <w:spacing w:val="-1"/>
          <w:w w:val="100"/>
          <w:sz w:val="24"/>
          <w:vertAlign w:val="baseline"/>
          <w:lang w:val="en-US"/>
        </w:rPr>
        <w:t xml:space="preserve">asbestos management plan</w:t>
      </w:r>
      <w:r>
        <w:rPr>
          <w:rFonts w:ascii="Times New Roman" w:hAnsi="Times New Roman" w:eastAsia="Times New Roman"/>
          <w:color w:val="000000"/>
          <w:spacing w:val="-1"/>
          <w:w w:val="100"/>
          <w:sz w:val="24"/>
          <w:vertAlign w:val="baseline"/>
          <w:lang w:val="en-US"/>
        </w:rPr>
        <w:t xml:space="preserve">) for the workplace is prepared in relation to the naturally occurring asbestos.</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3"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A person with management or control of the workplace must ensure that the asbestos management plan is maintained to ensure the information in the plan is up to date.</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6" w:after="0" w:line="273"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An asbestos management plan must include information about the following:</w:t>
      </w:r>
    </w:p>
    <w:p>
      <w:pPr>
        <w:numPr>
          <w:ilvl w:val="0"/>
          <w:numId w:val="732"/>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identification of naturally occurring asbestos;</w:t>
      </w:r>
    </w:p>
    <w:p>
      <w:pPr>
        <w:numPr>
          <w:ilvl w:val="0"/>
          <w:numId w:val="732"/>
        </w:numPr>
        <w:tabs>
          <w:tab w:val="clear" w:pos="360"/>
          <w:tab w:val="left" w:pos="1872"/>
        </w:tabs>
        <w:spacing w:before="114" w:after="0" w:line="279" w:lineRule="exact"/>
        <w:ind w:right="7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decisions, and reasons for decisions, about the management of naturally occurring asbestos at the workplace;</w:t>
      </w:r>
    </w:p>
    <w:p>
      <w:pPr>
        <w:spacing w:before="124"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Example</w:t>
      </w:r>
    </w:p>
    <w:p>
      <w:pPr>
        <w:spacing w:before="125" w:after="0" w:line="227"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Safe work procedures and control measures.</w:t>
      </w:r>
    </w:p>
    <w:p>
      <w:pPr>
        <w:numPr>
          <w:ilvl w:val="0"/>
          <w:numId w:val="732"/>
        </w:numPr>
        <w:tabs>
          <w:tab w:val="clear" w:pos="360"/>
          <w:tab w:val="left" w:pos="1872"/>
        </w:tabs>
        <w:spacing w:before="114" w:after="0" w:line="279"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procedures for detailing incidents or emergencies involving naturally occurring asbestos at the workplace;</w:t>
      </w:r>
    </w:p>
    <w:p>
      <w:pPr>
        <w:numPr>
          <w:ilvl w:val="0"/>
          <w:numId w:val="732"/>
        </w:numPr>
        <w:tabs>
          <w:tab w:val="clear" w:pos="360"/>
          <w:tab w:val="left" w:pos="1872"/>
        </w:tabs>
        <w:spacing w:before="114" w:after="820" w:line="279" w:lineRule="exact"/>
        <w:ind w:right="648" w:left="1872" w:hanging="36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workers carrying out work involving naturally occurring asbestos.</w:t>
      </w:r>
    </w:p>
    <w:p>
      <w:pPr>
        <w:spacing w:before="114" w:after="820" w:line="279"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300</w:t>
      </w:r>
    </w:p>
    <w:p>
      <w:pPr>
        <w:sectPr>
          <w:type w:val="continuous"/>
          <w:pgSz w:w="11909" w:h="16838" w:orient="portrait"/>
          <w:pgMar w:bottom="1082" w:top="1140" w:right="5812" w:left="1977"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8.4	</w:t>
      </w:r>
      <w:r>
        <w:rPr>
          <w:rFonts w:ascii="Times New Roman" w:hAnsi="Times New Roman" w:eastAsia="Times New Roman"/>
          <w:color w:val="000000"/>
          <w:spacing w:val="0"/>
          <w:w w:val="100"/>
          <w:sz w:val="20"/>
          <w:vertAlign w:val="baseline"/>
          <w:lang w:val="en-US"/>
        </w:rPr>
        <w:t xml:space="preserve">Management of Naturally Occurring Asbestos</w:t>
      </w:r>
    </w:p>
    <w:p>
      <w:pPr>
        <w:spacing w:before="255"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Example</w:t>
      </w:r>
    </w:p>
    <w:p>
      <w:pPr>
        <w:spacing w:before="125" w:after="0" w:line="227"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Consultation, responsibilities, information and training.</w:t>
      </w:r>
    </w:p>
    <w:p>
      <w:pPr>
        <w:spacing w:before="117"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A person with management or control of a workplace must ensure that a copy of the asbestos management plan for naturally occurring asbestos at the workplace is readily accessible to:</w:t>
      </w:r>
    </w:p>
    <w:p>
      <w:pPr>
        <w:numPr>
          <w:ilvl w:val="0"/>
          <w:numId w:val="733"/>
        </w:numPr>
        <w:tabs>
          <w:tab w:val="clear" w:pos="360"/>
          <w:tab w:val="left" w:pos="1872"/>
        </w:tabs>
        <w:spacing w:before="116" w:after="0" w:line="278"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worker who has carried out, carries out or intends to carry out, work at the workplace; and</w:t>
      </w:r>
    </w:p>
    <w:p>
      <w:pPr>
        <w:numPr>
          <w:ilvl w:val="0"/>
          <w:numId w:val="733"/>
        </w:numPr>
        <w:tabs>
          <w:tab w:val="clear" w:pos="360"/>
          <w:tab w:val="left" w:pos="1872"/>
        </w:tabs>
        <w:spacing w:before="116" w:after="0" w:line="278"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health and safety representative who represents a worker referred to in paragraph (a); and</w:t>
      </w:r>
    </w:p>
    <w:p>
      <w:pPr>
        <w:numPr>
          <w:ilvl w:val="0"/>
          <w:numId w:val="733"/>
        </w:numPr>
        <w:tabs>
          <w:tab w:val="clear" w:pos="360"/>
          <w:tab w:val="left" w:pos="1872"/>
        </w:tabs>
        <w:spacing w:before="118"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who has carried out, carries out or intends to carry out, work at the workplace; and</w:t>
      </w:r>
    </w:p>
    <w:p>
      <w:pPr>
        <w:numPr>
          <w:ilvl w:val="0"/>
          <w:numId w:val="733"/>
        </w:numPr>
        <w:tabs>
          <w:tab w:val="clear" w:pos="360"/>
          <w:tab w:val="left" w:pos="1872"/>
        </w:tabs>
        <w:spacing w:before="122"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who has required, requires, or intends to require work to be carried out at the workplace.</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5" w:after="0" w:line="273"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433 Review of asbestos management plan</w:t>
      </w:r>
    </w:p>
    <w:p>
      <w:pPr>
        <w:spacing w:before="118" w:after="0" w:line="276"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4"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Example</w:t>
      </w:r>
    </w:p>
    <w:p>
      <w:pPr>
        <w:spacing w:before="126" w:after="0" w:line="227"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control measure is revised under regulation 38.</w:t>
      </w:r>
    </w:p>
    <w:p>
      <w:pPr>
        <w:spacing w:before="120" w:after="0" w:line="273"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434 Training in relation to naturally occurring asbestos</w:t>
      </w:r>
    </w:p>
    <w:p>
      <w:pPr>
        <w:spacing w:before="122" w:after="1190" w:line="276"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spacing w:before="122" w:after="1190"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301</w:t>
      </w:r>
    </w:p>
    <w:p>
      <w:pPr>
        <w:sectPr>
          <w:type w:val="continuous"/>
          <w:pgSz w:w="11909" w:h="16838" w:orient="portrait"/>
          <w:pgMar w:bottom="1082" w:top="1140" w:right="5819" w:left="1970"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8.4	</w:t>
      </w:r>
      <w:r>
        <w:rPr>
          <w:rFonts w:ascii="Times New Roman" w:hAnsi="Times New Roman" w:eastAsia="Times New Roman"/>
          <w:color w:val="000000"/>
          <w:spacing w:val="0"/>
          <w:w w:val="100"/>
          <w:sz w:val="20"/>
          <w:vertAlign w:val="baseline"/>
          <w:lang w:val="en-US"/>
        </w:rPr>
        <w:t xml:space="preserve">Management of Naturally Occurring Asbestos</w:t>
      </w:r>
    </w:p>
    <w:p>
      <w:pPr>
        <w:spacing w:before="251"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Maximum penalty:</w:t>
      </w:r>
    </w:p>
    <w:p>
      <w:pPr>
        <w:spacing w:before="125"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19" w:after="11155"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333"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1.05pt,0.3pt" style="position:absolute;mso-position-horizontal-relative:text;mso-position-vertical-relative:text;">
            <v:stroke dashstyle="solid"/>
          </v:line>
        </w:pict>
      </w:r>
    </w:p>
    <w:p>
      <w:pPr>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302</w:t>
      </w:r>
    </w:p>
    <w:p>
      <w:pPr>
        <w:sectPr>
          <w:type w:val="continuous"/>
          <w:pgSz w:w="11909" w:h="16838" w:orient="portrait"/>
          <w:pgMar w:bottom="1082" w:top="1140" w:right="5812" w:left="1977"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8.5	</w:t>
      </w:r>
      <w:r>
        <w:rPr>
          <w:rFonts w:ascii="Times New Roman" w:hAnsi="Times New Roman" w:eastAsia="Times New Roman"/>
          <w:color w:val="000000"/>
          <w:spacing w:val="0"/>
          <w:w w:val="100"/>
          <w:sz w:val="20"/>
          <w:vertAlign w:val="baseline"/>
          <w:lang w:val="en-US"/>
        </w:rPr>
        <w:t xml:space="preserve">Asbestos at the Workplace</w:t>
      </w:r>
    </w:p>
    <w:p>
      <w:pPr>
        <w:spacing w:before="258" w:after="0" w:line="317" w:lineRule="exact"/>
        <w:ind w:right="0" w:left="0" w:firstLine="0"/>
        <w:jc w:val="left"/>
        <w:textAlignment w:val="baseline"/>
        <w:rPr>
          <w:rFonts w:ascii="Times New Roman" w:hAnsi="Times New Roman" w:eastAsia="Times New Roman"/>
          <w:b w:val="true"/>
          <w:color w:val="000000"/>
          <w:spacing w:val="7"/>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7"/>
          <w:w w:val="100"/>
          <w:sz w:val="28"/>
          <w:vertAlign w:val="baseline"/>
          <w:lang w:val="en-US"/>
        </w:rPr>
        <w:t xml:space="preserve">Part 8.5 Asbestos at the Workplace</w:t>
      </w:r>
    </w:p>
    <w:p>
      <w:pPr>
        <w:tabs>
          <w:tab w:val="left" w:leader="none" w:pos="1584"/>
        </w:tabs>
        <w:spacing w:before="243"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1	</w:t>
      </w:r>
      <w:r>
        <w:rPr>
          <w:rFonts w:ascii="Times New Roman" w:hAnsi="Times New Roman" w:eastAsia="Times New Roman"/>
          <w:b w:val="true"/>
          <w:color w:val="000000"/>
          <w:spacing w:val="0"/>
          <w:w w:val="100"/>
          <w:sz w:val="24"/>
          <w:vertAlign w:val="baseline"/>
          <w:lang w:val="en-US"/>
        </w:rPr>
        <w:t xml:space="preserve">Health monitoring</w:t>
      </w:r>
    </w:p>
    <w:p>
      <w:pPr>
        <w:spacing w:before="119"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435 Duty to provide health monitoring</w:t>
      </w:r>
    </w:p>
    <w:p>
      <w:pPr>
        <w:spacing w:before="119"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must ensure that health monitoring is provided, in accordance with regulation 436, to a worker carrying out work for the business or undertaking if the worker is:</w:t>
      </w:r>
    </w:p>
    <w:p>
      <w:pPr>
        <w:numPr>
          <w:ilvl w:val="0"/>
          <w:numId w:val="734"/>
        </w:numPr>
        <w:tabs>
          <w:tab w:val="clear" w:pos="360"/>
          <w:tab w:val="left" w:pos="1872"/>
        </w:tabs>
        <w:spacing w:before="118" w:after="0" w:line="276"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carrying out licensed asbestos removal work at a workplace and is at risk of exposure to asbestos when carrying out the work; or</w:t>
      </w:r>
    </w:p>
    <w:p>
      <w:pPr>
        <w:numPr>
          <w:ilvl w:val="0"/>
          <w:numId w:val="734"/>
        </w:numPr>
        <w:tabs>
          <w:tab w:val="clear" w:pos="360"/>
          <w:tab w:val="left" w:pos="1872"/>
        </w:tabs>
        <w:spacing w:before="122" w:after="0" w:line="276"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carrying out other ongoing asbestos removal work or asbestos-related work and is at risk of exposure to asbestos when carrying out the work.</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2" w:after="0" w:line="276"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For the purposes of subregulation (1)(a), the person must ensure that the health monitoring of the worker commences before the worker carries out licensed asbestos removal work.</w:t>
      </w:r>
    </w:p>
    <w:p>
      <w:pPr>
        <w:spacing w:before="118" w:after="0" w:line="276"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person must ensure that the worker is informed of any health monitoring requirements before the worker carries out any work that may expose the worker to asbestos.</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1" w:after="0" w:line="274" w:lineRule="exact"/>
        <w:ind w:right="0" w:left="0" w:firstLine="0"/>
        <w:jc w:val="center"/>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436 Duty to ensure that appropriate health monitoring is provided</w:t>
      </w:r>
    </w:p>
    <w:p>
      <w:pPr>
        <w:spacing w:before="123" w:after="0" w:line="274" w:lineRule="exact"/>
        <w:ind w:right="72" w:left="1368"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A person conducting a business or undertaking must ensure that the health monitoring of a worker referred to in regulation 435 includes:</w:t>
      </w:r>
    </w:p>
    <w:p>
      <w:pPr>
        <w:spacing w:before="125"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consideration of:</w:t>
      </w:r>
    </w:p>
    <w:p>
      <w:pPr>
        <w:numPr>
          <w:ilvl w:val="0"/>
          <w:numId w:val="735"/>
        </w:numPr>
        <w:tabs>
          <w:tab w:val="clear" w:pos="360"/>
          <w:tab w:val="left" w:pos="2376"/>
        </w:tabs>
        <w:spacing w:before="120" w:after="0" w:line="274" w:lineRule="exact"/>
        <w:ind w:right="50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worker's demographic, medical and occupational history; and</w:t>
      </w:r>
    </w:p>
    <w:p>
      <w:pPr>
        <w:numPr>
          <w:ilvl w:val="0"/>
          <w:numId w:val="735"/>
        </w:numPr>
        <w:tabs>
          <w:tab w:val="clear" w:pos="360"/>
          <w:tab w:val="left" w:pos="2376"/>
        </w:tabs>
        <w:spacing w:before="125" w:after="0" w:line="273"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records of the worker's personal exposure; and</w:t>
      </w:r>
    </w:p>
    <w:p>
      <w:pPr>
        <w:spacing w:before="121" w:after="1276"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(b) a physical examination of the worker,</w:t>
      </w:r>
    </w:p>
    <w:p>
      <w:pPr>
        <w:spacing w:before="121" w:after="1276"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303</w:t>
      </w:r>
    </w:p>
    <w:p>
      <w:pPr>
        <w:sectPr>
          <w:type w:val="continuous"/>
          <w:pgSz w:w="11909" w:h="16838" w:orient="portrait"/>
          <w:pgMar w:bottom="1082" w:top="1140" w:right="5817" w:left="1972"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8.5	</w:t>
      </w:r>
      <w:r>
        <w:rPr>
          <w:rFonts w:ascii="Times New Roman" w:hAnsi="Times New Roman" w:eastAsia="Times New Roman"/>
          <w:color w:val="000000"/>
          <w:spacing w:val="0"/>
          <w:w w:val="100"/>
          <w:sz w:val="20"/>
          <w:vertAlign w:val="baseline"/>
          <w:lang w:val="en-US"/>
        </w:rPr>
        <w:t xml:space="preserve">Asbestos at the Workplace</w:t>
      </w:r>
    </w:p>
    <w:p>
      <w:pPr>
        <w:spacing w:before="246" w:after="0" w:line="279" w:lineRule="exact"/>
        <w:ind w:right="576"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unless another type of health monitoring is recommended by a registered medical practitioner.</w:t>
      </w:r>
    </w:p>
    <w:p>
      <w:pPr>
        <w:spacing w:before="119"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19"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6" w:after="0" w:line="273" w:lineRule="exact"/>
        <w:ind w:right="72"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437 Duty to ensure health monitoring is supervised by registered medical practitioner with relevant experience</w:t>
      </w:r>
    </w:p>
    <w:p>
      <w:pPr>
        <w:numPr>
          <w:ilvl w:val="0"/>
          <w:numId w:val="736"/>
        </w:numPr>
        <w:tabs>
          <w:tab w:val="clear" w:pos="360"/>
          <w:tab w:val="left" w:pos="1368"/>
        </w:tabs>
        <w:spacing w:before="124" w:after="0" w:line="275"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must ensure that the health monitoring of a worker referred to in regulation 435 is carried out by or under the supervision of a registered medical practitioner with experience in health monitoring.</w:t>
      </w:r>
    </w:p>
    <w:p>
      <w:pPr>
        <w:spacing w:before="125"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19"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736"/>
        </w:numPr>
        <w:tabs>
          <w:tab w:val="clear" w:pos="360"/>
          <w:tab w:val="left" w:pos="1368"/>
        </w:tabs>
        <w:spacing w:before="124" w:after="0" w:line="274"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consult the worker in relation to the selection of the registered medical practitioner.</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4"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0"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438 Duty to pay costs of health monitoring</w:t>
      </w:r>
    </w:p>
    <w:p>
      <w:pPr>
        <w:numPr>
          <w:ilvl w:val="0"/>
          <w:numId w:val="737"/>
        </w:numPr>
        <w:tabs>
          <w:tab w:val="clear" w:pos="360"/>
          <w:tab w:val="left" w:pos="1368"/>
        </w:tabs>
        <w:spacing w:before="124" w:after="0" w:line="274" w:lineRule="exact"/>
        <w:ind w:right="144"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A person conducting a business or undertaking must pay all expenses relating to health monitoring referred to in regulation 435.</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4"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numPr>
          <w:ilvl w:val="0"/>
          <w:numId w:val="737"/>
        </w:numPr>
        <w:tabs>
          <w:tab w:val="clear" w:pos="360"/>
          <w:tab w:val="left" w:pos="1368"/>
        </w:tabs>
        <w:spacing w:before="120"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0" w:after="925"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corporate—$18 000.</w:t>
      </w:r>
    </w:p>
    <w:p>
      <w:pPr>
        <w:spacing w:before="120" w:after="925"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304</w:t>
      </w:r>
    </w:p>
    <w:p>
      <w:pPr>
        <w:sectPr>
          <w:type w:val="continuous"/>
          <w:pgSz w:w="11909" w:h="16838" w:orient="portrait"/>
          <w:pgMar w:bottom="1082" w:top="1140" w:right="5812" w:left="1977"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8.5	</w:t>
      </w:r>
      <w:r>
        <w:rPr>
          <w:rFonts w:ascii="Times New Roman" w:hAnsi="Times New Roman" w:eastAsia="Times New Roman"/>
          <w:color w:val="000000"/>
          <w:spacing w:val="0"/>
          <w:w w:val="100"/>
          <w:sz w:val="20"/>
          <w:vertAlign w:val="baseline"/>
          <w:lang w:val="en-US"/>
        </w:rPr>
        <w:t xml:space="preserve">Asbestos at the Workplace</w:t>
      </w:r>
    </w:p>
    <w:p>
      <w:pPr>
        <w:spacing w:before="251" w:after="0" w:line="274" w:lineRule="exact"/>
        <w:ind w:right="0" w:left="0" w:firstLine="0"/>
        <w:jc w:val="center"/>
        <w:textAlignment w:val="baseline"/>
        <w:rPr>
          <w:rFonts w:ascii="Times New Roman" w:hAnsi="Times New Roman" w:eastAsia="Times New Roman"/>
          <w:b w:val="true"/>
          <w:color w:val="000000"/>
          <w:spacing w:val="2"/>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2"/>
          <w:w w:val="100"/>
          <w:sz w:val="24"/>
          <w:vertAlign w:val="baseline"/>
          <w:lang w:val="en-US"/>
        </w:rPr>
        <w:t xml:space="preserve">439 Information that must be provided to registered medical practitioner</w:t>
      </w:r>
    </w:p>
    <w:p>
      <w:pPr>
        <w:spacing w:before="123" w:after="0" w:line="275" w:lineRule="exact"/>
        <w:ind w:right="288"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who commissions health monitoring for a worker must provide the following information to the registered medical practitioner carrying out or supervising the health monitoring:</w:t>
      </w:r>
    </w:p>
    <w:p>
      <w:pPr>
        <w:numPr>
          <w:ilvl w:val="0"/>
          <w:numId w:val="738"/>
        </w:numPr>
        <w:tabs>
          <w:tab w:val="clear" w:pos="360"/>
          <w:tab w:val="left" w:pos="1872"/>
        </w:tabs>
        <w:spacing w:before="126" w:after="0" w:line="273"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and address of the person conducting the business or undertaking;</w:t>
      </w:r>
    </w:p>
    <w:p>
      <w:pPr>
        <w:numPr>
          <w:ilvl w:val="0"/>
          <w:numId w:val="738"/>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and date of birth of the worker;</w:t>
      </w:r>
    </w:p>
    <w:p>
      <w:pPr>
        <w:numPr>
          <w:ilvl w:val="0"/>
          <w:numId w:val="738"/>
        </w:numPr>
        <w:tabs>
          <w:tab w:val="clear" w:pos="360"/>
          <w:tab w:val="left" w:pos="1872"/>
        </w:tabs>
        <w:spacing w:before="114" w:after="0" w:line="279" w:lineRule="exact"/>
        <w:ind w:right="43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work that the worker is, or will be, carrying out that has triggered the requirement for health monitoring;</w:t>
      </w:r>
    </w:p>
    <w:p>
      <w:pPr>
        <w:numPr>
          <w:ilvl w:val="0"/>
          <w:numId w:val="738"/>
        </w:numPr>
        <w:tabs>
          <w:tab w:val="clear" w:pos="360"/>
          <w:tab w:val="left" w:pos="1872"/>
        </w:tabs>
        <w:spacing w:before="114" w:after="0" w:line="279"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worker has started that work, how long the worker has been carrying out that work.</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1"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440 Duty to obtain health monitoring report</w:t>
      </w:r>
    </w:p>
    <w:p>
      <w:pPr>
        <w:numPr>
          <w:ilvl w:val="0"/>
          <w:numId w:val="739"/>
        </w:numPr>
        <w:tabs>
          <w:tab w:val="clear" w:pos="360"/>
          <w:tab w:val="left" w:pos="1368"/>
        </w:tabs>
        <w:spacing w:before="125" w:after="0" w:line="275"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739"/>
        </w:numPr>
        <w:tabs>
          <w:tab w:val="clear" w:pos="360"/>
          <w:tab w:val="left" w:pos="1368"/>
        </w:tabs>
        <w:spacing w:before="121" w:after="0" w:line="273"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health monitoring report must include the following:</w:t>
      </w:r>
    </w:p>
    <w:p>
      <w:pPr>
        <w:numPr>
          <w:ilvl w:val="0"/>
          <w:numId w:val="740"/>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and date of birth of the worker;</w:t>
      </w:r>
    </w:p>
    <w:p>
      <w:pPr>
        <w:numPr>
          <w:ilvl w:val="0"/>
          <w:numId w:val="740"/>
        </w:numPr>
        <w:tabs>
          <w:tab w:val="clear" w:pos="360"/>
          <w:tab w:val="left" w:pos="1872"/>
        </w:tabs>
        <w:spacing w:before="116" w:after="0" w:line="278" w:lineRule="exact"/>
        <w:ind w:right="43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and registration number of the registered medical practitioner;</w:t>
      </w:r>
    </w:p>
    <w:p>
      <w:pPr>
        <w:numPr>
          <w:ilvl w:val="0"/>
          <w:numId w:val="740"/>
        </w:numPr>
        <w:tabs>
          <w:tab w:val="clear" w:pos="360"/>
          <w:tab w:val="left" w:pos="1872"/>
        </w:tabs>
        <w:spacing w:before="116" w:after="0" w:line="278"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and address of the person conducting the business or undertaking who commissioned the health monitoring;</w:t>
      </w:r>
    </w:p>
    <w:p>
      <w:pPr>
        <w:numPr>
          <w:ilvl w:val="0"/>
          <w:numId w:val="740"/>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date of health monitoring;</w:t>
      </w:r>
    </w:p>
    <w:p>
      <w:pPr>
        <w:numPr>
          <w:ilvl w:val="0"/>
          <w:numId w:val="740"/>
        </w:numPr>
        <w:tabs>
          <w:tab w:val="clear" w:pos="360"/>
          <w:tab w:val="left" w:pos="1872"/>
        </w:tabs>
        <w:spacing w:before="122" w:after="888" w:line="276"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any advice that test results indicate that the worker may have contracted a disease, injury or illness as a result of carrying out the work that triggered the requirement for health monitoring;</w:t>
      </w:r>
    </w:p>
    <w:p>
      <w:pPr>
        <w:spacing w:before="122" w:after="888"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305</w:t>
      </w:r>
    </w:p>
    <w:p>
      <w:pPr>
        <w:sectPr>
          <w:type w:val="continuous"/>
          <w:pgSz w:w="11909" w:h="16838" w:orient="portrait"/>
          <w:pgMar w:bottom="1082" w:top="1140" w:right="5814" w:left="1975"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8.5	</w:t>
      </w:r>
      <w:r>
        <w:rPr>
          <w:rFonts w:ascii="Times New Roman" w:hAnsi="Times New Roman" w:eastAsia="Times New Roman"/>
          <w:color w:val="000000"/>
          <w:spacing w:val="0"/>
          <w:w w:val="100"/>
          <w:sz w:val="20"/>
          <w:vertAlign w:val="baseline"/>
          <w:lang w:val="en-US"/>
        </w:rPr>
        <w:t xml:space="preserve">Asbestos at the Workplace</w:t>
      </w:r>
    </w:p>
    <w:p>
      <w:pPr>
        <w:numPr>
          <w:ilvl w:val="0"/>
          <w:numId w:val="709"/>
        </w:numPr>
        <w:tabs>
          <w:tab w:val="clear" w:pos="288"/>
          <w:tab w:val="left" w:pos="1872"/>
        </w:tabs>
        <w:spacing w:before="248" w:after="0" w:line="277" w:lineRule="exact"/>
        <w:ind w:right="144" w:left="1872" w:hanging="288"/>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any recommendation that the person conducting the business or undertaking take remedial measures, including whether the worker can continue to carry out the type of work that triggered the requirement for health monitoring;</w:t>
      </w:r>
    </w:p>
    <w:p>
      <w:pPr>
        <w:numPr>
          <w:ilvl w:val="0"/>
          <w:numId w:val="709"/>
        </w:numPr>
        <w:tabs>
          <w:tab w:val="clear" w:pos="288"/>
          <w:tab w:val="left" w:pos="1872"/>
        </w:tabs>
        <w:spacing w:before="117" w:after="0" w:line="276" w:lineRule="exact"/>
        <w:ind w:right="288"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whether medical counselling is required for the worker in relation to the work that triggered the requirement for health monitoring.</w:t>
      </w:r>
    </w:p>
    <w:p>
      <w:pPr>
        <w:spacing w:before="125"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441 Duty to give health monitoring report to worker</w:t>
      </w:r>
    </w:p>
    <w:p>
      <w:pPr>
        <w:spacing w:before="116" w:after="0" w:line="277" w:lineRule="exact"/>
        <w:ind w:right="144"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who commissioned health monitoring for a worker must give a copy of the health monitoring report to the worker as soon as practicable after the person obtains the report.</w:t>
      </w:r>
    </w:p>
    <w:p>
      <w:pPr>
        <w:spacing w:before="119"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0"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442 Duty to give health monitoring report to regulator</w:t>
      </w:r>
    </w:p>
    <w:p>
      <w:pPr>
        <w:spacing w:before="122" w:after="0" w:line="276" w:lineRule="exact"/>
        <w:ind w:right="144"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for which a worker is carrying out work for which health monitoring is required must give a copy of the health monitoring report relating to a worker to the regulator as soon as practicable after obtaining the report if the report contains:</w:t>
      </w:r>
    </w:p>
    <w:p>
      <w:pPr>
        <w:numPr>
          <w:ilvl w:val="0"/>
          <w:numId w:val="741"/>
        </w:numPr>
        <w:tabs>
          <w:tab w:val="clear" w:pos="288"/>
          <w:tab w:val="left" w:pos="1872"/>
        </w:tabs>
        <w:spacing w:before="120" w:after="0" w:line="276" w:lineRule="exact"/>
        <w:ind w:right="0" w:left="1872" w:hanging="288"/>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any advice that test results indicate that the worker may have contracted a disease, injury or illness as a result of carrying out the work that triggered the requirement for health monitoring; or</w:t>
      </w:r>
    </w:p>
    <w:p>
      <w:pPr>
        <w:numPr>
          <w:ilvl w:val="0"/>
          <w:numId w:val="741"/>
        </w:numPr>
        <w:tabs>
          <w:tab w:val="clear" w:pos="288"/>
          <w:tab w:val="left" w:pos="1872"/>
        </w:tabs>
        <w:spacing w:before="120" w:after="0" w:line="276" w:lineRule="exact"/>
        <w:ind w:right="144"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recommendation that the person conducting the business or undertaking take remedial measures, including whether the worker can continue to carry out the work referred to in regulation 435.</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443 Duty to give health monitoring report to relevant persons conducting businesses or undertakings</w:t>
      </w:r>
    </w:p>
    <w:p>
      <w:pPr>
        <w:spacing w:before="122" w:after="815" w:line="276" w:lineRule="exact"/>
        <w:ind w:right="144"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person conducting a business or undertaking who commissioned health monitoring for a worker must give a copy of the health monitoring report to all other persons conducting businesses or</w:t>
      </w:r>
    </w:p>
    <w:p>
      <w:pPr>
        <w:spacing w:before="122" w:after="815"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306</w:t>
      </w:r>
    </w:p>
    <w:p>
      <w:pPr>
        <w:sectPr>
          <w:type w:val="continuous"/>
          <w:pgSz w:w="11909" w:h="16838" w:orient="portrait"/>
          <w:pgMar w:bottom="1082" w:top="1140" w:right="5812" w:left="1977"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8.5	</w:t>
      </w:r>
      <w:r>
        <w:rPr>
          <w:rFonts w:ascii="Times New Roman" w:hAnsi="Times New Roman" w:eastAsia="Times New Roman"/>
          <w:color w:val="000000"/>
          <w:spacing w:val="0"/>
          <w:w w:val="100"/>
          <w:sz w:val="20"/>
          <w:vertAlign w:val="baseline"/>
          <w:lang w:val="en-US"/>
        </w:rPr>
        <w:t xml:space="preserve">Asbestos at the Workplace</w:t>
      </w:r>
    </w:p>
    <w:p>
      <w:pPr>
        <w:spacing w:before="25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undertakings who have a duty to provide health monitoring for the</w:t>
      </w:r>
    </w:p>
    <w:p>
      <w:pPr>
        <w:spacing w:before="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worker as soon as practicable after obtaining the report.</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6"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444 Health monitoring records</w:t>
      </w:r>
    </w:p>
    <w:p>
      <w:pPr>
        <w:spacing w:before="116"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must ensure that health monitoring reports in relation to a worker carrying out work for the business or undertaking are kept as a confidential record:</w:t>
      </w:r>
    </w:p>
    <w:p>
      <w:pPr>
        <w:numPr>
          <w:ilvl w:val="0"/>
          <w:numId w:val="742"/>
        </w:numPr>
        <w:tabs>
          <w:tab w:val="clear" w:pos="360"/>
          <w:tab w:val="left" w:pos="1872"/>
        </w:tabs>
        <w:spacing w:before="126"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identified as a record in relation to the worker; and</w:t>
      </w:r>
    </w:p>
    <w:p>
      <w:pPr>
        <w:numPr>
          <w:ilvl w:val="0"/>
          <w:numId w:val="742"/>
        </w:numPr>
        <w:tabs>
          <w:tab w:val="clear" w:pos="360"/>
          <w:tab w:val="left" w:pos="1872"/>
        </w:tabs>
        <w:spacing w:before="120"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at least 40 years after the record is made.</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22"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person must ensure that the health monitoring report and results of a worker are not disclosed to another person without the worker's written consent.</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22" w:after="0" w:line="276"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Subregulation (2) does not apply if the record is disclosed under regulation 442 or 443 or to a person who must keep the record confidential under a duty of professional confidentiality.</w:t>
      </w:r>
    </w:p>
    <w:p>
      <w:pPr>
        <w:tabs>
          <w:tab w:val="left" w:leader="none" w:pos="1584"/>
        </w:tabs>
        <w:spacing w:before="246" w:after="0" w:line="274" w:lineRule="exact"/>
        <w:ind w:right="0" w:left="0" w:firstLine="0"/>
        <w:jc w:val="left"/>
        <w:textAlignment w:val="baseline"/>
        <w:rPr>
          <w:rFonts w:ascii="Times New Roman" w:hAnsi="Times New Roman" w:eastAsia="Times New Roman"/>
          <w:b w:val="true"/>
          <w:color w:val="000000"/>
          <w:spacing w:val="-1"/>
          <w:w w:val="100"/>
          <w:sz w:val="24"/>
          <w:vertAlign w:val="baseline"/>
          <w:lang w:val="en-US"/>
        </w:rPr>
      </w:pPr>
      <w:r>
        <w:rPr>
          <w:rFonts w:ascii="Times New Roman" w:hAnsi="Times New Roman" w:eastAsia="Times New Roman"/>
          <w:b w:val="true"/>
          <w:color w:val="000000"/>
          <w:spacing w:val="-1"/>
          <w:w w:val="100"/>
          <w:sz w:val="24"/>
          <w:vertAlign w:val="baseline"/>
          <w:lang w:val="en-US"/>
        </w:rPr>
        <w:t xml:space="preserve">Division 2	</w:t>
      </w:r>
      <w:r>
        <w:rPr>
          <w:rFonts w:ascii="Times New Roman" w:hAnsi="Times New Roman" w:eastAsia="Times New Roman"/>
          <w:b w:val="true"/>
          <w:color w:val="000000"/>
          <w:spacing w:val="-1"/>
          <w:w w:val="100"/>
          <w:sz w:val="24"/>
          <w:vertAlign w:val="baseline"/>
          <w:lang w:val="en-US"/>
        </w:rPr>
        <w:t xml:space="preserve">Training</w:t>
      </w:r>
    </w:p>
    <w:p>
      <w:pPr>
        <w:spacing w:before="119"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445 Duty to train workers about asbestos</w:t>
      </w:r>
    </w:p>
    <w:p>
      <w:pPr>
        <w:spacing w:before="117" w:after="0" w:line="276"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In addition to the training required by Division 1 of Part 3.2, a person conducting a business or undertaking must ensure that workers engaged by the person, whom the person reasonably believes may be involved in asbestos removal work or in the carrying out of asbestos-related work, are trained in the identification and safe handling of, and suitable control measures for, asbestos and ACM.</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926"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926"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307</w:t>
      </w:r>
    </w:p>
    <w:p>
      <w:pPr>
        <w:sectPr>
          <w:type w:val="continuous"/>
          <w:pgSz w:w="11909" w:h="16838" w:orient="portrait"/>
          <w:pgMar w:bottom="1082" w:top="1140" w:right="5812" w:left="1977"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8.5	</w:t>
      </w:r>
      <w:r>
        <w:rPr>
          <w:rFonts w:ascii="Times New Roman" w:hAnsi="Times New Roman" w:eastAsia="Times New Roman"/>
          <w:color w:val="000000"/>
          <w:spacing w:val="0"/>
          <w:w w:val="100"/>
          <w:sz w:val="20"/>
          <w:vertAlign w:val="baseline"/>
          <w:lang w:val="en-US"/>
        </w:rPr>
        <w:t xml:space="preserve">Asbestos at the Workplace</w:t>
      </w:r>
    </w:p>
    <w:p>
      <w:pPr>
        <w:spacing w:before="25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corporate—$30 000.</w:t>
      </w:r>
    </w:p>
    <w:p>
      <w:pPr>
        <w:spacing w:before="126" w:after="0" w:line="273"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This regulation does not apply in relation to a worker referred to in regulation 460.</w:t>
      </w:r>
    </w:p>
    <w:p>
      <w:pPr>
        <w:spacing w:before="126" w:after="0" w:line="273" w:lineRule="exact"/>
        <w:ind w:right="93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person must ensure that a record is kept of the training undertaken by the worker:</w:t>
      </w:r>
    </w:p>
    <w:p>
      <w:pPr>
        <w:numPr>
          <w:ilvl w:val="0"/>
          <w:numId w:val="743"/>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while the worker is carrying out the work; and</w:t>
      </w:r>
    </w:p>
    <w:p>
      <w:pPr>
        <w:numPr>
          <w:ilvl w:val="0"/>
          <w:numId w:val="743"/>
        </w:numPr>
        <w:tabs>
          <w:tab w:val="clear" w:pos="360"/>
          <w:tab w:val="left" w:pos="1872"/>
        </w:tabs>
        <w:spacing w:before="114" w:after="0" w:line="279" w:lineRule="exact"/>
        <w:ind w:right="50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5 years after the day the worker ceases working for the person.</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26" w:after="0" w:line="273"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The person must keep the record available for inspection under the Act.</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tabs>
          <w:tab w:val="left" w:leader="none" w:pos="1584"/>
        </w:tabs>
        <w:spacing w:before="135" w:after="0" w:line="389" w:lineRule="exact"/>
        <w:ind w:right="0" w:left="288" w:hanging="288"/>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3	</w:t>
      </w:r>
      <w:r>
        <w:rPr>
          <w:rFonts w:ascii="Times New Roman" w:hAnsi="Times New Roman" w:eastAsia="Times New Roman"/>
          <w:b w:val="true"/>
          <w:color w:val="000000"/>
          <w:spacing w:val="0"/>
          <w:w w:val="100"/>
          <w:sz w:val="24"/>
          <w:vertAlign w:val="baseline"/>
          <w:lang w:val="en-US"/>
        </w:rPr>
        <w:t xml:space="preserve">Control on use of certain equipment</w:t>
        <w:br/>
      </w:r>
      <w:r>
        <w:rPr>
          <w:rFonts w:ascii="Times New Roman" w:hAnsi="Times New Roman" w:eastAsia="Times New Roman"/>
          <w:b w:val="true"/>
          <w:color w:val="000000"/>
          <w:spacing w:val="0"/>
          <w:w w:val="100"/>
          <w:sz w:val="24"/>
          <w:vertAlign w:val="baseline"/>
          <w:lang w:val="en-US"/>
        </w:rPr>
        <w:t xml:space="preserve">446 Duty to limit use of equipment</w:t>
      </w:r>
    </w:p>
    <w:p>
      <w:pPr>
        <w:spacing w:before="121"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must not use, or direct or allow a worker to use, either of the following on asbestos or ACM:</w:t>
      </w:r>
    </w:p>
    <w:p>
      <w:pPr>
        <w:numPr>
          <w:ilvl w:val="0"/>
          <w:numId w:val="744"/>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high-pressure water spray;</w:t>
      </w:r>
    </w:p>
    <w:p>
      <w:pPr>
        <w:numPr>
          <w:ilvl w:val="0"/>
          <w:numId w:val="744"/>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compressed air.</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5"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Subregulation (1)(a) does not apply to the use of a high pressure</w:t>
      </w:r>
    </w:p>
    <w:p>
      <w:pPr>
        <w:spacing w:before="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water spray for fire fighting or fire protection purposes.</w:t>
      </w:r>
    </w:p>
    <w:p>
      <w:pPr>
        <w:spacing w:before="122"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A person conducting a business or undertaking must not use, or direct or allow a worker to use, any of the following equipment on asbestos or ACM unless the use of the equipment is controlled:</w:t>
      </w:r>
    </w:p>
    <w:p>
      <w:pPr>
        <w:numPr>
          <w:ilvl w:val="0"/>
          <w:numId w:val="745"/>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power tools;</w:t>
      </w:r>
    </w:p>
    <w:p>
      <w:pPr>
        <w:numPr>
          <w:ilvl w:val="0"/>
          <w:numId w:val="745"/>
        </w:numPr>
        <w:tabs>
          <w:tab w:val="clear" w:pos="360"/>
          <w:tab w:val="left" w:pos="1872"/>
        </w:tabs>
        <w:spacing w:before="125" w:after="84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brooms;</w:t>
      </w:r>
    </w:p>
    <w:p>
      <w:pPr>
        <w:spacing w:before="125" w:after="840"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308</w:t>
      </w:r>
    </w:p>
    <w:p>
      <w:pPr>
        <w:sectPr>
          <w:type w:val="continuous"/>
          <w:pgSz w:w="11909" w:h="16838" w:orient="portrait"/>
          <w:pgMar w:bottom="1082" w:top="1140" w:right="5814" w:left="1975"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8.5	</w:t>
      </w:r>
      <w:r>
        <w:rPr>
          <w:rFonts w:ascii="Times New Roman" w:hAnsi="Times New Roman" w:eastAsia="Times New Roman"/>
          <w:color w:val="000000"/>
          <w:spacing w:val="0"/>
          <w:w w:val="100"/>
          <w:sz w:val="20"/>
          <w:vertAlign w:val="baseline"/>
          <w:lang w:val="en-US"/>
        </w:rPr>
        <w:t xml:space="preserve">Asbestos at the Workplace</w:t>
      </w:r>
    </w:p>
    <w:p>
      <w:pPr>
        <w:spacing w:before="245" w:after="0" w:line="279" w:lineRule="exact"/>
        <w:ind w:right="792"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(c) any other implements that cause the release of airborne asbestos into the atmosphere.</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6"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In subregulation (3), the use of equipment is </w:t>
      </w:r>
      <w:r>
        <w:rPr>
          <w:rFonts w:ascii="Times New Roman" w:hAnsi="Times New Roman" w:eastAsia="Times New Roman"/>
          <w:b w:val="true"/>
          <w:i w:val="true"/>
          <w:color w:val="000000"/>
          <w:spacing w:val="0"/>
          <w:w w:val="100"/>
          <w:sz w:val="24"/>
          <w:vertAlign w:val="baseline"/>
          <w:lang w:val="en-US"/>
        </w:rPr>
        <w:t xml:space="preserve">controlled </w:t>
      </w:r>
      <w:r>
        <w:rPr>
          <w:rFonts w:ascii="Times New Roman" w:hAnsi="Times New Roman" w:eastAsia="Times New Roman"/>
          <w:color w:val="000000"/>
          <w:spacing w:val="0"/>
          <w:w w:val="100"/>
          <w:sz w:val="24"/>
          <w:vertAlign w:val="baseline"/>
          <w:lang w:val="en-US"/>
        </w:rPr>
        <w:t xml:space="preserve">if:</w:t>
      </w:r>
    </w:p>
    <w:p>
      <w:pPr>
        <w:numPr>
          <w:ilvl w:val="0"/>
          <w:numId w:val="746"/>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equipment is enclosed during its use; or</w:t>
      </w:r>
    </w:p>
    <w:p>
      <w:pPr>
        <w:numPr>
          <w:ilvl w:val="0"/>
          <w:numId w:val="746"/>
        </w:numPr>
        <w:tabs>
          <w:tab w:val="clear" w:pos="360"/>
          <w:tab w:val="left" w:pos="1872"/>
        </w:tabs>
        <w:spacing w:before="126" w:after="0" w:line="273"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equipment is designed to capture or suppress airborne asbestos and is used in accordance with its design; or</w:t>
      </w:r>
    </w:p>
    <w:p>
      <w:pPr>
        <w:numPr>
          <w:ilvl w:val="0"/>
          <w:numId w:val="746"/>
        </w:numPr>
        <w:tabs>
          <w:tab w:val="clear" w:pos="360"/>
          <w:tab w:val="left" w:pos="1872"/>
        </w:tabs>
        <w:spacing w:before="126" w:after="0" w:line="273"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equipment is used in a way that is designed to capture or suppress airborne asbestos safely; or</w:t>
      </w:r>
    </w:p>
    <w:p>
      <w:pPr>
        <w:numPr>
          <w:ilvl w:val="0"/>
          <w:numId w:val="746"/>
        </w:numPr>
        <w:tabs>
          <w:tab w:val="clear" w:pos="360"/>
          <w:tab w:val="left" w:pos="1872"/>
        </w:tabs>
        <w:spacing w:before="126" w:after="7949"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combination of paragraphs (a), (b) and (c) applies.</w:t>
      </w:r>
    </w:p>
    <w:p>
      <w:pPr>
        <w:spacing w:before="333"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1.05pt,0.3pt" style="position:absolute;mso-position-horizontal-relative:text;mso-position-vertical-relative:text;">
            <v:stroke dashstyle="solid"/>
          </v:line>
        </w:pict>
      </w:r>
    </w:p>
    <w:p>
      <w:pPr>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309</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8.6	</w:t>
      </w:r>
      <w:r>
        <w:rPr>
          <w:rFonts w:ascii="Times New Roman" w:hAnsi="Times New Roman" w:eastAsia="Times New Roman"/>
          <w:color w:val="000000"/>
          <w:spacing w:val="0"/>
          <w:w w:val="100"/>
          <w:sz w:val="20"/>
          <w:vertAlign w:val="baseline"/>
          <w:lang w:val="en-US"/>
        </w:rPr>
        <w:t xml:space="preserve">Demolition and Refurbishment</w:t>
      </w:r>
    </w:p>
    <w:p>
      <w:pPr>
        <w:spacing w:before="258" w:after="0" w:line="316" w:lineRule="exact"/>
        <w:ind w:right="0" w:left="0" w:firstLine="0"/>
        <w:jc w:val="left"/>
        <w:textAlignment w:val="baseline"/>
        <w:rPr>
          <w:rFonts w:ascii="Times New Roman" w:hAnsi="Times New Roman" w:eastAsia="Times New Roman"/>
          <w:b w:val="true"/>
          <w:color w:val="000000"/>
          <w:spacing w:val="6"/>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6"/>
          <w:w w:val="100"/>
          <w:sz w:val="28"/>
          <w:vertAlign w:val="baseline"/>
          <w:lang w:val="en-US"/>
        </w:rPr>
        <w:t xml:space="preserve">Part 8.6 Demolition and Refurbishment</w:t>
      </w:r>
    </w:p>
    <w:p>
      <w:pPr>
        <w:spacing w:before="119" w:after="0" w:line="274"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447 Application—Part 8.6</w:t>
      </w:r>
    </w:p>
    <w:p>
      <w:pPr>
        <w:numPr>
          <w:ilvl w:val="0"/>
          <w:numId w:val="747"/>
        </w:numPr>
        <w:tabs>
          <w:tab w:val="clear" w:pos="360"/>
          <w:tab w:val="left" w:pos="1368"/>
        </w:tabs>
        <w:spacing w:before="123" w:after="0" w:line="274" w:lineRule="exact"/>
        <w:ind w:right="72"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Part applies to the demolition or refurbishment of a structure or plant constructed or installed before 31 December 2003.</w:t>
      </w:r>
    </w:p>
    <w:p>
      <w:pPr>
        <w:numPr>
          <w:ilvl w:val="0"/>
          <w:numId w:val="747"/>
        </w:numPr>
        <w:tabs>
          <w:tab w:val="clear" w:pos="360"/>
          <w:tab w:val="left" w:pos="1368"/>
        </w:tabs>
        <w:spacing w:before="124" w:after="0" w:line="274"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this regulation, </w:t>
      </w:r>
      <w:r>
        <w:rPr>
          <w:rFonts w:ascii="Times New Roman" w:hAnsi="Times New Roman" w:eastAsia="Times New Roman"/>
          <w:b w:val="true"/>
          <w:i w:val="true"/>
          <w:color w:val="000000"/>
          <w:spacing w:val="0"/>
          <w:w w:val="100"/>
          <w:sz w:val="24"/>
          <w:vertAlign w:val="baseline"/>
          <w:lang w:val="en-US"/>
        </w:rPr>
        <w:t xml:space="preserve">demolition or refurbishment </w:t>
      </w:r>
      <w:r>
        <w:rPr>
          <w:rFonts w:ascii="Times New Roman" w:hAnsi="Times New Roman" w:eastAsia="Times New Roman"/>
          <w:color w:val="000000"/>
          <w:spacing w:val="0"/>
          <w:w w:val="100"/>
          <w:sz w:val="24"/>
          <w:vertAlign w:val="baseline"/>
          <w:lang w:val="en-US"/>
        </w:rPr>
        <w:t xml:space="preserve">does not include minor or routine maintenance work, or other minor work.</w:t>
      </w:r>
    </w:p>
    <w:p>
      <w:pPr>
        <w:spacing w:before="125"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448 Review of asbestos register</w:t>
      </w:r>
    </w:p>
    <w:p>
      <w:pPr>
        <w:spacing w:before="117" w:after="0" w:line="276"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with management or control of a workplace must ensure that, before demolition or refurbishment is carried out at the workplace, the asbestos register for the workplace is:</w:t>
      </w:r>
    </w:p>
    <w:p>
      <w:pPr>
        <w:numPr>
          <w:ilvl w:val="0"/>
          <w:numId w:val="748"/>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reviewed; and</w:t>
      </w:r>
    </w:p>
    <w:p>
      <w:pPr>
        <w:numPr>
          <w:ilvl w:val="0"/>
          <w:numId w:val="748"/>
        </w:numPr>
        <w:tabs>
          <w:tab w:val="clear" w:pos="360"/>
          <w:tab w:val="left" w:pos="1872"/>
        </w:tabs>
        <w:spacing w:before="116" w:after="0" w:line="278"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register is inadequate having regard to the proposed demolition or refurbishment—revised.</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Example</w:t>
      </w:r>
    </w:p>
    <w:p>
      <w:pPr>
        <w:spacing w:before="124" w:after="0" w:line="231" w:lineRule="exact"/>
        <w:ind w:right="216"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The register identifies an inaccessible area that is likely to contain asbestos and the area is likely to be accessible because of demolition.</w:t>
      </w:r>
    </w:p>
    <w:p>
      <w:pPr>
        <w:spacing w:before="113" w:after="0" w:line="278" w:lineRule="exact"/>
        <w:ind w:right="72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449 Duty to give asbestos register to person conducting business or undertaking of demolition or refurbishment</w:t>
      </w:r>
    </w:p>
    <w:p>
      <w:pPr>
        <w:spacing w:before="119" w:after="0" w:line="276" w:lineRule="exact"/>
        <w:ind w:right="72" w:left="1368"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The person with management or control of a workplace must ensure that the person conducting a business or undertaking who carries out the demolition or refurbishment is given a copy of the asbestos register before the demolition or refurbishment is commenced.</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5"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450 Duty to obtain asbestos register</w:t>
      </w:r>
    </w:p>
    <w:p>
      <w:pPr>
        <w:spacing w:before="117" w:after="1257" w:line="276"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spacing w:before="117" w:after="1257"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310</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8.6	</w:t>
      </w:r>
      <w:r>
        <w:rPr>
          <w:rFonts w:ascii="Times New Roman" w:hAnsi="Times New Roman" w:eastAsia="Times New Roman"/>
          <w:color w:val="000000"/>
          <w:spacing w:val="0"/>
          <w:w w:val="100"/>
          <w:sz w:val="20"/>
          <w:vertAlign w:val="baseline"/>
          <w:lang w:val="en-US"/>
        </w:rPr>
        <w:t xml:space="preserve">Demolition and Refurbishment</w:t>
      </w:r>
    </w:p>
    <w:p>
      <w:pPr>
        <w:spacing w:before="251"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Maximum penalty:</w:t>
      </w:r>
    </w:p>
    <w:p>
      <w:pPr>
        <w:spacing w:before="125"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19"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5"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451 Determining presence of asbestos or ACM</w:t>
      </w:r>
    </w:p>
    <w:p>
      <w:pPr>
        <w:spacing w:before="119" w:after="0" w:line="274"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regulation applies if:</w:t>
      </w:r>
    </w:p>
    <w:p>
      <w:pPr>
        <w:numPr>
          <w:ilvl w:val="0"/>
          <w:numId w:val="749"/>
        </w:numPr>
        <w:tabs>
          <w:tab w:val="clear" w:pos="360"/>
          <w:tab w:val="left" w:pos="1872"/>
        </w:tabs>
        <w:spacing w:before="126" w:after="0" w:line="273" w:lineRule="exact"/>
        <w:ind w:right="115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demolition or refurbishment is to be carried out at a workplace; and</w:t>
      </w:r>
    </w:p>
    <w:p>
      <w:pPr>
        <w:numPr>
          <w:ilvl w:val="0"/>
          <w:numId w:val="749"/>
        </w:numPr>
        <w:tabs>
          <w:tab w:val="clear" w:pos="360"/>
          <w:tab w:val="left" w:pos="1872"/>
        </w:tabs>
        <w:spacing w:before="126" w:after="0" w:line="273"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there is no asbestos register for the structure or plant to be demolished or refurbished at the workplace.</w:t>
      </w:r>
    </w:p>
    <w:p>
      <w:pPr>
        <w:spacing w:before="128" w:after="0" w:line="274"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4"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8" w:after="0" w:line="276"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person conducting a business or undertaking who is to carry out the demolition or refurbishment must ensure that the determination is undertaken by a competent person.</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4"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8" w:after="0" w:line="276"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The person conducting a business or undertaking who is to carry out the demolition or refurbishment must assume that asbestos or ACM is fixed to or installed in the structure or plant if:</w:t>
      </w:r>
    </w:p>
    <w:p>
      <w:pPr>
        <w:numPr>
          <w:ilvl w:val="0"/>
          <w:numId w:val="750"/>
        </w:numPr>
        <w:tabs>
          <w:tab w:val="clear" w:pos="360"/>
          <w:tab w:val="left" w:pos="1872"/>
        </w:tabs>
        <w:spacing w:before="122" w:after="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competent person is, on reasonable grounds, uncertain whether or not asbestos is fixed to or installed in the structure or plant; or</w:t>
      </w:r>
    </w:p>
    <w:p>
      <w:pPr>
        <w:numPr>
          <w:ilvl w:val="0"/>
          <w:numId w:val="750"/>
        </w:numPr>
        <w:tabs>
          <w:tab w:val="clear" w:pos="360"/>
          <w:tab w:val="left" w:pos="1872"/>
        </w:tabs>
        <w:spacing w:before="116" w:after="0" w:line="278"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part of the structure or plant is inaccessible and likely to be disturbed.</w:t>
      </w:r>
    </w:p>
    <w:p>
      <w:pPr>
        <w:spacing w:before="120" w:after="1007"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(5) If asbestos or ACM is determined or assumed to be fixed to or installed in the structure or plant, the person conducting a business or undertaking who is to carry out the demolition or refurbishment must inform:</w:t>
      </w:r>
    </w:p>
    <w:p>
      <w:pPr>
        <w:spacing w:before="120" w:after="1007"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311</w:t>
      </w:r>
    </w:p>
    <w:p>
      <w:pPr>
        <w:sectPr>
          <w:type w:val="continuous"/>
          <w:pgSz w:w="11909" w:h="16838" w:orient="portrait"/>
          <w:pgMar w:bottom="1082" w:top="1140" w:right="5819" w:left="1970"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8.6	</w:t>
      </w:r>
      <w:r>
        <w:rPr>
          <w:rFonts w:ascii="Times New Roman" w:hAnsi="Times New Roman" w:eastAsia="Times New Roman"/>
          <w:color w:val="000000"/>
          <w:spacing w:val="0"/>
          <w:w w:val="100"/>
          <w:sz w:val="20"/>
          <w:vertAlign w:val="baseline"/>
          <w:lang w:val="en-US"/>
        </w:rPr>
        <w:t xml:space="preserve">Demolition and Refurbishment</w:t>
      </w:r>
    </w:p>
    <w:p>
      <w:pPr>
        <w:spacing w:before="251"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if the workplace is residential premises:</w:t>
      </w:r>
    </w:p>
    <w:p>
      <w:pPr>
        <w:numPr>
          <w:ilvl w:val="0"/>
          <w:numId w:val="751"/>
        </w:numPr>
        <w:tabs>
          <w:tab w:val="clear" w:pos="360"/>
          <w:tab w:val="left" w:pos="2376"/>
        </w:tabs>
        <w:spacing w:before="126" w:after="0" w:line="273" w:lineRule="exact"/>
        <w:ind w:right="0" w:left="2016"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occupier of the premises; and</w:t>
      </w:r>
    </w:p>
    <w:p>
      <w:pPr>
        <w:numPr>
          <w:ilvl w:val="0"/>
          <w:numId w:val="751"/>
        </w:numPr>
        <w:tabs>
          <w:tab w:val="clear" w:pos="360"/>
          <w:tab w:val="left" w:pos="2376"/>
        </w:tabs>
        <w:spacing w:before="120" w:after="0" w:line="273" w:lineRule="exact"/>
        <w:ind w:right="0" w:left="2016"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owner of the premises; and</w:t>
      </w:r>
    </w:p>
    <w:p>
      <w:pPr>
        <w:spacing w:before="126" w:after="0" w:line="273"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in any other case—the person with management or control of the workplace.</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0"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452 Identification and removal of asbestos before demolition</w:t>
      </w:r>
    </w:p>
    <w:p>
      <w:pPr>
        <w:spacing w:before="125" w:after="0" w:line="273"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regulation applies if a structure or plant at a workplace is to be demolished.</w:t>
      </w:r>
    </w:p>
    <w:p>
      <w:pPr>
        <w:spacing w:before="126"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This regulation does not apply:</w:t>
      </w:r>
    </w:p>
    <w:p>
      <w:pPr>
        <w:numPr>
          <w:ilvl w:val="0"/>
          <w:numId w:val="752"/>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an emergency to which regulation 454 applies; or</w:t>
      </w:r>
    </w:p>
    <w:p>
      <w:pPr>
        <w:numPr>
          <w:ilvl w:val="0"/>
          <w:numId w:val="752"/>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to residential premises.</w:t>
      </w:r>
    </w:p>
    <w:p>
      <w:pPr>
        <w:spacing w:before="124" w:after="0" w:line="274"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person with management or control of the workplace, or of the structure or plant, must ensure:</w:t>
      </w:r>
    </w:p>
    <w:p>
      <w:pPr>
        <w:numPr>
          <w:ilvl w:val="0"/>
          <w:numId w:val="753"/>
        </w:numPr>
        <w:tabs>
          <w:tab w:val="clear" w:pos="360"/>
          <w:tab w:val="left" w:pos="1872"/>
        </w:tabs>
        <w:spacing w:before="124" w:after="0" w:line="274" w:lineRule="exact"/>
        <w:ind w:right="7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all asbestos that is likely to be disturbed by the demolition is identified; and</w:t>
      </w:r>
    </w:p>
    <w:p>
      <w:pPr>
        <w:numPr>
          <w:ilvl w:val="0"/>
          <w:numId w:val="753"/>
        </w:numPr>
        <w:tabs>
          <w:tab w:val="clear" w:pos="360"/>
          <w:tab w:val="left" w:pos="1872"/>
        </w:tabs>
        <w:spacing w:before="124" w:after="0" w:line="274" w:lineRule="exact"/>
        <w:ind w:right="7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so far as is reasonably practicable, that the asbestos is removed before the demolition is commenced.</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6" w:after="0" w:line="278"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Subregulation (3)(b) does not apply if the purpose of the demolition is to gain access to the asbestos.</w:t>
      </w:r>
    </w:p>
    <w:p>
      <w:pPr>
        <w:spacing w:before="117" w:after="0" w:line="278" w:lineRule="exact"/>
        <w:ind w:right="108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453 Identification and removal of asbestos before demolition of residential premises</w:t>
      </w:r>
    </w:p>
    <w:p>
      <w:pPr>
        <w:spacing w:before="115" w:after="0" w:line="278"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that is to carry out the demolition of residential premises must ensure:</w:t>
      </w:r>
    </w:p>
    <w:p>
      <w:pPr>
        <w:numPr>
          <w:ilvl w:val="0"/>
          <w:numId w:val="754"/>
        </w:numPr>
        <w:tabs>
          <w:tab w:val="clear" w:pos="360"/>
          <w:tab w:val="left" w:pos="1872"/>
        </w:tabs>
        <w:spacing w:before="116" w:after="0" w:line="278" w:lineRule="exact"/>
        <w:ind w:right="7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all asbestos that is likely to be disturbed by the demolition is identified; and</w:t>
      </w:r>
    </w:p>
    <w:p>
      <w:pPr>
        <w:numPr>
          <w:ilvl w:val="0"/>
          <w:numId w:val="754"/>
        </w:numPr>
        <w:tabs>
          <w:tab w:val="clear" w:pos="360"/>
          <w:tab w:val="left" w:pos="1872"/>
        </w:tabs>
        <w:spacing w:before="116" w:after="1080" w:line="278" w:lineRule="exact"/>
        <w:ind w:right="72" w:left="1872" w:hanging="36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so far as is reasonably practicable, that the asbestos is removed before the demolition is commenced.</w:t>
      </w:r>
    </w:p>
    <w:p>
      <w:pPr>
        <w:spacing w:before="116" w:after="1080"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312</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8.6	</w:t>
      </w:r>
      <w:r>
        <w:rPr>
          <w:rFonts w:ascii="Times New Roman" w:hAnsi="Times New Roman" w:eastAsia="Times New Roman"/>
          <w:color w:val="000000"/>
          <w:spacing w:val="0"/>
          <w:w w:val="100"/>
          <w:sz w:val="20"/>
          <w:vertAlign w:val="baseline"/>
          <w:lang w:val="en-US"/>
        </w:rPr>
        <w:t xml:space="preserve">Demolition and Refurbishment</w:t>
      </w:r>
    </w:p>
    <w:p>
      <w:pPr>
        <w:spacing w:before="25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755"/>
        </w:numPr>
        <w:tabs>
          <w:tab w:val="clear" w:pos="360"/>
          <w:tab w:val="left" w:pos="1368"/>
        </w:tabs>
        <w:spacing w:before="126" w:after="0" w:line="273" w:lineRule="exact"/>
        <w:ind w:right="72"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regulation does not apply in an emergency to which regulation 455 applies.</w:t>
      </w:r>
    </w:p>
    <w:p>
      <w:pPr>
        <w:numPr>
          <w:ilvl w:val="0"/>
          <w:numId w:val="755"/>
        </w:numPr>
        <w:tabs>
          <w:tab w:val="clear" w:pos="360"/>
          <w:tab w:val="left" w:pos="1368"/>
        </w:tabs>
        <w:spacing w:before="126" w:after="0" w:line="273" w:lineRule="exact"/>
        <w:ind w:right="72"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Subregulation (1)(b) does not apply if the purpose of the demolition is to gain access to the asbestos.</w:t>
      </w:r>
    </w:p>
    <w:p>
      <w:pPr>
        <w:spacing w:before="126" w:after="0" w:line="274" w:lineRule="exact"/>
        <w:ind w:right="0" w:left="288" w:firstLine="0"/>
        <w:jc w:val="left"/>
        <w:textAlignment w:val="baseline"/>
        <w:rPr>
          <w:rFonts w:ascii="Times New Roman" w:hAnsi="Times New Roman" w:eastAsia="Times New Roman"/>
          <w:b w:val="true"/>
          <w:color w:val="000000"/>
          <w:spacing w:val="6"/>
          <w:w w:val="100"/>
          <w:sz w:val="24"/>
          <w:vertAlign w:val="baseline"/>
          <w:lang w:val="en-US"/>
        </w:rPr>
      </w:pPr>
      <w:r>
        <w:rPr>
          <w:rFonts w:ascii="Times New Roman" w:hAnsi="Times New Roman" w:eastAsia="Times New Roman"/>
          <w:b w:val="true"/>
          <w:color w:val="000000"/>
          <w:spacing w:val="6"/>
          <w:w w:val="100"/>
          <w:sz w:val="24"/>
          <w:vertAlign w:val="baseline"/>
          <w:lang w:val="en-US"/>
        </w:rPr>
        <w:t xml:space="preserve">454 Emergency procedure</w:t>
      </w:r>
    </w:p>
    <w:p>
      <w:pPr>
        <w:spacing w:before="119"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regulation applies if:</w:t>
      </w:r>
    </w:p>
    <w:p>
      <w:pPr>
        <w:numPr>
          <w:ilvl w:val="0"/>
          <w:numId w:val="756"/>
        </w:numPr>
        <w:tabs>
          <w:tab w:val="clear" w:pos="360"/>
          <w:tab w:val="left" w:pos="1872"/>
        </w:tabs>
        <w:spacing w:before="126" w:after="0" w:line="273"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emergency occurs at a workplace other than residential premises; and</w:t>
      </w:r>
    </w:p>
    <w:p>
      <w:pPr>
        <w:numPr>
          <w:ilvl w:val="0"/>
          <w:numId w:val="756"/>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structure or plant at the workplace must be demolished; and</w:t>
      </w:r>
    </w:p>
    <w:p>
      <w:pPr>
        <w:numPr>
          <w:ilvl w:val="0"/>
          <w:numId w:val="756"/>
        </w:numPr>
        <w:tabs>
          <w:tab w:val="clear" w:pos="360"/>
          <w:tab w:val="left" w:pos="1872"/>
        </w:tabs>
        <w:spacing w:before="119" w:after="0" w:line="274"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asbestos is fixed to or installed in the structure or plant before the emergency occurs.</w:t>
      </w:r>
    </w:p>
    <w:p>
      <w:pPr>
        <w:spacing w:before="124" w:after="0" w:line="274" w:lineRule="exact"/>
        <w:ind w:right="57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person with management or control of the workplace must ensure, so far as is reasonably practicable, that:</w:t>
      </w:r>
    </w:p>
    <w:p>
      <w:pPr>
        <w:numPr>
          <w:ilvl w:val="0"/>
          <w:numId w:val="757"/>
        </w:numPr>
        <w:tabs>
          <w:tab w:val="clear" w:pos="360"/>
          <w:tab w:val="left" w:pos="1872"/>
        </w:tabs>
        <w:spacing w:before="124" w:after="0" w:line="275"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before the demolition is commenced, a procedure is developed that will, so far as is reasonably practicable, reduce the risk of exposure of workers and persons in the vicinity of the demolition site to asbestos to below the exposure standard; and</w:t>
      </w:r>
    </w:p>
    <w:p>
      <w:pPr>
        <w:numPr>
          <w:ilvl w:val="0"/>
          <w:numId w:val="757"/>
        </w:numPr>
        <w:tabs>
          <w:tab w:val="clear" w:pos="360"/>
          <w:tab w:val="left" w:pos="1872"/>
        </w:tabs>
        <w:spacing w:before="124" w:after="0" w:line="274"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asbestos register for the workplace is considered in the development of the procedure.</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16" w:after="0" w:line="278"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person must ensure that the regulator is given written notice about the emergency:</w:t>
      </w:r>
    </w:p>
    <w:p>
      <w:pPr>
        <w:numPr>
          <w:ilvl w:val="0"/>
          <w:numId w:val="758"/>
        </w:numPr>
        <w:tabs>
          <w:tab w:val="clear" w:pos="360"/>
          <w:tab w:val="left" w:pos="1872"/>
        </w:tabs>
        <w:spacing w:before="116" w:after="0" w:line="278" w:lineRule="exact"/>
        <w:ind w:right="122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immediately after the person becomes aware of the emergency; and</w:t>
      </w:r>
    </w:p>
    <w:p>
      <w:pPr>
        <w:numPr>
          <w:ilvl w:val="0"/>
          <w:numId w:val="758"/>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before the demolition is commenced.</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1" w:after="805"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(4) For the purposes of this regulation, an </w:t>
      </w:r>
      <w:r>
        <w:rPr>
          <w:rFonts w:ascii="Times New Roman" w:hAnsi="Times New Roman" w:eastAsia="Times New Roman"/>
          <w:b w:val="true"/>
          <w:i w:val="true"/>
          <w:color w:val="000000"/>
          <w:spacing w:val="0"/>
          <w:w w:val="100"/>
          <w:sz w:val="24"/>
          <w:vertAlign w:val="baseline"/>
          <w:lang w:val="en-US"/>
        </w:rPr>
        <w:t xml:space="preserve">emergency </w:t>
      </w:r>
      <w:r>
        <w:rPr>
          <w:rFonts w:ascii="Times New Roman" w:hAnsi="Times New Roman" w:eastAsia="Times New Roman"/>
          <w:color w:val="000000"/>
          <w:spacing w:val="0"/>
          <w:w w:val="100"/>
          <w:sz w:val="24"/>
          <w:vertAlign w:val="baseline"/>
          <w:lang w:val="en-US"/>
        </w:rPr>
        <w:t xml:space="preserve">occurs if:</w:t>
      </w:r>
    </w:p>
    <w:p>
      <w:pPr>
        <w:spacing w:before="121" w:after="805"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313</w:t>
      </w:r>
    </w:p>
    <w:p>
      <w:pPr>
        <w:sectPr>
          <w:type w:val="continuous"/>
          <w:pgSz w:w="11909" w:h="16838" w:orient="portrait"/>
          <w:pgMar w:bottom="1082" w:top="1140" w:right="5817" w:left="1972"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8.6	</w:t>
      </w:r>
      <w:r>
        <w:rPr>
          <w:rFonts w:ascii="Times New Roman" w:hAnsi="Times New Roman" w:eastAsia="Times New Roman"/>
          <w:color w:val="000000"/>
          <w:spacing w:val="0"/>
          <w:w w:val="100"/>
          <w:sz w:val="20"/>
          <w:vertAlign w:val="baseline"/>
          <w:lang w:val="en-US"/>
        </w:rPr>
        <w:t xml:space="preserve">Demolition and Refurbishment</w:t>
      </w:r>
    </w:p>
    <w:p>
      <w:pPr>
        <w:numPr>
          <w:ilvl w:val="0"/>
          <w:numId w:val="759"/>
        </w:numPr>
        <w:tabs>
          <w:tab w:val="clear" w:pos="360"/>
          <w:tab w:val="left" w:pos="1872"/>
        </w:tabs>
        <w:spacing w:before="25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structure or plant is structurally unsound; or</w:t>
      </w:r>
    </w:p>
    <w:p>
      <w:pPr>
        <w:numPr>
          <w:ilvl w:val="0"/>
          <w:numId w:val="759"/>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collapse of the structure or plant is imminent.</w:t>
      </w:r>
    </w:p>
    <w:p>
      <w:pPr>
        <w:spacing w:before="120"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455 Emergency procedure—residential premises</w:t>
      </w:r>
    </w:p>
    <w:p>
      <w:pPr>
        <w:spacing w:before="125"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regulation applies if:</w:t>
      </w:r>
    </w:p>
    <w:p>
      <w:pPr>
        <w:numPr>
          <w:ilvl w:val="0"/>
          <w:numId w:val="760"/>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emergency occurs at residential premises; and</w:t>
      </w:r>
    </w:p>
    <w:p>
      <w:pPr>
        <w:numPr>
          <w:ilvl w:val="0"/>
          <w:numId w:val="760"/>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structure or plant at the premises must be demolished; and</w:t>
      </w:r>
    </w:p>
    <w:p>
      <w:pPr>
        <w:numPr>
          <w:ilvl w:val="0"/>
          <w:numId w:val="760"/>
        </w:numPr>
        <w:tabs>
          <w:tab w:val="clear" w:pos="360"/>
          <w:tab w:val="left" w:pos="1872"/>
        </w:tabs>
        <w:spacing w:before="114" w:after="0" w:line="279"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asbestos is fixed to or installed in the structure or plant before the emergency occurs.</w:t>
      </w:r>
    </w:p>
    <w:p>
      <w:pPr>
        <w:spacing w:before="121" w:after="0" w:line="275"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and persons in the vicinity of the demolition site to asbestos to below the exposure standard.</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16" w:after="0" w:line="278"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person must ensure that the regulator is given written notice about the emergency:</w:t>
      </w:r>
    </w:p>
    <w:p>
      <w:pPr>
        <w:numPr>
          <w:ilvl w:val="0"/>
          <w:numId w:val="761"/>
        </w:numPr>
        <w:tabs>
          <w:tab w:val="clear" w:pos="360"/>
          <w:tab w:val="left" w:pos="1872"/>
        </w:tabs>
        <w:spacing w:before="116" w:after="0" w:line="278" w:lineRule="exact"/>
        <w:ind w:right="122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immediately after the person becomes aware of the emergency; and</w:t>
      </w:r>
    </w:p>
    <w:p>
      <w:pPr>
        <w:numPr>
          <w:ilvl w:val="0"/>
          <w:numId w:val="761"/>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before the demolition is commenced.</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1"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For the purposes of this regulation, an </w:t>
      </w:r>
      <w:r>
        <w:rPr>
          <w:rFonts w:ascii="Times New Roman" w:hAnsi="Times New Roman" w:eastAsia="Times New Roman"/>
          <w:b w:val="true"/>
          <w:i w:val="true"/>
          <w:color w:val="000000"/>
          <w:spacing w:val="0"/>
          <w:w w:val="100"/>
          <w:sz w:val="24"/>
          <w:vertAlign w:val="baseline"/>
          <w:lang w:val="en-US"/>
        </w:rPr>
        <w:t xml:space="preserve">emergency </w:t>
      </w:r>
      <w:r>
        <w:rPr>
          <w:rFonts w:ascii="Times New Roman" w:hAnsi="Times New Roman" w:eastAsia="Times New Roman"/>
          <w:color w:val="000000"/>
          <w:spacing w:val="0"/>
          <w:w w:val="100"/>
          <w:sz w:val="24"/>
          <w:vertAlign w:val="baseline"/>
          <w:lang w:val="en-US"/>
        </w:rPr>
        <w:t xml:space="preserve">occurs if:</w:t>
      </w:r>
    </w:p>
    <w:p>
      <w:pPr>
        <w:numPr>
          <w:ilvl w:val="0"/>
          <w:numId w:val="762"/>
        </w:numPr>
        <w:tabs>
          <w:tab w:val="clear" w:pos="360"/>
          <w:tab w:val="left" w:pos="1872"/>
        </w:tabs>
        <w:spacing w:before="124"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structure or plant is structurally unsound; or</w:t>
      </w:r>
    </w:p>
    <w:p>
      <w:pPr>
        <w:numPr>
          <w:ilvl w:val="0"/>
          <w:numId w:val="762"/>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collapse of the structure or plant is imminent.</w:t>
      </w:r>
    </w:p>
    <w:p>
      <w:pPr>
        <w:spacing w:before="125"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456 Identification and removal of asbestos before refurbishment</w:t>
      </w:r>
    </w:p>
    <w:p>
      <w:pPr>
        <w:numPr>
          <w:ilvl w:val="0"/>
          <w:numId w:val="763"/>
        </w:numPr>
        <w:tabs>
          <w:tab w:val="clear" w:pos="360"/>
          <w:tab w:val="left" w:pos="1368"/>
        </w:tabs>
        <w:spacing w:before="115" w:after="0" w:line="278"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regulation applies if a structure or plant at a workplace is to be refurbished.</w:t>
      </w:r>
    </w:p>
    <w:p>
      <w:pPr>
        <w:numPr>
          <w:ilvl w:val="0"/>
          <w:numId w:val="763"/>
        </w:numPr>
        <w:tabs>
          <w:tab w:val="clear" w:pos="360"/>
          <w:tab w:val="left" w:pos="1368"/>
        </w:tabs>
        <w:spacing w:before="121" w:after="1358" w:line="273"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This regulation does not apply to residential premises.</w:t>
      </w:r>
    </w:p>
    <w:p>
      <w:pPr>
        <w:spacing w:before="121" w:after="1358"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314</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8.6	</w:t>
      </w:r>
      <w:r>
        <w:rPr>
          <w:rFonts w:ascii="Times New Roman" w:hAnsi="Times New Roman" w:eastAsia="Times New Roman"/>
          <w:color w:val="000000"/>
          <w:spacing w:val="0"/>
          <w:w w:val="100"/>
          <w:sz w:val="20"/>
          <w:vertAlign w:val="baseline"/>
          <w:lang w:val="en-US"/>
        </w:rPr>
        <w:t xml:space="preserve">Demolition and Refurbishment</w:t>
      </w:r>
    </w:p>
    <w:p>
      <w:pPr>
        <w:spacing w:before="244" w:after="0" w:line="279"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(3) The person with management or control of the workplace, or of the structure or plant, must ensure:</w:t>
      </w:r>
    </w:p>
    <w:p>
      <w:pPr>
        <w:numPr>
          <w:ilvl w:val="0"/>
          <w:numId w:val="764"/>
        </w:numPr>
        <w:tabs>
          <w:tab w:val="clear" w:pos="360"/>
          <w:tab w:val="left" w:pos="1872"/>
        </w:tabs>
        <w:spacing w:before="114" w:after="0" w:line="279" w:lineRule="exact"/>
        <w:ind w:right="115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all asbestos that is likely to be disturbed by the refurbishment is identified; and</w:t>
      </w:r>
    </w:p>
    <w:p>
      <w:pPr>
        <w:numPr>
          <w:ilvl w:val="0"/>
          <w:numId w:val="764"/>
        </w:numPr>
        <w:tabs>
          <w:tab w:val="clear" w:pos="360"/>
          <w:tab w:val="left" w:pos="1872"/>
        </w:tabs>
        <w:spacing w:before="114" w:after="0" w:line="279" w:lineRule="exact"/>
        <w:ind w:right="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so far as is reasonably practicable, that the asbestos is removed before the refurbishment is commenced.</w:t>
      </w:r>
    </w:p>
    <w:p>
      <w:pPr>
        <w:spacing w:before="121" w:after="0" w:line="272"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7"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7"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457 Refurbishment of residential premises</w:t>
      </w:r>
    </w:p>
    <w:p>
      <w:pPr>
        <w:spacing w:before="112" w:after="0" w:line="279" w:lineRule="exact"/>
        <w:ind w:right="216"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who is to carry out refurbishment of residential premises must ensure:</w:t>
      </w:r>
    </w:p>
    <w:p>
      <w:pPr>
        <w:numPr>
          <w:ilvl w:val="0"/>
          <w:numId w:val="765"/>
        </w:numPr>
        <w:tabs>
          <w:tab w:val="clear" w:pos="360"/>
          <w:tab w:val="left" w:pos="1872"/>
        </w:tabs>
        <w:spacing w:before="119" w:after="0" w:line="274" w:lineRule="exact"/>
        <w:ind w:right="115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all asbestos that is likely to be disturbed by the refurbishment is identified; and</w:t>
      </w:r>
    </w:p>
    <w:p>
      <w:pPr>
        <w:numPr>
          <w:ilvl w:val="0"/>
          <w:numId w:val="765"/>
        </w:numPr>
        <w:tabs>
          <w:tab w:val="clear" w:pos="360"/>
          <w:tab w:val="left" w:pos="1872"/>
        </w:tabs>
        <w:spacing w:before="124" w:after="0" w:line="274" w:lineRule="exact"/>
        <w:ind w:right="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so far as is reasonably practicable, that the asbestos is removed before the refurbishment is commenced.</w:t>
      </w:r>
    </w:p>
    <w:p>
      <w:pPr>
        <w:spacing w:before="126" w:after="0" w:line="272"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2"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6" w:after="5541"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333"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1.05pt,0.3pt" style="position:absolute;mso-position-horizontal-relative:text;mso-position-vertical-relative:text;">
            <v:stroke dashstyle="solid"/>
          </v:line>
        </w:pict>
      </w:r>
    </w:p>
    <w:p>
      <w:pPr>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315</w:t>
      </w:r>
    </w:p>
    <w:p>
      <w:pPr>
        <w:sectPr>
          <w:type w:val="continuous"/>
          <w:pgSz w:w="11909" w:h="16838" w:orient="portrait"/>
          <w:pgMar w:bottom="1082" w:top="1140" w:right="5814" w:left="1975"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8.7	</w:t>
      </w:r>
      <w:r>
        <w:rPr>
          <w:rFonts w:ascii="Times New Roman" w:hAnsi="Times New Roman" w:eastAsia="Times New Roman"/>
          <w:color w:val="000000"/>
          <w:spacing w:val="0"/>
          <w:w w:val="100"/>
          <w:sz w:val="20"/>
          <w:vertAlign w:val="baseline"/>
          <w:lang w:val="en-US"/>
        </w:rPr>
        <w:t xml:space="preserve">Asbestos Removal Work</w:t>
      </w:r>
    </w:p>
    <w:p>
      <w:pPr>
        <w:spacing w:before="258" w:after="0" w:line="316" w:lineRule="exact"/>
        <w:ind w:right="0" w:left="0" w:firstLine="0"/>
        <w:jc w:val="left"/>
        <w:textAlignment w:val="baseline"/>
        <w:rPr>
          <w:rFonts w:ascii="Times New Roman" w:hAnsi="Times New Roman" w:eastAsia="Times New Roman"/>
          <w:b w:val="true"/>
          <w:color w:val="000000"/>
          <w:spacing w:val="8"/>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8"/>
          <w:w w:val="100"/>
          <w:sz w:val="28"/>
          <w:vertAlign w:val="baseline"/>
          <w:lang w:val="en-US"/>
        </w:rPr>
        <w:t xml:space="preserve">Part 8.7 Asbestos Removal Work</w:t>
      </w:r>
    </w:p>
    <w:p>
      <w:pPr>
        <w:spacing w:before="122"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4" w:after="0" w:line="230" w:lineRule="exact"/>
        <w:ind w:right="648"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In this Part some duties are placed on licensed asbestos removalists and some on asbestos removalists generally.</w:t>
      </w:r>
    </w:p>
    <w:p>
      <w:pPr>
        <w:spacing w:before="119"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458 Duty to ensure asbestos removalist is licensed</w:t>
      </w:r>
    </w:p>
    <w:p>
      <w:pPr>
        <w:spacing w:before="120"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that commissions the removal of asbestos must ensure that the asbestos removal work is carried out by a licensed asbestos removalist who is licensed to carry out the work.</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74"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Subregulation (1) does not apply if the asbestos to be removed is:</w:t>
      </w:r>
    </w:p>
    <w:p>
      <w:pPr>
        <w:numPr>
          <w:ilvl w:val="0"/>
          <w:numId w:val="766"/>
        </w:numPr>
        <w:tabs>
          <w:tab w:val="clear" w:pos="360"/>
          <w:tab w:val="left" w:pos="1872"/>
        </w:tabs>
        <w:spacing w:before="118" w:after="0" w:line="276"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10 square metres or less of non-friable asbestos or ACD associated with the removal of that amount of non-friable asbestos; or</w:t>
      </w:r>
    </w:p>
    <w:p>
      <w:pPr>
        <w:numPr>
          <w:ilvl w:val="0"/>
          <w:numId w:val="766"/>
        </w:numPr>
        <w:tabs>
          <w:tab w:val="clear" w:pos="360"/>
          <w:tab w:val="left" w:pos="1872"/>
        </w:tabs>
        <w:spacing w:before="124" w:after="0" w:line="274"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ACD that is not associated with the removal of friable or non-friable asbestos and is only a minor contamination.</w:t>
      </w:r>
    </w:p>
    <w:p>
      <w:pPr>
        <w:spacing w:before="124" w:after="0" w:line="275"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If subregulation (2) applies, the person conducting the business or undertaking that commissions the asbestos removal work must ensure that the work is carried out by a competent person who has been trained in accordance with regulation 445.</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0" w:after="0" w:line="274" w:lineRule="exact"/>
        <w:ind w:right="0" w:left="0" w:firstLine="0"/>
        <w:jc w:val="center"/>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459 Asbestos removal supervisor must be present or readily available</w:t>
      </w:r>
    </w:p>
    <w:p>
      <w:pPr>
        <w:spacing w:before="124" w:after="0" w:line="274" w:lineRule="exact"/>
        <w:ind w:right="576"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licensed asbestos removalist must ensure that the nominated asbestos removal supervisor for asbestos removal work is:</w:t>
      </w:r>
    </w:p>
    <w:p>
      <w:pPr>
        <w:numPr>
          <w:ilvl w:val="0"/>
          <w:numId w:val="767"/>
        </w:numPr>
        <w:tabs>
          <w:tab w:val="clear" w:pos="360"/>
          <w:tab w:val="left" w:pos="1872"/>
        </w:tabs>
        <w:spacing w:before="122"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asbestos removal work requires a Class A asbestos removal licence—present at the asbestos removal area whenever the asbestos removal work is being carried out; and</w:t>
      </w:r>
    </w:p>
    <w:p>
      <w:pPr>
        <w:numPr>
          <w:ilvl w:val="0"/>
          <w:numId w:val="767"/>
        </w:numPr>
        <w:tabs>
          <w:tab w:val="clear" w:pos="360"/>
          <w:tab w:val="left" w:pos="1872"/>
        </w:tabs>
        <w:spacing w:before="118" w:after="1376" w:line="276" w:lineRule="exact"/>
        <w:ind w:right="72" w:left="1872" w:hanging="360"/>
        <w:jc w:val="left"/>
        <w:textAlignment w:val="baseline"/>
        <w:rPr>
          <w:rFonts w:ascii="Times New Roman" w:hAnsi="Times New Roman" w:eastAsia="Times New Roman"/>
          <w:color w:val="000000"/>
          <w:spacing w:val="-1"/>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1"/>
          <w:w w:val="100"/>
          <w:sz w:val="24"/>
          <w:vertAlign w:val="baseline"/>
          <w:lang w:val="en-US"/>
        </w:rPr>
        <w:t xml:space="preserve">if the asbestos removal work requires a Class B asbestos removal licence—readily available to a worker carrying out asbestos removal work whenever the work is being carried out.</w:t>
      </w:r>
    </w:p>
    <w:p>
      <w:pPr>
        <w:spacing w:before="118" w:after="1376"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316</w:t>
      </w:r>
    </w:p>
    <w:p>
      <w:pPr>
        <w:sectPr>
          <w:type w:val="continuous"/>
          <w:pgSz w:w="11909" w:h="16838" w:orient="portrait"/>
          <w:pgMar w:bottom="1082" w:top="1140" w:right="5812" w:left="1977" w:header="720" w:footer="720"/>
          <w:titlePg w:val="false"/>
          <w:textDirection w:val="lrTb"/>
        </w:sectPr>
      </w:pPr>
    </w:p>
    <w:p>
      <w:pPr>
        <w:spacing w:before="6"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2" w:after="223"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8.7	</w:t>
      </w:r>
      <w:r>
        <w:rPr>
          <w:rFonts w:ascii="Times New Roman" w:hAnsi="Times New Roman" w:eastAsia="Times New Roman"/>
          <w:color w:val="000000"/>
          <w:spacing w:val="0"/>
          <w:w w:val="100"/>
          <w:sz w:val="20"/>
          <w:vertAlign w:val="baseline"/>
          <w:lang w:val="en-US"/>
        </w:rPr>
        <w:t xml:space="preserve">Asbestos Removal Work</w:t>
      </w:r>
    </w:p>
    <w:p>
      <w:pPr>
        <w:spacing w:before="25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6" w:after="0" w:line="273"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460 Asbestos removal worker must be trained</w:t>
      </w:r>
    </w:p>
    <w:p>
      <w:pPr>
        <w:numPr>
          <w:ilvl w:val="0"/>
          <w:numId w:val="768"/>
        </w:numPr>
        <w:tabs>
          <w:tab w:val="clear" w:pos="360"/>
          <w:tab w:val="left" w:pos="1368"/>
        </w:tabs>
        <w:spacing w:before="117"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licensed asbestos removalist must not direct or allow a worker to carry out licensed asbestos removal work unless the removalist is satisfied that the worker holds a certification in relation to the specified VET course for asbestos removal relevant to the class of licensed asbestos removal work to be carried out by the worker.</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6"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768"/>
        </w:numPr>
        <w:tabs>
          <w:tab w:val="clear" w:pos="360"/>
          <w:tab w:val="left" w:pos="1368"/>
        </w:tabs>
        <w:spacing w:before="119" w:after="0" w:line="275"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licensed asbestos removalist must provide appropriate training to a worker carrying out licensed asbestos removal work at a workplace to ensure that the work is carried out in accordance with the asbestos removal control plan for the workplace.</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768"/>
        </w:numPr>
        <w:tabs>
          <w:tab w:val="clear" w:pos="360"/>
          <w:tab w:val="left" w:pos="1368"/>
        </w:tabs>
        <w:spacing w:before="118" w:after="0" w:line="276" w:lineRule="exact"/>
        <w:ind w:right="144"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In this regulation, </w:t>
      </w:r>
      <w:r>
        <w:rPr>
          <w:rFonts w:ascii="Times New Roman" w:hAnsi="Times New Roman" w:eastAsia="Times New Roman"/>
          <w:b w:val="true"/>
          <w:i w:val="true"/>
          <w:color w:val="000000"/>
          <w:spacing w:val="-1"/>
          <w:w w:val="100"/>
          <w:sz w:val="24"/>
          <w:vertAlign w:val="baseline"/>
          <w:lang w:val="en-US"/>
        </w:rPr>
        <w:t xml:space="preserve">appropriate training </w:t>
      </w:r>
      <w:r>
        <w:rPr>
          <w:rFonts w:ascii="Times New Roman" w:hAnsi="Times New Roman" w:eastAsia="Times New Roman"/>
          <w:color w:val="000000"/>
          <w:spacing w:val="-1"/>
          <w:w w:val="100"/>
          <w:sz w:val="24"/>
          <w:vertAlign w:val="baseline"/>
          <w:lang w:val="en-US"/>
        </w:rPr>
        <w:t xml:space="preserve">means training designed specifically for the workplace where the licensed asbestos removal work is carried out and the work to be carried out at the workplace.</w:t>
      </w:r>
    </w:p>
    <w:p>
      <w:pPr>
        <w:spacing w:before="129"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3" w:after="0" w:line="231" w:lineRule="exact"/>
        <w:ind w:right="72"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Unless this regulation applies, the obligation to provide training to workers carrying out unlicensed asbestos removal work is set out in regulation 445.</w:t>
      </w:r>
    </w:p>
    <w:p>
      <w:pPr>
        <w:spacing w:before="118" w:after="0" w:line="273"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461 Licensed asbestos removalist must keep training records</w:t>
      </w:r>
    </w:p>
    <w:p>
      <w:pPr>
        <w:spacing w:before="117" w:after="0" w:line="276"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licensed asbestos removalist must keep a record of the training undertaken by a worker carrying out licensed asbestos removal work:</w:t>
      </w:r>
    </w:p>
    <w:p>
      <w:pPr>
        <w:numPr>
          <w:ilvl w:val="0"/>
          <w:numId w:val="769"/>
        </w:numPr>
        <w:tabs>
          <w:tab w:val="clear" w:pos="360"/>
          <w:tab w:val="left" w:pos="1872"/>
        </w:tabs>
        <w:spacing w:before="126" w:after="0" w:line="273"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while the worker is carrying out licensed asbestos removal work; and</w:t>
      </w:r>
    </w:p>
    <w:p>
      <w:pPr>
        <w:numPr>
          <w:ilvl w:val="0"/>
          <w:numId w:val="769"/>
        </w:numPr>
        <w:tabs>
          <w:tab w:val="clear" w:pos="360"/>
          <w:tab w:val="left" w:pos="1872"/>
        </w:tabs>
        <w:spacing w:before="126" w:after="0" w:line="273" w:lineRule="exact"/>
        <w:ind w:right="64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5 years after the day the worker stopped carrying out licensed asbestos removal work for the removalist.</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907"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an individual—$1 250.</w:t>
      </w:r>
    </w:p>
    <w:p>
      <w:pPr>
        <w:spacing w:before="120" w:after="907"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317</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8.7	</w:t>
      </w:r>
      <w:r>
        <w:rPr>
          <w:rFonts w:ascii="Times New Roman" w:hAnsi="Times New Roman" w:eastAsia="Times New Roman"/>
          <w:color w:val="000000"/>
          <w:spacing w:val="0"/>
          <w:w w:val="100"/>
          <w:sz w:val="20"/>
          <w:vertAlign w:val="baseline"/>
          <w:lang w:val="en-US"/>
        </w:rPr>
        <w:t xml:space="preserve">Asbestos Removal Work</w:t>
      </w:r>
    </w:p>
    <w:p>
      <w:pPr>
        <w:spacing w:before="251"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corporate—$6 000.</w:t>
      </w:r>
    </w:p>
    <w:p>
      <w:pPr>
        <w:spacing w:before="123" w:after="0" w:line="276" w:lineRule="exact"/>
        <w:ind w:right="64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licensed asbestos removalist must ensure that the training record is readily accessible at the asbestos removal area and available for inspection under the Act.</w:t>
      </w:r>
    </w:p>
    <w:p>
      <w:pPr>
        <w:spacing w:before="119"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19"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26" w:after="0" w:line="273" w:lineRule="exact"/>
        <w:ind w:right="648"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462 Duty to give information about health risks of licensed asbestos removal work</w:t>
      </w:r>
    </w:p>
    <w:p>
      <w:pPr>
        <w:spacing w:before="123" w:after="0" w:line="276"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licensed asbestos removalist must give the following information to a person likely to be engaged to carry out licensed asbestos removal work before the person is engaged to carry out the work:</w:t>
      </w:r>
    </w:p>
    <w:p>
      <w:pPr>
        <w:numPr>
          <w:ilvl w:val="0"/>
          <w:numId w:val="770"/>
        </w:numPr>
        <w:tabs>
          <w:tab w:val="clear" w:pos="360"/>
          <w:tab w:val="left" w:pos="1872"/>
        </w:tabs>
        <w:spacing w:before="119" w:after="0" w:line="274"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health risks and health effects associated with exposure to asbestos;</w:t>
      </w:r>
    </w:p>
    <w:p>
      <w:pPr>
        <w:numPr>
          <w:ilvl w:val="0"/>
          <w:numId w:val="770"/>
        </w:numPr>
        <w:tabs>
          <w:tab w:val="clear" w:pos="360"/>
          <w:tab w:val="left" w:pos="1872"/>
        </w:tabs>
        <w:spacing w:before="124" w:after="0" w:line="274"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need for, and details of, health monitoring of a worker carrying out licensed asbestos removal work.</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4"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0"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463 Asbestos removalist must obtain register</w:t>
      </w:r>
    </w:p>
    <w:p>
      <w:pPr>
        <w:numPr>
          <w:ilvl w:val="0"/>
          <w:numId w:val="771"/>
        </w:numPr>
        <w:tabs>
          <w:tab w:val="clear" w:pos="360"/>
          <w:tab w:val="left" w:pos="1368"/>
        </w:tabs>
        <w:spacing w:before="122" w:after="0" w:line="276" w:lineRule="exact"/>
        <w:ind w:right="288"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licensed asbestos removalist must obtain a copy of the asbestos register for a workplace before the removalist carries out asbestos removal work at the workplace.</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771"/>
        </w:numPr>
        <w:tabs>
          <w:tab w:val="clear" w:pos="360"/>
          <w:tab w:val="left" w:pos="1368"/>
        </w:tabs>
        <w:spacing w:before="124" w:after="0" w:line="274"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Subregulation (1) does not apply if the asbestos removal work is to be carried out at residential premises.</w:t>
      </w:r>
    </w:p>
    <w:p>
      <w:pPr>
        <w:spacing w:before="124"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464 Asbestos removal control plan</w:t>
      </w:r>
    </w:p>
    <w:p>
      <w:pPr>
        <w:spacing w:before="118"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licensed asbestos removalist must prepare an asbestos removal control plan for any licensed asbestos removal work the removalist is commissioned to undertake.</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925"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925"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318</w:t>
      </w:r>
    </w:p>
    <w:p>
      <w:pPr>
        <w:sectPr>
          <w:type w:val="continuous"/>
          <w:pgSz w:w="11909" w:h="16838" w:orient="portrait"/>
          <w:pgMar w:bottom="1082" w:top="1140" w:right="5814" w:left="1975"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8.7	</w:t>
      </w:r>
      <w:r>
        <w:rPr>
          <w:rFonts w:ascii="Times New Roman" w:hAnsi="Times New Roman" w:eastAsia="Times New Roman"/>
          <w:color w:val="000000"/>
          <w:spacing w:val="0"/>
          <w:w w:val="100"/>
          <w:sz w:val="20"/>
          <w:vertAlign w:val="baseline"/>
          <w:lang w:val="en-US"/>
        </w:rPr>
        <w:t xml:space="preserve">Asbestos Removal Work</w:t>
      </w:r>
    </w:p>
    <w:p>
      <w:pPr>
        <w:spacing w:before="25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corporate—$30 000.</w:t>
      </w:r>
    </w:p>
    <w:p>
      <w:pPr>
        <w:spacing w:before="126"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An asbestos removal control plan must include:</w:t>
      </w:r>
    </w:p>
    <w:p>
      <w:pPr>
        <w:numPr>
          <w:ilvl w:val="0"/>
          <w:numId w:val="772"/>
        </w:numPr>
        <w:tabs>
          <w:tab w:val="clear" w:pos="360"/>
          <w:tab w:val="left" w:pos="1872"/>
        </w:tabs>
        <w:spacing w:before="117" w:after="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details of how the asbestos removal will be carried out, including the method to be used and the tools, equipment and personal protective equipment to be used; and</w:t>
      </w:r>
    </w:p>
    <w:p>
      <w:pPr>
        <w:numPr>
          <w:ilvl w:val="0"/>
          <w:numId w:val="772"/>
        </w:numPr>
        <w:tabs>
          <w:tab w:val="clear" w:pos="360"/>
          <w:tab w:val="left" w:pos="1872"/>
        </w:tabs>
        <w:spacing w:before="126" w:after="0" w:line="273"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details of the asbestos to be removed, including the location, type and condition of the asbestos.</w:t>
      </w:r>
    </w:p>
    <w:p>
      <w:pPr>
        <w:spacing w:before="123"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licensed asbestos removalist must give a copy of the asbestos removal control plan to the person who commissioned the licensed asbestos removal work.</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1"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465 Asbestos removal control plan to be kept and available</w:t>
      </w:r>
    </w:p>
    <w:p>
      <w:pPr>
        <w:numPr>
          <w:ilvl w:val="0"/>
          <w:numId w:val="773"/>
        </w:numPr>
        <w:tabs>
          <w:tab w:val="clear" w:pos="360"/>
          <w:tab w:val="left" w:pos="1368"/>
        </w:tabs>
        <w:spacing w:before="121" w:after="0" w:line="276"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Subject to subregulation (2), a licensed asbestos removalist must ensure that a copy of the asbestos removal control plan prepared under</w:t>
      </w:r>
    </w:p>
    <w:p>
      <w:pPr>
        <w:spacing w:before="278" w:after="0" w:line="274" w:lineRule="exact"/>
        <w:ind w:right="288"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regulation 464 is kept until the asbestos removal work to which it relates is completed.</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numPr>
          <w:ilvl w:val="0"/>
          <w:numId w:val="773"/>
        </w:numPr>
        <w:tabs>
          <w:tab w:val="clear" w:pos="360"/>
          <w:tab w:val="left" w:pos="1368"/>
        </w:tabs>
        <w:spacing w:before="120" w:after="0" w:line="276" w:lineRule="exact"/>
        <w:ind w:right="360"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If a notifiable incident occurs in connection with the asbestos removal work to which the asbestos removal control plan relates, the licensed asbestos removalist must keep the asbestos removal control plan for at least 2 years after the incident occurs.</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numPr>
          <w:ilvl w:val="0"/>
          <w:numId w:val="773"/>
        </w:numPr>
        <w:tabs>
          <w:tab w:val="clear" w:pos="360"/>
          <w:tab w:val="left" w:pos="1368"/>
        </w:tabs>
        <w:spacing w:before="122"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licensed asbestos removalist must ensure that, for the period for which the asbestos removal control plan must be kept under this regulation, a copy is:</w:t>
      </w:r>
    </w:p>
    <w:p>
      <w:pPr>
        <w:spacing w:before="121" w:after="1286"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readily accessible to:</w:t>
      </w:r>
    </w:p>
    <w:p>
      <w:pPr>
        <w:spacing w:before="121" w:after="1286"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319</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8.7	</w:t>
      </w:r>
      <w:r>
        <w:rPr>
          <w:rFonts w:ascii="Times New Roman" w:hAnsi="Times New Roman" w:eastAsia="Times New Roman"/>
          <w:color w:val="000000"/>
          <w:spacing w:val="0"/>
          <w:w w:val="100"/>
          <w:sz w:val="20"/>
          <w:vertAlign w:val="baseline"/>
          <w:lang w:val="en-US"/>
        </w:rPr>
        <w:t xml:space="preserve">Asbestos Removal Work</w:t>
      </w:r>
    </w:p>
    <w:p>
      <w:pPr>
        <w:numPr>
          <w:ilvl w:val="0"/>
          <w:numId w:val="774"/>
        </w:numPr>
        <w:tabs>
          <w:tab w:val="clear" w:pos="504"/>
          <w:tab w:val="left" w:pos="2376"/>
        </w:tabs>
        <w:spacing w:before="245" w:after="0" w:line="279" w:lineRule="exact"/>
        <w:ind w:right="576" w:left="2376" w:hanging="504"/>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person conducting a business or undertaking at the workplace; and</w:t>
      </w:r>
    </w:p>
    <w:p>
      <w:pPr>
        <w:numPr>
          <w:ilvl w:val="0"/>
          <w:numId w:val="774"/>
        </w:numPr>
        <w:tabs>
          <w:tab w:val="clear" w:pos="504"/>
          <w:tab w:val="left" w:pos="2376"/>
        </w:tabs>
        <w:spacing w:before="114" w:after="0" w:line="279" w:lineRule="exact"/>
        <w:ind w:right="432"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person's workers at the workplace, or a health and safety representative who represents the workers; and</w:t>
      </w:r>
    </w:p>
    <w:p>
      <w:pPr>
        <w:numPr>
          <w:ilvl w:val="0"/>
          <w:numId w:val="774"/>
        </w:numPr>
        <w:tabs>
          <w:tab w:val="clear" w:pos="504"/>
          <w:tab w:val="left" w:pos="2376"/>
        </w:tabs>
        <w:spacing w:before="114" w:after="0" w:line="279" w:lineRule="exact"/>
        <w:ind w:right="144" w:left="2376" w:hanging="504"/>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if the asbestos removal work is to be carried out in residential premises—the occupants of the premises; and</w:t>
      </w:r>
    </w:p>
    <w:p>
      <w:pPr>
        <w:spacing w:before="120"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available for inspection under the Act.</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6"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0"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466 Regulator must be notified of asbestos removal</w:t>
      </w:r>
    </w:p>
    <w:p>
      <w:pPr>
        <w:spacing w:before="126" w:after="0" w:line="273"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licensed asbestos removalist must give written notice to the regulator at least 5 days before the removalist commences licensed asbestos removal work.</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16" w:after="0" w:line="278"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Despite subregulation (1), licensed asbestos removal work may be commenced immediately if there is:</w:t>
      </w:r>
    </w:p>
    <w:p>
      <w:pPr>
        <w:numPr>
          <w:ilvl w:val="0"/>
          <w:numId w:val="775"/>
        </w:numPr>
        <w:tabs>
          <w:tab w:val="clear" w:pos="360"/>
          <w:tab w:val="left" w:pos="1872"/>
        </w:tabs>
        <w:spacing w:before="118"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sudden and unexpected event, including a failure of equipment, that may cause persons to be exposed to respirable asbestos fibres; or</w:t>
      </w:r>
    </w:p>
    <w:p>
      <w:pPr>
        <w:numPr>
          <w:ilvl w:val="0"/>
          <w:numId w:val="775"/>
        </w:numPr>
        <w:tabs>
          <w:tab w:val="clear" w:pos="360"/>
          <w:tab w:val="left" w:pos="1872"/>
        </w:tabs>
        <w:spacing w:before="124" w:after="0" w:line="274"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unexpected breakdown of an essential service that requires immediate rectification to enable the service to continue.</w:t>
      </w:r>
    </w:p>
    <w:p>
      <w:pPr>
        <w:spacing w:before="124" w:after="0" w:line="274" w:lineRule="exact"/>
        <w:ind w:right="144"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If the asbestos must be removed immediately, the licensed asbestos removalist must give notice to the regulator:</w:t>
      </w:r>
    </w:p>
    <w:p>
      <w:pPr>
        <w:numPr>
          <w:ilvl w:val="0"/>
          <w:numId w:val="776"/>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immediately by telephone; and</w:t>
      </w:r>
    </w:p>
    <w:p>
      <w:pPr>
        <w:numPr>
          <w:ilvl w:val="0"/>
          <w:numId w:val="776"/>
        </w:numPr>
        <w:tabs>
          <w:tab w:val="clear" w:pos="360"/>
          <w:tab w:val="left" w:pos="1872"/>
        </w:tabs>
        <w:spacing w:before="116" w:after="0" w:line="278" w:lineRule="exact"/>
        <w:ind w:right="100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writing within 24 hours after notice is given under paragraph (a).</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4" w:after="806" w:line="394" w:lineRule="exact"/>
        <w:ind w:right="144" w:left="1512" w:hanging="504"/>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(4) A notice under subregulation (1) or (3) must include the following: (a) the following in relation to the licensed asbestos removalist:</w:t>
      </w:r>
    </w:p>
    <w:p>
      <w:pPr>
        <w:spacing w:before="4" w:after="806" w:line="39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320</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8.7	</w:t>
      </w:r>
      <w:r>
        <w:rPr>
          <w:rFonts w:ascii="Times New Roman" w:hAnsi="Times New Roman" w:eastAsia="Times New Roman"/>
          <w:color w:val="000000"/>
          <w:spacing w:val="0"/>
          <w:w w:val="100"/>
          <w:sz w:val="20"/>
          <w:vertAlign w:val="baseline"/>
          <w:lang w:val="en-US"/>
        </w:rPr>
        <w:t xml:space="preserve">Asbestos Removal Work</w:t>
      </w:r>
    </w:p>
    <w:p>
      <w:pPr>
        <w:numPr>
          <w:ilvl w:val="0"/>
          <w:numId w:val="777"/>
        </w:numPr>
        <w:tabs>
          <w:tab w:val="clear" w:pos="432"/>
          <w:tab w:val="left" w:pos="2376"/>
        </w:tabs>
        <w:spacing w:before="251" w:after="0" w:line="271"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name;</w:t>
      </w:r>
    </w:p>
    <w:p>
      <w:pPr>
        <w:numPr>
          <w:ilvl w:val="0"/>
          <w:numId w:val="777"/>
        </w:numPr>
        <w:tabs>
          <w:tab w:val="clear" w:pos="432"/>
          <w:tab w:val="left" w:pos="2376"/>
        </w:tabs>
        <w:spacing w:before="128" w:after="0" w:line="271"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registered business name;</w:t>
      </w:r>
    </w:p>
    <w:p>
      <w:pPr>
        <w:numPr>
          <w:ilvl w:val="0"/>
          <w:numId w:val="777"/>
        </w:numPr>
        <w:tabs>
          <w:tab w:val="clear" w:pos="432"/>
          <w:tab w:val="left" w:pos="2376"/>
        </w:tabs>
        <w:spacing w:before="122" w:after="0" w:line="271"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Australian Business Number;</w:t>
      </w:r>
    </w:p>
    <w:p>
      <w:pPr>
        <w:numPr>
          <w:ilvl w:val="0"/>
          <w:numId w:val="777"/>
        </w:numPr>
        <w:tabs>
          <w:tab w:val="clear" w:pos="432"/>
          <w:tab w:val="left" w:pos="2376"/>
        </w:tabs>
        <w:spacing w:before="128" w:after="0" w:line="271"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licence number;</w:t>
      </w:r>
    </w:p>
    <w:p>
      <w:pPr>
        <w:numPr>
          <w:ilvl w:val="0"/>
          <w:numId w:val="777"/>
        </w:numPr>
        <w:tabs>
          <w:tab w:val="clear" w:pos="432"/>
          <w:tab w:val="left" w:pos="2376"/>
        </w:tabs>
        <w:spacing w:before="122" w:after="0" w:line="271"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business contact details;</w:t>
      </w:r>
    </w:p>
    <w:p>
      <w:pPr>
        <w:spacing w:before="126" w:after="0" w:line="273" w:lineRule="exact"/>
        <w:ind w:right="216" w:left="1944" w:hanging="432"/>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the name and business contact details of the supervisor of the licensed asbestos removal work;</w:t>
      </w:r>
    </w:p>
    <w:p>
      <w:pPr>
        <w:spacing w:before="123" w:after="0" w:line="276" w:lineRule="exact"/>
        <w:ind w:right="0" w:left="1944"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the name of the competent person or licensed asbestos assessor engaged to carry out a clearance inspection and issue a clearance certificate for the work;</w:t>
      </w:r>
    </w:p>
    <w:p>
      <w:pPr>
        <w:spacing w:before="114" w:after="0" w:line="279" w:lineRule="exact"/>
        <w:ind w:right="144" w:left="1944"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the name and contact details of the person for whom the work is to be carried out;</w:t>
      </w:r>
    </w:p>
    <w:p>
      <w:pPr>
        <w:spacing w:before="119" w:after="0" w:line="274" w:lineRule="exact"/>
        <w:ind w:right="0" w:left="1944"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 the following in relation to the workplace where the asbestos is to be removed:</w:t>
      </w:r>
    </w:p>
    <w:p>
      <w:pPr>
        <w:numPr>
          <w:ilvl w:val="0"/>
          <w:numId w:val="778"/>
        </w:numPr>
        <w:tabs>
          <w:tab w:val="clear" w:pos="432"/>
          <w:tab w:val="left" w:pos="2376"/>
        </w:tabs>
        <w:spacing w:before="122" w:after="0" w:line="276" w:lineRule="exact"/>
        <w:ind w:right="288"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including the registered business or company name, of the person with management or control of the workplace;</w:t>
      </w:r>
    </w:p>
    <w:p>
      <w:pPr>
        <w:numPr>
          <w:ilvl w:val="0"/>
          <w:numId w:val="778"/>
        </w:numPr>
        <w:tabs>
          <w:tab w:val="clear" w:pos="432"/>
          <w:tab w:val="left" w:pos="2376"/>
        </w:tabs>
        <w:spacing w:before="116" w:after="0" w:line="278" w:lineRule="exact"/>
        <w:ind w:right="432"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address and, if the workplace is large, the specific location of the asbestos removal;</w:t>
      </w:r>
    </w:p>
    <w:p>
      <w:pPr>
        <w:numPr>
          <w:ilvl w:val="0"/>
          <w:numId w:val="778"/>
        </w:numPr>
        <w:tabs>
          <w:tab w:val="clear" w:pos="432"/>
          <w:tab w:val="left" w:pos="2376"/>
        </w:tabs>
        <w:spacing w:before="123" w:after="0" w:line="271"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kind of workplace;</w:t>
      </w:r>
    </w:p>
    <w:p>
      <w:pPr>
        <w:spacing w:before="127" w:after="0" w:line="271"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 the date of the notice;</w:t>
      </w:r>
    </w:p>
    <w:p>
      <w:pPr>
        <w:spacing w:before="116" w:after="0" w:line="278" w:lineRule="exact"/>
        <w:ind w:right="216" w:left="1944" w:hanging="432"/>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 the date when the asbestos removal work is to commence and the estimated duration of the work;</w:t>
      </w:r>
    </w:p>
    <w:p>
      <w:pPr>
        <w:spacing w:before="123" w:after="0" w:line="271"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 whether the asbestos to be removed is friable or non-friable;</w:t>
      </w:r>
    </w:p>
    <w:p>
      <w:pPr>
        <w:spacing w:before="124" w:after="0" w:line="274" w:lineRule="exact"/>
        <w:ind w:right="288" w:left="1944" w:hanging="432"/>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 if the asbestos to be removed is friable—the way the area of removal will be enclosed;</w:t>
      </w:r>
    </w:p>
    <w:p>
      <w:pPr>
        <w:spacing w:before="127" w:after="0" w:line="271"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(j) the estimated quantity of asbestos to be removed;</w:t>
      </w:r>
    </w:p>
    <w:p>
      <w:pPr>
        <w:spacing w:before="116" w:after="0" w:line="278" w:lineRule="exact"/>
        <w:ind w:right="720" w:left="1944"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(k) the number of workers who are to carry out the asbestos removal work;</w:t>
      </w:r>
    </w:p>
    <w:p>
      <w:pPr>
        <w:spacing w:before="118" w:after="1840" w:line="276" w:lineRule="exact"/>
        <w:ind w:right="216" w:left="1944" w:hanging="432"/>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(l) for each worker who is to carry out asbestos removal work— details of the worker's competency to carry out asbestos removal work.</w:t>
      </w:r>
    </w:p>
    <w:p>
      <w:pPr>
        <w:spacing w:before="118" w:after="1840"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321</w:t>
      </w:r>
    </w:p>
    <w:p>
      <w:pPr>
        <w:sectPr>
          <w:type w:val="continuous"/>
          <w:pgSz w:w="11909" w:h="16838" w:orient="portrait"/>
          <w:pgMar w:bottom="1082" w:top="1140" w:right="5819" w:left="1970"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8.7	</w:t>
      </w:r>
      <w:r>
        <w:rPr>
          <w:rFonts w:ascii="Times New Roman" w:hAnsi="Times New Roman" w:eastAsia="Times New Roman"/>
          <w:color w:val="000000"/>
          <w:spacing w:val="0"/>
          <w:w w:val="100"/>
          <w:sz w:val="20"/>
          <w:vertAlign w:val="baseline"/>
          <w:lang w:val="en-US"/>
        </w:rPr>
        <w:t xml:space="preserve">Asbestos Removal Work</w:t>
      </w:r>
    </w:p>
    <w:p>
      <w:pPr>
        <w:spacing w:before="252" w:after="0" w:line="276" w:lineRule="exact"/>
        <w:ind w:right="504" w:left="288" w:firstLine="0"/>
        <w:jc w:val="left"/>
        <w:textAlignment w:val="baseline"/>
        <w:rPr>
          <w:rFonts w:ascii="Times New Roman" w:hAnsi="Times New Roman" w:eastAsia="Times New Roman"/>
          <w:b w:val="true"/>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4"/>
          <w:vertAlign w:val="baseline"/>
          <w:lang w:val="en-US"/>
        </w:rPr>
        <w:t xml:space="preserve">467 Licensed asbestos removalist must inform certain persons about intended asbestos removal work</w:t>
      </w:r>
    </w:p>
    <w:p>
      <w:pPr>
        <w:spacing w:before="113" w:after="0" w:line="279"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regulation applies if a licensed asbestos removalist is to carry out licensed asbestos removal work at a workplace.</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licensed asbestos removalist must, before commencing the</w:t>
      </w:r>
    </w:p>
    <w:p>
      <w:pPr>
        <w:spacing w:before="6" w:after="0" w:line="273" w:lineRule="exact"/>
        <w:ind w:right="1224"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licensed asbestos removal work, inform the person with management or control of the workplace:</w:t>
      </w:r>
    </w:p>
    <w:p>
      <w:pPr>
        <w:numPr>
          <w:ilvl w:val="0"/>
          <w:numId w:val="779"/>
        </w:numPr>
        <w:tabs>
          <w:tab w:val="clear" w:pos="360"/>
          <w:tab w:val="left" w:pos="1872"/>
        </w:tabs>
        <w:spacing w:before="126" w:after="0" w:line="273"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licensed asbestos removal work is to be carried out at the workplace; and</w:t>
      </w:r>
    </w:p>
    <w:p>
      <w:pPr>
        <w:numPr>
          <w:ilvl w:val="0"/>
          <w:numId w:val="779"/>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when the work is to commence.</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8"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w:t>
      </w:r>
    </w:p>
    <w:p>
      <w:pPr>
        <w:numPr>
          <w:ilvl w:val="0"/>
          <w:numId w:val="780"/>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who commissioned the asbestos removal work;</w:t>
      </w:r>
    </w:p>
    <w:p>
      <w:pPr>
        <w:numPr>
          <w:ilvl w:val="0"/>
          <w:numId w:val="780"/>
        </w:numPr>
        <w:tabs>
          <w:tab w:val="clear" w:pos="360"/>
          <w:tab w:val="left" w:pos="1872"/>
        </w:tabs>
        <w:spacing w:before="116" w:after="0" w:line="278" w:lineRule="exact"/>
        <w:ind w:right="108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the workplace;</w:t>
      </w:r>
    </w:p>
    <w:p>
      <w:pPr>
        <w:numPr>
          <w:ilvl w:val="0"/>
          <w:numId w:val="780"/>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occupier of the residential premises;</w:t>
      </w:r>
    </w:p>
    <w:p>
      <w:pPr>
        <w:numPr>
          <w:ilvl w:val="0"/>
          <w:numId w:val="780"/>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owner of the residential premises;</w:t>
      </w:r>
    </w:p>
    <w:p>
      <w:pPr>
        <w:numPr>
          <w:ilvl w:val="0"/>
          <w:numId w:val="780"/>
        </w:numPr>
        <w:tabs>
          <w:tab w:val="clear" w:pos="360"/>
          <w:tab w:val="left" w:pos="1872"/>
        </w:tabs>
        <w:spacing w:before="116" w:after="0" w:line="278"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anyone occupying premises in the immediate vicinity of the workplace.</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1" w:after="0" w:line="276" w:lineRule="exact"/>
        <w:ind w:right="72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468 Person with management or control of workplace must inform persons about asbestos removal work</w:t>
      </w:r>
    </w:p>
    <w:p>
      <w:pPr>
        <w:spacing w:before="121" w:after="156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(1) This regulation applies if the person with management or control of a workplace is informed that asbestos removal work is to be carried out at the workplace.</w:t>
      </w:r>
    </w:p>
    <w:p>
      <w:pPr>
        <w:spacing w:before="121" w:after="1560"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322</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8.7	</w:t>
      </w:r>
      <w:r>
        <w:rPr>
          <w:rFonts w:ascii="Times New Roman" w:hAnsi="Times New Roman" w:eastAsia="Times New Roman"/>
          <w:color w:val="000000"/>
          <w:spacing w:val="0"/>
          <w:w w:val="100"/>
          <w:sz w:val="20"/>
          <w:vertAlign w:val="baseline"/>
          <w:lang w:val="en-US"/>
        </w:rPr>
        <w:t xml:space="preserve">Asbestos Removal Work</w:t>
      </w:r>
    </w:p>
    <w:p>
      <w:pPr>
        <w:spacing w:before="248"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(2) The person must ensure that the following persons are informed that asbestos removal work is to be carried out at the workplace and when the work is to commence, before the work commences:</w:t>
      </w:r>
    </w:p>
    <w:p>
      <w:pPr>
        <w:numPr>
          <w:ilvl w:val="0"/>
          <w:numId w:val="781"/>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person's workers and any other persons at the workplace;</w:t>
      </w:r>
    </w:p>
    <w:p>
      <w:pPr>
        <w:numPr>
          <w:ilvl w:val="0"/>
          <w:numId w:val="781"/>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who commissioned the asbestos removal work.</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6" w:after="0" w:line="277"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person must take all reasonable steps to ensure that the following persons are informed that asbestos removal work is to be carried out at the workplace and when the work is to commence, before the work commences:</w:t>
      </w:r>
    </w:p>
    <w:p>
      <w:pPr>
        <w:numPr>
          <w:ilvl w:val="0"/>
          <w:numId w:val="782"/>
        </w:numPr>
        <w:tabs>
          <w:tab w:val="clear" w:pos="360"/>
          <w:tab w:val="left" w:pos="1872"/>
        </w:tabs>
        <w:spacing w:before="119" w:after="0" w:line="274" w:lineRule="exact"/>
        <w:ind w:right="64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anyone conducting a business or undertaking at, or in the immediate vicinity of, the workplace;</w:t>
      </w:r>
    </w:p>
    <w:p>
      <w:pPr>
        <w:numPr>
          <w:ilvl w:val="0"/>
          <w:numId w:val="782"/>
        </w:numPr>
        <w:tabs>
          <w:tab w:val="clear" w:pos="360"/>
          <w:tab w:val="left" w:pos="1872"/>
        </w:tabs>
        <w:spacing w:before="124" w:after="0" w:line="274"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anyone occupying premises in the immediate vicinity of the workplace.</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0" w:after="0" w:line="396" w:lineRule="exact"/>
        <w:ind w:right="1944" w:left="1368" w:hanging="108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469 Signage and barricades for asbestos removal work </w:t>
      </w:r>
      <w:r>
        <w:rPr>
          <w:rFonts w:ascii="Times New Roman" w:hAnsi="Times New Roman" w:eastAsia="Times New Roman"/>
          <w:color w:val="000000"/>
          <w:spacing w:val="0"/>
          <w:w w:val="100"/>
          <w:sz w:val="24"/>
          <w:vertAlign w:val="baseline"/>
          <w:lang w:val="en-US"/>
        </w:rPr>
        <w:t xml:space="preserve">An asbestos removalist must ensure that:</w:t>
      </w:r>
    </w:p>
    <w:p>
      <w:pPr>
        <w:numPr>
          <w:ilvl w:val="0"/>
          <w:numId w:val="783"/>
        </w:numPr>
        <w:tabs>
          <w:tab w:val="clear" w:pos="360"/>
          <w:tab w:val="left" w:pos="1872"/>
        </w:tabs>
        <w:spacing w:before="118" w:after="0" w:line="276"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signs alerting persons to the presence of asbestos are placed to indicate where the asbestos removal work is being carried out; and</w:t>
      </w:r>
    </w:p>
    <w:p>
      <w:pPr>
        <w:numPr>
          <w:ilvl w:val="0"/>
          <w:numId w:val="783"/>
        </w:numPr>
        <w:tabs>
          <w:tab w:val="clear" w:pos="360"/>
          <w:tab w:val="left" w:pos="1872"/>
        </w:tabs>
        <w:spacing w:before="125" w:after="0" w:line="273" w:lineRule="exact"/>
        <w:ind w:right="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barricades are erected to delineate the asbestos removal area.</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4" w:after="0" w:line="394" w:lineRule="exact"/>
        <w:ind w:right="0" w:left="1008" w:hanging="72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470 Limiting access to asbestos removal area</w:t>
        <w:br/>
      </w:r>
      <w:r>
        <w:rPr>
          <w:rFonts w:ascii="Times New Roman" w:hAnsi="Times New Roman" w:eastAsia="Times New Roman"/>
          <w:color w:val="000000"/>
          <w:spacing w:val="0"/>
          <w:w w:val="100"/>
          <w:sz w:val="24"/>
          <w:vertAlign w:val="baseline"/>
          <w:lang w:val="en-US"/>
        </w:rPr>
        <w:t xml:space="preserve">(1) This regulation applies to:</w:t>
      </w:r>
    </w:p>
    <w:p>
      <w:pPr>
        <w:spacing w:before="122" w:after="120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a person conducting a business or undertaking at a workplace who commissions a person to carry out licensed asbestos removal work at the workplace; and</w:t>
      </w:r>
    </w:p>
    <w:p>
      <w:pPr>
        <w:spacing w:before="122" w:after="1200"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323</w:t>
      </w:r>
    </w:p>
    <w:p>
      <w:pPr>
        <w:sectPr>
          <w:type w:val="continuous"/>
          <w:pgSz w:w="11909" w:h="16838" w:orient="portrait"/>
          <w:pgMar w:bottom="1082" w:top="1140" w:right="5817" w:left="1972"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8.7	</w:t>
      </w:r>
      <w:r>
        <w:rPr>
          <w:rFonts w:ascii="Times New Roman" w:hAnsi="Times New Roman" w:eastAsia="Times New Roman"/>
          <w:color w:val="000000"/>
          <w:spacing w:val="0"/>
          <w:w w:val="100"/>
          <w:sz w:val="20"/>
          <w:vertAlign w:val="baseline"/>
          <w:lang w:val="en-US"/>
        </w:rPr>
        <w:t xml:space="preserve">Asbestos Removal Work</w:t>
      </w:r>
    </w:p>
    <w:p>
      <w:pPr>
        <w:spacing w:before="248"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(b) a person with management or control of a workplace who is aware that licensed asbestos removal work is being carried out at the workplace.</w:t>
      </w:r>
    </w:p>
    <w:p>
      <w:pPr>
        <w:spacing w:before="123" w:after="0" w:line="276"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Subject to subregulation (4), the person must ensure, so far as is reasonably practicable, that no-one other than the following has access to an asbestos removal area:</w:t>
      </w:r>
    </w:p>
    <w:p>
      <w:pPr>
        <w:numPr>
          <w:ilvl w:val="0"/>
          <w:numId w:val="784"/>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workers engaged in the asbestos removal work;</w:t>
      </w:r>
    </w:p>
    <w:p>
      <w:pPr>
        <w:numPr>
          <w:ilvl w:val="0"/>
          <w:numId w:val="784"/>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other persons associated with the asbestos removal work;</w:t>
      </w:r>
    </w:p>
    <w:p>
      <w:pPr>
        <w:numPr>
          <w:ilvl w:val="0"/>
          <w:numId w:val="784"/>
        </w:numPr>
        <w:tabs>
          <w:tab w:val="clear" w:pos="360"/>
          <w:tab w:val="left" w:pos="1872"/>
        </w:tabs>
        <w:spacing w:before="114" w:after="0" w:line="279"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anyone allowed under these Regulations or another law to be in the asbestos removal area.</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1" w:after="0" w:line="273" w:lineRule="exact"/>
        <w:ind w:right="108" w:left="0" w:firstLine="0"/>
        <w:jc w:val="righ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person may refuse to allow access to an asbestos removal area</w:t>
      </w:r>
    </w:p>
    <w:p>
      <w:pPr>
        <w:spacing w:before="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at the workplace to anyone who does not comply with:</w:t>
      </w:r>
    </w:p>
    <w:p>
      <w:pPr>
        <w:numPr>
          <w:ilvl w:val="0"/>
          <w:numId w:val="785"/>
        </w:numPr>
        <w:tabs>
          <w:tab w:val="clear" w:pos="360"/>
          <w:tab w:val="left" w:pos="1872"/>
        </w:tabs>
        <w:spacing w:before="116" w:after="0" w:line="278" w:lineRule="exact"/>
        <w:ind w:right="7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control measure implemented for the workplace in relation to asbestos; or</w:t>
      </w:r>
    </w:p>
    <w:p>
      <w:pPr>
        <w:numPr>
          <w:ilvl w:val="0"/>
          <w:numId w:val="785"/>
        </w:numPr>
        <w:tabs>
          <w:tab w:val="clear" w:pos="360"/>
          <w:tab w:val="left" w:pos="1872"/>
        </w:tabs>
        <w:spacing w:before="121" w:after="0" w:line="273" w:lineRule="exact"/>
        <w:ind w:right="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direction of the licensed asbestos removalist.</w:t>
      </w:r>
    </w:p>
    <w:p>
      <w:pPr>
        <w:spacing w:before="122"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A person referred to in subregulation (2)(a), (b) or (c) has access to an asbestos removal area subject to any direction of the licensed asbestos removalist.</w:t>
      </w:r>
    </w:p>
    <w:p>
      <w:pPr>
        <w:spacing w:before="118"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If a person referred to in subregulation (2)(a), (b) or (c) has access to an asbestos removal area, the person must comply with any direction of the licensed asbestos removalist.</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1" w:after="0" w:line="273"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471 Decontamination facilities</w:t>
      </w:r>
    </w:p>
    <w:p>
      <w:pPr>
        <w:spacing w:before="124" w:after="0" w:line="274"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An asbestos removalist must ensure that facilities are available to decontaminate the following:</w:t>
      </w:r>
    </w:p>
    <w:p>
      <w:pPr>
        <w:numPr>
          <w:ilvl w:val="0"/>
          <w:numId w:val="786"/>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asbestos removal area;</w:t>
      </w:r>
    </w:p>
    <w:p>
      <w:pPr>
        <w:numPr>
          <w:ilvl w:val="0"/>
          <w:numId w:val="786"/>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plant used in the asbestos removal area;</w:t>
      </w:r>
    </w:p>
    <w:p>
      <w:pPr>
        <w:numPr>
          <w:ilvl w:val="0"/>
          <w:numId w:val="786"/>
        </w:numPr>
        <w:tabs>
          <w:tab w:val="clear" w:pos="360"/>
          <w:tab w:val="left" w:pos="1872"/>
        </w:tabs>
        <w:spacing w:before="125" w:after="132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workers carrying out asbestos removal work;</w:t>
      </w:r>
    </w:p>
    <w:p>
      <w:pPr>
        <w:spacing w:before="125" w:after="1320"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324</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8.7	</w:t>
      </w:r>
      <w:r>
        <w:rPr>
          <w:rFonts w:ascii="Times New Roman" w:hAnsi="Times New Roman" w:eastAsia="Times New Roman"/>
          <w:color w:val="000000"/>
          <w:spacing w:val="0"/>
          <w:w w:val="100"/>
          <w:sz w:val="20"/>
          <w:vertAlign w:val="baseline"/>
          <w:lang w:val="en-US"/>
        </w:rPr>
        <w:t xml:space="preserve">Asbestos Removal Work</w:t>
      </w:r>
    </w:p>
    <w:p>
      <w:pPr>
        <w:spacing w:before="245" w:after="0" w:line="279" w:lineRule="exact"/>
        <w:ind w:right="360" w:left="1872" w:hanging="36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(d) other persons who have access to the asbestos removal area under regulation 470(2)(b).</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3"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An asbestos removalist must ensure that nothing that is likely to be contaminated with asbestos is removed from the asbestos removal area unless the thing:</w:t>
      </w:r>
    </w:p>
    <w:p>
      <w:pPr>
        <w:numPr>
          <w:ilvl w:val="0"/>
          <w:numId w:val="787"/>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decontaminated before being removed; or</w:t>
      </w:r>
    </w:p>
    <w:p>
      <w:pPr>
        <w:numPr>
          <w:ilvl w:val="0"/>
          <w:numId w:val="787"/>
        </w:numPr>
        <w:tabs>
          <w:tab w:val="clear" w:pos="360"/>
          <w:tab w:val="left" w:pos="1872"/>
        </w:tabs>
        <w:spacing w:before="126" w:after="0" w:line="273"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sealed in a container, and the exterior of the container is, before being removed:</w:t>
      </w:r>
    </w:p>
    <w:p>
      <w:pPr>
        <w:numPr>
          <w:ilvl w:val="0"/>
          <w:numId w:val="788"/>
        </w:numPr>
        <w:tabs>
          <w:tab w:val="clear" w:pos="360"/>
          <w:tab w:val="left" w:pos="2376"/>
        </w:tabs>
        <w:spacing w:before="126" w:after="0" w:line="273"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decontaminated; and</w:t>
      </w:r>
    </w:p>
    <w:p>
      <w:pPr>
        <w:numPr>
          <w:ilvl w:val="0"/>
          <w:numId w:val="788"/>
        </w:numPr>
        <w:tabs>
          <w:tab w:val="clear" w:pos="360"/>
          <w:tab w:val="left" w:pos="2376"/>
        </w:tabs>
        <w:spacing w:before="119" w:after="0" w:line="274" w:lineRule="exact"/>
        <w:ind w:right="648"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labelled in accordance with the GHS to indicate the presence of asbestos.</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7" w:after="0" w:line="278" w:lineRule="exact"/>
        <w:ind w:right="36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472 Disposing of asbestos waste and contaminated personal protective equipment</w:t>
      </w:r>
    </w:p>
    <w:p>
      <w:pPr>
        <w:spacing w:before="235" w:after="0" w:line="278" w:lineRule="exact"/>
        <w:ind w:right="288"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Subject to subregulations (2) and (3), an asbestos removalist must ensure that asbestos waste:</w:t>
      </w:r>
    </w:p>
    <w:p>
      <w:pPr>
        <w:numPr>
          <w:ilvl w:val="0"/>
          <w:numId w:val="789"/>
        </w:numPr>
        <w:tabs>
          <w:tab w:val="clear" w:pos="360"/>
          <w:tab w:val="left" w:pos="1872"/>
        </w:tabs>
        <w:spacing w:before="116" w:after="0" w:line="278" w:lineRule="exact"/>
        <w:ind w:right="288" w:left="1872" w:hanging="360"/>
        <w:jc w:val="both"/>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is contained and labelled in accordance with the GHS before the waste is removed from an asbestos removal area; and</w:t>
      </w:r>
    </w:p>
    <w:p>
      <w:pPr>
        <w:numPr>
          <w:ilvl w:val="0"/>
          <w:numId w:val="789"/>
        </w:numPr>
        <w:tabs>
          <w:tab w:val="clear" w:pos="360"/>
          <w:tab w:val="left" w:pos="1872"/>
        </w:tabs>
        <w:spacing w:before="116" w:after="0" w:line="278"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disposed of as soon as practicable at a site authorised to accept asbestos waste.</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2" w:after="0" w:line="276"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An asbestos removalist must ensure that personal protective equipment used in asbestos removal work and contaminated with asbestos:</w:t>
      </w:r>
    </w:p>
    <w:p>
      <w:pPr>
        <w:spacing w:before="116" w:after="1200" w:line="278"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is sealed in a container before being removed from an asbestos waste area; and</w:t>
      </w:r>
    </w:p>
    <w:p>
      <w:pPr>
        <w:spacing w:before="116" w:after="1200"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325</w:t>
      </w:r>
    </w:p>
    <w:p>
      <w:pPr>
        <w:sectPr>
          <w:type w:val="continuous"/>
          <w:pgSz w:w="11909" w:h="16838" w:orient="portrait"/>
          <w:pgMar w:bottom="1082" w:top="1140" w:right="5814" w:left="1975"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8.7	</w:t>
      </w:r>
      <w:r>
        <w:rPr>
          <w:rFonts w:ascii="Times New Roman" w:hAnsi="Times New Roman" w:eastAsia="Times New Roman"/>
          <w:color w:val="000000"/>
          <w:spacing w:val="0"/>
          <w:w w:val="100"/>
          <w:sz w:val="20"/>
          <w:vertAlign w:val="baseline"/>
          <w:lang w:val="en-US"/>
        </w:rPr>
        <w:t xml:space="preserve">Asbestos Removal Work</w:t>
      </w:r>
    </w:p>
    <w:p>
      <w:pPr>
        <w:spacing w:before="248" w:after="0" w:line="276"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(b) so far as is reasonably practicable, is disposed of on the completion of the asbestos removal work at a site authorised to accept asbestos waste; and</w:t>
      </w:r>
    </w:p>
    <w:p>
      <w:pPr>
        <w:spacing w:before="126" w:after="0" w:line="273"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if it is not reasonably practicable to dispose of the personal protective equipment that is clothing:</w:t>
      </w:r>
    </w:p>
    <w:p>
      <w:pPr>
        <w:numPr>
          <w:ilvl w:val="0"/>
          <w:numId w:val="790"/>
        </w:numPr>
        <w:tabs>
          <w:tab w:val="clear" w:pos="360"/>
          <w:tab w:val="left" w:pos="2376"/>
        </w:tabs>
        <w:spacing w:before="126" w:after="0" w:line="273" w:lineRule="exact"/>
        <w:ind w:right="288"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laundered at a laundry equipped to launder asbestos-contaminated clothing; or</w:t>
      </w:r>
    </w:p>
    <w:p>
      <w:pPr>
        <w:numPr>
          <w:ilvl w:val="0"/>
          <w:numId w:val="790"/>
        </w:numPr>
        <w:tabs>
          <w:tab w:val="clear" w:pos="360"/>
          <w:tab w:val="left" w:pos="2376"/>
        </w:tabs>
        <w:spacing w:before="123" w:after="0" w:line="276" w:lineRule="exact"/>
        <w:ind w:right="14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it is not practicable to launder the clothing—is kept in the sealed container until it is re-used for asbestos removal purposes; and</w:t>
      </w:r>
    </w:p>
    <w:p>
      <w:pPr>
        <w:spacing w:before="114" w:after="0" w:line="279"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if it is not reasonably practicable to dispose of the personal protective equipment that is not clothing:</w:t>
      </w:r>
    </w:p>
    <w:p>
      <w:pPr>
        <w:numPr>
          <w:ilvl w:val="0"/>
          <w:numId w:val="791"/>
        </w:numPr>
        <w:tabs>
          <w:tab w:val="clear" w:pos="360"/>
          <w:tab w:val="left" w:pos="2376"/>
        </w:tabs>
        <w:spacing w:before="119" w:after="0" w:line="274" w:lineRule="exact"/>
        <w:ind w:right="14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decontaminated before it is removed from the asbestos removal area; or</w:t>
      </w:r>
    </w:p>
    <w:p>
      <w:pPr>
        <w:numPr>
          <w:ilvl w:val="0"/>
          <w:numId w:val="791"/>
        </w:numPr>
        <w:tabs>
          <w:tab w:val="clear" w:pos="360"/>
          <w:tab w:val="left" w:pos="2376"/>
        </w:tabs>
        <w:spacing w:before="122" w:after="0" w:line="276"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it is not practicable to decontaminate the equipment in the asbestos removal area—is kept in the sealed container until it is re-used for asbestos removal purposes.</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7" w:after="0" w:line="350"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Example</w:t>
        <w:br/>
      </w:r>
      <w:r>
        <w:rPr>
          <w:rFonts w:ascii="Times New Roman" w:hAnsi="Times New Roman" w:eastAsia="Times New Roman"/>
          <w:color w:val="000000"/>
          <w:spacing w:val="0"/>
          <w:w w:val="100"/>
          <w:sz w:val="20"/>
          <w:vertAlign w:val="baseline"/>
          <w:lang w:val="en-US"/>
        </w:rPr>
        <w:t xml:space="preserve">Work boots.</w:t>
      </w:r>
    </w:p>
    <w:p>
      <w:pPr>
        <w:spacing w:before="118" w:after="0" w:line="275"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An asbestos removalist must ensure that a sealed container referred to in subregulation (2) is decontaminated and labelled in accordance with the GHS to indicate the presence of asbestos before being removed from the asbestos removal area.</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8"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notes in the Appendix.</w:t>
      </w:r>
    </w:p>
    <w:p>
      <w:pPr>
        <w:spacing w:before="119" w:after="0" w:line="273"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473 Clearance inspection</w:t>
      </w:r>
    </w:p>
    <w:p>
      <w:pPr>
        <w:spacing w:before="124" w:after="1348" w:line="274"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(1) This regulation applies if a person commissions licensed asbestos removal work at a workplace.</w:t>
      </w:r>
    </w:p>
    <w:p>
      <w:pPr>
        <w:spacing w:before="124" w:after="1348"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326</w:t>
      </w:r>
    </w:p>
    <w:p>
      <w:pPr>
        <w:sectPr>
          <w:type w:val="continuous"/>
          <w:pgSz w:w="11909" w:h="16838" w:orient="portrait"/>
          <w:pgMar w:bottom="1082" w:top="1140" w:right="5812" w:left="1977" w:header="720" w:footer="720"/>
          <w:titlePg w:val="false"/>
          <w:textDirection w:val="lrTb"/>
        </w:sectPr>
      </w:pPr>
    </w:p>
    <w:p>
      <w:pPr>
        <w:spacing w:before="6"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5" w:after="226"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8.7	</w:t>
      </w:r>
      <w:r>
        <w:rPr>
          <w:rFonts w:ascii="Times New Roman" w:hAnsi="Times New Roman" w:eastAsia="Times New Roman"/>
          <w:color w:val="000000"/>
          <w:spacing w:val="0"/>
          <w:w w:val="100"/>
          <w:sz w:val="20"/>
          <w:vertAlign w:val="baseline"/>
          <w:lang w:val="en-US"/>
        </w:rPr>
        <w:t xml:space="preserve">Asbestos Removal Work</w:t>
      </w:r>
    </w:p>
    <w:p>
      <w:pPr>
        <w:spacing w:before="247" w:after="0" w:line="277"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(2) The person or, if the workplace is residential premises, the licensed asbestos removalist must ensure that, when the licensed asbestos removal work is completed, a clearance inspection of the asbestos removal area at the workplace is carried out by:</w:t>
      </w:r>
    </w:p>
    <w:p>
      <w:pPr>
        <w:numPr>
          <w:ilvl w:val="0"/>
          <w:numId w:val="792"/>
        </w:numPr>
        <w:tabs>
          <w:tab w:val="clear" w:pos="360"/>
          <w:tab w:val="left" w:pos="1872"/>
        </w:tabs>
        <w:spacing w:before="117"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asbestos removal work must be carried out by the holder of a Class A asbestos removal licence—an independent licensed asbestos assessor; or</w:t>
      </w:r>
    </w:p>
    <w:p>
      <w:pPr>
        <w:numPr>
          <w:ilvl w:val="0"/>
          <w:numId w:val="792"/>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any other case—an independent competent person.</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7" w:after="0" w:line="273" w:lineRule="exact"/>
        <w:ind w:right="50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In this regulation, a </w:t>
      </w:r>
      <w:r>
        <w:rPr>
          <w:rFonts w:ascii="Times New Roman" w:hAnsi="Times New Roman" w:eastAsia="Times New Roman"/>
          <w:b w:val="true"/>
          <w:i w:val="true"/>
          <w:color w:val="000000"/>
          <w:spacing w:val="0"/>
          <w:w w:val="100"/>
          <w:sz w:val="24"/>
          <w:vertAlign w:val="baseline"/>
          <w:lang w:val="en-US"/>
        </w:rPr>
        <w:t xml:space="preserve">clearance inspection </w:t>
      </w:r>
      <w:r>
        <w:rPr>
          <w:rFonts w:ascii="Times New Roman" w:hAnsi="Times New Roman" w:eastAsia="Times New Roman"/>
          <w:color w:val="000000"/>
          <w:spacing w:val="0"/>
          <w:w w:val="100"/>
          <w:sz w:val="24"/>
          <w:vertAlign w:val="baseline"/>
          <w:lang w:val="en-US"/>
        </w:rPr>
        <w:t xml:space="preserve">is an inspection of an asbestos removal area after asbestos removal work has been completed to verify that the area is safe for normal use, that:</w:t>
      </w:r>
    </w:p>
    <w:p>
      <w:pPr>
        <w:numPr>
          <w:ilvl w:val="0"/>
          <w:numId w:val="793"/>
        </w:numPr>
        <w:tabs>
          <w:tab w:val="clear" w:pos="360"/>
          <w:tab w:val="left" w:pos="1872"/>
        </w:tabs>
        <w:spacing w:before="125" w:after="0" w:line="273" w:lineRule="exact"/>
        <w:ind w:right="0" w:left="1368" w:firstLine="14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includes a visual inspection; and</w:t>
      </w:r>
    </w:p>
    <w:p>
      <w:pPr>
        <w:numPr>
          <w:ilvl w:val="0"/>
          <w:numId w:val="793"/>
        </w:numPr>
        <w:tabs>
          <w:tab w:val="clear" w:pos="360"/>
          <w:tab w:val="left" w:pos="1872"/>
        </w:tabs>
        <w:spacing w:before="18" w:after="0" w:line="365" w:lineRule="exact"/>
        <w:ind w:right="0" w:left="1368" w:firstLine="14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may include air monitoring.</w:t>
        <w:br/>
      </w:r>
      <w:r>
        <w:rPr>
          <w:rFonts w:ascii="Times New Roman" w:hAnsi="Times New Roman" w:eastAsia="Times New Roman"/>
          <w:b w:val="true"/>
          <w:color w:val="000000"/>
          <w:spacing w:val="0"/>
          <w:w w:val="100"/>
          <w:sz w:val="20"/>
          <w:vertAlign w:val="baseline"/>
          <w:lang w:val="en-US"/>
        </w:rPr>
        <w:t xml:space="preserve">Note</w:t>
      </w:r>
    </w:p>
    <w:p>
      <w:pPr>
        <w:spacing w:before="122" w:after="0" w:line="230" w:lineRule="exact"/>
        <w:ind w:right="72"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If it is not reasonably practicable for the licensed asbestos assessor or competent person to be independent, the person or licensed asbestos removalist may apply to the regulator for an exemption under Part 11.2 from the requirement that the assessor or competent person be independent.</w:t>
      </w:r>
    </w:p>
    <w:p>
      <w:pPr>
        <w:spacing w:before="121" w:after="0" w:line="273"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474 Clearance certificates</w:t>
      </w:r>
    </w:p>
    <w:p>
      <w:pPr>
        <w:numPr>
          <w:ilvl w:val="0"/>
          <w:numId w:val="794"/>
        </w:numPr>
        <w:tabs>
          <w:tab w:val="clear" w:pos="360"/>
          <w:tab w:val="left" w:pos="1368"/>
        </w:tabs>
        <w:spacing w:before="116" w:after="0" w:line="278"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regulation applies if a clearance inspection has been made in accordance with regulation 473.</w:t>
      </w:r>
    </w:p>
    <w:p>
      <w:pPr>
        <w:numPr>
          <w:ilvl w:val="0"/>
          <w:numId w:val="794"/>
        </w:numPr>
        <w:tabs>
          <w:tab w:val="clear" w:pos="360"/>
          <w:tab w:val="left" w:pos="1368"/>
        </w:tabs>
        <w:spacing w:before="120"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licensed asbestos assessor or competent person who carried out the clearance inspection must issue a clearance certificate, in accordance with this regulation, before the asbestos removal area at the workplace is re-occupied.</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794"/>
        </w:numPr>
        <w:tabs>
          <w:tab w:val="clear" w:pos="360"/>
          <w:tab w:val="left" w:pos="1368"/>
        </w:tabs>
        <w:spacing w:before="118" w:after="0" w:line="276"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licensed asbestos assessor or competent person must ensure that the asbestos removal area does not pose a risk to health and safety from exposure to asbestos.</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844"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844"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327</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8.7	</w:t>
      </w:r>
      <w:r>
        <w:rPr>
          <w:rFonts w:ascii="Times New Roman" w:hAnsi="Times New Roman" w:eastAsia="Times New Roman"/>
          <w:color w:val="000000"/>
          <w:spacing w:val="0"/>
          <w:w w:val="100"/>
          <w:sz w:val="20"/>
          <w:vertAlign w:val="baseline"/>
          <w:lang w:val="en-US"/>
        </w:rPr>
        <w:t xml:space="preserve">Asbestos Removal Work</w:t>
      </w:r>
    </w:p>
    <w:p>
      <w:pPr>
        <w:spacing w:before="25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corporate—$30 000.</w:t>
      </w:r>
    </w:p>
    <w:p>
      <w:pPr>
        <w:spacing w:before="126" w:after="0" w:line="273"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The licensed asbestos assessor or competent person must not issue a clearance certificate unless satisfied that:</w:t>
      </w:r>
    </w:p>
    <w:p>
      <w:pPr>
        <w:numPr>
          <w:ilvl w:val="0"/>
          <w:numId w:val="795"/>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asbestos removal area, and the area immediately</w:t>
      </w:r>
    </w:p>
    <w:p>
      <w:pPr>
        <w:spacing w:before="0" w:after="0" w:line="276" w:lineRule="exact"/>
        <w:ind w:right="288"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surrounding it, are free from visible asbestos contamination; and</w:t>
      </w:r>
    </w:p>
    <w:p>
      <w:pPr>
        <w:numPr>
          <w:ilvl w:val="0"/>
          <w:numId w:val="795"/>
        </w:numPr>
        <w:tabs>
          <w:tab w:val="clear" w:pos="360"/>
          <w:tab w:val="left" w:pos="1872"/>
        </w:tabs>
        <w:spacing w:before="117" w:after="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assessor or competent person undertook air monitoring as part of the clearance inspection—the monitoring shows asbestos below 0·01 fibres/ml.</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The clearance certificate must be in writing and must state that:</w:t>
      </w:r>
    </w:p>
    <w:p>
      <w:pPr>
        <w:numPr>
          <w:ilvl w:val="0"/>
          <w:numId w:val="796"/>
        </w:numPr>
        <w:tabs>
          <w:tab w:val="clear" w:pos="360"/>
          <w:tab w:val="left" w:pos="1872"/>
        </w:tabs>
        <w:spacing w:before="118" w:after="0" w:line="276"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assessor or competent person found no visible asbestos residue from asbestos removal work in the area, or in the vicinity of the area, where the work was carried out; and</w:t>
      </w:r>
    </w:p>
    <w:p>
      <w:pPr>
        <w:numPr>
          <w:ilvl w:val="0"/>
          <w:numId w:val="796"/>
        </w:numPr>
        <w:tabs>
          <w:tab w:val="clear" w:pos="360"/>
          <w:tab w:val="left" w:pos="1872"/>
        </w:tabs>
        <w:spacing w:before="122" w:after="590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air monitoring was carried out by the assessor or competent person as part of the clearance inspection—the airborne asbestos fibre level was less than 0·01 asbestos fibres/mL.</w:t>
      </w:r>
    </w:p>
    <w:p>
      <w:pPr>
        <w:spacing w:before="333"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1.05pt,0.3pt" style="position:absolute;mso-position-horizontal-relative:text;mso-position-vertical-relative:text;">
            <v:stroke dashstyle="solid"/>
          </v:line>
        </w:pict>
      </w:r>
    </w:p>
    <w:p>
      <w:pPr>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328</w:t>
      </w:r>
    </w:p>
    <w:p>
      <w:pPr>
        <w:sectPr>
          <w:type w:val="continuous"/>
          <w:pgSz w:w="11909" w:h="16838" w:orient="portrait"/>
          <w:pgMar w:bottom="1082" w:top="1140" w:right="5814" w:left="1975" w:header="720" w:footer="720"/>
          <w:titlePg w:val="false"/>
          <w:textDirection w:val="lrTb"/>
        </w:sectPr>
      </w:pPr>
    </w:p>
    <w:p>
      <w:pPr>
        <w:spacing w:before="6"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2" w:after="223"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8.8	</w:t>
      </w:r>
      <w:r>
        <w:rPr>
          <w:rFonts w:ascii="Times New Roman" w:hAnsi="Times New Roman" w:eastAsia="Times New Roman"/>
          <w:color w:val="000000"/>
          <w:spacing w:val="0"/>
          <w:w w:val="100"/>
          <w:sz w:val="20"/>
          <w:vertAlign w:val="baseline"/>
          <w:lang w:val="en-US"/>
        </w:rPr>
        <w:t xml:space="preserve">Asbestos Removal Requiring Class A Asbestos Removal Licence</w:t>
      </w:r>
    </w:p>
    <w:p>
      <w:pPr>
        <w:spacing w:before="254" w:after="0" w:line="321" w:lineRule="exact"/>
        <w:ind w:right="1152" w:left="1368" w:hanging="1368"/>
        <w:jc w:val="left"/>
        <w:textAlignment w:val="baseline"/>
        <w:rPr>
          <w:rFonts w:ascii="Times New Roman" w:hAnsi="Times New Roman" w:eastAsia="Times New Roman"/>
          <w:b w:val="true"/>
          <w:color w:val="000000"/>
          <w:spacing w:val="0"/>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8"/>
          <w:vertAlign w:val="baseline"/>
          <w:lang w:val="en-US"/>
        </w:rPr>
        <w:t xml:space="preserve">Part 8.8 Asbestos Removal Requiring Class A Asbestos Removal Licence</w:t>
      </w:r>
    </w:p>
    <w:p>
      <w:pPr>
        <w:spacing w:before="114" w:after="0" w:line="278" w:lineRule="exact"/>
        <w:ind w:right="792"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475 Air monitoring—asbestos removal requiring Class A asbestos removal licence</w:t>
      </w:r>
    </w:p>
    <w:p>
      <w:pPr>
        <w:spacing w:before="118"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who commissions asbestos removal work requiring a Class A asbestos removal licence at a workplace must ensure that an independent licensed asbestos assessor undertakes air monitoring of the asbestos removal area at the workplace.</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8"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If the workplace is residential premises, the licensed removalist carrying out asbestos removal work requiring a Class A asbestos removal licence at the premises must ensure that an independent licensed asbestos assessor undertakes air monitoring of the asbestos removal area at the premises.</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1"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air monitoring must be carried out:</w:t>
      </w:r>
    </w:p>
    <w:p>
      <w:pPr>
        <w:numPr>
          <w:ilvl w:val="0"/>
          <w:numId w:val="797"/>
        </w:numPr>
        <w:tabs>
          <w:tab w:val="clear" w:pos="360"/>
          <w:tab w:val="left" w:pos="1872"/>
        </w:tabs>
        <w:spacing w:before="122"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immediately before the licensed asbestos removal work commences, unless glove bags are to be used for the removal; and</w:t>
      </w:r>
    </w:p>
    <w:p>
      <w:pPr>
        <w:numPr>
          <w:ilvl w:val="0"/>
          <w:numId w:val="797"/>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while the licensed asbestos removal work is carried out.</w:t>
      </w:r>
    </w:p>
    <w:p>
      <w:pPr>
        <w:spacing w:before="122" w:after="0" w:line="276"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The person who commissions the licensed asbestos removal work must ensure that the results of the air monitoring are given to the following:</w:t>
      </w:r>
    </w:p>
    <w:p>
      <w:pPr>
        <w:numPr>
          <w:ilvl w:val="0"/>
          <w:numId w:val="798"/>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workers at the workplace;</w:t>
      </w:r>
    </w:p>
    <w:p>
      <w:pPr>
        <w:numPr>
          <w:ilvl w:val="0"/>
          <w:numId w:val="798"/>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health and safety representatives for workers at the workplace;</w:t>
      </w:r>
    </w:p>
    <w:p>
      <w:pPr>
        <w:numPr>
          <w:ilvl w:val="0"/>
          <w:numId w:val="798"/>
        </w:numPr>
        <w:tabs>
          <w:tab w:val="clear" w:pos="360"/>
          <w:tab w:val="left" w:pos="1872"/>
        </w:tabs>
        <w:spacing w:before="116" w:after="0" w:line="278" w:lineRule="exact"/>
        <w:ind w:right="108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the workplace;</w:t>
      </w:r>
    </w:p>
    <w:p>
      <w:pPr>
        <w:numPr>
          <w:ilvl w:val="0"/>
          <w:numId w:val="798"/>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other persons at the workplace.</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796"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796"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329</w:t>
      </w:r>
    </w:p>
    <w:p>
      <w:pPr>
        <w:sectPr>
          <w:type w:val="continuous"/>
          <w:pgSz w:w="11909" w:h="16838" w:orient="portrait"/>
          <w:pgMar w:bottom="1082" w:top="1140" w:right="5812" w:left="1977" w:header="720" w:footer="720"/>
          <w:titlePg w:val="false"/>
          <w:textDirection w:val="lrTb"/>
        </w:sectPr>
      </w:pPr>
    </w:p>
    <w:p>
      <w:pPr>
        <w:spacing w:before="6"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2" w:after="223"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8.8	</w:t>
      </w:r>
      <w:r>
        <w:rPr>
          <w:rFonts w:ascii="Times New Roman" w:hAnsi="Times New Roman" w:eastAsia="Times New Roman"/>
          <w:color w:val="000000"/>
          <w:spacing w:val="0"/>
          <w:w w:val="100"/>
          <w:sz w:val="20"/>
          <w:vertAlign w:val="baseline"/>
          <w:lang w:val="en-US"/>
        </w:rPr>
        <w:t xml:space="preserve">Asbestos Removal Requiring Class A Asbestos Removal Licence</w:t>
      </w:r>
    </w:p>
    <w:p>
      <w:pPr>
        <w:spacing w:before="25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If the workplace is residential premises, the licensed asbestos removalist carrying out the licensed asbestos removal work at the premises must ensure that the results of the air monitoring are given to the following:</w:t>
      </w:r>
    </w:p>
    <w:p>
      <w:pPr>
        <w:numPr>
          <w:ilvl w:val="0"/>
          <w:numId w:val="799"/>
        </w:numPr>
        <w:tabs>
          <w:tab w:val="clear" w:pos="288"/>
          <w:tab w:val="left" w:pos="1872"/>
        </w:tabs>
        <w:spacing w:before="126"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who commissioned the asbestos removal work;</w:t>
      </w:r>
    </w:p>
    <w:p>
      <w:pPr>
        <w:numPr>
          <w:ilvl w:val="0"/>
          <w:numId w:val="799"/>
        </w:numPr>
        <w:tabs>
          <w:tab w:val="clear" w:pos="288"/>
          <w:tab w:val="left" w:pos="1872"/>
        </w:tabs>
        <w:spacing w:before="120"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workers at the workplace;</w:t>
      </w:r>
    </w:p>
    <w:p>
      <w:pPr>
        <w:numPr>
          <w:ilvl w:val="0"/>
          <w:numId w:val="799"/>
        </w:numPr>
        <w:tabs>
          <w:tab w:val="clear" w:pos="288"/>
          <w:tab w:val="left" w:pos="1872"/>
        </w:tabs>
        <w:spacing w:before="126"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health and safety representatives for workers at the workplace;</w:t>
      </w:r>
    </w:p>
    <w:p>
      <w:pPr>
        <w:numPr>
          <w:ilvl w:val="0"/>
          <w:numId w:val="799"/>
        </w:numPr>
        <w:tabs>
          <w:tab w:val="clear" w:pos="288"/>
          <w:tab w:val="left" w:pos="1872"/>
        </w:tabs>
        <w:spacing w:before="114" w:after="0" w:line="279" w:lineRule="exact"/>
        <w:ind w:right="108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the workplace;</w:t>
      </w:r>
    </w:p>
    <w:p>
      <w:pPr>
        <w:numPr>
          <w:ilvl w:val="0"/>
          <w:numId w:val="799"/>
        </w:numPr>
        <w:tabs>
          <w:tab w:val="clear" w:pos="288"/>
          <w:tab w:val="left" w:pos="1872"/>
        </w:tabs>
        <w:spacing w:before="120"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occupier of the residential premises;</w:t>
      </w:r>
    </w:p>
    <w:p>
      <w:pPr>
        <w:numPr>
          <w:ilvl w:val="0"/>
          <w:numId w:val="799"/>
        </w:numPr>
        <w:tabs>
          <w:tab w:val="clear" w:pos="288"/>
          <w:tab w:val="left" w:pos="1872"/>
        </w:tabs>
        <w:spacing w:before="126"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owner of the residential premises;</w:t>
      </w:r>
    </w:p>
    <w:p>
      <w:pPr>
        <w:numPr>
          <w:ilvl w:val="0"/>
          <w:numId w:val="799"/>
        </w:numPr>
        <w:tabs>
          <w:tab w:val="clear" w:pos="288"/>
          <w:tab w:val="left" w:pos="1872"/>
        </w:tabs>
        <w:spacing w:before="120"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other persons at the workplace.</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2" w:after="0" w:line="276" w:lineRule="exact"/>
        <w:ind w:right="57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(6) An independent licensed asbestos assessor, who undertakes air monitoring for the purposes of this regulation, must use the membrane filter method for the air monitoring.</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5"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476 Action if respirable asbestos fibre level too high</w:t>
      </w:r>
    </w:p>
    <w:p>
      <w:pPr>
        <w:spacing w:before="115" w:after="0" w:line="278" w:lineRule="exact"/>
        <w:ind w:right="288"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(1) The licensed removalist carrying out asbestos removal work requiring a Class A asbestos removal licence at a workplace must:</w:t>
      </w:r>
    </w:p>
    <w:p>
      <w:pPr>
        <w:spacing w:before="118" w:after="0" w:line="276" w:lineRule="exact"/>
        <w:ind w:right="288"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if respirable asbestos fibre levels are recorded at the asbestos removal area at 0·01 fibres/ml or more, but not more than 0·02 fibres/ml—immediately:</w:t>
      </w:r>
    </w:p>
    <w:p>
      <w:pPr>
        <w:numPr>
          <w:ilvl w:val="0"/>
          <w:numId w:val="800"/>
        </w:numPr>
        <w:tabs>
          <w:tab w:val="clear" w:pos="504"/>
          <w:tab w:val="left" w:pos="2376"/>
        </w:tabs>
        <w:spacing w:before="124" w:after="0" w:line="274" w:lineRule="exact"/>
        <w:ind w:right="576"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investigate the cause of the respirable asbestos fibre level; and</w:t>
      </w:r>
    </w:p>
    <w:p>
      <w:pPr>
        <w:numPr>
          <w:ilvl w:val="0"/>
          <w:numId w:val="800"/>
        </w:numPr>
        <w:tabs>
          <w:tab w:val="clear" w:pos="504"/>
          <w:tab w:val="left" w:pos="2376"/>
        </w:tabs>
        <w:spacing w:before="124" w:after="0" w:line="274" w:lineRule="exact"/>
        <w:ind w:right="504"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implement controls to prevent exposure of anyone to asbestos; and</w:t>
      </w:r>
    </w:p>
    <w:p>
      <w:pPr>
        <w:numPr>
          <w:ilvl w:val="0"/>
          <w:numId w:val="800"/>
        </w:numPr>
        <w:tabs>
          <w:tab w:val="clear" w:pos="504"/>
          <w:tab w:val="left" w:pos="2376"/>
        </w:tabs>
        <w:spacing w:before="124" w:after="926" w:line="274" w:lineRule="exact"/>
        <w:ind w:right="288" w:left="2376" w:hanging="504"/>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prevent the further release of respirable asbestos fibres; and</w:t>
      </w:r>
    </w:p>
    <w:p>
      <w:pPr>
        <w:spacing w:before="124" w:after="926"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330</w:t>
      </w:r>
    </w:p>
    <w:p>
      <w:pPr>
        <w:sectPr>
          <w:type w:val="continuous"/>
          <w:pgSz w:w="11909" w:h="16838" w:orient="portrait"/>
          <w:pgMar w:bottom="1082" w:top="1140" w:right="5812" w:left="1977" w:header="720" w:footer="720"/>
          <w:titlePg w:val="false"/>
          <w:textDirection w:val="lrTb"/>
        </w:sectPr>
      </w:pPr>
    </w:p>
    <w:p>
      <w:pPr>
        <w:spacing w:before="6"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2" w:after="223"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8.8	</w:t>
      </w:r>
      <w:r>
        <w:rPr>
          <w:rFonts w:ascii="Times New Roman" w:hAnsi="Times New Roman" w:eastAsia="Times New Roman"/>
          <w:color w:val="000000"/>
          <w:spacing w:val="0"/>
          <w:w w:val="100"/>
          <w:sz w:val="20"/>
          <w:vertAlign w:val="baseline"/>
          <w:lang w:val="en-US"/>
        </w:rPr>
        <w:t xml:space="preserve">Asbestos Removal Requiring Class A Asbestos Removal Licence</w:t>
      </w:r>
    </w:p>
    <w:p>
      <w:pPr>
        <w:spacing w:before="244" w:after="0" w:line="279" w:lineRule="exact"/>
        <w:ind w:right="288" w:left="1872" w:hanging="360"/>
        <w:jc w:val="both"/>
        <w:textAlignment w:val="baseline"/>
        <w:rPr>
          <w:rFonts w:ascii="Times New Roman" w:hAnsi="Times New Roman" w:eastAsia="Times New Roman"/>
          <w:color w:val="000000"/>
          <w:spacing w:val="-1"/>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1"/>
          <w:w w:val="100"/>
          <w:sz w:val="24"/>
          <w:vertAlign w:val="baseline"/>
          <w:lang w:val="en-US"/>
        </w:rPr>
        <w:t xml:space="preserve">(b) if respirable asbestos fibre levels are recorded at the asbestos removal area at more than 0·02 fibres/ml—immediately:</w:t>
      </w:r>
    </w:p>
    <w:p>
      <w:pPr>
        <w:numPr>
          <w:ilvl w:val="0"/>
          <w:numId w:val="801"/>
        </w:numPr>
        <w:tabs>
          <w:tab w:val="clear" w:pos="504"/>
          <w:tab w:val="left" w:pos="2376"/>
        </w:tabs>
        <w:spacing w:before="121" w:after="0" w:line="272" w:lineRule="exact"/>
        <w:ind w:right="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order the asbestos removal work to stop; and</w:t>
      </w:r>
    </w:p>
    <w:p>
      <w:pPr>
        <w:numPr>
          <w:ilvl w:val="0"/>
          <w:numId w:val="801"/>
        </w:numPr>
        <w:tabs>
          <w:tab w:val="clear" w:pos="504"/>
          <w:tab w:val="left" w:pos="2376"/>
        </w:tabs>
        <w:spacing w:before="127" w:after="0" w:line="272" w:lineRule="exact"/>
        <w:ind w:right="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notify the regulator; and</w:t>
      </w:r>
    </w:p>
    <w:p>
      <w:pPr>
        <w:numPr>
          <w:ilvl w:val="0"/>
          <w:numId w:val="801"/>
        </w:numPr>
        <w:tabs>
          <w:tab w:val="clear" w:pos="504"/>
          <w:tab w:val="left" w:pos="2376"/>
        </w:tabs>
        <w:spacing w:before="114" w:after="0" w:line="279" w:lineRule="exact"/>
        <w:ind w:right="576"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investigate the cause of the respirable asbestos fibre level; and</w:t>
      </w:r>
    </w:p>
    <w:p>
      <w:pPr>
        <w:numPr>
          <w:ilvl w:val="0"/>
          <w:numId w:val="801"/>
        </w:numPr>
        <w:tabs>
          <w:tab w:val="clear" w:pos="504"/>
          <w:tab w:val="left" w:pos="2376"/>
        </w:tabs>
        <w:spacing w:before="114" w:after="0" w:line="279" w:lineRule="exact"/>
        <w:ind w:right="504" w:left="2376" w:hanging="504"/>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implement controls to prevent exposure of anyone to asbestos; and</w:t>
      </w:r>
    </w:p>
    <w:p>
      <w:pPr>
        <w:numPr>
          <w:ilvl w:val="0"/>
          <w:numId w:val="801"/>
        </w:numPr>
        <w:tabs>
          <w:tab w:val="clear" w:pos="504"/>
          <w:tab w:val="left" w:pos="2376"/>
        </w:tabs>
        <w:spacing w:before="121" w:after="0" w:line="272" w:lineRule="exact"/>
        <w:ind w:right="0" w:left="2376" w:hanging="504"/>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prevent the further release of respirable asbestos fibre.</w:t>
      </w:r>
    </w:p>
    <w:p>
      <w:pPr>
        <w:spacing w:before="127" w:after="0" w:line="272"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7"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1" w:after="0"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spacing w:before="126" w:after="0" w:line="272"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2"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6"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2"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477 Removing friable asbestos</w:t>
      </w:r>
    </w:p>
    <w:p>
      <w:pPr>
        <w:spacing w:before="122" w:after="0" w:line="274" w:lineRule="exact"/>
        <w:ind w:right="0" w:left="36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licensed asbestos removalist removing friable asbestos must</w:t>
        <w:br/>
      </w:r>
      <w:r>
        <w:rPr>
          <w:rFonts w:ascii="Times New Roman" w:hAnsi="Times New Roman" w:eastAsia="Times New Roman"/>
          <w:color w:val="000000"/>
          <w:spacing w:val="0"/>
          <w:w w:val="100"/>
          <w:sz w:val="24"/>
          <w:vertAlign w:val="baseline"/>
          <w:lang w:val="en-US"/>
        </w:rPr>
        <w:t xml:space="preserve">ensure, so far as is reasonably practicable, the following:</w:t>
      </w:r>
    </w:p>
    <w:p>
      <w:pPr>
        <w:numPr>
          <w:ilvl w:val="0"/>
          <w:numId w:val="802"/>
        </w:numPr>
        <w:tabs>
          <w:tab w:val="clear" w:pos="360"/>
          <w:tab w:val="left" w:pos="1872"/>
        </w:tabs>
        <w:spacing w:before="124" w:after="0" w:line="274"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asbestos removal area is enclosed to prevent the release of respirable asbestos fibres;</w:t>
      </w:r>
    </w:p>
    <w:p>
      <w:pPr>
        <w:numPr>
          <w:ilvl w:val="0"/>
          <w:numId w:val="802"/>
        </w:numPr>
        <w:tabs>
          <w:tab w:val="clear" w:pos="360"/>
          <w:tab w:val="left" w:pos="1872"/>
        </w:tabs>
        <w:spacing w:before="126"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subject to subregulation (3), negative pressure is used;</w:t>
      </w:r>
    </w:p>
    <w:p>
      <w:pPr>
        <w:numPr>
          <w:ilvl w:val="0"/>
          <w:numId w:val="802"/>
        </w:numPr>
        <w:tabs>
          <w:tab w:val="clear" w:pos="360"/>
          <w:tab w:val="left" w:pos="1872"/>
        </w:tabs>
        <w:spacing w:before="122"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wet method of asbestos removal is used;</w:t>
      </w:r>
    </w:p>
    <w:p>
      <w:pPr>
        <w:numPr>
          <w:ilvl w:val="0"/>
          <w:numId w:val="802"/>
        </w:numPr>
        <w:tabs>
          <w:tab w:val="clear" w:pos="360"/>
          <w:tab w:val="left" w:pos="1872"/>
        </w:tabs>
        <w:spacing w:before="122" w:after="0" w:line="276"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subject to subregulation (3), the asbestos removal work does not commence until the air monitoring is commenced by a licensed asbestos assessor;</w:t>
      </w:r>
    </w:p>
    <w:p>
      <w:pPr>
        <w:numPr>
          <w:ilvl w:val="0"/>
          <w:numId w:val="802"/>
        </w:numPr>
        <w:tabs>
          <w:tab w:val="clear" w:pos="360"/>
          <w:tab w:val="left" w:pos="1872"/>
        </w:tabs>
        <w:spacing w:before="118" w:after="1167" w:line="276"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air monitoring is undertaken during the asbestos removal work, at times decided by the independent licensed asbestos assessor undertaking the monitoring;</w:t>
      </w:r>
    </w:p>
    <w:p>
      <w:pPr>
        <w:spacing w:before="118" w:after="1167"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331</w:t>
      </w:r>
    </w:p>
    <w:p>
      <w:pPr>
        <w:sectPr>
          <w:type w:val="continuous"/>
          <w:pgSz w:w="11909" w:h="16838" w:orient="portrait"/>
          <w:pgMar w:bottom="1082" w:top="1140" w:right="5819" w:left="1970" w:header="720" w:footer="720"/>
          <w:titlePg w:val="false"/>
          <w:textDirection w:val="lrTb"/>
        </w:sectPr>
      </w:pPr>
    </w:p>
    <w:p>
      <w:pPr>
        <w:spacing w:before="6"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2" w:after="223"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8.8	</w:t>
      </w:r>
      <w:r>
        <w:rPr>
          <w:rFonts w:ascii="Times New Roman" w:hAnsi="Times New Roman" w:eastAsia="Times New Roman"/>
          <w:color w:val="000000"/>
          <w:spacing w:val="0"/>
          <w:w w:val="100"/>
          <w:sz w:val="20"/>
          <w:vertAlign w:val="baseline"/>
          <w:lang w:val="en-US"/>
        </w:rPr>
        <w:t xml:space="preserve">Asbestos Removal Requiring Class A Asbestos Removal Licence</w:t>
      </w:r>
    </w:p>
    <w:p>
      <w:pPr>
        <w:spacing w:before="245" w:after="0" w:line="279" w:lineRule="exact"/>
        <w:ind w:right="504" w:left="1872" w:hanging="288"/>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(f) any glove bag used to enclose the asbestos removal area is dismantled and disposed of safely.</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6" w:after="0" w:line="273"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 licensed asbestos removalist must ensure that any enclosure used in removing friable asbestos is tested for leaks.</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6"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4" w:after="0" w:line="279"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Subregulations (1)(b) and (1)(d) do not apply if glove bags are used in the Class A asbestos removal work.</w:t>
      </w:r>
    </w:p>
    <w:p>
      <w:pPr>
        <w:spacing w:before="119" w:after="0"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The licensed removalist must not dismantle an enclosure for a friable asbestos removal area until the removalist receives results of air monitoring, showing that the recorded respirable asbestos fibre level within the enclosure is below 0·01 fibres/ml, from:</w:t>
      </w:r>
    </w:p>
    <w:p>
      <w:pPr>
        <w:numPr>
          <w:ilvl w:val="0"/>
          <w:numId w:val="803"/>
        </w:numPr>
        <w:tabs>
          <w:tab w:val="clear" w:pos="288"/>
          <w:tab w:val="left" w:pos="1872"/>
        </w:tabs>
        <w:spacing w:before="122" w:after="0" w:line="276" w:lineRule="exact"/>
        <w:ind w:right="216"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friable asbestos is removed from residential premises— the licensed asbestos assessor who undertook the air monitoring; or</w:t>
      </w:r>
    </w:p>
    <w:p>
      <w:pPr>
        <w:numPr>
          <w:ilvl w:val="0"/>
          <w:numId w:val="803"/>
        </w:numPr>
        <w:tabs>
          <w:tab w:val="clear" w:pos="288"/>
          <w:tab w:val="left" w:pos="1872"/>
        </w:tabs>
        <w:spacing w:before="116" w:after="0" w:line="278" w:lineRule="exact"/>
        <w:ind w:right="144"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any other case—the person who commissioned the Class A asbestos removal work.</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75"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The licensed removalist must ensure that an enclosure for a friable asbestos removal area is dismantled in a way that, so far as is reasonably practicable, eliminates the release of respirable asbestos fibre.</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0" w:after="888"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(6) The person who commissioned the removal of the friable asbestos must obtain a clearance certificate from a licensed asbestos assessor after the enclosure for the friable asbestos removal area has been dismantled.</w:t>
      </w:r>
    </w:p>
    <w:p>
      <w:pPr>
        <w:spacing w:before="120" w:after="888"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332</w:t>
      </w:r>
    </w:p>
    <w:p>
      <w:pPr>
        <w:sectPr>
          <w:type w:val="continuous"/>
          <w:pgSz w:w="11909" w:h="16838" w:orient="portrait"/>
          <w:pgMar w:bottom="1082" w:top="1140" w:right="5812" w:left="1977" w:header="720" w:footer="720"/>
          <w:titlePg w:val="false"/>
          <w:textDirection w:val="lrTb"/>
        </w:sectPr>
      </w:pPr>
    </w:p>
    <w:p>
      <w:pPr>
        <w:spacing w:before="6"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2" w:after="223"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8.8	</w:t>
      </w:r>
      <w:r>
        <w:rPr>
          <w:rFonts w:ascii="Times New Roman" w:hAnsi="Times New Roman" w:eastAsia="Times New Roman"/>
          <w:color w:val="000000"/>
          <w:spacing w:val="0"/>
          <w:w w:val="100"/>
          <w:sz w:val="20"/>
          <w:vertAlign w:val="baseline"/>
          <w:lang w:val="en-US"/>
        </w:rPr>
        <w:t xml:space="preserve">Asbestos Removal Requiring Class A Asbestos Removal Licence</w:t>
      </w:r>
    </w:p>
    <w:p>
      <w:pPr>
        <w:spacing w:before="251"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Maximum penalty:</w:t>
      </w:r>
    </w:p>
    <w:p>
      <w:pPr>
        <w:spacing w:before="125"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19" w:after="11155"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333"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1.05pt,0.3pt" style="position:absolute;mso-position-horizontal-relative:text;mso-position-vertical-relative:text;">
            <v:stroke dashstyle="solid"/>
          </v:line>
        </w:pict>
      </w:r>
    </w:p>
    <w:p>
      <w:pPr>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333</w:t>
      </w:r>
    </w:p>
    <w:p>
      <w:pPr>
        <w:sectPr>
          <w:type w:val="continuous"/>
          <w:pgSz w:w="11909" w:h="16838" w:orient="portrait"/>
          <w:pgMar w:bottom="1082" w:top="1140" w:right="5817" w:left="1972"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8.9	</w:t>
      </w:r>
      <w:r>
        <w:rPr>
          <w:rFonts w:ascii="Times New Roman" w:hAnsi="Times New Roman" w:eastAsia="Times New Roman"/>
          <w:color w:val="000000"/>
          <w:spacing w:val="0"/>
          <w:w w:val="100"/>
          <w:sz w:val="20"/>
          <w:vertAlign w:val="baseline"/>
          <w:lang w:val="en-US"/>
        </w:rPr>
        <w:t xml:space="preserve">Asbestos-related Work</w:t>
      </w:r>
    </w:p>
    <w:p>
      <w:pPr>
        <w:spacing w:before="258" w:after="0" w:line="316" w:lineRule="exact"/>
        <w:ind w:right="0" w:left="0" w:firstLine="0"/>
        <w:jc w:val="left"/>
        <w:textAlignment w:val="baseline"/>
        <w:rPr>
          <w:rFonts w:ascii="Times New Roman" w:hAnsi="Times New Roman" w:eastAsia="Times New Roman"/>
          <w:b w:val="true"/>
          <w:color w:val="000000"/>
          <w:spacing w:val="8"/>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8"/>
          <w:w w:val="100"/>
          <w:sz w:val="28"/>
          <w:vertAlign w:val="baseline"/>
          <w:lang w:val="en-US"/>
        </w:rPr>
        <w:t xml:space="preserve">Part 8.9 Asbestos-related Work</w:t>
      </w:r>
    </w:p>
    <w:p>
      <w:pPr>
        <w:spacing w:before="119" w:after="0" w:line="274"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478 Application of Part 8.9</w:t>
      </w:r>
    </w:p>
    <w:p>
      <w:pPr>
        <w:spacing w:before="124"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Part applies in relation to asbestos-related work.</w:t>
      </w:r>
    </w:p>
    <w:p>
      <w:pPr>
        <w:spacing w:before="121"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479 Uncertainty as to presence of asbestos</w:t>
      </w:r>
    </w:p>
    <w:p>
      <w:pPr>
        <w:spacing w:before="121"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If there is uncertainty (based on reasonable grounds) as to whether work to be carried out for a business or undertaking is asbestos-related work, the person conducting the business or undertaking must ensure that analysis of a sample is undertaken to determine if asbestos or ACM is present.</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74"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For the purposes of subregulation (1), the person must ensure that the sample is analysed only by:</w:t>
      </w:r>
    </w:p>
    <w:p>
      <w:pPr>
        <w:numPr>
          <w:ilvl w:val="0"/>
          <w:numId w:val="804"/>
        </w:numPr>
        <w:tabs>
          <w:tab w:val="clear" w:pos="360"/>
          <w:tab w:val="left" w:pos="1872"/>
        </w:tabs>
        <w:spacing w:before="124" w:after="0" w:line="274"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NATA-accredited laboratory accredited for the relevant test method; or</w:t>
      </w:r>
    </w:p>
    <w:p>
      <w:pPr>
        <w:numPr>
          <w:ilvl w:val="0"/>
          <w:numId w:val="804"/>
        </w:numPr>
        <w:tabs>
          <w:tab w:val="clear" w:pos="360"/>
          <w:tab w:val="left" w:pos="1872"/>
        </w:tabs>
        <w:spacing w:before="124" w:after="0" w:line="274"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laboratory approved by the regulator in accordance with guidelines published by Safe Work Australia; or</w:t>
      </w:r>
    </w:p>
    <w:p>
      <w:pPr>
        <w:numPr>
          <w:ilvl w:val="0"/>
          <w:numId w:val="804"/>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laboratory operated by the regulator.</w:t>
      </w:r>
    </w:p>
    <w:p>
      <w:pPr>
        <w:spacing w:before="116" w:after="0" w:line="278"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Subregulation (1) does not apply if the person assumes that asbestos is present.</w:t>
      </w:r>
    </w:p>
    <w:p>
      <w:pPr>
        <w:spacing w:before="121" w:after="0" w:line="274" w:lineRule="exact"/>
        <w:ind w:right="0" w:left="0" w:firstLine="0"/>
        <w:jc w:val="center"/>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480 Duty to give information about health risks of asbestos-related work</w:t>
      </w:r>
    </w:p>
    <w:p>
      <w:pPr>
        <w:spacing w:before="123" w:after="0" w:line="275" w:lineRule="exact"/>
        <w:ind w:right="144"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must give the following information to a person likely to be engaged to carry out asbestos-related work for the business or undertaking before the person is engaged to carry out the work:</w:t>
      </w:r>
    </w:p>
    <w:p>
      <w:pPr>
        <w:numPr>
          <w:ilvl w:val="0"/>
          <w:numId w:val="805"/>
        </w:numPr>
        <w:tabs>
          <w:tab w:val="clear" w:pos="360"/>
          <w:tab w:val="left" w:pos="1872"/>
        </w:tabs>
        <w:spacing w:before="124" w:after="0" w:line="274"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health risks and health effects associated with exposure to asbestos;</w:t>
      </w:r>
    </w:p>
    <w:p>
      <w:pPr>
        <w:numPr>
          <w:ilvl w:val="0"/>
          <w:numId w:val="805"/>
        </w:numPr>
        <w:tabs>
          <w:tab w:val="clear" w:pos="360"/>
          <w:tab w:val="left" w:pos="1872"/>
        </w:tabs>
        <w:spacing w:before="124" w:after="0" w:line="274"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need for, and details of, health monitoring of a worker carrying out asbestos-related work.</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1396"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corporate—$30 000.</w:t>
      </w:r>
    </w:p>
    <w:p>
      <w:pPr>
        <w:spacing w:before="121" w:after="1396"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334</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8.9	</w:t>
      </w:r>
      <w:r>
        <w:rPr>
          <w:rFonts w:ascii="Times New Roman" w:hAnsi="Times New Roman" w:eastAsia="Times New Roman"/>
          <w:color w:val="000000"/>
          <w:spacing w:val="0"/>
          <w:w w:val="100"/>
          <w:sz w:val="20"/>
          <w:vertAlign w:val="baseline"/>
          <w:lang w:val="en-US"/>
        </w:rPr>
        <w:t xml:space="preserve">Asbestos-related Work</w:t>
      </w:r>
    </w:p>
    <w:p>
      <w:pPr>
        <w:spacing w:before="251"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3"/>
          <w:w w:val="100"/>
          <w:sz w:val="24"/>
          <w:vertAlign w:val="baseline"/>
          <w:lang w:val="en-US"/>
        </w:rPr>
        <w:t xml:space="preserve">481 Asbestos-related work to be in separate area</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that involves the</w:t>
      </w:r>
    </w:p>
    <w:p>
      <w:pPr>
        <w:spacing w:before="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carrying out of asbestos-related work must ensure that:</w:t>
      </w:r>
    </w:p>
    <w:p>
      <w:pPr>
        <w:numPr>
          <w:ilvl w:val="0"/>
          <w:numId w:val="806"/>
        </w:numPr>
        <w:tabs>
          <w:tab w:val="clear" w:pos="360"/>
          <w:tab w:val="left" w:pos="1872"/>
        </w:tabs>
        <w:spacing w:before="126" w:after="0" w:line="273"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asbestos-related work area is separated from other work areas at the workplace; and</w:t>
      </w:r>
    </w:p>
    <w:p>
      <w:pPr>
        <w:numPr>
          <w:ilvl w:val="0"/>
          <w:numId w:val="806"/>
        </w:numPr>
        <w:tabs>
          <w:tab w:val="clear" w:pos="360"/>
          <w:tab w:val="left" w:pos="1872"/>
        </w:tabs>
        <w:spacing w:before="123"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signs alerting persons to the presence of asbestos are placed to indicate where the asbestos-related work is being carried out; and</w:t>
      </w:r>
    </w:p>
    <w:p>
      <w:pPr>
        <w:numPr>
          <w:ilvl w:val="0"/>
          <w:numId w:val="806"/>
        </w:numPr>
        <w:tabs>
          <w:tab w:val="clear" w:pos="360"/>
          <w:tab w:val="left" w:pos="1872"/>
        </w:tabs>
        <w:spacing w:before="114" w:after="0" w:line="279"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barricades are erected to delineate the asbestos-related work area.</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1" w:after="0" w:line="274" w:lineRule="exact"/>
        <w:ind w:right="0" w:left="288" w:firstLine="0"/>
        <w:jc w:val="left"/>
        <w:textAlignment w:val="baseline"/>
        <w:rPr>
          <w:rFonts w:ascii="Times New Roman" w:hAnsi="Times New Roman" w:eastAsia="Times New Roman"/>
          <w:b w:val="true"/>
          <w:color w:val="000000"/>
          <w:spacing w:val="7"/>
          <w:w w:val="100"/>
          <w:sz w:val="24"/>
          <w:vertAlign w:val="baseline"/>
          <w:lang w:val="en-US"/>
        </w:rPr>
      </w:pPr>
      <w:r>
        <w:rPr>
          <w:rFonts w:ascii="Times New Roman" w:hAnsi="Times New Roman" w:eastAsia="Times New Roman"/>
          <w:b w:val="true"/>
          <w:color w:val="000000"/>
          <w:spacing w:val="7"/>
          <w:w w:val="100"/>
          <w:sz w:val="24"/>
          <w:vertAlign w:val="baseline"/>
          <w:lang w:val="en-US"/>
        </w:rPr>
        <w:t xml:space="preserve">482 Air monitoring</w:t>
      </w:r>
    </w:p>
    <w:p>
      <w:pPr>
        <w:numPr>
          <w:ilvl w:val="0"/>
          <w:numId w:val="807"/>
        </w:numPr>
        <w:tabs>
          <w:tab w:val="clear" w:pos="360"/>
          <w:tab w:val="left" w:pos="1368"/>
        </w:tabs>
        <w:spacing w:before="121"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conducting a business or undertaking at a workplace must ensure that a competent person carries out air monitoring of the work area where asbestos-related work is being carried out if there is uncertainty as to whether the exposure standard is likely to be exceeded.</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807"/>
        </w:numPr>
        <w:tabs>
          <w:tab w:val="clear" w:pos="360"/>
          <w:tab w:val="left" w:pos="1368"/>
        </w:tabs>
        <w:spacing w:before="122" w:after="0" w:line="276" w:lineRule="exact"/>
        <w:ind w:right="72"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If the competent person determines that the exposure standard has been exceeded at any time in a work area, the person conducting the business or undertaking must, so far as is reasonably practicable:</w:t>
      </w:r>
    </w:p>
    <w:p>
      <w:pPr>
        <w:numPr>
          <w:ilvl w:val="0"/>
          <w:numId w:val="808"/>
        </w:numPr>
        <w:tabs>
          <w:tab w:val="clear" w:pos="360"/>
          <w:tab w:val="left" w:pos="1872"/>
        </w:tabs>
        <w:spacing w:before="116" w:after="0" w:line="278"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determine the workers and other persons who were in the work area during that time: and</w:t>
      </w:r>
    </w:p>
    <w:p>
      <w:pPr>
        <w:numPr>
          <w:ilvl w:val="0"/>
          <w:numId w:val="808"/>
        </w:numPr>
        <w:tabs>
          <w:tab w:val="clear" w:pos="360"/>
          <w:tab w:val="left" w:pos="1872"/>
        </w:tabs>
        <w:spacing w:before="116" w:after="0" w:line="278"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warn those workers about possible exposure to respirable asbestos fibres; and</w:t>
      </w:r>
    </w:p>
    <w:p>
      <w:pPr>
        <w:numPr>
          <w:ilvl w:val="0"/>
          <w:numId w:val="808"/>
        </w:numPr>
        <w:tabs>
          <w:tab w:val="clear" w:pos="360"/>
          <w:tab w:val="left" w:pos="1872"/>
        </w:tabs>
        <w:spacing w:before="116" w:after="0" w:line="278" w:lineRule="exact"/>
        <w:ind w:right="576" w:left="1872"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so far as is reasonably practicable, warn the other persons about possible exposure to respirable asbestos fibres.</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1166"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corporate—$30 000.</w:t>
      </w:r>
    </w:p>
    <w:p>
      <w:pPr>
        <w:spacing w:before="121" w:after="1166"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335</w:t>
      </w:r>
    </w:p>
    <w:p>
      <w:pPr>
        <w:sectPr>
          <w:type w:val="continuous"/>
          <w:pgSz w:w="11909" w:h="16838" w:orient="portrait"/>
          <w:pgMar w:bottom="1082" w:top="1140" w:right="5814" w:left="1975"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8.9	</w:t>
      </w:r>
      <w:r>
        <w:rPr>
          <w:rFonts w:ascii="Times New Roman" w:hAnsi="Times New Roman" w:eastAsia="Times New Roman"/>
          <w:color w:val="000000"/>
          <w:spacing w:val="0"/>
          <w:w w:val="100"/>
          <w:sz w:val="20"/>
          <w:vertAlign w:val="baseline"/>
          <w:lang w:val="en-US"/>
        </w:rPr>
        <w:t xml:space="preserve">Asbestos-related Work</w:t>
      </w:r>
    </w:p>
    <w:p>
      <w:pPr>
        <w:spacing w:before="248"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(3) 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6"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0" w:after="0" w:line="273"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483 Decontamination facilities</w:t>
      </w:r>
    </w:p>
    <w:p>
      <w:pPr>
        <w:spacing w:before="123"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conducting a business or undertaking for which asbestos-related work is carried out must ensure that facilities are available to decontaminate the following:</w:t>
      </w:r>
    </w:p>
    <w:p>
      <w:pPr>
        <w:numPr>
          <w:ilvl w:val="0"/>
          <w:numId w:val="809"/>
        </w:numPr>
        <w:tabs>
          <w:tab w:val="clear" w:pos="360"/>
          <w:tab w:val="left" w:pos="1872"/>
        </w:tabs>
        <w:spacing w:before="120"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asbestos-related work area;</w:t>
      </w:r>
    </w:p>
    <w:p>
      <w:pPr>
        <w:numPr>
          <w:ilvl w:val="0"/>
          <w:numId w:val="809"/>
        </w:numPr>
        <w:tabs>
          <w:tab w:val="clear" w:pos="360"/>
          <w:tab w:val="left" w:pos="1872"/>
        </w:tabs>
        <w:spacing w:before="121"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plant used in the asbestos-related work area;</w:t>
      </w:r>
    </w:p>
    <w:p>
      <w:pPr>
        <w:numPr>
          <w:ilvl w:val="0"/>
          <w:numId w:val="809"/>
        </w:numPr>
        <w:tabs>
          <w:tab w:val="clear" w:pos="360"/>
          <w:tab w:val="left" w:pos="1872"/>
        </w:tabs>
        <w:spacing w:before="125"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workers carrying out the asbestos-related work.</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2" w:after="0" w:line="276"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person must ensure that nothing that is likely to be contaminated with asbestos is removed from the asbestos-related work area unless the thing:</w:t>
      </w:r>
    </w:p>
    <w:p>
      <w:pPr>
        <w:numPr>
          <w:ilvl w:val="0"/>
          <w:numId w:val="810"/>
        </w:numPr>
        <w:tabs>
          <w:tab w:val="clear" w:pos="360"/>
          <w:tab w:val="left" w:pos="1872"/>
        </w:tabs>
        <w:spacing w:before="121"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decontaminated before being removed; or</w:t>
      </w:r>
    </w:p>
    <w:p>
      <w:pPr>
        <w:numPr>
          <w:ilvl w:val="0"/>
          <w:numId w:val="810"/>
        </w:numPr>
        <w:tabs>
          <w:tab w:val="clear" w:pos="360"/>
          <w:tab w:val="left" w:pos="1872"/>
        </w:tabs>
        <w:spacing w:before="125"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sealed in a container, and the exterior of the container is:</w:t>
      </w:r>
    </w:p>
    <w:p>
      <w:pPr>
        <w:numPr>
          <w:ilvl w:val="0"/>
          <w:numId w:val="811"/>
        </w:numPr>
        <w:tabs>
          <w:tab w:val="clear" w:pos="360"/>
          <w:tab w:val="left" w:pos="2376"/>
        </w:tabs>
        <w:spacing w:before="121" w:after="0" w:line="273"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decontaminated; and</w:t>
      </w:r>
    </w:p>
    <w:p>
      <w:pPr>
        <w:numPr>
          <w:ilvl w:val="0"/>
          <w:numId w:val="811"/>
        </w:numPr>
        <w:tabs>
          <w:tab w:val="clear" w:pos="360"/>
          <w:tab w:val="left" w:pos="2376"/>
        </w:tabs>
        <w:spacing w:before="124" w:after="0" w:line="274" w:lineRule="exact"/>
        <w:ind w:right="648"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labelled in accordance with the GHS to indicate the presence of asbestos,</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before being removed.</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215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corporate—$30 000.</w:t>
      </w:r>
    </w:p>
    <w:p>
      <w:pPr>
        <w:spacing w:before="121" w:after="2150"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336</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8.9	</w:t>
      </w:r>
      <w:r>
        <w:rPr>
          <w:rFonts w:ascii="Times New Roman" w:hAnsi="Times New Roman" w:eastAsia="Times New Roman"/>
          <w:color w:val="000000"/>
          <w:spacing w:val="0"/>
          <w:w w:val="100"/>
          <w:sz w:val="20"/>
          <w:vertAlign w:val="baseline"/>
          <w:lang w:val="en-US"/>
        </w:rPr>
        <w:t xml:space="preserve">Asbestos-related Work</w:t>
      </w:r>
    </w:p>
    <w:p>
      <w:pPr>
        <w:spacing w:before="246" w:after="0" w:line="279" w:lineRule="exact"/>
        <w:ind w:right="432" w:left="288" w:firstLine="0"/>
        <w:jc w:val="left"/>
        <w:textAlignment w:val="baseline"/>
        <w:rPr>
          <w:rFonts w:ascii="Times New Roman" w:hAnsi="Times New Roman" w:eastAsia="Times New Roman"/>
          <w:b w:val="true"/>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4"/>
          <w:vertAlign w:val="baseline"/>
          <w:lang w:val="en-US"/>
        </w:rPr>
        <w:t xml:space="preserve">484 Disposing of asbestos waste and contaminated personal protective equipment</w:t>
      </w:r>
    </w:p>
    <w:p>
      <w:pPr>
        <w:spacing w:before="116" w:after="0" w:line="276" w:lineRule="exact"/>
        <w:ind w:right="50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Subject to subregulation (2), a person conducting a business or undertaking for which asbestos-related work is carried out must ensure that asbestos waste:</w:t>
      </w:r>
    </w:p>
    <w:p>
      <w:pPr>
        <w:numPr>
          <w:ilvl w:val="0"/>
          <w:numId w:val="812"/>
        </w:numPr>
        <w:tabs>
          <w:tab w:val="clear" w:pos="360"/>
          <w:tab w:val="left" w:pos="1872"/>
        </w:tabs>
        <w:spacing w:before="126" w:after="0" w:line="273"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contained and labelled in accordance with the GHS before the waste is removed from an asbestos-related work area; and</w:t>
      </w:r>
    </w:p>
    <w:p>
      <w:pPr>
        <w:numPr>
          <w:ilvl w:val="0"/>
          <w:numId w:val="812"/>
        </w:numPr>
        <w:tabs>
          <w:tab w:val="clear" w:pos="360"/>
          <w:tab w:val="left" w:pos="1872"/>
        </w:tabs>
        <w:spacing w:before="126" w:after="0" w:line="273"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disposed of as soon as practicable at a site authorised to accept asbestos waste.</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0" w:after="0" w:line="273" w:lineRule="exact"/>
        <w:ind w:right="108" w:left="0" w:firstLine="0"/>
        <w:jc w:val="righ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person must ensure that personal protective equipment used in</w:t>
      </w:r>
    </w:p>
    <w:p>
      <w:pPr>
        <w:spacing w:before="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asbestos-related work and contaminated with asbestos:</w:t>
      </w:r>
    </w:p>
    <w:p>
      <w:pPr>
        <w:spacing w:before="122"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is sealed in a container, and that the exterior of the container is decontaminated and labelled in accordance with the GHS to indicate the presence of asbestos before being removed; and</w:t>
      </w:r>
    </w:p>
    <w:p>
      <w:pPr>
        <w:spacing w:before="118"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so far as is reasonably practicable, is disposed of on the completion of the asbestos-related work at a site authorised to accept asbestos waste; and</w:t>
      </w:r>
    </w:p>
    <w:p>
      <w:pPr>
        <w:spacing w:before="124" w:after="0" w:line="274"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if it is not reasonably practicable to dispose of the personal protective equipment that is clothing:</w:t>
      </w:r>
    </w:p>
    <w:p>
      <w:pPr>
        <w:numPr>
          <w:ilvl w:val="0"/>
          <w:numId w:val="813"/>
        </w:numPr>
        <w:tabs>
          <w:tab w:val="clear" w:pos="360"/>
          <w:tab w:val="left" w:pos="2376"/>
        </w:tabs>
        <w:spacing w:before="124" w:after="0" w:line="274" w:lineRule="exact"/>
        <w:ind w:right="288" w:left="2376"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laundered at a laundry equipped to launder asbestos-contaminated clothing; or</w:t>
      </w:r>
    </w:p>
    <w:p>
      <w:pPr>
        <w:numPr>
          <w:ilvl w:val="0"/>
          <w:numId w:val="813"/>
        </w:numPr>
        <w:tabs>
          <w:tab w:val="clear" w:pos="360"/>
          <w:tab w:val="left" w:pos="2376"/>
        </w:tabs>
        <w:spacing w:before="122" w:after="0" w:line="276" w:lineRule="exact"/>
        <w:ind w:right="7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it is not practicable to launder the clothing, is kept in the sealed container until it is re-used for the purposes of asbestos-related work; and</w:t>
      </w:r>
    </w:p>
    <w:p>
      <w:pPr>
        <w:spacing w:before="116" w:after="0" w:line="278"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if it is not reasonably practicable to dispose of the personal protective equipment that is not clothing:</w:t>
      </w:r>
    </w:p>
    <w:p>
      <w:pPr>
        <w:numPr>
          <w:ilvl w:val="0"/>
          <w:numId w:val="814"/>
        </w:numPr>
        <w:tabs>
          <w:tab w:val="clear" w:pos="360"/>
          <w:tab w:val="left" w:pos="2376"/>
        </w:tabs>
        <w:spacing w:before="116" w:after="0" w:line="278" w:lineRule="exact"/>
        <w:ind w:right="144" w:left="2376"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decontaminated before it is removed from the asbestos removal area; or</w:t>
      </w:r>
    </w:p>
    <w:p>
      <w:pPr>
        <w:numPr>
          <w:ilvl w:val="0"/>
          <w:numId w:val="814"/>
        </w:numPr>
        <w:tabs>
          <w:tab w:val="clear" w:pos="360"/>
          <w:tab w:val="left" w:pos="2376"/>
        </w:tabs>
        <w:spacing w:before="120" w:after="1368" w:line="276" w:lineRule="exact"/>
        <w:ind w:right="144" w:left="2376"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if it is not practicable to decontaminate the equipment in the asbestos removal area, is kept in the sealed container until it is re-used for the purposes of asbestos-related work.</w:t>
      </w:r>
    </w:p>
    <w:p>
      <w:pPr>
        <w:spacing w:before="120" w:after="1368"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337</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8.9	</w:t>
      </w:r>
      <w:r>
        <w:rPr>
          <w:rFonts w:ascii="Times New Roman" w:hAnsi="Times New Roman" w:eastAsia="Times New Roman"/>
          <w:color w:val="000000"/>
          <w:spacing w:val="0"/>
          <w:w w:val="100"/>
          <w:sz w:val="20"/>
          <w:vertAlign w:val="baseline"/>
          <w:lang w:val="en-US"/>
        </w:rPr>
        <w:t xml:space="preserve">Asbestos-related Work</w:t>
      </w:r>
    </w:p>
    <w:p>
      <w:pPr>
        <w:spacing w:before="251"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Maximum penalty:</w:t>
      </w:r>
    </w:p>
    <w:p>
      <w:pPr>
        <w:spacing w:before="125"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19"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0" w:after="0" w:line="351"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Example</w:t>
        <w:br/>
      </w:r>
      <w:r>
        <w:rPr>
          <w:rFonts w:ascii="Times New Roman" w:hAnsi="Times New Roman" w:eastAsia="Times New Roman"/>
          <w:color w:val="000000"/>
          <w:spacing w:val="0"/>
          <w:w w:val="100"/>
          <w:sz w:val="20"/>
          <w:vertAlign w:val="baseline"/>
          <w:lang w:val="en-US"/>
        </w:rPr>
        <w:t xml:space="preserve">Work boots.</w:t>
      </w:r>
    </w:p>
    <w:p>
      <w:pPr>
        <w:spacing w:before="119"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person must ensure that a sealed container referred to in subregulation (2) is decontaminated and labelled in accordance with the GHS to indicate the presence of asbestos before being removed from the asbestos-related work area.</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8" w:after="0" w:line="226"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4" w:after="7338" w:line="228"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notes in the Appendix.</w:t>
      </w:r>
    </w:p>
    <w:p>
      <w:pPr>
        <w:spacing w:before="333"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1.05pt,0.3pt" style="position:absolute;mso-position-horizontal-relative:text;mso-position-vertical-relative:text;">
            <v:stroke dashstyle="solid"/>
          </v:line>
        </w:pict>
      </w:r>
    </w:p>
    <w:p>
      <w:pPr>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338</w:t>
      </w:r>
    </w:p>
    <w:p>
      <w:pPr>
        <w:sectPr>
          <w:type w:val="continuous"/>
          <w:pgSz w:w="11909" w:h="16838" w:orient="portrait"/>
          <w:pgMar w:bottom="1082" w:top="1140" w:right="5814" w:left="1975" w:header="720" w:footer="720"/>
          <w:titlePg w:val="false"/>
          <w:textDirection w:val="lrTb"/>
        </w:sectPr>
      </w:pPr>
    </w:p>
    <w:p>
      <w:pPr>
        <w:spacing w:before="6"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5" w:after="226"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8.10	</w:t>
      </w:r>
      <w:r>
        <w:rPr>
          <w:rFonts w:ascii="Times New Roman" w:hAnsi="Times New Roman" w:eastAsia="Times New Roman"/>
          <w:color w:val="000000"/>
          <w:spacing w:val="0"/>
          <w:w w:val="100"/>
          <w:sz w:val="20"/>
          <w:vertAlign w:val="baseline"/>
          <w:lang w:val="en-US"/>
        </w:rPr>
        <w:t xml:space="preserve">Licensing of Asbestos Removalists and Asbestos Assessors</w:t>
      </w:r>
    </w:p>
    <w:p>
      <w:pPr>
        <w:spacing w:before="254" w:after="0" w:line="321" w:lineRule="exact"/>
        <w:ind w:right="1008" w:left="1368" w:hanging="1368"/>
        <w:jc w:val="left"/>
        <w:textAlignment w:val="baseline"/>
        <w:rPr>
          <w:rFonts w:ascii="Times New Roman" w:hAnsi="Times New Roman" w:eastAsia="Times New Roman"/>
          <w:b w:val="true"/>
          <w:color w:val="000000"/>
          <w:spacing w:val="0"/>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8"/>
          <w:vertAlign w:val="baseline"/>
          <w:lang w:val="en-US"/>
        </w:rPr>
        <w:t xml:space="preserve">Part 8.10 Licensing of Asbestos Removalists and Asbestos Assessors</w:t>
      </w:r>
    </w:p>
    <w:p>
      <w:pPr>
        <w:tabs>
          <w:tab w:val="left" w:leader="none" w:pos="1584"/>
        </w:tabs>
        <w:spacing w:before="243"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1	</w:t>
      </w:r>
      <w:r>
        <w:rPr>
          <w:rFonts w:ascii="Times New Roman" w:hAnsi="Times New Roman" w:eastAsia="Times New Roman"/>
          <w:b w:val="true"/>
          <w:color w:val="000000"/>
          <w:spacing w:val="0"/>
          <w:w w:val="100"/>
          <w:sz w:val="24"/>
          <w:vertAlign w:val="baseline"/>
          <w:lang w:val="en-US"/>
        </w:rPr>
        <w:t xml:space="preserve">Asbestos removalists—requirement to be licensed</w:t>
      </w:r>
    </w:p>
    <w:p>
      <w:pPr>
        <w:spacing w:before="120"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485 Requirement to hold Class A asbestos removal licence</w:t>
      </w:r>
    </w:p>
    <w:p>
      <w:pPr>
        <w:spacing w:before="116" w:after="0" w:line="276" w:lineRule="exact"/>
        <w:ind w:right="50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must not carry out the removal of the following at a workplace unless the person, or the person on whose behalf the work is carried out, holds a Class A asbestos removal licence:</w:t>
      </w:r>
    </w:p>
    <w:p>
      <w:pPr>
        <w:numPr>
          <w:ilvl w:val="0"/>
          <w:numId w:val="815"/>
        </w:numPr>
        <w:tabs>
          <w:tab w:val="clear" w:pos="360"/>
          <w:tab w:val="left" w:pos="1872"/>
        </w:tabs>
        <w:spacing w:before="126"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friable asbestos;</w:t>
      </w:r>
    </w:p>
    <w:p>
      <w:pPr>
        <w:numPr>
          <w:ilvl w:val="0"/>
          <w:numId w:val="815"/>
        </w:numPr>
        <w:tabs>
          <w:tab w:val="clear" w:pos="360"/>
          <w:tab w:val="left" w:pos="1872"/>
        </w:tabs>
        <w:spacing w:before="122"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except as provided in regulation 486, ACD.</w:t>
      </w:r>
    </w:p>
    <w:p>
      <w:pPr>
        <w:spacing w:before="129"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6"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section 43(1) of the Act.</w:t>
      </w:r>
    </w:p>
    <w:p>
      <w:pPr>
        <w:spacing w:before="121" w:after="0" w:line="273"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 person who conducts a business or undertaking must not direct or allow a worker to carry out the removal of the following unless the person holds a Class A asbestos removal licence:</w:t>
      </w:r>
    </w:p>
    <w:p>
      <w:pPr>
        <w:numPr>
          <w:ilvl w:val="0"/>
          <w:numId w:val="816"/>
        </w:numPr>
        <w:tabs>
          <w:tab w:val="clear" w:pos="360"/>
          <w:tab w:val="left" w:pos="1872"/>
        </w:tabs>
        <w:spacing w:before="126"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friable asbestos;</w:t>
      </w:r>
    </w:p>
    <w:p>
      <w:pPr>
        <w:numPr>
          <w:ilvl w:val="0"/>
          <w:numId w:val="816"/>
        </w:numPr>
        <w:tabs>
          <w:tab w:val="clear" w:pos="360"/>
          <w:tab w:val="left" w:pos="1872"/>
        </w:tabs>
        <w:spacing w:before="122"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except as provided in regulation 486, ACD.</w:t>
      </w:r>
    </w:p>
    <w:p>
      <w:pPr>
        <w:spacing w:before="130"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6"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section 43(2) of the Act.</w:t>
      </w:r>
    </w:p>
    <w:p>
      <w:pPr>
        <w:spacing w:before="121" w:after="0" w:line="274" w:lineRule="exact"/>
        <w:ind w:right="0" w:left="0" w:firstLine="0"/>
        <w:jc w:val="center"/>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486 Exception to requirement to hold Class A asbestos removal licence</w:t>
      </w:r>
    </w:p>
    <w:p>
      <w:pPr>
        <w:spacing w:before="114" w:after="0" w:line="278" w:lineRule="exact"/>
        <w:ind w:right="216"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Class A asbestos removal licence is not required for the removal of ACD that:</w:t>
      </w:r>
    </w:p>
    <w:p>
      <w:pPr>
        <w:numPr>
          <w:ilvl w:val="0"/>
          <w:numId w:val="817"/>
        </w:numPr>
        <w:tabs>
          <w:tab w:val="clear" w:pos="360"/>
          <w:tab w:val="left" w:pos="1872"/>
        </w:tabs>
        <w:spacing w:before="122"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associated with the removal of non-friable asbestos; or</w:t>
      </w:r>
    </w:p>
    <w:p>
      <w:pPr>
        <w:numPr>
          <w:ilvl w:val="0"/>
          <w:numId w:val="817"/>
        </w:numPr>
        <w:tabs>
          <w:tab w:val="clear" w:pos="360"/>
          <w:tab w:val="left" w:pos="1872"/>
        </w:tabs>
        <w:spacing w:before="124" w:after="0" w:line="274"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not associated with the removal of friable or non-friable asbestos and is only a minor contamination.</w:t>
      </w:r>
    </w:p>
    <w:p>
      <w:pPr>
        <w:spacing w:before="126"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487 Requirement to hold Class B asbestos removal licence</w:t>
      </w:r>
    </w:p>
    <w:p>
      <w:pPr>
        <w:spacing w:before="118" w:after="0" w:line="276"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person must not carry out the removal of the following at a workplace unless the person, or the person on whose behalf the work is carried out, holds a Class B asbestos removal licence or a Class A asbestos removal licence:</w:t>
      </w:r>
    </w:p>
    <w:p>
      <w:pPr>
        <w:numPr>
          <w:ilvl w:val="0"/>
          <w:numId w:val="818"/>
        </w:numPr>
        <w:tabs>
          <w:tab w:val="clear" w:pos="360"/>
          <w:tab w:val="left" w:pos="1872"/>
        </w:tabs>
        <w:spacing w:before="122"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more than 10 square metres of non-friable asbestos or ACM;</w:t>
      </w:r>
    </w:p>
    <w:p>
      <w:pPr>
        <w:numPr>
          <w:ilvl w:val="0"/>
          <w:numId w:val="818"/>
        </w:numPr>
        <w:tabs>
          <w:tab w:val="clear" w:pos="360"/>
          <w:tab w:val="left" w:pos="1872"/>
        </w:tabs>
        <w:spacing w:before="124" w:after="0" w:line="274"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ACD associated with the removal of more than 10 square metres of non-friable asbestos or ACM.</w:t>
      </w:r>
    </w:p>
    <w:p>
      <w:pPr>
        <w:spacing w:before="130"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864" w:line="226"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See section 43(1) of the Act.</w:t>
      </w:r>
    </w:p>
    <w:p>
      <w:pPr>
        <w:spacing w:before="125" w:after="864" w:line="22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339</w:t>
      </w:r>
    </w:p>
    <w:p>
      <w:pPr>
        <w:sectPr>
          <w:type w:val="continuous"/>
          <w:pgSz w:w="11909" w:h="16838" w:orient="portrait"/>
          <w:pgMar w:bottom="1082" w:top="1140" w:right="5812" w:left="1977"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8.10	</w:t>
      </w:r>
      <w:r>
        <w:rPr>
          <w:rFonts w:ascii="Times New Roman" w:hAnsi="Times New Roman" w:eastAsia="Times New Roman"/>
          <w:color w:val="000000"/>
          <w:spacing w:val="0"/>
          <w:w w:val="100"/>
          <w:sz w:val="20"/>
          <w:vertAlign w:val="baseline"/>
          <w:lang w:val="en-US"/>
        </w:rPr>
        <w:t xml:space="preserve">Licensing of Asbestos Removalists and Asbestos Assessors</w:t>
      </w:r>
    </w:p>
    <w:p>
      <w:pPr>
        <w:spacing w:before="247" w:after="0" w:line="277"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(2) A person who conducts a business or undertaking must not direct or allow a worker to carry out the removal of the following unless the person holds a Class B asbestos removal licence or a Class A asbestos removal licence:</w:t>
      </w:r>
    </w:p>
    <w:p>
      <w:pPr>
        <w:numPr>
          <w:ilvl w:val="0"/>
          <w:numId w:val="819"/>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more than 10 square metres of non-friable asbestos or ACM;</w:t>
      </w:r>
    </w:p>
    <w:p>
      <w:pPr>
        <w:numPr>
          <w:ilvl w:val="0"/>
          <w:numId w:val="819"/>
        </w:numPr>
        <w:tabs>
          <w:tab w:val="clear" w:pos="360"/>
          <w:tab w:val="left" w:pos="1872"/>
        </w:tabs>
        <w:spacing w:before="126" w:after="0" w:line="273"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ACD associated with the removal of more than 10 square metres of non-friable asbestos or ACM.</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7"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section 43(2) of the Act.</w:t>
      </w:r>
    </w:p>
    <w:p>
      <w:pPr>
        <w:spacing w:before="120" w:after="0" w:line="273" w:lineRule="exact"/>
        <w:ind w:right="0" w:left="0" w:firstLine="0"/>
        <w:jc w:val="center"/>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488 Recognition of asbestos removal licences in other jurisdictions</w:t>
      </w:r>
    </w:p>
    <w:p>
      <w:pPr>
        <w:spacing w:before="124" w:after="0" w:line="274" w:lineRule="exact"/>
        <w:ind w:right="144"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In this Division, a reference to an asbestos removal licence includes a reference to an equivalent licence:</w:t>
      </w:r>
    </w:p>
    <w:p>
      <w:pPr>
        <w:numPr>
          <w:ilvl w:val="0"/>
          <w:numId w:val="820"/>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granted under a corresponding WHS law; and</w:t>
      </w:r>
    </w:p>
    <w:p>
      <w:pPr>
        <w:numPr>
          <w:ilvl w:val="0"/>
          <w:numId w:val="820"/>
        </w:numPr>
        <w:tabs>
          <w:tab w:val="clear" w:pos="360"/>
          <w:tab w:val="left" w:pos="1872"/>
        </w:tabs>
        <w:spacing w:before="116" w:after="0" w:line="278"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is being used in accordance with the terms and conditions under which it was granted.</w:t>
      </w:r>
    </w:p>
    <w:p>
      <w:pPr>
        <w:spacing w:before="116" w:after="0" w:line="278"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Subregulation (1) does not apply to a licence that is suspended or cancelled or has expired in the corresponding jurisdiction.</w:t>
      </w:r>
    </w:p>
    <w:p>
      <w:pPr>
        <w:tabs>
          <w:tab w:val="left" w:leader="none" w:pos="1584"/>
        </w:tabs>
        <w:spacing w:before="246" w:after="0" w:line="273"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2	</w:t>
      </w:r>
      <w:r>
        <w:rPr>
          <w:rFonts w:ascii="Times New Roman" w:hAnsi="Times New Roman" w:eastAsia="Times New Roman"/>
          <w:b w:val="true"/>
          <w:color w:val="000000"/>
          <w:spacing w:val="0"/>
          <w:w w:val="100"/>
          <w:sz w:val="24"/>
          <w:vertAlign w:val="baseline"/>
          <w:lang w:val="en-US"/>
        </w:rPr>
        <w:t xml:space="preserve">Asbestos assessors—requirement to be licensed</w:t>
      </w:r>
    </w:p>
    <w:p>
      <w:pPr>
        <w:spacing w:before="120" w:after="0" w:line="273"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489 Requirement to hold asbestos assessor licence</w:t>
      </w:r>
    </w:p>
    <w:p>
      <w:pPr>
        <w:spacing w:before="116" w:after="0" w:line="278" w:lineRule="exact"/>
        <w:ind w:right="144"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must not carry out the following at a workplace unless the person holds an asbestos assessor licence:</w:t>
      </w:r>
    </w:p>
    <w:p>
      <w:pPr>
        <w:numPr>
          <w:ilvl w:val="0"/>
          <w:numId w:val="821"/>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air monitoring during Class A asbestos removal work;</w:t>
      </w:r>
    </w:p>
    <w:p>
      <w:pPr>
        <w:numPr>
          <w:ilvl w:val="0"/>
          <w:numId w:val="821"/>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clearance inspections for Class A asbestos removal work;</w:t>
      </w:r>
    </w:p>
    <w:p>
      <w:pPr>
        <w:numPr>
          <w:ilvl w:val="0"/>
          <w:numId w:val="821"/>
        </w:numPr>
        <w:tabs>
          <w:tab w:val="clear" w:pos="360"/>
          <w:tab w:val="left" w:pos="1872"/>
        </w:tabs>
        <w:spacing w:before="116" w:after="0" w:line="278"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issuing clearance certificates in relation to Class A asbestos removal work.</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7"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section 43(1) of the Act.</w:t>
      </w:r>
    </w:p>
    <w:p>
      <w:pPr>
        <w:spacing w:before="120" w:after="0" w:line="273" w:lineRule="exact"/>
        <w:ind w:right="0" w:left="0" w:firstLine="0"/>
        <w:jc w:val="center"/>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490 Recognition of asbestos assessor licences in other jurisdictions</w:t>
      </w:r>
    </w:p>
    <w:p>
      <w:pPr>
        <w:spacing w:before="124" w:after="0" w:line="274" w:lineRule="exact"/>
        <w:ind w:right="144"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In this Division, a reference to an asbestos assessor licence includes a reference to an equivalent licence:</w:t>
      </w:r>
    </w:p>
    <w:p>
      <w:pPr>
        <w:numPr>
          <w:ilvl w:val="0"/>
          <w:numId w:val="822"/>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granted under a corresponding WHS law; and</w:t>
      </w:r>
    </w:p>
    <w:p>
      <w:pPr>
        <w:numPr>
          <w:ilvl w:val="0"/>
          <w:numId w:val="822"/>
        </w:numPr>
        <w:tabs>
          <w:tab w:val="clear" w:pos="360"/>
          <w:tab w:val="left" w:pos="1872"/>
        </w:tabs>
        <w:spacing w:before="116" w:after="1262" w:line="278"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that is being used in accordance with the terms and conditions under which it was granted.</w:t>
      </w:r>
    </w:p>
    <w:p>
      <w:pPr>
        <w:spacing w:before="116" w:after="1262"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340</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8.10	</w:t>
      </w:r>
      <w:r>
        <w:rPr>
          <w:rFonts w:ascii="Times New Roman" w:hAnsi="Times New Roman" w:eastAsia="Times New Roman"/>
          <w:color w:val="000000"/>
          <w:spacing w:val="0"/>
          <w:w w:val="100"/>
          <w:sz w:val="20"/>
          <w:vertAlign w:val="baseline"/>
          <w:lang w:val="en-US"/>
        </w:rPr>
        <w:t xml:space="preserve">Licensing of Asbestos Removalists and Asbestos Assessors</w:t>
      </w:r>
    </w:p>
    <w:p>
      <w:pPr>
        <w:spacing w:before="245" w:after="0" w:line="279"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(2) Subregulation (1) does not apply to a licence that is suspended or cancelled or has expired in the corresponding jurisdiction.</w:t>
      </w:r>
    </w:p>
    <w:p>
      <w:pPr>
        <w:tabs>
          <w:tab w:val="left" w:leader="none" w:pos="1584"/>
        </w:tabs>
        <w:spacing w:before="245" w:after="0" w:line="274" w:lineRule="exact"/>
        <w:ind w:right="0" w:left="0" w:firstLine="0"/>
        <w:jc w:val="left"/>
        <w:textAlignment w:val="baseline"/>
        <w:rPr>
          <w:rFonts w:ascii="Times New Roman" w:hAnsi="Times New Roman" w:eastAsia="Times New Roman"/>
          <w:b w:val="true"/>
          <w:color w:val="000000"/>
          <w:spacing w:val="-1"/>
          <w:w w:val="100"/>
          <w:sz w:val="24"/>
          <w:vertAlign w:val="baseline"/>
          <w:lang w:val="en-US"/>
        </w:rPr>
      </w:pPr>
      <w:r>
        <w:rPr>
          <w:rFonts w:ascii="Times New Roman" w:hAnsi="Times New Roman" w:eastAsia="Times New Roman"/>
          <w:b w:val="true"/>
          <w:color w:val="000000"/>
          <w:spacing w:val="-1"/>
          <w:w w:val="100"/>
          <w:sz w:val="24"/>
          <w:vertAlign w:val="baseline"/>
          <w:lang w:val="en-US"/>
        </w:rPr>
        <w:t xml:space="preserve">Division 3	</w:t>
      </w:r>
      <w:r>
        <w:rPr>
          <w:rFonts w:ascii="Times New Roman" w:hAnsi="Times New Roman" w:eastAsia="Times New Roman"/>
          <w:b w:val="true"/>
          <w:color w:val="000000"/>
          <w:spacing w:val="-1"/>
          <w:w w:val="100"/>
          <w:sz w:val="24"/>
          <w:vertAlign w:val="baseline"/>
          <w:lang w:val="en-US"/>
        </w:rPr>
        <w:t xml:space="preserve">Licensing process</w:t>
      </w:r>
    </w:p>
    <w:p>
      <w:pPr>
        <w:spacing w:before="120"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491 Who may apply for a licence</w:t>
      </w:r>
    </w:p>
    <w:p>
      <w:pPr>
        <w:numPr>
          <w:ilvl w:val="0"/>
          <w:numId w:val="823"/>
        </w:numPr>
        <w:tabs>
          <w:tab w:val="clear" w:pos="360"/>
          <w:tab w:val="left" w:pos="1368"/>
        </w:tabs>
        <w:spacing w:before="113" w:after="0" w:line="279" w:lineRule="exact"/>
        <w:ind w:right="216"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Only a person who conducts, or proposes to conduct, a business or undertaking may apply for an asbestos removal licence.</w:t>
      </w:r>
    </w:p>
    <w:p>
      <w:pPr>
        <w:numPr>
          <w:ilvl w:val="0"/>
          <w:numId w:val="823"/>
        </w:numPr>
        <w:tabs>
          <w:tab w:val="clear" w:pos="360"/>
          <w:tab w:val="left" w:pos="1368"/>
        </w:tabs>
        <w:spacing w:before="114" w:after="0" w:line="279"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Only an individual who holds the qualifications set out in regulation 495 may apply for an asbestos assessor licence.</w:t>
      </w:r>
    </w:p>
    <w:p>
      <w:pPr>
        <w:spacing w:before="120" w:after="0" w:line="274" w:lineRule="exact"/>
        <w:ind w:right="0" w:left="0" w:firstLine="0"/>
        <w:jc w:val="center"/>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492 Application for asbestos removal licence or asbestos assessor licence</w:t>
      </w:r>
    </w:p>
    <w:p>
      <w:pPr>
        <w:numPr>
          <w:ilvl w:val="0"/>
          <w:numId w:val="824"/>
        </w:numPr>
        <w:tabs>
          <w:tab w:val="clear" w:pos="360"/>
          <w:tab w:val="left" w:pos="1368"/>
        </w:tabs>
        <w:spacing w:before="122"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application for an asbestos removal licence or asbestos assessor licence must be made in the manner and form required by the regulator.</w:t>
      </w:r>
    </w:p>
    <w:p>
      <w:pPr>
        <w:numPr>
          <w:ilvl w:val="0"/>
          <w:numId w:val="824"/>
        </w:numPr>
        <w:tabs>
          <w:tab w:val="clear" w:pos="360"/>
          <w:tab w:val="left" w:pos="1368"/>
        </w:tabs>
        <w:spacing w:before="120" w:after="0" w:line="273"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application must include the following information:</w:t>
      </w:r>
    </w:p>
    <w:p>
      <w:pPr>
        <w:numPr>
          <w:ilvl w:val="0"/>
          <w:numId w:val="825"/>
        </w:numPr>
        <w:tabs>
          <w:tab w:val="clear" w:pos="288"/>
          <w:tab w:val="left" w:pos="1872"/>
        </w:tabs>
        <w:spacing w:before="121"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and address of the applicant;</w:t>
      </w:r>
    </w:p>
    <w:p>
      <w:pPr>
        <w:spacing w:before="122" w:after="0" w:line="276" w:lineRule="exact"/>
        <w:ind w:right="216" w:left="1872"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(ab) if required by the regulator of an applicant who is an individual, a photograph of the applicant in the form required by the regulator;</w:t>
      </w:r>
    </w:p>
    <w:p>
      <w:pPr>
        <w:numPr>
          <w:ilvl w:val="0"/>
          <w:numId w:val="825"/>
        </w:numPr>
        <w:tabs>
          <w:tab w:val="clear" w:pos="288"/>
          <w:tab w:val="left" w:pos="1872"/>
        </w:tabs>
        <w:spacing w:before="116" w:after="0" w:line="278" w:lineRule="exact"/>
        <w:ind w:right="288"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other evidence of the applicant's identity required by the regulator;</w:t>
      </w:r>
    </w:p>
    <w:p>
      <w:pPr>
        <w:numPr>
          <w:ilvl w:val="0"/>
          <w:numId w:val="825"/>
        </w:numPr>
        <w:tabs>
          <w:tab w:val="clear" w:pos="288"/>
          <w:tab w:val="left" w:pos="1872"/>
        </w:tabs>
        <w:spacing w:before="121" w:after="0" w:line="273"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class of licence to which the application relates;</w:t>
      </w:r>
    </w:p>
    <w:p>
      <w:pPr>
        <w:numPr>
          <w:ilvl w:val="0"/>
          <w:numId w:val="825"/>
        </w:numPr>
        <w:tabs>
          <w:tab w:val="clear" w:pos="288"/>
          <w:tab w:val="left" w:pos="1872"/>
        </w:tabs>
        <w:spacing w:before="124" w:after="0" w:line="275" w:lineRule="exact"/>
        <w:ind w:right="72"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in the case of an asbestos removal licence, the applicant conducts the business or undertaking under a business name— that business name and a certificate or other written evidence of the registration of the business name;</w:t>
      </w:r>
    </w:p>
    <w:p>
      <w:pPr>
        <w:numPr>
          <w:ilvl w:val="0"/>
          <w:numId w:val="825"/>
        </w:numPr>
        <w:tabs>
          <w:tab w:val="clear" w:pos="288"/>
          <w:tab w:val="left" w:pos="1872"/>
        </w:tabs>
        <w:spacing w:before="124" w:after="0" w:line="274" w:lineRule="exact"/>
        <w:ind w:right="432"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declaration that the applicant does not hold an equivalent licence under a corresponding WHS law;</w:t>
      </w:r>
    </w:p>
    <w:p>
      <w:pPr>
        <w:numPr>
          <w:ilvl w:val="0"/>
          <w:numId w:val="825"/>
        </w:numPr>
        <w:tabs>
          <w:tab w:val="clear" w:pos="288"/>
          <w:tab w:val="left" w:pos="1872"/>
        </w:tabs>
        <w:spacing w:before="125"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applicant is an individual:</w:t>
      </w:r>
    </w:p>
    <w:p>
      <w:pPr>
        <w:numPr>
          <w:ilvl w:val="0"/>
          <w:numId w:val="826"/>
        </w:numPr>
        <w:tabs>
          <w:tab w:val="clear" w:pos="360"/>
          <w:tab w:val="left" w:pos="2376"/>
        </w:tabs>
        <w:spacing w:before="120" w:after="0" w:line="276" w:lineRule="exact"/>
        <w:ind w:right="288"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declaration as to whether or not the applicant has ever been convicted or found guilty of any offence under the Act or these Regulations or under any corresponding WHS law; and</w:t>
      </w:r>
    </w:p>
    <w:p>
      <w:pPr>
        <w:spacing w:before="124" w:after="0" w:line="225" w:lineRule="exact"/>
        <w:ind w:right="0" w:left="2376"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8" w:lineRule="exact"/>
        <w:ind w:right="0" w:left="237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numPr>
          <w:ilvl w:val="0"/>
          <w:numId w:val="826"/>
        </w:numPr>
        <w:tabs>
          <w:tab w:val="clear" w:pos="360"/>
          <w:tab w:val="left" w:pos="2376"/>
        </w:tabs>
        <w:spacing w:before="114" w:after="979" w:line="278" w:lineRule="exact"/>
        <w:ind w:right="576" w:left="2376"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details of any conviction or finding of guilt declared under subparagraph (i); and</w:t>
      </w:r>
    </w:p>
    <w:p>
      <w:pPr>
        <w:spacing w:before="114" w:after="979"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341</w:t>
      </w:r>
    </w:p>
    <w:p>
      <w:pPr>
        <w:sectPr>
          <w:type w:val="continuous"/>
          <w:pgSz w:w="11909" w:h="16838" w:orient="portrait"/>
          <w:pgMar w:bottom="1082" w:top="1140" w:right="5819" w:left="1970"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8.10	</w:t>
      </w:r>
      <w:r>
        <w:rPr>
          <w:rFonts w:ascii="Times New Roman" w:hAnsi="Times New Roman" w:eastAsia="Times New Roman"/>
          <w:color w:val="000000"/>
          <w:spacing w:val="0"/>
          <w:w w:val="100"/>
          <w:sz w:val="20"/>
          <w:vertAlign w:val="baseline"/>
          <w:lang w:val="en-US"/>
        </w:rPr>
        <w:t xml:space="preserve">Licensing of Asbestos Removalists and Asbestos Assessors</w:t>
      </w:r>
    </w:p>
    <w:p>
      <w:pPr>
        <w:numPr>
          <w:ilvl w:val="0"/>
          <w:numId w:val="778"/>
        </w:numPr>
        <w:tabs>
          <w:tab w:val="clear" w:pos="432"/>
          <w:tab w:val="left" w:pos="2376"/>
        </w:tabs>
        <w:spacing w:before="246" w:after="0" w:line="277" w:lineRule="exact"/>
        <w:ind w:right="72" w:left="2376" w:hanging="432"/>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declaration as to whether or not the applicant has been convicted or found guilty of any offence in relation to the unlawful disposal of hazardous waste under [a relevant environment protection law]; and</w:t>
      </w:r>
    </w:p>
    <w:p>
      <w:pPr>
        <w:spacing w:before="125" w:after="0" w:line="225" w:lineRule="exact"/>
        <w:ind w:right="0" w:left="2376"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8" w:lineRule="exact"/>
        <w:ind w:right="0" w:left="237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numPr>
          <w:ilvl w:val="0"/>
          <w:numId w:val="778"/>
        </w:numPr>
        <w:tabs>
          <w:tab w:val="clear" w:pos="432"/>
          <w:tab w:val="left" w:pos="2376"/>
        </w:tabs>
        <w:spacing w:before="117" w:after="0" w:line="274" w:lineRule="exact"/>
        <w:ind w:right="576"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details of any conviction or finding of guilt declared under subparagraph (iii); and</w:t>
      </w:r>
    </w:p>
    <w:p>
      <w:pPr>
        <w:numPr>
          <w:ilvl w:val="0"/>
          <w:numId w:val="778"/>
        </w:numPr>
        <w:tabs>
          <w:tab w:val="clear" w:pos="432"/>
          <w:tab w:val="left" w:pos="2376"/>
        </w:tabs>
        <w:spacing w:before="122" w:after="0" w:line="276" w:lineRule="exact"/>
        <w:ind w:right="144"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declaration as to whether or not the applicant has ever entered into an enforceable undertaking under the Act or under any corresponding WHS law; and</w:t>
      </w:r>
    </w:p>
    <w:p>
      <w:pPr>
        <w:numPr>
          <w:ilvl w:val="0"/>
          <w:numId w:val="778"/>
        </w:numPr>
        <w:tabs>
          <w:tab w:val="clear" w:pos="432"/>
          <w:tab w:val="left" w:pos="2376"/>
        </w:tabs>
        <w:spacing w:before="116" w:after="0" w:line="278" w:lineRule="exact"/>
        <w:ind w:right="432"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details of any enforceable undertaking declared under subparagraph (v); and</w:t>
      </w:r>
    </w:p>
    <w:p>
      <w:pPr>
        <w:numPr>
          <w:ilvl w:val="0"/>
          <w:numId w:val="778"/>
        </w:numPr>
        <w:tabs>
          <w:tab w:val="clear" w:pos="432"/>
          <w:tab w:val="left" w:pos="2376"/>
        </w:tabs>
        <w:spacing w:before="118" w:after="0" w:line="276" w:lineRule="exact"/>
        <w:ind w:right="72"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applicant has previously been refused an equivalent licence under a corresponding WHS law, a declaration giving details of that refusal; and</w:t>
      </w:r>
    </w:p>
    <w:p>
      <w:pPr>
        <w:numPr>
          <w:ilvl w:val="0"/>
          <w:numId w:val="778"/>
        </w:numPr>
        <w:tabs>
          <w:tab w:val="clear" w:pos="432"/>
          <w:tab w:val="left" w:pos="2376"/>
        </w:tabs>
        <w:spacing w:before="124" w:after="0" w:line="274" w:lineRule="exact"/>
        <w:ind w:right="144"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applicant has previously held an equivalent licence under a corresponding WHS law, a declaration:</w:t>
      </w:r>
    </w:p>
    <w:p>
      <w:pPr>
        <w:numPr>
          <w:ilvl w:val="0"/>
          <w:numId w:val="827"/>
        </w:numPr>
        <w:tabs>
          <w:tab w:val="clear" w:pos="432"/>
          <w:tab w:val="left" w:pos="2952"/>
        </w:tabs>
        <w:spacing w:before="124" w:after="0" w:line="274" w:lineRule="exact"/>
        <w:ind w:right="288" w:left="2952"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describing any condition imposed on that licence; and</w:t>
      </w:r>
    </w:p>
    <w:p>
      <w:pPr>
        <w:numPr>
          <w:ilvl w:val="0"/>
          <w:numId w:val="827"/>
        </w:numPr>
        <w:tabs>
          <w:tab w:val="clear" w:pos="432"/>
          <w:tab w:val="left" w:pos="2952"/>
        </w:tabs>
        <w:spacing w:before="124" w:after="0" w:line="275" w:lineRule="exact"/>
        <w:ind w:right="0" w:left="2952"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stating whether or not that licence had been suspended or cancelled and, if so, whether or not the applicant had been disqualified from applying for any licence; and</w:t>
      </w:r>
    </w:p>
    <w:p>
      <w:pPr>
        <w:numPr>
          <w:ilvl w:val="0"/>
          <w:numId w:val="827"/>
        </w:numPr>
        <w:tabs>
          <w:tab w:val="clear" w:pos="432"/>
          <w:tab w:val="left" w:pos="2952"/>
        </w:tabs>
        <w:spacing w:before="124" w:after="0" w:line="274" w:lineRule="exact"/>
        <w:ind w:right="432" w:left="2952"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giving details of any suspension, cancellation or disqualification;</w:t>
      </w:r>
    </w:p>
    <w:p>
      <w:pPr>
        <w:spacing w:before="124" w:after="0" w:line="274" w:lineRule="exact"/>
        <w:ind w:right="72" w:left="1944" w:hanging="432"/>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 if the applicant is a body corporate, the information referred to in paragraph (f) in relation to:</w:t>
      </w:r>
    </w:p>
    <w:p>
      <w:pPr>
        <w:numPr>
          <w:ilvl w:val="0"/>
          <w:numId w:val="828"/>
        </w:numPr>
        <w:tabs>
          <w:tab w:val="clear" w:pos="432"/>
          <w:tab w:val="left" w:pos="2376"/>
        </w:tabs>
        <w:spacing w:before="126" w:after="0" w:line="272"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body corporate; and</w:t>
      </w:r>
    </w:p>
    <w:p>
      <w:pPr>
        <w:numPr>
          <w:ilvl w:val="0"/>
          <w:numId w:val="828"/>
        </w:numPr>
        <w:tabs>
          <w:tab w:val="clear" w:pos="432"/>
          <w:tab w:val="left" w:pos="2376"/>
        </w:tabs>
        <w:spacing w:before="122" w:after="0" w:line="272"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each officer of the body corporate;</w:t>
      </w:r>
    </w:p>
    <w:p>
      <w:pPr>
        <w:spacing w:before="122" w:after="0" w:line="276" w:lineRule="exact"/>
        <w:ind w:right="72" w:left="1944" w:hanging="432"/>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 in the case of an application for an asbestos removal licence— the additional information referred to in regulation 493 or 494, as applicable;</w:t>
      </w:r>
    </w:p>
    <w:p>
      <w:pPr>
        <w:spacing w:before="116" w:after="1460" w:line="278" w:lineRule="exact"/>
        <w:ind w:right="504" w:left="1944" w:hanging="432"/>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 in the case of an asbestos assessor licence—the additional information referred to in regulation 495.</w:t>
      </w:r>
    </w:p>
    <w:p>
      <w:pPr>
        <w:spacing w:before="116" w:after="1460"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342</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8.10	</w:t>
      </w:r>
      <w:r>
        <w:rPr>
          <w:rFonts w:ascii="Times New Roman" w:hAnsi="Times New Roman" w:eastAsia="Times New Roman"/>
          <w:color w:val="000000"/>
          <w:spacing w:val="0"/>
          <w:w w:val="100"/>
          <w:sz w:val="20"/>
          <w:vertAlign w:val="baseline"/>
          <w:lang w:val="en-US"/>
        </w:rPr>
        <w:t xml:space="preserve">Licensing of Asbestos Removalists and Asbestos Assessors</w:t>
      </w:r>
    </w:p>
    <w:p>
      <w:pPr>
        <w:spacing w:before="255"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Note</w:t>
      </w:r>
    </w:p>
    <w:p>
      <w:pPr>
        <w:spacing w:before="124" w:after="0" w:line="231" w:lineRule="exact"/>
        <w:ind w:right="864"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section 268 of the Act for offences relating to the giving of false or misleading information under the Act or these Regulations.</w:t>
      </w:r>
    </w:p>
    <w:p>
      <w:pPr>
        <w:spacing w:before="117" w:after="0" w:line="272"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application must be accompanied by the relevant fee.</w:t>
      </w:r>
    </w:p>
    <w:p>
      <w:pPr>
        <w:spacing w:before="121" w:after="0" w:line="273"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493 Content of application—Class A asbestos removal licence</w:t>
      </w:r>
    </w:p>
    <w:p>
      <w:pPr>
        <w:spacing w:before="126" w:after="0" w:line="272" w:lineRule="exact"/>
        <w:ind w:right="144" w:left="0" w:firstLine="0"/>
        <w:jc w:val="righ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For the purposes of regulation 492(2)(h), an application for a Class</w:t>
      </w:r>
    </w:p>
    <w:p>
      <w:pPr>
        <w:spacing w:before="1" w:after="0" w:line="272"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asbestos removal licence must include the following:</w:t>
      </w:r>
    </w:p>
    <w:p>
      <w:pPr>
        <w:numPr>
          <w:ilvl w:val="0"/>
          <w:numId w:val="829"/>
        </w:numPr>
        <w:tabs>
          <w:tab w:val="clear" w:pos="360"/>
          <w:tab w:val="left" w:pos="1872"/>
        </w:tabs>
        <w:spacing w:before="123" w:after="0" w:line="276"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names of 1 or more competent persons who have been engaged by the applicant to supervise the asbestos removal work to be authorised by the licence;</w:t>
      </w:r>
    </w:p>
    <w:p>
      <w:pPr>
        <w:numPr>
          <w:ilvl w:val="0"/>
          <w:numId w:val="829"/>
        </w:numPr>
        <w:tabs>
          <w:tab w:val="clear" w:pos="360"/>
          <w:tab w:val="left" w:pos="1872"/>
        </w:tabs>
        <w:spacing w:before="114" w:after="0" w:line="279" w:lineRule="exact"/>
        <w:ind w:right="79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evidence, as required by the regulator, that each named supervisor is at least 18 years of age;</w:t>
      </w:r>
    </w:p>
    <w:p>
      <w:pPr>
        <w:numPr>
          <w:ilvl w:val="0"/>
          <w:numId w:val="829"/>
        </w:numPr>
        <w:tabs>
          <w:tab w:val="clear" w:pos="360"/>
          <w:tab w:val="left" w:pos="1872"/>
        </w:tabs>
        <w:spacing w:before="117" w:after="0" w:line="276"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copy of a certification issued to each named supervisor for the specified VET course for the supervision of asbestos removal work;</w:t>
      </w:r>
    </w:p>
    <w:p>
      <w:pPr>
        <w:numPr>
          <w:ilvl w:val="0"/>
          <w:numId w:val="829"/>
        </w:numPr>
        <w:tabs>
          <w:tab w:val="clear" w:pos="360"/>
          <w:tab w:val="left" w:pos="1872"/>
        </w:tabs>
        <w:spacing w:before="126" w:after="0" w:line="273"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evidence that each named supervisor has at least 3 years of relevant industry experience;</w:t>
      </w:r>
    </w:p>
    <w:p>
      <w:pPr>
        <w:numPr>
          <w:ilvl w:val="0"/>
          <w:numId w:val="829"/>
        </w:numPr>
        <w:tabs>
          <w:tab w:val="clear" w:pos="360"/>
          <w:tab w:val="left" w:pos="1872"/>
        </w:tabs>
        <w:spacing w:before="126" w:after="0" w:line="273"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evidence that the applicant has a certified safety management system in place.</w:t>
      </w:r>
    </w:p>
    <w:p>
      <w:pPr>
        <w:spacing w:before="124" w:after="0"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If the applicant is an individual who proposes to supervise the carrying out of the Class A asbestos removal work, the statement and information referred to in subregulation (1)(b), (c) and (d) must relate to the applicant.</w:t>
      </w:r>
    </w:p>
    <w:p>
      <w:pPr>
        <w:spacing w:before="127" w:after="0" w:line="273"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494 Content of application—Class B asbestos removal licence</w:t>
      </w:r>
    </w:p>
    <w:p>
      <w:pPr>
        <w:spacing w:before="120" w:after="0" w:line="272" w:lineRule="exact"/>
        <w:ind w:right="144" w:left="0" w:firstLine="0"/>
        <w:jc w:val="righ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For the purposes of regulation 492(2)(h), an application for a Class</w:t>
      </w:r>
    </w:p>
    <w:p>
      <w:pPr>
        <w:spacing w:before="7" w:after="0" w:line="272"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asbestos removal licence must include the following:</w:t>
      </w:r>
    </w:p>
    <w:p>
      <w:pPr>
        <w:numPr>
          <w:ilvl w:val="0"/>
          <w:numId w:val="830"/>
        </w:numPr>
        <w:tabs>
          <w:tab w:val="clear" w:pos="360"/>
          <w:tab w:val="left" w:pos="1872"/>
        </w:tabs>
        <w:spacing w:before="117" w:after="0" w:line="276"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of 1 or more competent persons who have been engaged by the applicant to supervise the asbestos removal work to be authorised by the licence;</w:t>
      </w:r>
    </w:p>
    <w:p>
      <w:pPr>
        <w:numPr>
          <w:ilvl w:val="0"/>
          <w:numId w:val="830"/>
        </w:numPr>
        <w:tabs>
          <w:tab w:val="clear" w:pos="360"/>
          <w:tab w:val="left" w:pos="1872"/>
        </w:tabs>
        <w:spacing w:before="126" w:after="0" w:line="273" w:lineRule="exact"/>
        <w:ind w:right="79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evidence, as required by the regulator, that each named supervisor is at least 18 years of age;</w:t>
      </w:r>
    </w:p>
    <w:p>
      <w:pPr>
        <w:numPr>
          <w:ilvl w:val="0"/>
          <w:numId w:val="830"/>
        </w:numPr>
        <w:tabs>
          <w:tab w:val="clear" w:pos="360"/>
          <w:tab w:val="left" w:pos="1872"/>
        </w:tabs>
        <w:spacing w:before="123" w:after="0" w:line="276"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copy of a certification issued to each named supervisor for the specified VET course for the supervision of asbestos removal work;</w:t>
      </w:r>
    </w:p>
    <w:p>
      <w:pPr>
        <w:numPr>
          <w:ilvl w:val="0"/>
          <w:numId w:val="830"/>
        </w:numPr>
        <w:tabs>
          <w:tab w:val="clear" w:pos="360"/>
          <w:tab w:val="left" w:pos="1872"/>
        </w:tabs>
        <w:spacing w:before="114" w:after="1109" w:line="279"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evidence that each named supervisor has at least 1 year of relevant industry experience.</w:t>
      </w:r>
    </w:p>
    <w:p>
      <w:pPr>
        <w:spacing w:before="114" w:after="1109" w:line="279"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343</w:t>
      </w:r>
    </w:p>
    <w:p>
      <w:pPr>
        <w:sectPr>
          <w:type w:val="continuous"/>
          <w:pgSz w:w="11909" w:h="16838" w:orient="portrait"/>
          <w:pgMar w:bottom="1082" w:top="1140" w:right="5817" w:left="1972"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8.10	</w:t>
      </w:r>
      <w:r>
        <w:rPr>
          <w:rFonts w:ascii="Times New Roman" w:hAnsi="Times New Roman" w:eastAsia="Times New Roman"/>
          <w:color w:val="000000"/>
          <w:spacing w:val="0"/>
          <w:w w:val="100"/>
          <w:sz w:val="20"/>
          <w:vertAlign w:val="baseline"/>
          <w:lang w:val="en-US"/>
        </w:rPr>
        <w:t xml:space="preserve">Licensing of Asbestos Removalists and Asbestos Assessors</w:t>
      </w:r>
    </w:p>
    <w:p>
      <w:pPr>
        <w:spacing w:before="247" w:after="0" w:line="277"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(2) If the applicant is an individual who proposes to supervise the carrying out of the Class B asbestos removal work, the statement and information referred to in subregulation (1)(b), (c) and (d) must relate to the applicant.</w:t>
      </w:r>
    </w:p>
    <w:p>
      <w:pPr>
        <w:spacing w:before="120"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495 Content of application—asbestos assessor licence</w:t>
      </w:r>
    </w:p>
    <w:p>
      <w:pPr>
        <w:spacing w:before="125" w:after="0" w:line="273" w:lineRule="exact"/>
        <w:ind w:right="648"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the purposes of regulation 492(2)(i), an application for an asbestos assessor licence must include:</w:t>
      </w:r>
    </w:p>
    <w:p>
      <w:pPr>
        <w:numPr>
          <w:ilvl w:val="0"/>
          <w:numId w:val="831"/>
        </w:numPr>
        <w:tabs>
          <w:tab w:val="clear" w:pos="360"/>
          <w:tab w:val="left" w:pos="1872"/>
        </w:tabs>
        <w:spacing w:before="123" w:after="0" w:line="276"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evidence that the applicant has acquired through training or experience the knowledge and skills of relevant asbestos removal industry practice; and</w:t>
      </w:r>
    </w:p>
    <w:p>
      <w:pPr>
        <w:numPr>
          <w:ilvl w:val="0"/>
          <w:numId w:val="831"/>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either:</w:t>
      </w:r>
    </w:p>
    <w:p>
      <w:pPr>
        <w:numPr>
          <w:ilvl w:val="0"/>
          <w:numId w:val="832"/>
        </w:numPr>
        <w:tabs>
          <w:tab w:val="clear" w:pos="360"/>
          <w:tab w:val="left" w:pos="2376"/>
        </w:tabs>
        <w:spacing w:before="127" w:after="0" w:line="273" w:lineRule="exact"/>
        <w:ind w:right="14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copy of a certification held by the applicant in relation to the specified VET course for asbestos assessor work; or</w:t>
      </w:r>
    </w:p>
    <w:p>
      <w:pPr>
        <w:numPr>
          <w:ilvl w:val="0"/>
          <w:numId w:val="832"/>
        </w:numPr>
        <w:tabs>
          <w:tab w:val="clear" w:pos="360"/>
          <w:tab w:val="left" w:pos="2376"/>
        </w:tabs>
        <w:spacing w:before="122" w:after="0" w:line="276" w:lineRule="exact"/>
        <w:ind w:right="288" w:left="2376"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evidence that the applicant holds a tertiary qualification in occupational health and safety, industrial hygiene, science, building construction or environmental health.</w:t>
      </w:r>
    </w:p>
    <w:p>
      <w:pPr>
        <w:spacing w:before="121" w:after="0" w:line="274"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496 Additional information</w:t>
      </w:r>
    </w:p>
    <w:p>
      <w:pPr>
        <w:spacing w:before="123" w:after="0" w:line="275"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If an application for a licence does not contain sufficient information to enable the regulator to make a decision whether or not to grant the licence, the regulator may ask the applicant to provide additional information.</w:t>
      </w:r>
    </w:p>
    <w:p>
      <w:pPr>
        <w:spacing w:before="125"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 request for additional information must:</w:t>
      </w:r>
    </w:p>
    <w:p>
      <w:pPr>
        <w:numPr>
          <w:ilvl w:val="0"/>
          <w:numId w:val="833"/>
        </w:numPr>
        <w:tabs>
          <w:tab w:val="clear" w:pos="360"/>
          <w:tab w:val="left" w:pos="1872"/>
        </w:tabs>
        <w:spacing w:before="116" w:after="0" w:line="278"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specify the date (not being less than 28 days after the request) by which the additional information is to be given; and</w:t>
      </w:r>
    </w:p>
    <w:p>
      <w:pPr>
        <w:numPr>
          <w:ilvl w:val="0"/>
          <w:numId w:val="833"/>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be confirmed in writing.</w:t>
      </w:r>
    </w:p>
    <w:p>
      <w:pPr>
        <w:spacing w:before="122" w:after="0" w:line="276"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If an applicant does not provide the additional information by the date specified, the application is to be taken to have been withdrawn.</w:t>
      </w:r>
    </w:p>
    <w:p>
      <w:pPr>
        <w:spacing w:before="116" w:after="0" w:line="278" w:lineRule="exact"/>
        <w:ind w:right="93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The regulator may make more than 1 request for additional information.</w:t>
      </w:r>
    </w:p>
    <w:p>
      <w:pPr>
        <w:spacing w:before="121" w:after="0" w:line="274"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497 Decision on application</w:t>
      </w:r>
    </w:p>
    <w:p>
      <w:pPr>
        <w:spacing w:before="123" w:after="0" w:line="274"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Subject to subregulation (3), the regulator must grant an asbestos removal licence or asbestos assessor licence if satisfied about:</w:t>
      </w:r>
    </w:p>
    <w:p>
      <w:pPr>
        <w:spacing w:before="125" w:after="1248"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the matters referred to in subregulation (2); and</w:t>
      </w:r>
    </w:p>
    <w:p>
      <w:pPr>
        <w:spacing w:before="125" w:after="1248"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344</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8.10	</w:t>
      </w:r>
      <w:r>
        <w:rPr>
          <w:rFonts w:ascii="Times New Roman" w:hAnsi="Times New Roman" w:eastAsia="Times New Roman"/>
          <w:color w:val="000000"/>
          <w:spacing w:val="0"/>
          <w:w w:val="100"/>
          <w:sz w:val="20"/>
          <w:vertAlign w:val="baseline"/>
          <w:lang w:val="en-US"/>
        </w:rPr>
        <w:t xml:space="preserve">Licensing of Asbestos Removalists and Asbestos Assessors</w:t>
      </w:r>
    </w:p>
    <w:p>
      <w:pPr>
        <w:spacing w:before="244" w:after="0" w:line="279"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(b) the additional matters referred to in regulation 498 or 499, as applicable.</w:t>
      </w:r>
    </w:p>
    <w:p>
      <w:pPr>
        <w:spacing w:before="121" w:after="0" w:line="272"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regulator must be satisfied about the following:</w:t>
      </w:r>
    </w:p>
    <w:p>
      <w:pPr>
        <w:spacing w:before="126" w:after="0" w:line="273" w:lineRule="exact"/>
        <w:ind w:right="79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the application has been made in accordance with these Regulations;</w:t>
      </w:r>
    </w:p>
    <w:p>
      <w:pPr>
        <w:spacing w:before="126" w:after="0" w:line="273" w:lineRule="exact"/>
        <w:ind w:right="72" w:left="1872"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(b) the applicant does not hold an equivalent licence under a corresponding WHS law unless that licence is due for renewal;</w:t>
      </w:r>
    </w:p>
    <w:p>
      <w:pPr>
        <w:spacing w:before="127" w:after="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if the applicant is an individual, the applicant:</w:t>
      </w:r>
    </w:p>
    <w:p>
      <w:pPr>
        <w:numPr>
          <w:ilvl w:val="0"/>
          <w:numId w:val="834"/>
        </w:numPr>
        <w:tabs>
          <w:tab w:val="clear" w:pos="360"/>
          <w:tab w:val="left" w:pos="2376"/>
        </w:tabs>
        <w:spacing w:before="121" w:after="0" w:line="272"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resides in [this jurisdiction]; or</w:t>
      </w:r>
    </w:p>
    <w:p>
      <w:pPr>
        <w:numPr>
          <w:ilvl w:val="0"/>
          <w:numId w:val="834"/>
        </w:numPr>
        <w:tabs>
          <w:tab w:val="clear" w:pos="360"/>
          <w:tab w:val="left" w:pos="2376"/>
        </w:tabs>
        <w:spacing w:before="126" w:after="0" w:line="273" w:lineRule="exact"/>
        <w:ind w:right="7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resides outside [this jurisdiction] and circumstances exist that justify the grant of the licence;</w:t>
      </w:r>
    </w:p>
    <w:p>
      <w:pPr>
        <w:spacing w:before="126" w:after="0" w:line="273"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if the applicant is a body corporate, the applicant's registered office:</w:t>
      </w:r>
    </w:p>
    <w:p>
      <w:pPr>
        <w:numPr>
          <w:ilvl w:val="0"/>
          <w:numId w:val="835"/>
        </w:numPr>
        <w:tabs>
          <w:tab w:val="clear" w:pos="360"/>
          <w:tab w:val="left" w:pos="2376"/>
        </w:tabs>
        <w:spacing w:before="122" w:after="0" w:line="272"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located in [this jurisdiction]; or</w:t>
      </w:r>
    </w:p>
    <w:p>
      <w:pPr>
        <w:numPr>
          <w:ilvl w:val="0"/>
          <w:numId w:val="835"/>
        </w:numPr>
        <w:tabs>
          <w:tab w:val="clear" w:pos="360"/>
          <w:tab w:val="left" w:pos="2376"/>
        </w:tabs>
        <w:spacing w:before="124" w:after="0" w:line="274" w:lineRule="exact"/>
        <w:ind w:right="36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located outside [this jurisdiction] and circumstances exist that justify the grant of the licence;</w:t>
      </w:r>
    </w:p>
    <w:p>
      <w:pPr>
        <w:spacing w:before="122"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 the applicant is able to ensure that the work or other activities to which the licence relates are carried out safely and competently;</w:t>
      </w:r>
    </w:p>
    <w:p>
      <w:pPr>
        <w:spacing w:before="116" w:after="0" w:line="278"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 the applicant is able to ensure compliance with any conditions that will apply to the licence.</w:t>
      </w:r>
    </w:p>
    <w:p>
      <w:pPr>
        <w:spacing w:before="125"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8"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notes in the Appendix.</w:t>
      </w:r>
    </w:p>
    <w:p>
      <w:pPr>
        <w:spacing w:before="119" w:after="0" w:line="272"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regulator must refuse to grant a licence if satisfied that:</w:t>
      </w:r>
    </w:p>
    <w:p>
      <w:pPr>
        <w:numPr>
          <w:ilvl w:val="0"/>
          <w:numId w:val="836"/>
        </w:numPr>
        <w:tabs>
          <w:tab w:val="clear" w:pos="360"/>
          <w:tab w:val="left" w:pos="1872"/>
        </w:tabs>
        <w:spacing w:before="124" w:after="0" w:line="274"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applicant is disqualified under a corresponding WHS law from holding an equivalent licence; or</w:t>
      </w:r>
    </w:p>
    <w:p>
      <w:pPr>
        <w:numPr>
          <w:ilvl w:val="0"/>
          <w:numId w:val="836"/>
        </w:numPr>
        <w:tabs>
          <w:tab w:val="clear" w:pos="360"/>
          <w:tab w:val="left" w:pos="1872"/>
        </w:tabs>
        <w:spacing w:before="126" w:after="0" w:line="272" w:lineRule="exact"/>
        <w:ind w:right="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applicant, in making the application, has:</w:t>
      </w:r>
    </w:p>
    <w:p>
      <w:pPr>
        <w:numPr>
          <w:ilvl w:val="0"/>
          <w:numId w:val="837"/>
        </w:numPr>
        <w:tabs>
          <w:tab w:val="clear" w:pos="360"/>
          <w:tab w:val="left" w:pos="2376"/>
        </w:tabs>
        <w:spacing w:before="116" w:after="0" w:line="278" w:lineRule="exact"/>
        <w:ind w:right="7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given information that is false or misleading in a material particular; or</w:t>
      </w:r>
    </w:p>
    <w:p>
      <w:pPr>
        <w:numPr>
          <w:ilvl w:val="0"/>
          <w:numId w:val="837"/>
        </w:numPr>
        <w:tabs>
          <w:tab w:val="clear" w:pos="360"/>
          <w:tab w:val="left" w:pos="2376"/>
        </w:tabs>
        <w:spacing w:before="116" w:after="0" w:line="278" w:lineRule="exact"/>
        <w:ind w:right="216"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failed to give any material information that should have been given.</w:t>
      </w:r>
    </w:p>
    <w:p>
      <w:pPr>
        <w:spacing w:before="116" w:after="0" w:line="278" w:lineRule="exact"/>
        <w:ind w:right="72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If the regulator decides to grant the licence, it must notify the applicant within 14 days after making the decision.</w:t>
      </w:r>
    </w:p>
    <w:p>
      <w:pPr>
        <w:spacing w:before="116" w:after="860" w:line="278" w:lineRule="exact"/>
        <w:ind w:right="432" w:left="1368" w:hanging="360"/>
        <w:jc w:val="left"/>
        <w:textAlignment w:val="baseline"/>
        <w:rPr>
          <w:rFonts w:ascii="Times New Roman" w:hAnsi="Times New Roman" w:eastAsia="Times New Roman"/>
          <w:color w:val="000000"/>
          <w:spacing w:val="-1"/>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1"/>
          <w:w w:val="100"/>
          <w:sz w:val="24"/>
          <w:vertAlign w:val="baseline"/>
          <w:lang w:val="en-US"/>
        </w:rPr>
        <w:t xml:space="preserve">(5) If the regulator does not make a decision within 120 days after receiving the application or the additional information requested</w:t>
      </w:r>
    </w:p>
    <w:p>
      <w:pPr>
        <w:spacing w:before="116" w:after="860"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345</w:t>
      </w:r>
    </w:p>
    <w:p>
      <w:pPr>
        <w:sectPr>
          <w:type w:val="continuous"/>
          <w:pgSz w:w="11909" w:h="16838" w:orient="portrait"/>
          <w:pgMar w:bottom="1082" w:top="1140" w:right="5814" w:left="1975"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8.10	</w:t>
      </w:r>
      <w:r>
        <w:rPr>
          <w:rFonts w:ascii="Times New Roman" w:hAnsi="Times New Roman" w:eastAsia="Times New Roman"/>
          <w:color w:val="000000"/>
          <w:spacing w:val="0"/>
          <w:w w:val="100"/>
          <w:sz w:val="20"/>
          <w:vertAlign w:val="baseline"/>
          <w:lang w:val="en-US"/>
        </w:rPr>
        <w:t xml:space="preserve">Licensing of Asbestos Removalists and Asbestos Assessors</w:t>
      </w:r>
    </w:p>
    <w:p>
      <w:pPr>
        <w:spacing w:before="244" w:after="0" w:line="279" w:lineRule="exact"/>
        <w:ind w:right="144" w:left="1368" w:firstLine="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under regulation 496, the regulator is taken to have refused to grant the licence applied for.</w:t>
      </w:r>
    </w:p>
    <w:p>
      <w:pPr>
        <w:spacing w:before="125"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2" w:after="0" w:line="231" w:lineRule="exact"/>
        <w:ind w:right="144"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refusal to grant a licence (including under subregulation (5)) is a reviewable decision (see regulation 676).</w:t>
      </w:r>
    </w:p>
    <w:p>
      <w:pPr>
        <w:spacing w:before="119" w:after="0" w:line="273" w:lineRule="exact"/>
        <w:ind w:right="432" w:left="288" w:firstLine="0"/>
        <w:jc w:val="both"/>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498 Class A asbestos removal licence—regulator to be satisfied about additional matters</w:t>
      </w:r>
    </w:p>
    <w:p>
      <w:pPr>
        <w:spacing w:before="125" w:after="0" w:line="273" w:lineRule="exact"/>
        <w:ind w:right="43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the purposes of regulation 497(1)(b), in relation to a Class A asbestos removal licence, the regulator must be satisfied that:</w:t>
      </w:r>
    </w:p>
    <w:p>
      <w:pPr>
        <w:spacing w:before="127" w:after="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each supervisor named by the applicant:</w:t>
      </w:r>
    </w:p>
    <w:p>
      <w:pPr>
        <w:spacing w:before="121" w:after="0" w:line="272" w:lineRule="exact"/>
        <w:ind w:right="0" w:left="2016"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 is at least 18 years of age; and</w:t>
      </w:r>
    </w:p>
    <w:p>
      <w:pPr>
        <w:spacing w:before="127" w:after="0" w:line="272" w:lineRule="exact"/>
        <w:ind w:right="0" w:left="2016"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(ii) holds a certification for:</w:t>
      </w:r>
    </w:p>
    <w:p>
      <w:pPr>
        <w:numPr>
          <w:ilvl w:val="0"/>
          <w:numId w:val="838"/>
        </w:numPr>
        <w:tabs>
          <w:tab w:val="clear" w:pos="360"/>
          <w:tab w:val="left" w:pos="2880"/>
        </w:tabs>
        <w:spacing w:before="114" w:after="0" w:line="279" w:lineRule="exact"/>
        <w:ind w:right="504" w:left="2880"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specified VET course for the supervision of asbestos removal work; and</w:t>
      </w:r>
    </w:p>
    <w:p>
      <w:pPr>
        <w:numPr>
          <w:ilvl w:val="0"/>
          <w:numId w:val="838"/>
        </w:numPr>
        <w:tabs>
          <w:tab w:val="clear" w:pos="360"/>
          <w:tab w:val="left" w:pos="2880"/>
        </w:tabs>
        <w:spacing w:before="114" w:after="0" w:line="279" w:lineRule="exact"/>
        <w:ind w:right="288" w:left="2880"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specified VET course for the Class A asbestos removal work; and</w:t>
      </w:r>
    </w:p>
    <w:p>
      <w:pPr>
        <w:spacing w:before="121" w:after="0" w:line="272" w:lineRule="exact"/>
        <w:ind w:right="216" w:left="0" w:firstLine="0"/>
        <w:jc w:val="righ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(iii) has at least 3 years of relevant industry experience; and</w:t>
      </w:r>
    </w:p>
    <w:p>
      <w:pPr>
        <w:spacing w:before="126" w:after="0" w:line="273"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the applicant has a certified safety management system in place.</w:t>
      </w:r>
    </w:p>
    <w:p>
      <w:pPr>
        <w:spacing w:before="127" w:after="0" w:line="273" w:lineRule="exact"/>
        <w:ind w:right="432" w:left="288" w:firstLine="0"/>
        <w:jc w:val="both"/>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499 Class B asbestos removal licence—regulator to be satisfied about additional matters</w:t>
      </w:r>
    </w:p>
    <w:p>
      <w:pPr>
        <w:spacing w:before="122" w:after="0" w:line="276" w:lineRule="exact"/>
        <w:ind w:right="36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the purposes of regulation 497(1)(b), in relation to a Class B asbestos removal licence the regulator must be satisfied that each supervisor named by the applicant:</w:t>
      </w:r>
    </w:p>
    <w:p>
      <w:pPr>
        <w:spacing w:before="121" w:after="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is at least 18 years of age; and</w:t>
      </w:r>
    </w:p>
    <w:p>
      <w:pPr>
        <w:spacing w:before="127" w:after="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holds a certification for:</w:t>
      </w:r>
    </w:p>
    <w:p>
      <w:pPr>
        <w:numPr>
          <w:ilvl w:val="0"/>
          <w:numId w:val="839"/>
        </w:numPr>
        <w:tabs>
          <w:tab w:val="clear" w:pos="360"/>
          <w:tab w:val="left" w:pos="2376"/>
        </w:tabs>
        <w:spacing w:before="114" w:after="0" w:line="279" w:lineRule="exact"/>
        <w:ind w:right="14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specified VET course for the supervision of asbestos removal work; and</w:t>
      </w:r>
    </w:p>
    <w:p>
      <w:pPr>
        <w:numPr>
          <w:ilvl w:val="0"/>
          <w:numId w:val="839"/>
        </w:numPr>
        <w:tabs>
          <w:tab w:val="clear" w:pos="360"/>
          <w:tab w:val="left" w:pos="2376"/>
        </w:tabs>
        <w:spacing w:before="114" w:after="0" w:line="279" w:lineRule="exact"/>
        <w:ind w:right="79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specified VET course for the Class B asbestos removal work; and</w:t>
      </w:r>
    </w:p>
    <w:p>
      <w:pPr>
        <w:spacing w:before="121" w:after="0" w:line="272"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has at least 1 year of relevant industry experience.</w:t>
      </w:r>
    </w:p>
    <w:p>
      <w:pPr>
        <w:spacing w:before="127" w:after="0" w:line="273"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500 Matters to be taken into account</w:t>
      </w:r>
    </w:p>
    <w:p>
      <w:pPr>
        <w:spacing w:before="113" w:after="1181" w:line="279" w:lineRule="exact"/>
        <w:ind w:right="144" w:left="1368" w:hanging="36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(1) For the purposes of regulation 497(2)(e) and (f), the regulator must have regard to all relevant matters, including the following:</w:t>
      </w:r>
    </w:p>
    <w:p>
      <w:pPr>
        <w:spacing w:before="113" w:after="1181" w:line="279"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346</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8.10	</w:t>
      </w:r>
      <w:r>
        <w:rPr>
          <w:rFonts w:ascii="Times New Roman" w:hAnsi="Times New Roman" w:eastAsia="Times New Roman"/>
          <w:color w:val="000000"/>
          <w:spacing w:val="0"/>
          <w:w w:val="100"/>
          <w:sz w:val="20"/>
          <w:vertAlign w:val="baseline"/>
          <w:lang w:val="en-US"/>
        </w:rPr>
        <w:t xml:space="preserve">Licensing of Asbestos Removalists and Asbestos Assessors</w:t>
      </w:r>
    </w:p>
    <w:p>
      <w:pPr>
        <w:spacing w:before="247" w:after="0" w:line="276"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any offence under the Act or these Regulations or under a corresponding WHS law of which the applicant has been convicted or found guilty;</w:t>
      </w:r>
    </w:p>
    <w:p>
      <w:pPr>
        <w:spacing w:before="125"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8"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15"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any offence in relation to the unlawful disposal of hazardous waste under [a relevant environment protection law] of which the applicant has been convicted or found guilty;</w:t>
      </w:r>
    </w:p>
    <w:p>
      <w:pPr>
        <w:spacing w:before="130"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8"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notes in the Appendix.</w:t>
      </w:r>
    </w:p>
    <w:p>
      <w:pPr>
        <w:spacing w:before="119" w:after="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any enforceable undertaking the applicant has entered into</w:t>
      </w:r>
    </w:p>
    <w:p>
      <w:pPr>
        <w:spacing w:before="2"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under the Act or a corresponding WHS law;</w:t>
      </w:r>
    </w:p>
    <w:p>
      <w:pPr>
        <w:spacing w:before="122"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in relation to any equivalent licence applied for or held by the applicant under the Act or these Regulations or under a corresponding WHS law:</w:t>
      </w:r>
    </w:p>
    <w:p>
      <w:pPr>
        <w:numPr>
          <w:ilvl w:val="0"/>
          <w:numId w:val="840"/>
        </w:numPr>
        <w:tabs>
          <w:tab w:val="clear" w:pos="504"/>
          <w:tab w:val="left" w:pos="2376"/>
        </w:tabs>
        <w:spacing w:before="122" w:after="0" w:line="272" w:lineRule="exact"/>
        <w:ind w:right="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refusal to grant the licence; and</w:t>
      </w:r>
    </w:p>
    <w:p>
      <w:pPr>
        <w:numPr>
          <w:ilvl w:val="0"/>
          <w:numId w:val="840"/>
        </w:numPr>
        <w:tabs>
          <w:tab w:val="clear" w:pos="504"/>
          <w:tab w:val="left" w:pos="2376"/>
        </w:tabs>
        <w:spacing w:before="126" w:after="0" w:line="272" w:lineRule="exact"/>
        <w:ind w:right="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condition imposed on the licence, if granted; and</w:t>
      </w:r>
    </w:p>
    <w:p>
      <w:pPr>
        <w:numPr>
          <w:ilvl w:val="0"/>
          <w:numId w:val="840"/>
        </w:numPr>
        <w:tabs>
          <w:tab w:val="clear" w:pos="504"/>
          <w:tab w:val="left" w:pos="2376"/>
        </w:tabs>
        <w:spacing w:before="118" w:after="0" w:line="276" w:lineRule="exact"/>
        <w:ind w:right="144"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suspension or cancellation of the licence, if granted, including any disqualification from applying for any licence;</w:t>
      </w:r>
    </w:p>
    <w:p>
      <w:pPr>
        <w:spacing w:before="122" w:after="0" w:line="276"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 the record of the applicant in relation to any matters arising under the Act or these Regulations or under a corresponding WHS law.</w:t>
      </w:r>
    </w:p>
    <w:p>
      <w:pPr>
        <w:spacing w:before="120"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For the purposes of regulation 497(2)(e) and (f), if the applicant is a body corporate, the regulator must have regard to all relevant matters, including the matters referred to in subregulation (1), in relation to:</w:t>
      </w:r>
    </w:p>
    <w:p>
      <w:pPr>
        <w:numPr>
          <w:ilvl w:val="0"/>
          <w:numId w:val="841"/>
        </w:numPr>
        <w:tabs>
          <w:tab w:val="clear" w:pos="360"/>
          <w:tab w:val="left" w:pos="1872"/>
        </w:tabs>
        <w:spacing w:before="122" w:after="0" w:line="272" w:lineRule="exact"/>
        <w:ind w:right="0" w:left="360" w:firstLine="115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body corporate; and</w:t>
      </w:r>
    </w:p>
    <w:p>
      <w:pPr>
        <w:numPr>
          <w:ilvl w:val="0"/>
          <w:numId w:val="841"/>
        </w:numPr>
        <w:tabs>
          <w:tab w:val="clear" w:pos="360"/>
          <w:tab w:val="left" w:pos="1872"/>
        </w:tabs>
        <w:spacing w:before="5" w:after="0" w:line="394" w:lineRule="exact"/>
        <w:ind w:right="0" w:left="360" w:firstLine="115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each officer of the body corporate.</w:t>
        <w:br/>
      </w:r>
      <w:r>
        <w:rPr>
          <w:rFonts w:ascii="Times New Roman" w:hAnsi="Times New Roman" w:eastAsia="Times New Roman"/>
          <w:b w:val="true"/>
          <w:color w:val="000000"/>
          <w:spacing w:val="0"/>
          <w:w w:val="100"/>
          <w:sz w:val="24"/>
          <w:vertAlign w:val="baseline"/>
          <w:lang w:val="en-US"/>
        </w:rPr>
        <w:t xml:space="preserve">501 Refusal to grant licence—process</w:t>
      </w:r>
    </w:p>
    <w:p>
      <w:pPr>
        <w:spacing w:before="123" w:after="0" w:line="274"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If the regulator proposes to refuse to grant a licence, the regulator must give the applicant a written notice:</w:t>
      </w:r>
    </w:p>
    <w:p>
      <w:pPr>
        <w:numPr>
          <w:ilvl w:val="0"/>
          <w:numId w:val="842"/>
        </w:numPr>
        <w:tabs>
          <w:tab w:val="clear" w:pos="360"/>
          <w:tab w:val="left" w:pos="1872"/>
        </w:tabs>
        <w:spacing w:before="124" w:after="0" w:line="274"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informing the applicant of the reasons for the proposed refusal; and</w:t>
      </w:r>
    </w:p>
    <w:p>
      <w:pPr>
        <w:numPr>
          <w:ilvl w:val="0"/>
          <w:numId w:val="842"/>
        </w:numPr>
        <w:tabs>
          <w:tab w:val="clear" w:pos="360"/>
          <w:tab w:val="left" w:pos="1872"/>
        </w:tabs>
        <w:spacing w:before="124" w:after="917" w:line="274" w:lineRule="exact"/>
        <w:ind w:right="72" w:left="1872" w:hanging="360"/>
        <w:jc w:val="both"/>
        <w:textAlignment w:val="baseline"/>
        <w:rPr>
          <w:rFonts w:ascii="Times New Roman" w:hAnsi="Times New Roman" w:eastAsia="Times New Roman"/>
          <w:color w:val="000000"/>
          <w:spacing w:val="-1"/>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1"/>
          <w:w w:val="100"/>
          <w:sz w:val="24"/>
          <w:vertAlign w:val="baseline"/>
          <w:lang w:val="en-US"/>
        </w:rPr>
        <w:t xml:space="preserve">advising the applicant that the applicant may, by a specified date (being not less than 28 days after giving the notice), make</w:t>
      </w:r>
    </w:p>
    <w:p>
      <w:pPr>
        <w:spacing w:before="124" w:after="917"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347</w:t>
      </w:r>
    </w:p>
    <w:p>
      <w:pPr>
        <w:sectPr>
          <w:type w:val="continuous"/>
          <w:pgSz w:w="11909" w:h="16838" w:orient="portrait"/>
          <w:pgMar w:bottom="1082" w:top="1140" w:right="5812" w:left="1977"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8.10	</w:t>
      </w:r>
      <w:r>
        <w:rPr>
          <w:rFonts w:ascii="Times New Roman" w:hAnsi="Times New Roman" w:eastAsia="Times New Roman"/>
          <w:color w:val="000000"/>
          <w:spacing w:val="0"/>
          <w:w w:val="100"/>
          <w:sz w:val="20"/>
          <w:vertAlign w:val="baseline"/>
          <w:lang w:val="en-US"/>
        </w:rPr>
        <w:t xml:space="preserve">Licensing of Asbestos Removalists and Asbestos Assessors</w:t>
      </w:r>
    </w:p>
    <w:p>
      <w:pPr>
        <w:spacing w:before="244" w:after="0" w:line="279" w:lineRule="exact"/>
        <w:ind w:right="720" w:left="1872" w:firstLine="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submission to the regulator in relation to the proposed refusal.</w:t>
      </w:r>
    </w:p>
    <w:p>
      <w:pPr>
        <w:spacing w:before="114" w:after="0" w:line="279" w:lineRule="exact"/>
        <w:ind w:right="57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After the date specified in a notice under subregulation (1), the regulator must:</w:t>
      </w:r>
    </w:p>
    <w:p>
      <w:pPr>
        <w:numPr>
          <w:ilvl w:val="0"/>
          <w:numId w:val="843"/>
        </w:numPr>
        <w:tabs>
          <w:tab w:val="clear" w:pos="288"/>
          <w:tab w:val="left" w:pos="1872"/>
        </w:tabs>
        <w:spacing w:before="117" w:after="0" w:line="276" w:lineRule="exact"/>
        <w:ind w:right="72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applicant has made a submission in relation to the proposed refusal to grant the licence—consider that submission; and</w:t>
      </w:r>
    </w:p>
    <w:p>
      <w:pPr>
        <w:numPr>
          <w:ilvl w:val="0"/>
          <w:numId w:val="843"/>
        </w:numPr>
        <w:tabs>
          <w:tab w:val="clear" w:pos="288"/>
          <w:tab w:val="left" w:pos="1872"/>
        </w:tabs>
        <w:spacing w:before="126" w:after="0" w:line="273" w:lineRule="exact"/>
        <w:ind w:right="288" w:left="1872" w:hanging="288"/>
        <w:jc w:val="both"/>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whether or not the applicant has made a submission—decide whether to grant or refuse to grant the licence; and</w:t>
      </w:r>
    </w:p>
    <w:p>
      <w:pPr>
        <w:numPr>
          <w:ilvl w:val="0"/>
          <w:numId w:val="843"/>
        </w:numPr>
        <w:tabs>
          <w:tab w:val="clear" w:pos="288"/>
          <w:tab w:val="left" w:pos="1872"/>
        </w:tabs>
        <w:spacing w:before="123" w:after="0" w:line="276" w:lineRule="exact"/>
        <w:ind w:right="36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within 14 days after making the decision, give the applicant written notice of the decision, including the reasons for the decision.</w:t>
      </w:r>
    </w:p>
    <w:p>
      <w:pPr>
        <w:spacing w:before="125"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7"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refusal to grant a licence is a reviewable decision (see regulation 676).</w:t>
      </w:r>
    </w:p>
    <w:p>
      <w:pPr>
        <w:tabs>
          <w:tab w:val="left" w:leader="none" w:pos="864"/>
        </w:tabs>
        <w:spacing w:before="120" w:after="0" w:line="273"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502	</w:t>
      </w:r>
      <w:r>
        <w:rPr>
          <w:rFonts w:ascii="Times New Roman" w:hAnsi="Times New Roman" w:eastAsia="Times New Roman"/>
          <w:b w:val="true"/>
          <w:color w:val="000000"/>
          <w:spacing w:val="0"/>
          <w:w w:val="100"/>
          <w:sz w:val="24"/>
          <w:vertAlign w:val="baseline"/>
          <w:lang w:val="en-US"/>
        </w:rPr>
        <w:t xml:space="preserve">Conditions of licence</w:t>
      </w:r>
    </w:p>
    <w:p>
      <w:pPr>
        <w:numPr>
          <w:ilvl w:val="0"/>
          <w:numId w:val="844"/>
        </w:numPr>
        <w:tabs>
          <w:tab w:val="clear" w:pos="360"/>
          <w:tab w:val="left" w:pos="1368"/>
        </w:tabs>
        <w:spacing w:before="115" w:after="0" w:line="278"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may impose any conditions it considers appropriate on an asbestos removal licence or asbestos assessor licence.</w:t>
      </w:r>
    </w:p>
    <w:p>
      <w:pPr>
        <w:numPr>
          <w:ilvl w:val="0"/>
          <w:numId w:val="844"/>
        </w:numPr>
        <w:tabs>
          <w:tab w:val="clear" w:pos="360"/>
          <w:tab w:val="left" w:pos="1368"/>
        </w:tabs>
        <w:spacing w:before="116" w:after="0" w:line="278" w:lineRule="exact"/>
        <w:ind w:right="72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Without limiting subregulation (1), the regulator may impose conditions in relation to 1 or more of the following:</w:t>
      </w:r>
    </w:p>
    <w:p>
      <w:pPr>
        <w:numPr>
          <w:ilvl w:val="0"/>
          <w:numId w:val="845"/>
        </w:numPr>
        <w:tabs>
          <w:tab w:val="clear" w:pos="288"/>
          <w:tab w:val="left" w:pos="1872"/>
        </w:tabs>
        <w:spacing w:before="116" w:after="0" w:line="278"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control measures which must be implemented in relation to the carrying out of work or activities under the licence;</w:t>
      </w:r>
    </w:p>
    <w:p>
      <w:pPr>
        <w:numPr>
          <w:ilvl w:val="0"/>
          <w:numId w:val="845"/>
        </w:numPr>
        <w:tabs>
          <w:tab w:val="clear" w:pos="288"/>
          <w:tab w:val="left" w:pos="1872"/>
        </w:tabs>
        <w:spacing w:before="122" w:after="0" w:line="272"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recording or keeping of information;</w:t>
      </w:r>
    </w:p>
    <w:p>
      <w:pPr>
        <w:numPr>
          <w:ilvl w:val="0"/>
          <w:numId w:val="845"/>
        </w:numPr>
        <w:tabs>
          <w:tab w:val="clear" w:pos="288"/>
          <w:tab w:val="left" w:pos="1872"/>
        </w:tabs>
        <w:spacing w:before="122" w:after="0" w:line="276" w:lineRule="exact"/>
        <w:ind w:right="216"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requiring the licence holder, or a nominated supervisor of the licence holder, to undergo retraining or reassessment during the term of the licence;</w:t>
      </w:r>
    </w:p>
    <w:p>
      <w:pPr>
        <w:numPr>
          <w:ilvl w:val="0"/>
          <w:numId w:val="845"/>
        </w:numPr>
        <w:tabs>
          <w:tab w:val="clear" w:pos="288"/>
          <w:tab w:val="left" w:pos="1872"/>
        </w:tabs>
        <w:spacing w:before="122" w:after="0" w:line="272"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provision of information to the regulator;</w:t>
      </w:r>
    </w:p>
    <w:p>
      <w:pPr>
        <w:numPr>
          <w:ilvl w:val="0"/>
          <w:numId w:val="845"/>
        </w:numPr>
        <w:tabs>
          <w:tab w:val="clear" w:pos="288"/>
          <w:tab w:val="left" w:pos="1872"/>
        </w:tabs>
        <w:spacing w:before="126" w:after="0" w:line="272"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nature of work or activities authorised by the licence;</w:t>
      </w:r>
    </w:p>
    <w:p>
      <w:pPr>
        <w:numPr>
          <w:ilvl w:val="0"/>
          <w:numId w:val="845"/>
        </w:numPr>
        <w:tabs>
          <w:tab w:val="clear" w:pos="288"/>
          <w:tab w:val="left" w:pos="1872"/>
        </w:tabs>
        <w:spacing w:before="518" w:after="0" w:line="274"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circumstances in which work or activities authorised by the licence may be carried out.</w:t>
      </w:r>
    </w:p>
    <w:p>
      <w:pPr>
        <w:spacing w:before="130"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Notes</w:t>
      </w:r>
    </w:p>
    <w:p>
      <w:pPr>
        <w:tabs>
          <w:tab w:val="left" w:leader="none" w:pos="1296"/>
        </w:tabs>
        <w:spacing w:before="125" w:after="0" w:line="227"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A person must comply with the conditions of a licence (see section 45 of the Act).</w:t>
      </w:r>
    </w:p>
    <w:p>
      <w:pPr>
        <w:tabs>
          <w:tab w:val="left" w:leader="none" w:pos="1296"/>
        </w:tabs>
        <w:spacing w:before="116" w:after="1439" w:line="230" w:lineRule="exact"/>
        <w:ind w:right="720" w:left="1368" w:hanging="504"/>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A decision to impose a condition on a licence is a reviewable decision (see regulation 676).</w:t>
      </w:r>
    </w:p>
    <w:p>
      <w:pPr>
        <w:spacing w:before="116" w:after="1439" w:line="230"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348</w:t>
      </w:r>
    </w:p>
    <w:p>
      <w:pPr>
        <w:sectPr>
          <w:type w:val="continuous"/>
          <w:pgSz w:w="11909" w:h="16838" w:orient="portrait"/>
          <w:pgMar w:bottom="1082" w:top="1140" w:right="5814" w:left="1975"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8.10	</w:t>
      </w:r>
      <w:r>
        <w:rPr>
          <w:rFonts w:ascii="Times New Roman" w:hAnsi="Times New Roman" w:eastAsia="Times New Roman"/>
          <w:color w:val="000000"/>
          <w:spacing w:val="0"/>
          <w:w w:val="100"/>
          <w:sz w:val="20"/>
          <w:vertAlign w:val="baseline"/>
          <w:lang w:val="en-US"/>
        </w:rPr>
        <w:t xml:space="preserve">Licensing of Asbestos Removalists and Asbestos Assessors</w:t>
      </w:r>
    </w:p>
    <w:p>
      <w:pPr>
        <w:spacing w:before="251" w:after="0" w:line="274" w:lineRule="exact"/>
        <w:ind w:right="0" w:left="288" w:firstLine="0"/>
        <w:jc w:val="left"/>
        <w:textAlignment w:val="baseline"/>
        <w:rPr>
          <w:rFonts w:ascii="Times New Roman" w:hAnsi="Times New Roman" w:eastAsia="Times New Roman"/>
          <w:b w:val="true"/>
          <w:color w:val="000000"/>
          <w:spacing w:val="6"/>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6"/>
          <w:w w:val="100"/>
          <w:sz w:val="24"/>
          <w:vertAlign w:val="baseline"/>
          <w:lang w:val="en-US"/>
        </w:rPr>
        <w:t xml:space="preserve">503 Duration of licence</w:t>
      </w:r>
    </w:p>
    <w:p>
      <w:pPr>
        <w:spacing w:before="122" w:after="0" w:line="276" w:lineRule="exact"/>
        <w:ind w:right="504"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Subject to this Part, an asbestos removal licence or asbestos assessor licence takes effect on the day it is granted and, unless cancelled earlier, expires 5 years after that day.</w:t>
      </w:r>
    </w:p>
    <w:p>
      <w:pPr>
        <w:spacing w:before="120" w:after="0" w:line="274" w:lineRule="exact"/>
        <w:ind w:right="0" w:left="288" w:firstLine="0"/>
        <w:jc w:val="left"/>
        <w:textAlignment w:val="baseline"/>
        <w:rPr>
          <w:rFonts w:ascii="Times New Roman" w:hAnsi="Times New Roman" w:eastAsia="Times New Roman"/>
          <w:b w:val="true"/>
          <w:color w:val="000000"/>
          <w:spacing w:val="7"/>
          <w:w w:val="100"/>
          <w:sz w:val="24"/>
          <w:vertAlign w:val="baseline"/>
          <w:lang w:val="en-US"/>
        </w:rPr>
      </w:pPr>
      <w:r>
        <w:rPr>
          <w:rFonts w:ascii="Times New Roman" w:hAnsi="Times New Roman" w:eastAsia="Times New Roman"/>
          <w:b w:val="true"/>
          <w:color w:val="000000"/>
          <w:spacing w:val="7"/>
          <w:w w:val="100"/>
          <w:sz w:val="24"/>
          <w:vertAlign w:val="baseline"/>
          <w:lang w:val="en-US"/>
        </w:rPr>
        <w:t xml:space="preserve">504 Licence document</w:t>
      </w:r>
    </w:p>
    <w:p>
      <w:pPr>
        <w:numPr>
          <w:ilvl w:val="0"/>
          <w:numId w:val="846"/>
        </w:numPr>
        <w:tabs>
          <w:tab w:val="clear" w:pos="360"/>
          <w:tab w:val="left" w:pos="1368"/>
        </w:tabs>
        <w:spacing w:before="122"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regulator grants an asbestos removal licence or asbestos assessor licence, the regulator must issue to the applicant a licence document in the form determined by the regulator.</w:t>
      </w:r>
    </w:p>
    <w:p>
      <w:pPr>
        <w:numPr>
          <w:ilvl w:val="0"/>
          <w:numId w:val="846"/>
        </w:numPr>
        <w:tabs>
          <w:tab w:val="clear" w:pos="360"/>
          <w:tab w:val="left" w:pos="1368"/>
        </w:tabs>
        <w:spacing w:before="120" w:after="0" w:line="273"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licence document must include the following:</w:t>
      </w:r>
    </w:p>
    <w:p>
      <w:pPr>
        <w:numPr>
          <w:ilvl w:val="0"/>
          <w:numId w:val="847"/>
        </w:numPr>
        <w:tabs>
          <w:tab w:val="clear" w:pos="288"/>
          <w:tab w:val="left" w:pos="1872"/>
        </w:tabs>
        <w:spacing w:before="126"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of the licence holder;</w:t>
      </w:r>
    </w:p>
    <w:p>
      <w:pPr>
        <w:numPr>
          <w:ilvl w:val="0"/>
          <w:numId w:val="847"/>
        </w:numPr>
        <w:tabs>
          <w:tab w:val="clear" w:pos="288"/>
          <w:tab w:val="left" w:pos="1872"/>
        </w:tabs>
        <w:spacing w:before="114" w:after="0" w:line="279" w:lineRule="exact"/>
        <w:ind w:right="576"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licence holder conducts the business or undertaking under a business name—that business name;</w:t>
      </w:r>
    </w:p>
    <w:p>
      <w:pPr>
        <w:numPr>
          <w:ilvl w:val="0"/>
          <w:numId w:val="847"/>
        </w:numPr>
        <w:tabs>
          <w:tab w:val="clear" w:pos="288"/>
          <w:tab w:val="left" w:pos="1872"/>
        </w:tabs>
        <w:spacing w:before="117" w:after="0" w:line="276" w:lineRule="exact"/>
        <w:ind w:right="144"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asbestos removal licence—the class of asbestos removal licence and a description of the work within the scope of the licence;</w:t>
      </w:r>
    </w:p>
    <w:p>
      <w:pPr>
        <w:numPr>
          <w:ilvl w:val="0"/>
          <w:numId w:val="847"/>
        </w:numPr>
        <w:tabs>
          <w:tab w:val="clear" w:pos="288"/>
          <w:tab w:val="left" w:pos="1872"/>
        </w:tabs>
        <w:spacing w:before="121"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conditions imposed on the licence by the regulator;</w:t>
      </w:r>
    </w:p>
    <w:p>
      <w:pPr>
        <w:numPr>
          <w:ilvl w:val="0"/>
          <w:numId w:val="847"/>
        </w:numPr>
        <w:tabs>
          <w:tab w:val="clear" w:pos="288"/>
          <w:tab w:val="left" w:pos="1872"/>
        </w:tabs>
        <w:spacing w:before="125"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date on which the licence was granted;</w:t>
      </w:r>
    </w:p>
    <w:p>
      <w:pPr>
        <w:numPr>
          <w:ilvl w:val="0"/>
          <w:numId w:val="847"/>
        </w:numPr>
        <w:tabs>
          <w:tab w:val="clear" w:pos="288"/>
          <w:tab w:val="left" w:pos="1872"/>
        </w:tabs>
        <w:spacing w:before="121"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expiry date of the licence.</w:t>
      </w:r>
    </w:p>
    <w:p>
      <w:pPr>
        <w:spacing w:before="125"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505 Licence document to be available</w:t>
      </w:r>
    </w:p>
    <w:p>
      <w:pPr>
        <w:numPr>
          <w:ilvl w:val="0"/>
          <w:numId w:val="848"/>
        </w:numPr>
        <w:tabs>
          <w:tab w:val="clear" w:pos="360"/>
          <w:tab w:val="left" w:pos="1368"/>
        </w:tabs>
        <w:spacing w:before="115" w:after="0" w:line="278" w:lineRule="exact"/>
        <w:ind w:right="576"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licence holder must keep the licence document available for inspection under the Act.</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numPr>
          <w:ilvl w:val="0"/>
          <w:numId w:val="848"/>
        </w:numPr>
        <w:tabs>
          <w:tab w:val="clear" w:pos="360"/>
          <w:tab w:val="left" w:pos="1368"/>
        </w:tabs>
        <w:spacing w:before="124" w:after="0" w:line="274"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Subregulation (1) does not apply if the licence document is not in the licence holder's possession because:</w:t>
      </w:r>
    </w:p>
    <w:p>
      <w:pPr>
        <w:numPr>
          <w:ilvl w:val="0"/>
          <w:numId w:val="849"/>
        </w:numPr>
        <w:tabs>
          <w:tab w:val="clear" w:pos="288"/>
          <w:tab w:val="left" w:pos="1872"/>
        </w:tabs>
        <w:spacing w:before="125"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it has been returned to the regulator under regulation 512; and</w:t>
      </w:r>
    </w:p>
    <w:p>
      <w:pPr>
        <w:numPr>
          <w:ilvl w:val="0"/>
          <w:numId w:val="849"/>
        </w:numPr>
        <w:tabs>
          <w:tab w:val="clear" w:pos="288"/>
          <w:tab w:val="left" w:pos="1872"/>
        </w:tabs>
        <w:spacing w:before="116" w:after="0" w:line="278" w:lineRule="exact"/>
        <w:ind w:right="576"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licence holder has applied for, but has not received, a replacement licence document under regulation 513.</w:t>
      </w:r>
    </w:p>
    <w:p>
      <w:pPr>
        <w:tabs>
          <w:tab w:val="left" w:leader="none" w:pos="1584"/>
        </w:tabs>
        <w:spacing w:before="246"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4	</w:t>
      </w:r>
      <w:r>
        <w:rPr>
          <w:rFonts w:ascii="Times New Roman" w:hAnsi="Times New Roman" w:eastAsia="Times New Roman"/>
          <w:b w:val="true"/>
          <w:color w:val="000000"/>
          <w:spacing w:val="0"/>
          <w:w w:val="100"/>
          <w:sz w:val="24"/>
          <w:vertAlign w:val="baseline"/>
          <w:lang w:val="en-US"/>
        </w:rPr>
        <w:t xml:space="preserve">Amendment of licence and licence document</w:t>
      </w:r>
    </w:p>
    <w:p>
      <w:pPr>
        <w:spacing w:before="119" w:after="0" w:line="274"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506 Changes to information</w:t>
      </w:r>
    </w:p>
    <w:p>
      <w:pPr>
        <w:spacing w:before="117" w:after="806" w:line="276" w:lineRule="exact"/>
        <w:ind w:right="360" w:left="1368" w:hanging="36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(1) The licence holder of an asbestos removal licence or asbestos assessor licence must give the regulator written notice of any change to any material particular in any information given at any</w:t>
      </w:r>
    </w:p>
    <w:p>
      <w:pPr>
        <w:spacing w:before="117" w:after="806"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349</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8.10	</w:t>
      </w:r>
      <w:r>
        <w:rPr>
          <w:rFonts w:ascii="Times New Roman" w:hAnsi="Times New Roman" w:eastAsia="Times New Roman"/>
          <w:color w:val="000000"/>
          <w:spacing w:val="0"/>
          <w:w w:val="100"/>
          <w:sz w:val="20"/>
          <w:vertAlign w:val="baseline"/>
          <w:lang w:val="en-US"/>
        </w:rPr>
        <w:t xml:space="preserve">Licensing of Asbestos Removalists and Asbestos Assessors</w:t>
      </w:r>
    </w:p>
    <w:p>
      <w:pPr>
        <w:spacing w:before="248" w:after="0" w:line="276" w:lineRule="exact"/>
        <w:ind w:right="216"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time by the licence holder to the regulator in relation to the licence within 14 days after the licence holder becomes aware of the change.</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6"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17"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Subregulation (1) applies whether the information was given in the application for grant or renewal of the licence or in any other circumstance.</w:t>
      </w:r>
    </w:p>
    <w:p>
      <w:pPr>
        <w:spacing w:before="126"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507 Change to nominated supervisor</w:t>
      </w:r>
    </w:p>
    <w:p>
      <w:pPr>
        <w:spacing w:before="113" w:after="0" w:line="279" w:lineRule="exact"/>
        <w:ind w:right="72" w:left="1368" w:hanging="360"/>
        <w:jc w:val="both"/>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(1) If there is a change in relation to a supervisor named to the regulator by the holder of an asbestos removal licence (other than a licence</w:t>
      </w:r>
    </w:p>
    <w:p>
      <w:pPr>
        <w:spacing w:before="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holder who is an individual), the licence holder must:</w:t>
      </w:r>
    </w:p>
    <w:p>
      <w:pPr>
        <w:numPr>
          <w:ilvl w:val="0"/>
          <w:numId w:val="850"/>
        </w:numPr>
        <w:tabs>
          <w:tab w:val="clear" w:pos="360"/>
          <w:tab w:val="left" w:pos="1872"/>
        </w:tabs>
        <w:spacing w:before="118" w:after="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change is to remove a supervisor—within 14 days after the change, ask the regulator to amend the licence under regulation 509 to make that change; and</w:t>
      </w:r>
    </w:p>
    <w:p>
      <w:pPr>
        <w:numPr>
          <w:ilvl w:val="0"/>
          <w:numId w:val="850"/>
        </w:numPr>
        <w:tabs>
          <w:tab w:val="clear" w:pos="360"/>
          <w:tab w:val="left" w:pos="1872"/>
        </w:tabs>
        <w:spacing w:before="122" w:after="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change is to add a supervisor—give the regulator the information about the supervisor referred to in regulation 498 or 499.</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22" w:after="0" w:line="276" w:lineRule="exact"/>
        <w:ind w:right="216"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(2) If the change referred to in subregulation (1) is to add a supervisor, that supervisor is not a nominated supervisor for the purposes of these Regulations until the regulator has approved the nomination.</w:t>
      </w:r>
    </w:p>
    <w:p>
      <w:pPr>
        <w:spacing w:before="121"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508 Amendment imposed by regulator</w:t>
      </w:r>
    </w:p>
    <w:p>
      <w:pPr>
        <w:spacing w:before="121"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regulator may, on its own initiative, amend an asbestos removal licence or asbestos assessor licence, including by amending the licence to:</w:t>
      </w:r>
    </w:p>
    <w:p>
      <w:pPr>
        <w:numPr>
          <w:ilvl w:val="0"/>
          <w:numId w:val="851"/>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vary or delete a condition of the licence; or</w:t>
      </w:r>
    </w:p>
    <w:p>
      <w:pPr>
        <w:numPr>
          <w:ilvl w:val="0"/>
          <w:numId w:val="851"/>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impose a new condition on the licence.</w:t>
      </w:r>
    </w:p>
    <w:p>
      <w:pPr>
        <w:spacing w:before="116" w:after="0" w:line="278" w:lineRule="exact"/>
        <w:ind w:right="72"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If the regulator proposes to amend a licence, the regulator must give the licence holder written notice:</w:t>
      </w:r>
    </w:p>
    <w:p>
      <w:pPr>
        <w:spacing w:before="121" w:after="1286" w:line="273" w:lineRule="exact"/>
        <w:ind w:right="0" w:left="0" w:firstLine="0"/>
        <w:jc w:val="righ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setting out the proposed amendment and the reasons for it; and</w:t>
      </w:r>
    </w:p>
    <w:p>
      <w:pPr>
        <w:spacing w:before="121" w:after="1286"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350</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8.10	</w:t>
      </w:r>
      <w:r>
        <w:rPr>
          <w:rFonts w:ascii="Times New Roman" w:hAnsi="Times New Roman" w:eastAsia="Times New Roman"/>
          <w:color w:val="000000"/>
          <w:spacing w:val="0"/>
          <w:w w:val="100"/>
          <w:sz w:val="20"/>
          <w:vertAlign w:val="baseline"/>
          <w:lang w:val="en-US"/>
        </w:rPr>
        <w:t xml:space="preserve">Licensing of Asbestos Removalists and Asbestos Assessors</w:t>
      </w:r>
    </w:p>
    <w:p>
      <w:pPr>
        <w:spacing w:before="246" w:after="0" w:line="277" w:lineRule="exact"/>
        <w:ind w:right="288" w:left="1944" w:hanging="432"/>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(b) advising the licence holder that the licence holder may, by a specified date (being not less than 28 days after giving the notice), make a submission to the regulator in relation to the proposed amendment.</w:t>
      </w:r>
    </w:p>
    <w:p>
      <w:pPr>
        <w:numPr>
          <w:ilvl w:val="0"/>
          <w:numId w:val="852"/>
        </w:numPr>
        <w:tabs>
          <w:tab w:val="clear" w:pos="360"/>
          <w:tab w:val="left" w:pos="1368"/>
        </w:tabs>
        <w:spacing w:before="114" w:after="0" w:line="279" w:lineRule="exact"/>
        <w:ind w:right="57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After the date specified in a notice under subregulation (2), the regulator must:</w:t>
      </w:r>
    </w:p>
    <w:p>
      <w:pPr>
        <w:spacing w:before="114" w:after="0" w:line="279" w:lineRule="exact"/>
        <w:ind w:right="288" w:left="1944"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if the licence holder has made a submission in relation to the proposed amendment—consider that submission; and</w:t>
      </w:r>
    </w:p>
    <w:p>
      <w:pPr>
        <w:spacing w:before="114" w:after="0" w:line="279" w:lineRule="exact"/>
        <w:ind w:right="432" w:left="1944"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whether or not the licence holder has made a submission— decide:</w:t>
      </w:r>
    </w:p>
    <w:p>
      <w:pPr>
        <w:numPr>
          <w:ilvl w:val="0"/>
          <w:numId w:val="853"/>
        </w:numPr>
        <w:tabs>
          <w:tab w:val="clear" w:pos="504"/>
          <w:tab w:val="left" w:pos="2448"/>
        </w:tabs>
        <w:spacing w:before="121" w:after="0" w:line="272" w:lineRule="exact"/>
        <w:ind w:right="0" w:left="2448"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to make the proposed amendment; or</w:t>
      </w:r>
    </w:p>
    <w:p>
      <w:pPr>
        <w:numPr>
          <w:ilvl w:val="0"/>
          <w:numId w:val="853"/>
        </w:numPr>
        <w:tabs>
          <w:tab w:val="clear" w:pos="504"/>
          <w:tab w:val="left" w:pos="2448"/>
        </w:tabs>
        <w:spacing w:before="127" w:after="0" w:line="272" w:lineRule="exact"/>
        <w:ind w:right="0" w:left="2448"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not to make any amendment; or</w:t>
      </w:r>
    </w:p>
    <w:p>
      <w:pPr>
        <w:numPr>
          <w:ilvl w:val="0"/>
          <w:numId w:val="853"/>
        </w:numPr>
        <w:tabs>
          <w:tab w:val="clear" w:pos="504"/>
          <w:tab w:val="left" w:pos="2448"/>
        </w:tabs>
        <w:spacing w:before="117" w:after="0" w:line="276" w:lineRule="exact"/>
        <w:ind w:right="504" w:left="2448"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to make a different amendment that results from consideration of any submission made by the licence holder; and</w:t>
      </w:r>
    </w:p>
    <w:p>
      <w:pPr>
        <w:spacing w:before="116" w:after="0" w:line="278" w:lineRule="exact"/>
        <w:ind w:right="504" w:left="1944"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within 14 days after making that decision, give the licence holder written notice that:</w:t>
      </w:r>
    </w:p>
    <w:p>
      <w:pPr>
        <w:numPr>
          <w:ilvl w:val="0"/>
          <w:numId w:val="854"/>
        </w:numPr>
        <w:tabs>
          <w:tab w:val="clear" w:pos="504"/>
          <w:tab w:val="left" w:pos="2448"/>
        </w:tabs>
        <w:spacing w:before="116" w:after="0" w:line="278" w:lineRule="exact"/>
        <w:ind w:right="1008" w:left="2448"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sets out the amendment, if any, or states that no amendment is to be made; and</w:t>
      </w:r>
    </w:p>
    <w:p>
      <w:pPr>
        <w:numPr>
          <w:ilvl w:val="0"/>
          <w:numId w:val="854"/>
        </w:numPr>
        <w:tabs>
          <w:tab w:val="clear" w:pos="504"/>
          <w:tab w:val="left" w:pos="2448"/>
        </w:tabs>
        <w:spacing w:before="118" w:after="0" w:line="276" w:lineRule="exact"/>
        <w:ind w:right="144" w:left="2448"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a submission was made in relation to the proposed amendment—sets out the regulator's reasons for making the amendment; and</w:t>
      </w:r>
    </w:p>
    <w:p>
      <w:pPr>
        <w:numPr>
          <w:ilvl w:val="0"/>
          <w:numId w:val="854"/>
        </w:numPr>
        <w:tabs>
          <w:tab w:val="clear" w:pos="504"/>
          <w:tab w:val="left" w:pos="2448"/>
        </w:tabs>
        <w:spacing w:before="122" w:after="0" w:line="276" w:lineRule="exact"/>
        <w:ind w:right="288" w:left="2448"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specifies the date (being not less than the 28 days after the licence holder is given the notice) on which the amendment, if any, takes effect.</w:t>
      </w:r>
    </w:p>
    <w:p>
      <w:pPr>
        <w:spacing w:before="125"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0" w:after="0" w:line="373" w:lineRule="exact"/>
        <w:ind w:right="1080" w:left="288" w:firstLine="576"/>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decision to amend a licence is a reviewable decision (see regulation 676). </w:t>
      </w:r>
      <w:r>
        <w:rPr>
          <w:rFonts w:ascii="Times New Roman" w:hAnsi="Times New Roman" w:eastAsia="Times New Roman"/>
          <w:b w:val="true"/>
          <w:color w:val="000000"/>
          <w:spacing w:val="0"/>
          <w:w w:val="100"/>
          <w:sz w:val="24"/>
          <w:vertAlign w:val="baseline"/>
          <w:lang w:val="en-US"/>
        </w:rPr>
        <w:t xml:space="preserve">509 Amendment on application by licence holder</w:t>
      </w:r>
    </w:p>
    <w:p>
      <w:pPr>
        <w:numPr>
          <w:ilvl w:val="0"/>
          <w:numId w:val="855"/>
        </w:numPr>
        <w:tabs>
          <w:tab w:val="clear" w:pos="360"/>
          <w:tab w:val="left" w:pos="1368"/>
        </w:tabs>
        <w:spacing w:before="120"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on application by the licence holder, may amend an asbestos removal licence or asbestos assessor licence, including by amending the licence to vary or delete a condition of the licence.</w:t>
      </w:r>
    </w:p>
    <w:p>
      <w:pPr>
        <w:numPr>
          <w:ilvl w:val="0"/>
          <w:numId w:val="855"/>
        </w:numPr>
        <w:tabs>
          <w:tab w:val="clear" w:pos="360"/>
          <w:tab w:val="left" w:pos="1368"/>
        </w:tabs>
        <w:spacing w:before="116" w:after="0" w:line="278" w:lineRule="exact"/>
        <w:ind w:right="936"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If the regulator proposes to refuse to amend the licence, the</w:t>
        <w:br/>
      </w:r>
      <w:r>
        <w:rPr>
          <w:rFonts w:ascii="Times New Roman" w:hAnsi="Times New Roman" w:eastAsia="Times New Roman"/>
          <w:color w:val="000000"/>
          <w:spacing w:val="-1"/>
          <w:w w:val="100"/>
          <w:sz w:val="24"/>
          <w:vertAlign w:val="baseline"/>
          <w:lang w:val="en-US"/>
        </w:rPr>
        <w:t xml:space="preserve">regulator must give the licence holder a written notice:</w:t>
      </w:r>
    </w:p>
    <w:p>
      <w:pPr>
        <w:spacing w:before="116" w:after="1340" w:line="278" w:lineRule="exact"/>
        <w:ind w:right="144" w:left="1944" w:hanging="432"/>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informing the licence holder of the proposed refusal to amend the licence and the reasons for the proposed refusal; and</w:t>
      </w:r>
    </w:p>
    <w:p>
      <w:pPr>
        <w:spacing w:before="116" w:after="1340"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351</w:t>
      </w:r>
    </w:p>
    <w:p>
      <w:pPr>
        <w:sectPr>
          <w:type w:val="continuous"/>
          <w:pgSz w:w="11909" w:h="16838" w:orient="portrait"/>
          <w:pgMar w:bottom="1082" w:top="1140" w:right="5819" w:left="1970" w:header="720" w:footer="720"/>
          <w:titlePg w:val="false"/>
          <w:textDirection w:val="lrTb"/>
        </w:sectPr>
      </w:pPr>
    </w:p>
    <w:p>
      <w:pPr>
        <w:spacing w:before="6"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5" w:after="226"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8.10	</w:t>
      </w:r>
      <w:r>
        <w:rPr>
          <w:rFonts w:ascii="Times New Roman" w:hAnsi="Times New Roman" w:eastAsia="Times New Roman"/>
          <w:color w:val="000000"/>
          <w:spacing w:val="0"/>
          <w:w w:val="100"/>
          <w:sz w:val="20"/>
          <w:vertAlign w:val="baseline"/>
          <w:lang w:val="en-US"/>
        </w:rPr>
        <w:t xml:space="preserve">Licensing of Asbestos Removalists and Asbestos Assessors</w:t>
      </w:r>
    </w:p>
    <w:p>
      <w:pPr>
        <w:spacing w:before="247" w:after="0" w:line="277"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(b) advising the licence holder that the licence holder may, by a specified date (being not less than 28 days after giving the notice), make a submission to the regulator in relation to the proposed refusal.</w:t>
      </w:r>
    </w:p>
    <w:p>
      <w:pPr>
        <w:spacing w:before="114" w:after="0" w:line="279" w:lineRule="exact"/>
        <w:ind w:right="57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After the date specified in a notice under subregulation (2), the regulator must:</w:t>
      </w:r>
    </w:p>
    <w:p>
      <w:pPr>
        <w:spacing w:before="114" w:after="0" w:line="279"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if the licence holder has made a submission in relation to the proposed refusal—consider that submission; and</w:t>
      </w:r>
    </w:p>
    <w:p>
      <w:pPr>
        <w:spacing w:before="114" w:after="0" w:line="279"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whether or not the licence holder has made a submission— decide:</w:t>
      </w:r>
    </w:p>
    <w:p>
      <w:pPr>
        <w:numPr>
          <w:ilvl w:val="0"/>
          <w:numId w:val="856"/>
        </w:numPr>
        <w:tabs>
          <w:tab w:val="clear" w:pos="576"/>
          <w:tab w:val="left" w:pos="2448"/>
        </w:tabs>
        <w:spacing w:before="120" w:after="0" w:line="273" w:lineRule="exact"/>
        <w:ind w:right="0" w:left="2448" w:hanging="576"/>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to make the amendment applied for; or</w:t>
      </w:r>
    </w:p>
    <w:p>
      <w:pPr>
        <w:numPr>
          <w:ilvl w:val="0"/>
          <w:numId w:val="856"/>
        </w:numPr>
        <w:tabs>
          <w:tab w:val="clear" w:pos="576"/>
          <w:tab w:val="left" w:pos="2448"/>
        </w:tabs>
        <w:spacing w:before="126" w:after="0" w:line="273" w:lineRule="exact"/>
        <w:ind w:right="0" w:left="2448" w:hanging="576"/>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not to make any amendment; or</w:t>
      </w:r>
    </w:p>
    <w:p>
      <w:pPr>
        <w:numPr>
          <w:ilvl w:val="0"/>
          <w:numId w:val="856"/>
        </w:numPr>
        <w:tabs>
          <w:tab w:val="clear" w:pos="576"/>
          <w:tab w:val="left" w:pos="2448"/>
        </w:tabs>
        <w:spacing w:before="117" w:after="0" w:line="276" w:lineRule="exact"/>
        <w:ind w:right="504" w:left="2448" w:hanging="576"/>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to make a different amendment that results from consideration of any submission made by the licence holder; and</w:t>
      </w:r>
    </w:p>
    <w:p>
      <w:pPr>
        <w:spacing w:before="118" w:after="0" w:line="276"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within 14 days after making that decision, give the licence holder written notice of the decision in accordance with this regulation.</w:t>
      </w:r>
    </w:p>
    <w:p>
      <w:pPr>
        <w:spacing w:before="124" w:after="0" w:line="275"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If the regulator makes the amendment applied for, the notice under subregulation (3)(c) must specify the date (being not less than 28 days after the licence holder is given the notice) on which the amendment takes effect.</w:t>
      </w:r>
    </w:p>
    <w:p>
      <w:pPr>
        <w:spacing w:before="122" w:after="0" w:line="276" w:lineRule="exact"/>
        <w:ind w:right="144"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(5) If the regulator refuses to make the amendment applied for or makes a different amendment, the notice under subregulation (3)(c) must:</w:t>
      </w:r>
    </w:p>
    <w:p>
      <w:pPr>
        <w:numPr>
          <w:ilvl w:val="0"/>
          <w:numId w:val="857"/>
        </w:numPr>
        <w:tabs>
          <w:tab w:val="clear" w:pos="360"/>
          <w:tab w:val="left" w:pos="1872"/>
        </w:tabs>
        <w:spacing w:before="118"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a submission was made in relation to the proposed refusal of the amendment applied for—set out the reasons for the regulator's decision; and</w:t>
      </w:r>
    </w:p>
    <w:p>
      <w:pPr>
        <w:numPr>
          <w:ilvl w:val="0"/>
          <w:numId w:val="857"/>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regulator makes a different amendment:</w:t>
      </w:r>
    </w:p>
    <w:p>
      <w:pPr>
        <w:numPr>
          <w:ilvl w:val="0"/>
          <w:numId w:val="858"/>
        </w:numPr>
        <w:tabs>
          <w:tab w:val="clear" w:pos="504"/>
          <w:tab w:val="left" w:pos="2448"/>
        </w:tabs>
        <w:spacing w:before="121" w:after="0" w:line="273" w:lineRule="exact"/>
        <w:ind w:right="0" w:left="2448"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set out the amendment; and</w:t>
      </w:r>
    </w:p>
    <w:p>
      <w:pPr>
        <w:numPr>
          <w:ilvl w:val="0"/>
          <w:numId w:val="858"/>
        </w:numPr>
        <w:tabs>
          <w:tab w:val="clear" w:pos="504"/>
          <w:tab w:val="left" w:pos="2448"/>
        </w:tabs>
        <w:spacing w:before="122" w:after="0" w:line="276" w:lineRule="exact"/>
        <w:ind w:right="504" w:left="2448"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specify the date (being not less than 28 days after the licence holder is given the notice) on which the amendment takes effect.</w:t>
      </w:r>
    </w:p>
    <w:p>
      <w:pPr>
        <w:spacing w:before="124"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2" w:after="1229" w:line="230" w:lineRule="exact"/>
        <w:ind w:right="792" w:left="864"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A refusal to make the amendment applied for, or a decision to make a different amendment, is a reviewable decision (see regulation 676).</w:t>
      </w:r>
    </w:p>
    <w:p>
      <w:pPr>
        <w:spacing w:before="122" w:after="1229" w:line="230"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352</w:t>
      </w:r>
    </w:p>
    <w:p>
      <w:pPr>
        <w:sectPr>
          <w:type w:val="continuous"/>
          <w:pgSz w:w="11909" w:h="16838" w:orient="portrait"/>
          <w:pgMar w:bottom="1082" w:top="1140" w:right="5812" w:left="1977"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8.10	</w:t>
      </w:r>
      <w:r>
        <w:rPr>
          <w:rFonts w:ascii="Times New Roman" w:hAnsi="Times New Roman" w:eastAsia="Times New Roman"/>
          <w:color w:val="000000"/>
          <w:spacing w:val="0"/>
          <w:w w:val="100"/>
          <w:sz w:val="20"/>
          <w:vertAlign w:val="baseline"/>
          <w:lang w:val="en-US"/>
        </w:rPr>
        <w:t xml:space="preserve">Licensing of Asbestos Removalists and Asbestos Assessors</w:t>
      </w:r>
    </w:p>
    <w:p>
      <w:pPr>
        <w:spacing w:before="251"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4"/>
          <w:w w:val="100"/>
          <w:sz w:val="24"/>
          <w:vertAlign w:val="baseline"/>
          <w:lang w:val="en-US"/>
        </w:rPr>
        <w:t xml:space="preserve">510 Minor corrections to licence</w:t>
      </w:r>
    </w:p>
    <w:p>
      <w:pPr>
        <w:spacing w:before="125" w:after="0" w:line="273" w:lineRule="exact"/>
        <w:ind w:right="144"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may make minor amendments to a licence, including an amendment:</w:t>
      </w:r>
    </w:p>
    <w:p>
      <w:pPr>
        <w:numPr>
          <w:ilvl w:val="0"/>
          <w:numId w:val="859"/>
        </w:numPr>
        <w:tabs>
          <w:tab w:val="clear" w:pos="288"/>
          <w:tab w:val="left" w:pos="1872"/>
        </w:tabs>
        <w:spacing w:before="126"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to correct an obvious error; or</w:t>
      </w:r>
    </w:p>
    <w:p>
      <w:pPr>
        <w:numPr>
          <w:ilvl w:val="0"/>
          <w:numId w:val="859"/>
        </w:numPr>
        <w:tabs>
          <w:tab w:val="clear" w:pos="288"/>
          <w:tab w:val="left" w:pos="1872"/>
        </w:tabs>
        <w:spacing w:before="120"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to change an address; or</w:t>
      </w:r>
    </w:p>
    <w:p>
      <w:pPr>
        <w:numPr>
          <w:ilvl w:val="0"/>
          <w:numId w:val="859"/>
        </w:numPr>
        <w:tabs>
          <w:tab w:val="clear" w:pos="288"/>
          <w:tab w:val="left" w:pos="1872"/>
        </w:tabs>
        <w:spacing w:before="126" w:after="0" w:line="273" w:lineRule="exact"/>
        <w:ind w:right="792"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does not impose a significant burden on the licence holder.</w:t>
      </w:r>
    </w:p>
    <w:p>
      <w:pPr>
        <w:spacing w:before="126"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511 Regulator to give amended licence to the holder</w:t>
      </w:r>
    </w:p>
    <w:p>
      <w:pPr>
        <w:spacing w:before="116" w:after="0" w:line="276" w:lineRule="exact"/>
        <w:ind w:right="144"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regulator amends an asbestos removal licence or asbestos assessor licence and considers that the licence document requires amendment, the regulator must give the licence holder an amended licence document within 14 days after making the decision to amend the licence.</w:t>
      </w:r>
    </w:p>
    <w:p>
      <w:pPr>
        <w:spacing w:before="121"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512 Licence holder to return licence</w:t>
      </w:r>
    </w:p>
    <w:p>
      <w:pPr>
        <w:spacing w:before="123" w:after="0" w:line="275" w:lineRule="exact"/>
        <w:ind w:right="144"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holder of an asbestos removal licence or asbestos assessor licence that has been amended must return the licence document to the regulator for amendment at the written request of the regulator and within the time specified in the request.</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21"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513 Replacement licence document</w:t>
      </w:r>
    </w:p>
    <w:p>
      <w:pPr>
        <w:numPr>
          <w:ilvl w:val="0"/>
          <w:numId w:val="860"/>
        </w:numPr>
        <w:tabs>
          <w:tab w:val="clear" w:pos="360"/>
          <w:tab w:val="left" w:pos="1368"/>
        </w:tabs>
        <w:spacing w:before="121" w:after="0" w:line="276"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licence holder of an asbestos removal licence or an asbestos assessor licence must notify the regulator as soon as practicable if the licence document is lost, stolen or destroyed.</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numPr>
          <w:ilvl w:val="0"/>
          <w:numId w:val="860"/>
        </w:numPr>
        <w:tabs>
          <w:tab w:val="clear" w:pos="360"/>
          <w:tab w:val="left" w:pos="1368"/>
        </w:tabs>
        <w:spacing w:before="124" w:after="0" w:line="274"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a licence document is lost, stolen or destroyed, the licence holder may apply to the regulator for a replacement document.</w:t>
      </w:r>
    </w:p>
    <w:p>
      <w:pPr>
        <w:spacing w:before="129"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1" w:after="0" w:line="231" w:lineRule="exact"/>
        <w:ind w:right="72"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licence holder is required to keep the licence document available for inspection (see regulation 505).</w:t>
      </w:r>
    </w:p>
    <w:p>
      <w:pPr>
        <w:numPr>
          <w:ilvl w:val="0"/>
          <w:numId w:val="860"/>
        </w:numPr>
        <w:tabs>
          <w:tab w:val="clear" w:pos="360"/>
          <w:tab w:val="left" w:pos="1368"/>
        </w:tabs>
        <w:spacing w:before="120" w:after="907" w:line="273"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An application for a replacement licence document must be made in the manner and form required by the regulator.</w:t>
      </w:r>
    </w:p>
    <w:p>
      <w:pPr>
        <w:spacing w:before="120" w:after="907"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353</w:t>
      </w:r>
    </w:p>
    <w:p>
      <w:pPr>
        <w:sectPr>
          <w:type w:val="continuous"/>
          <w:pgSz w:w="11909" w:h="16838" w:orient="portrait"/>
          <w:pgMar w:bottom="1082" w:top="1140" w:right="5817" w:left="1972" w:header="720" w:footer="720"/>
          <w:titlePg w:val="false"/>
          <w:textDirection w:val="lrTb"/>
        </w:sectPr>
      </w:pPr>
    </w:p>
    <w:p>
      <w:pPr>
        <w:spacing w:before="6"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2" w:after="223"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8.10	</w:t>
      </w:r>
      <w:r>
        <w:rPr>
          <w:rFonts w:ascii="Times New Roman" w:hAnsi="Times New Roman" w:eastAsia="Times New Roman"/>
          <w:color w:val="000000"/>
          <w:spacing w:val="0"/>
          <w:w w:val="100"/>
          <w:sz w:val="20"/>
          <w:vertAlign w:val="baseline"/>
          <w:lang w:val="en-US"/>
        </w:rPr>
        <w:t xml:space="preserve">Licensing of Asbestos Removalists and Asbestos Assessors</w:t>
      </w:r>
    </w:p>
    <w:p>
      <w:pPr>
        <w:spacing w:before="251"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(4) The application must:</w:t>
      </w:r>
    </w:p>
    <w:p>
      <w:pPr>
        <w:numPr>
          <w:ilvl w:val="0"/>
          <w:numId w:val="861"/>
        </w:numPr>
        <w:tabs>
          <w:tab w:val="clear" w:pos="360"/>
          <w:tab w:val="left" w:pos="1872"/>
        </w:tabs>
        <w:spacing w:before="126" w:after="0" w:line="273"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include a declaration describing the circumstances in which the original document was lost, stolen or destroyed; and</w:t>
      </w:r>
    </w:p>
    <w:p>
      <w:pPr>
        <w:spacing w:before="124"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30" w:lineRule="exact"/>
        <w:ind w:right="36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section 268 of the Act for offences relating to the giving of false or misleading information under the Act or these Regulations.</w:t>
      </w:r>
    </w:p>
    <w:p>
      <w:pPr>
        <w:numPr>
          <w:ilvl w:val="0"/>
          <w:numId w:val="861"/>
        </w:numPr>
        <w:tabs>
          <w:tab w:val="clear" w:pos="360"/>
          <w:tab w:val="left" w:pos="1872"/>
        </w:tabs>
        <w:spacing w:before="118"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be accompanied by the relevant fee.</w:t>
      </w:r>
    </w:p>
    <w:p>
      <w:pPr>
        <w:spacing w:before="126" w:after="0" w:line="273"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The regulator must issue a replacement licence document if satisfied that the original document was lost, stolen or destroyed.</w:t>
      </w:r>
    </w:p>
    <w:p>
      <w:pPr>
        <w:spacing w:before="124" w:after="0" w:line="275"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(6) If the regulator refuses to issue a replacement licence document, it must give the licence holder written notice of this decision, including the reasons for the decision, within 14 days after making the decision.</w:t>
      </w:r>
    </w:p>
    <w:p>
      <w:pPr>
        <w:spacing w:before="129"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8" w:after="0" w:line="226" w:lineRule="exact"/>
        <w:ind w:right="72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refusal to issue a replacement licence document is a reviewable decision (see regulation 676).</w:t>
      </w:r>
    </w:p>
    <w:p>
      <w:pPr>
        <w:spacing w:before="118"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514 Voluntary surrender of licence</w:t>
      </w:r>
    </w:p>
    <w:p>
      <w:pPr>
        <w:numPr>
          <w:ilvl w:val="0"/>
          <w:numId w:val="862"/>
        </w:numPr>
        <w:tabs>
          <w:tab w:val="clear" w:pos="360"/>
          <w:tab w:val="left" w:pos="1368"/>
        </w:tabs>
        <w:spacing w:before="123" w:after="0" w:line="274"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licence holder may voluntarily surrender the licence document to the regulator.</w:t>
      </w:r>
    </w:p>
    <w:p>
      <w:pPr>
        <w:numPr>
          <w:ilvl w:val="0"/>
          <w:numId w:val="862"/>
        </w:numPr>
        <w:tabs>
          <w:tab w:val="clear" w:pos="360"/>
          <w:tab w:val="left" w:pos="1368"/>
        </w:tabs>
        <w:spacing w:before="125" w:after="0" w:line="273"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licence expires on the surrender of the licence document.</w:t>
      </w:r>
    </w:p>
    <w:p>
      <w:pPr>
        <w:tabs>
          <w:tab w:val="left" w:leader="none" w:pos="1584"/>
        </w:tabs>
        <w:spacing w:before="246"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5	</w:t>
      </w:r>
      <w:r>
        <w:rPr>
          <w:rFonts w:ascii="Times New Roman" w:hAnsi="Times New Roman" w:eastAsia="Times New Roman"/>
          <w:b w:val="true"/>
          <w:color w:val="000000"/>
          <w:spacing w:val="0"/>
          <w:w w:val="100"/>
          <w:sz w:val="24"/>
          <w:vertAlign w:val="baseline"/>
          <w:lang w:val="en-US"/>
        </w:rPr>
        <w:t xml:space="preserve">Renewal of licence</w:t>
      </w:r>
    </w:p>
    <w:p>
      <w:pPr>
        <w:spacing w:before="119"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515 Regulator may renew licence</w:t>
      </w:r>
    </w:p>
    <w:p>
      <w:pPr>
        <w:spacing w:before="115" w:after="0" w:line="278" w:lineRule="exact"/>
        <w:ind w:right="36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may renew an asbestos removal licence or asbestos assessor licence on application by the licence holder.</w:t>
      </w:r>
    </w:p>
    <w:p>
      <w:pPr>
        <w:spacing w:before="121" w:after="0" w:line="274"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516 Application for renewal</w:t>
      </w:r>
    </w:p>
    <w:p>
      <w:pPr>
        <w:numPr>
          <w:ilvl w:val="0"/>
          <w:numId w:val="863"/>
        </w:numPr>
        <w:tabs>
          <w:tab w:val="clear" w:pos="360"/>
          <w:tab w:val="left" w:pos="1368"/>
        </w:tabs>
        <w:spacing w:before="121" w:after="0" w:line="276" w:lineRule="exact"/>
        <w:ind w:right="50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application for renewal of an asbestos removal licence or asbestos assessor licence must be made in the manner and form required by the regulator.</w:t>
      </w:r>
    </w:p>
    <w:p>
      <w:pPr>
        <w:numPr>
          <w:ilvl w:val="0"/>
          <w:numId w:val="863"/>
        </w:numPr>
        <w:tabs>
          <w:tab w:val="clear" w:pos="360"/>
          <w:tab w:val="left" w:pos="1368"/>
        </w:tabs>
        <w:spacing w:before="121" w:after="0" w:line="273"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application must include the following information:</w:t>
      </w:r>
    </w:p>
    <w:p>
      <w:pPr>
        <w:numPr>
          <w:ilvl w:val="0"/>
          <w:numId w:val="864"/>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and address of the applicant;</w:t>
      </w:r>
    </w:p>
    <w:p>
      <w:pPr>
        <w:numPr>
          <w:ilvl w:val="0"/>
          <w:numId w:val="864"/>
        </w:numPr>
        <w:tabs>
          <w:tab w:val="clear" w:pos="360"/>
          <w:tab w:val="left" w:pos="1872"/>
        </w:tabs>
        <w:spacing w:before="118" w:after="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required by the regulator of an applicant who is an individual, a photograph of the applicant in the form required by the regulator;</w:t>
      </w:r>
    </w:p>
    <w:p>
      <w:pPr>
        <w:numPr>
          <w:ilvl w:val="0"/>
          <w:numId w:val="864"/>
        </w:numPr>
        <w:tabs>
          <w:tab w:val="clear" w:pos="360"/>
          <w:tab w:val="left" w:pos="1872"/>
        </w:tabs>
        <w:spacing w:before="124" w:after="926" w:line="274"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any other evidence of the applicant's identity required by the regulator;</w:t>
      </w:r>
    </w:p>
    <w:p>
      <w:pPr>
        <w:spacing w:before="124" w:after="926"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354</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8.10	</w:t>
      </w:r>
      <w:r>
        <w:rPr>
          <w:rFonts w:ascii="Times New Roman" w:hAnsi="Times New Roman" w:eastAsia="Times New Roman"/>
          <w:color w:val="000000"/>
          <w:spacing w:val="0"/>
          <w:w w:val="100"/>
          <w:sz w:val="20"/>
          <w:vertAlign w:val="baseline"/>
          <w:lang w:val="en-US"/>
        </w:rPr>
        <w:t xml:space="preserve">Licensing of Asbestos Removalists and Asbestos Assessors</w:t>
      </w:r>
    </w:p>
    <w:p>
      <w:pPr>
        <w:numPr>
          <w:ilvl w:val="0"/>
          <w:numId w:val="864"/>
        </w:numPr>
        <w:tabs>
          <w:tab w:val="clear" w:pos="360"/>
          <w:tab w:val="left" w:pos="1872"/>
        </w:tabs>
        <w:spacing w:before="247"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written evidence that the applicant has obtained any retraining or reassessment or taken any other action required under regulation 502;</w:t>
      </w:r>
    </w:p>
    <w:p>
      <w:pPr>
        <w:numPr>
          <w:ilvl w:val="0"/>
          <w:numId w:val="864"/>
        </w:numPr>
        <w:tabs>
          <w:tab w:val="clear" w:pos="360"/>
          <w:tab w:val="left" w:pos="1872"/>
        </w:tabs>
        <w:spacing w:before="124" w:after="0" w:line="275"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declaration by the applicant that the applicant or a supervisor named by the applicant, as applicable, has maintained the competency required to carry out the work covered by the licence.</w:t>
      </w:r>
    </w:p>
    <w:p>
      <w:pPr>
        <w:spacing w:before="125"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30" w:lineRule="exact"/>
        <w:ind w:right="864"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section 268 of the Act for offences relating to the giving of false or misleading information under the Act or these Regulations.</w:t>
      </w:r>
    </w:p>
    <w:p>
      <w:pPr>
        <w:numPr>
          <w:ilvl w:val="0"/>
          <w:numId w:val="865"/>
        </w:numPr>
        <w:tabs>
          <w:tab w:val="clear" w:pos="360"/>
          <w:tab w:val="left" w:pos="1368"/>
        </w:tabs>
        <w:spacing w:before="117" w:after="0" w:line="272" w:lineRule="exact"/>
        <w:ind w:right="0" w:left="360" w:firstLine="64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application must be accompanied by the relevant fee.</w:t>
      </w:r>
    </w:p>
    <w:p>
      <w:pPr>
        <w:numPr>
          <w:ilvl w:val="0"/>
          <w:numId w:val="865"/>
        </w:numPr>
        <w:tabs>
          <w:tab w:val="clear" w:pos="360"/>
          <w:tab w:val="left" w:pos="1368"/>
        </w:tabs>
        <w:spacing w:before="8" w:after="0" w:line="393" w:lineRule="exact"/>
        <w:ind w:right="648" w:left="360" w:firstLine="64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application must be made before the expiry of the licence. </w:t>
      </w:r>
      <w:r>
        <w:rPr>
          <w:rFonts w:ascii="Times New Roman" w:hAnsi="Times New Roman" w:eastAsia="Times New Roman"/>
          <w:b w:val="true"/>
          <w:color w:val="000000"/>
          <w:spacing w:val="0"/>
          <w:w w:val="100"/>
          <w:sz w:val="24"/>
          <w:vertAlign w:val="baseline"/>
          <w:lang w:val="en-US"/>
        </w:rPr>
        <w:t xml:space="preserve">517 Provisions relating to renewal of licence</w:t>
      </w:r>
    </w:p>
    <w:p>
      <w:pPr>
        <w:spacing w:before="125" w:after="0" w:line="272"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For the purposes of this Division:</w:t>
      </w:r>
    </w:p>
    <w:p>
      <w:pPr>
        <w:numPr>
          <w:ilvl w:val="0"/>
          <w:numId w:val="866"/>
        </w:numPr>
        <w:tabs>
          <w:tab w:val="clear" w:pos="360"/>
          <w:tab w:val="left" w:pos="1872"/>
        </w:tabs>
        <w:spacing w:before="117"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regulation 496 applies as if a reference in that regulation to an application for a licence were a reference to an application to renew a licence; and</w:t>
      </w:r>
    </w:p>
    <w:p>
      <w:pPr>
        <w:numPr>
          <w:ilvl w:val="0"/>
          <w:numId w:val="866"/>
        </w:numPr>
        <w:tabs>
          <w:tab w:val="clear" w:pos="360"/>
          <w:tab w:val="left" w:pos="1872"/>
        </w:tabs>
        <w:spacing w:before="123" w:after="0" w:line="276" w:lineRule="exact"/>
        <w:ind w:right="288" w:left="1872"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regulations 497 (except subregulation (5)), 500, 502 and 503 apply as if a reference in those regulations to the grant of a licence were a reference to the renewal of a licence; and</w:t>
      </w:r>
    </w:p>
    <w:p>
      <w:pPr>
        <w:numPr>
          <w:ilvl w:val="0"/>
          <w:numId w:val="866"/>
        </w:numPr>
        <w:tabs>
          <w:tab w:val="clear" w:pos="360"/>
          <w:tab w:val="left" w:pos="1872"/>
        </w:tabs>
        <w:spacing w:before="117"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regulation 501 applies as if a reference in that regulation to a refusal to grant a licence were a reference to a refusal to renew a licence.</w:t>
      </w:r>
    </w:p>
    <w:p>
      <w:pPr>
        <w:spacing w:before="123"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regulator must not renew an asbestos removal licence unless the regulator is satisfied about the matters referred to in regulation 518.</w:t>
      </w:r>
    </w:p>
    <w:p>
      <w:pPr>
        <w:spacing w:before="117"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regulator must not renew an asbestos removal licence or asbestos assessor licence granted to a person under a corresponding WHS law if that licence is renewed under that law.</w:t>
      </w:r>
    </w:p>
    <w:p>
      <w:pPr>
        <w:spacing w:before="123"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If a licence holder applies under regulation 516 for the renewal of an asbestos removal licence or asbestos assessor licence, the licence is taken to continue in force from the day it would, apart from this subregulation, have expired until the licence holder is given notice of the decision on the application.</w:t>
      </w:r>
    </w:p>
    <w:p>
      <w:pPr>
        <w:spacing w:before="125"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1316" w:line="230"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A refusal to renew a licence is a reviewable decision (see regulation 676).</w:t>
      </w:r>
    </w:p>
    <w:p>
      <w:pPr>
        <w:spacing w:before="125" w:after="1316" w:line="230"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355</w:t>
      </w:r>
    </w:p>
    <w:p>
      <w:pPr>
        <w:sectPr>
          <w:type w:val="continuous"/>
          <w:pgSz w:w="11909" w:h="16838" w:orient="portrait"/>
          <w:pgMar w:bottom="1082" w:top="1140" w:right="5814" w:left="1975"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8.10	</w:t>
      </w:r>
      <w:r>
        <w:rPr>
          <w:rFonts w:ascii="Times New Roman" w:hAnsi="Times New Roman" w:eastAsia="Times New Roman"/>
          <w:color w:val="000000"/>
          <w:spacing w:val="0"/>
          <w:w w:val="100"/>
          <w:sz w:val="20"/>
          <w:vertAlign w:val="baseline"/>
          <w:lang w:val="en-US"/>
        </w:rPr>
        <w:t xml:space="preserve">Licensing of Asbestos Removalists and Asbestos Assessors</w:t>
      </w:r>
    </w:p>
    <w:p>
      <w:pPr>
        <w:spacing w:before="246" w:after="0" w:line="279" w:lineRule="exact"/>
        <w:ind w:right="72" w:left="288" w:firstLine="0"/>
        <w:jc w:val="left"/>
        <w:textAlignment w:val="baseline"/>
        <w:rPr>
          <w:rFonts w:ascii="Times New Roman" w:hAnsi="Times New Roman" w:eastAsia="Times New Roman"/>
          <w:b w:val="true"/>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4"/>
          <w:vertAlign w:val="baseline"/>
          <w:lang w:val="en-US"/>
        </w:rPr>
        <w:t xml:space="preserve">518 Renewal of asbestos removal licence—regulator to be satisfied about certain matters</w:t>
      </w:r>
    </w:p>
    <w:p>
      <w:pPr>
        <w:spacing w:before="113" w:after="0" w:line="279" w:lineRule="exact"/>
        <w:ind w:right="72" w:left="1368" w:firstLine="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the purposes of regulation 517, the regulator must not renew an asbestos removal licence unless satisfied that:</w:t>
      </w:r>
    </w:p>
    <w:p>
      <w:pPr>
        <w:spacing w:before="120"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each supervisor named by the applicant:</w:t>
      </w:r>
    </w:p>
    <w:p>
      <w:pPr>
        <w:numPr>
          <w:ilvl w:val="0"/>
          <w:numId w:val="867"/>
        </w:numPr>
        <w:tabs>
          <w:tab w:val="clear" w:pos="360"/>
          <w:tab w:val="left" w:pos="2376"/>
        </w:tabs>
        <w:spacing w:before="123" w:after="0" w:line="276" w:lineRule="exact"/>
        <w:ind w:right="50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holds a certification for the specified VET course for supervision of the asbestos removal work to be authorised by the licence; and</w:t>
      </w:r>
    </w:p>
    <w:p>
      <w:pPr>
        <w:numPr>
          <w:ilvl w:val="0"/>
          <w:numId w:val="867"/>
        </w:numPr>
        <w:tabs>
          <w:tab w:val="clear" w:pos="360"/>
          <w:tab w:val="left" w:pos="2376"/>
        </w:tabs>
        <w:spacing w:before="114" w:after="0" w:line="279" w:lineRule="exact"/>
        <w:ind w:right="14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has appropriate experience in the asbestos removal work to be authorised by the licence; and</w:t>
      </w:r>
    </w:p>
    <w:p>
      <w:pPr>
        <w:spacing w:before="117"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asbestos removal work of the type authorised by the licence has been carried out on behalf of the applicant during the term of the licence.</w:t>
      </w:r>
    </w:p>
    <w:p>
      <w:pPr>
        <w:spacing w:before="121"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519 Status of licence during review</w:t>
      </w:r>
    </w:p>
    <w:p>
      <w:pPr>
        <w:spacing w:before="123" w:after="0" w:line="274"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regulation applies if the regulator gives a licence holder written notice of its decision to refuse to renew the licence.</w:t>
      </w:r>
    </w:p>
    <w:p>
      <w:pPr>
        <w:spacing w:before="122" w:after="0" w:line="276"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If the licence holder does not apply for internal review of the decision, the licence continues to have effect until the last of the following events:</w:t>
      </w:r>
    </w:p>
    <w:p>
      <w:pPr>
        <w:numPr>
          <w:ilvl w:val="0"/>
          <w:numId w:val="868"/>
        </w:numPr>
        <w:tabs>
          <w:tab w:val="clear" w:pos="360"/>
          <w:tab w:val="left" w:pos="1872"/>
        </w:tabs>
        <w:spacing w:before="121"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expiry of the licence;</w:t>
      </w:r>
    </w:p>
    <w:p>
      <w:pPr>
        <w:numPr>
          <w:ilvl w:val="0"/>
          <w:numId w:val="868"/>
        </w:numPr>
        <w:tabs>
          <w:tab w:val="clear" w:pos="360"/>
          <w:tab w:val="left" w:pos="1872"/>
        </w:tabs>
        <w:spacing w:before="125"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end of the time for applying for an internal review.</w:t>
      </w:r>
    </w:p>
    <w:p>
      <w:pPr>
        <w:spacing w:before="118"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If the licence holder applies for an internal review of the decision, the licence continues to have effect until the earlier of the following events:</w:t>
      </w:r>
    </w:p>
    <w:p>
      <w:pPr>
        <w:numPr>
          <w:ilvl w:val="0"/>
          <w:numId w:val="869"/>
        </w:numPr>
        <w:tabs>
          <w:tab w:val="clear" w:pos="360"/>
          <w:tab w:val="left" w:pos="1872"/>
        </w:tabs>
        <w:spacing w:before="125"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licence holder withdraws the application for review;</w:t>
      </w:r>
    </w:p>
    <w:p>
      <w:pPr>
        <w:numPr>
          <w:ilvl w:val="0"/>
          <w:numId w:val="869"/>
        </w:numPr>
        <w:tabs>
          <w:tab w:val="clear" w:pos="360"/>
          <w:tab w:val="left" w:pos="1872"/>
        </w:tabs>
        <w:spacing w:before="121"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makes a decision on the review.</w:t>
      </w:r>
    </w:p>
    <w:p>
      <w:pPr>
        <w:spacing w:before="122" w:after="0" w:line="276" w:lineRule="exact"/>
        <w:ind w:right="57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If the licence holder does not apply for an external review, the licence continues to have effect until the end of the time for applying for an external review.</w:t>
      </w:r>
    </w:p>
    <w:p>
      <w:pPr>
        <w:spacing w:before="116" w:after="0" w:line="278"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If the licence holder applies for an external review, the licence continues to have effect until the earlier of the following events:</w:t>
      </w:r>
    </w:p>
    <w:p>
      <w:pPr>
        <w:spacing w:before="121"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the licence holder withdraws the application for review;</w:t>
      </w:r>
    </w:p>
    <w:p>
      <w:pPr>
        <w:numPr>
          <w:ilvl w:val="0"/>
          <w:numId w:val="870"/>
        </w:numPr>
        <w:tabs>
          <w:tab w:val="clear" w:pos="360"/>
          <w:tab w:val="left" w:pos="1872"/>
        </w:tabs>
        <w:spacing w:before="125"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external review body] makes a decision on the review.</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977" w:line="228"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26" w:after="977" w:line="22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356</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8.10	</w:t>
      </w:r>
      <w:r>
        <w:rPr>
          <w:rFonts w:ascii="Times New Roman" w:hAnsi="Times New Roman" w:eastAsia="Times New Roman"/>
          <w:color w:val="000000"/>
          <w:spacing w:val="0"/>
          <w:w w:val="100"/>
          <w:sz w:val="20"/>
          <w:vertAlign w:val="baseline"/>
          <w:lang w:val="en-US"/>
        </w:rPr>
        <w:t xml:space="preserve">Licensing of Asbestos Removalists and Asbestos Assessors</w:t>
      </w:r>
    </w:p>
    <w:p>
      <w:pPr>
        <w:spacing w:before="245" w:after="0" w:line="279" w:lineRule="exact"/>
        <w:ind w:right="72" w:left="1368" w:hanging="36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(6) The licence continues to have effect under this regulation even if its expiry date passes.</w:t>
      </w:r>
    </w:p>
    <w:p>
      <w:pPr>
        <w:tabs>
          <w:tab w:val="left" w:leader="none" w:pos="1584"/>
        </w:tabs>
        <w:spacing w:before="245"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6	</w:t>
      </w:r>
      <w:r>
        <w:rPr>
          <w:rFonts w:ascii="Times New Roman" w:hAnsi="Times New Roman" w:eastAsia="Times New Roman"/>
          <w:b w:val="true"/>
          <w:color w:val="000000"/>
          <w:spacing w:val="0"/>
          <w:w w:val="100"/>
          <w:sz w:val="24"/>
          <w:vertAlign w:val="baseline"/>
          <w:lang w:val="en-US"/>
        </w:rPr>
        <w:t xml:space="preserve">Suspension and cancellation of licence</w:t>
      </w:r>
    </w:p>
    <w:p>
      <w:pPr>
        <w:tabs>
          <w:tab w:val="left" w:leader="none" w:pos="864"/>
        </w:tabs>
        <w:spacing w:before="120"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520	</w:t>
      </w:r>
      <w:r>
        <w:rPr>
          <w:rFonts w:ascii="Times New Roman" w:hAnsi="Times New Roman" w:eastAsia="Times New Roman"/>
          <w:b w:val="true"/>
          <w:color w:val="000000"/>
          <w:spacing w:val="0"/>
          <w:w w:val="100"/>
          <w:sz w:val="24"/>
          <w:vertAlign w:val="baseline"/>
          <w:lang w:val="en-US"/>
        </w:rPr>
        <w:t xml:space="preserve">Suspension or cancellation of licence</w:t>
      </w:r>
    </w:p>
    <w:p>
      <w:pPr>
        <w:spacing w:before="116"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regulator may suspend or cancel an asbestos removal licence or asbestos assessor licence if satisfied about 1 or more of the following:</w:t>
      </w:r>
    </w:p>
    <w:p>
      <w:pPr>
        <w:spacing w:before="123" w:after="0" w:line="276"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the licence holder has failed to ensure that the work or other activities authorised by the licence are carried out safely and competently;</w:t>
      </w:r>
    </w:p>
    <w:p>
      <w:pPr>
        <w:spacing w:before="117"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the licence holder has failed to ensure compliance with a condition of the licence, including a condition requiring the licence holder, or a nominated supervisor of the licence holder, to undergo retraining or reassessment during the term of the licence;</w:t>
      </w:r>
    </w:p>
    <w:p>
      <w:pPr>
        <w:spacing w:before="118" w:after="0" w:line="276"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the licence holder, in the application for the grant or renewal of the licence or on request by the regulator for additional information:</w:t>
      </w:r>
    </w:p>
    <w:p>
      <w:pPr>
        <w:numPr>
          <w:ilvl w:val="0"/>
          <w:numId w:val="871"/>
        </w:numPr>
        <w:tabs>
          <w:tab w:val="clear" w:pos="360"/>
          <w:tab w:val="left" w:pos="2376"/>
        </w:tabs>
        <w:spacing w:before="124" w:after="0" w:line="274" w:lineRule="exact"/>
        <w:ind w:right="79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gave information that was false or misleading in a material particular; or</w:t>
      </w:r>
    </w:p>
    <w:p>
      <w:pPr>
        <w:numPr>
          <w:ilvl w:val="0"/>
          <w:numId w:val="871"/>
        </w:numPr>
        <w:tabs>
          <w:tab w:val="clear" w:pos="360"/>
          <w:tab w:val="left" w:pos="2376"/>
        </w:tabs>
        <w:spacing w:before="124" w:after="0" w:line="274" w:lineRule="exact"/>
        <w:ind w:right="216"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failed to give any material information that should have been given in that application or on that request;</w:t>
      </w:r>
    </w:p>
    <w:p>
      <w:pPr>
        <w:spacing w:before="124" w:after="0" w:line="275"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in relation to an asbestos removal licence—the licence was granted or renewed on the basis of a certification that was obtained on the basis of the giving of false or misleading information by any person or body;</w:t>
      </w:r>
    </w:p>
    <w:p>
      <w:pPr>
        <w:spacing w:before="122"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 in relation to a Class A asbestos removal licence—the licence holder has failed to have a certified safety management system in place.</w:t>
      </w:r>
    </w:p>
    <w:p>
      <w:pPr>
        <w:spacing w:before="118" w:after="0" w:line="276" w:lineRule="exact"/>
        <w:ind w:right="648"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It is a ground for the suspension or cancellation of an asbestos removal licence if the licence holder does not have a qualified nominated asbestos removal supervisor.</w:t>
      </w:r>
    </w:p>
    <w:p>
      <w:pPr>
        <w:spacing w:before="129"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2" w:after="0" w:line="231" w:lineRule="exact"/>
        <w:ind w:right="72"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Regulation 507 provides for a licence holder to notify the regulator of any change in a nominated supervisor.</w:t>
      </w:r>
    </w:p>
    <w:p>
      <w:pPr>
        <w:spacing w:before="119" w:after="955" w:line="273"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(3) For the purposes of subregulation (1)(b), a licence holder complies with a condition on the licence that requires the licence holder or a</w:t>
      </w:r>
    </w:p>
    <w:p>
      <w:pPr>
        <w:spacing w:before="119" w:after="955"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357</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8.10	</w:t>
      </w:r>
      <w:r>
        <w:rPr>
          <w:rFonts w:ascii="Times New Roman" w:hAnsi="Times New Roman" w:eastAsia="Times New Roman"/>
          <w:color w:val="000000"/>
          <w:spacing w:val="0"/>
          <w:w w:val="100"/>
          <w:sz w:val="20"/>
          <w:vertAlign w:val="baseline"/>
          <w:lang w:val="en-US"/>
        </w:rPr>
        <w:t xml:space="preserve">Licensing of Asbestos Removalists and Asbestos Assessors</w:t>
      </w:r>
    </w:p>
    <w:p>
      <w:pPr>
        <w:spacing w:before="247" w:after="0" w:line="276" w:lineRule="exact"/>
        <w:ind w:right="72" w:left="1368" w:firstLine="0"/>
        <w:jc w:val="left"/>
        <w:textAlignment w:val="baseline"/>
        <w:rPr>
          <w:rFonts w:ascii="Times New Roman" w:hAnsi="Times New Roman" w:eastAsia="Times New Roman"/>
          <w:color w:val="000000"/>
          <w:spacing w:val="-1"/>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1"/>
          <w:w w:val="100"/>
          <w:sz w:val="24"/>
          <w:vertAlign w:val="baseline"/>
          <w:lang w:val="en-US"/>
        </w:rPr>
        <w:t xml:space="preserve">nominated supervisor of the licence holder to undergo retraining or reassessment during the term of the licence if the licence holder provides a certification in relation to that retraining or reassessment.</w:t>
      </w:r>
    </w:p>
    <w:p>
      <w:pPr>
        <w:spacing w:before="126" w:after="0" w:line="273" w:lineRule="exact"/>
        <w:ind w:right="432"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If the regulator suspends or cancels a licence, the regulator may disqualify the licence holder from applying for:</w:t>
      </w:r>
    </w:p>
    <w:p>
      <w:pPr>
        <w:numPr>
          <w:ilvl w:val="0"/>
          <w:numId w:val="872"/>
        </w:numPr>
        <w:tabs>
          <w:tab w:val="clear" w:pos="360"/>
          <w:tab w:val="left" w:pos="1872"/>
        </w:tabs>
        <w:spacing w:before="127"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further licence of the same type; or</w:t>
      </w:r>
    </w:p>
    <w:p>
      <w:pPr>
        <w:numPr>
          <w:ilvl w:val="0"/>
          <w:numId w:val="872"/>
        </w:numPr>
        <w:tabs>
          <w:tab w:val="clear" w:pos="360"/>
          <w:tab w:val="left" w:pos="1872"/>
        </w:tabs>
        <w:spacing w:before="116" w:after="0" w:line="277"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another licence under these Regulations to carry out work which requires skills that are the same as or similar to those required for the work authorised by the licence that has been suspended or cancelled.</w:t>
      </w:r>
    </w:p>
    <w:p>
      <w:pPr>
        <w:spacing w:before="125"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2" w:after="0" w:line="231" w:lineRule="exact"/>
        <w:ind w:right="288" w:left="864"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A decision to suspend a licence, to cancel a licence or to disqualify the licence holder from applying for a further licence is a reviewable decision (see regulation 676).</w:t>
      </w:r>
    </w:p>
    <w:p>
      <w:pPr>
        <w:spacing w:before="119" w:after="0" w:line="273"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521 Matters taken into account</w:t>
      </w:r>
    </w:p>
    <w:p>
      <w:pPr>
        <w:spacing w:before="113" w:after="0" w:line="279" w:lineRule="exact"/>
        <w:ind w:right="144"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In making a decision under regulation 520, the regulator must have regard to:</w:t>
      </w:r>
    </w:p>
    <w:p>
      <w:pPr>
        <w:numPr>
          <w:ilvl w:val="0"/>
          <w:numId w:val="873"/>
        </w:numPr>
        <w:tabs>
          <w:tab w:val="clear" w:pos="360"/>
          <w:tab w:val="left" w:pos="1872"/>
        </w:tabs>
        <w:spacing w:before="114" w:after="0" w:line="279"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submissions made by the licence holder under regulation 522; and</w:t>
      </w:r>
    </w:p>
    <w:p>
      <w:pPr>
        <w:numPr>
          <w:ilvl w:val="0"/>
          <w:numId w:val="873"/>
        </w:numPr>
        <w:tabs>
          <w:tab w:val="clear" w:pos="360"/>
          <w:tab w:val="left" w:pos="1872"/>
        </w:tabs>
        <w:spacing w:before="121"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advice received from a corresponding regulator.</w:t>
      </w:r>
    </w:p>
    <w:p>
      <w:pPr>
        <w:spacing w:before="123" w:after="0" w:line="276" w:lineRule="exact"/>
        <w:ind w:right="64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For the purposes of regulation 520(1)(a) and (b), if the licence holder is an individual, the regulator must have regard to all relevant matters, including the following:</w:t>
      </w:r>
    </w:p>
    <w:p>
      <w:pPr>
        <w:numPr>
          <w:ilvl w:val="0"/>
          <w:numId w:val="874"/>
        </w:numPr>
        <w:tabs>
          <w:tab w:val="clear" w:pos="360"/>
          <w:tab w:val="left" w:pos="1872"/>
        </w:tabs>
        <w:spacing w:before="117"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offence under the Act or these Regulations or under a corresponding WHS law, of which the licence holder has been convicted or found guilty;</w:t>
      </w:r>
    </w:p>
    <w:p>
      <w:pPr>
        <w:spacing w:before="130"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8"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numPr>
          <w:ilvl w:val="0"/>
          <w:numId w:val="874"/>
        </w:numPr>
        <w:tabs>
          <w:tab w:val="clear" w:pos="360"/>
          <w:tab w:val="left" w:pos="1872"/>
        </w:tabs>
        <w:spacing w:before="117" w:after="0" w:line="274" w:lineRule="exact"/>
        <w:ind w:right="43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enforceable undertaking the licence holder has entered into under this Act or a corresponding WHS law;</w:t>
      </w:r>
    </w:p>
    <w:p>
      <w:pPr>
        <w:numPr>
          <w:ilvl w:val="0"/>
          <w:numId w:val="874"/>
        </w:numPr>
        <w:tabs>
          <w:tab w:val="clear" w:pos="360"/>
          <w:tab w:val="left" w:pos="1872"/>
        </w:tabs>
        <w:spacing w:before="124" w:after="0" w:line="274"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relation to any equivalent licence applied for or held by the licence holder under the Act or these Regulations or under a corresponding WHS law:</w:t>
      </w:r>
    </w:p>
    <w:p>
      <w:pPr>
        <w:numPr>
          <w:ilvl w:val="0"/>
          <w:numId w:val="875"/>
        </w:numPr>
        <w:tabs>
          <w:tab w:val="clear" w:pos="360"/>
          <w:tab w:val="left" w:pos="2376"/>
        </w:tabs>
        <w:spacing w:before="126" w:after="0" w:line="272" w:lineRule="exact"/>
        <w:ind w:right="0" w:left="2016"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refusal to grant the licence; and</w:t>
      </w:r>
    </w:p>
    <w:p>
      <w:pPr>
        <w:numPr>
          <w:ilvl w:val="0"/>
          <w:numId w:val="875"/>
        </w:numPr>
        <w:tabs>
          <w:tab w:val="clear" w:pos="360"/>
          <w:tab w:val="left" w:pos="2376"/>
        </w:tabs>
        <w:spacing w:before="122" w:after="1637" w:line="272" w:lineRule="exact"/>
        <w:ind w:right="0" w:left="2016"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any condition imposed on the licence, if granted; and</w:t>
      </w:r>
    </w:p>
    <w:p>
      <w:pPr>
        <w:spacing w:before="122" w:after="1637" w:line="272"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358</w:t>
      </w:r>
    </w:p>
    <w:p>
      <w:pPr>
        <w:sectPr>
          <w:type w:val="continuous"/>
          <w:pgSz w:w="11909" w:h="16838" w:orient="portrait"/>
          <w:pgMar w:bottom="1082" w:top="1140" w:right="5814" w:left="1975"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8.10	</w:t>
      </w:r>
      <w:r>
        <w:rPr>
          <w:rFonts w:ascii="Times New Roman" w:hAnsi="Times New Roman" w:eastAsia="Times New Roman"/>
          <w:color w:val="000000"/>
          <w:spacing w:val="0"/>
          <w:w w:val="100"/>
          <w:sz w:val="20"/>
          <w:vertAlign w:val="baseline"/>
          <w:lang w:val="en-US"/>
        </w:rPr>
        <w:t xml:space="preserve">Licensing of Asbestos Removalists and Asbestos Assessors</w:t>
      </w:r>
    </w:p>
    <w:p>
      <w:pPr>
        <w:spacing w:before="247" w:after="0" w:line="276" w:lineRule="exact"/>
        <w:ind w:right="144" w:left="2376" w:hanging="504"/>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(iii) any suspension or cancellation of the licence, if granted, including any disqualification from applying for any licence;</w:t>
      </w:r>
    </w:p>
    <w:p>
      <w:pPr>
        <w:spacing w:before="123" w:after="0" w:line="276" w:lineRule="exact"/>
        <w:ind w:right="648"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the record of the licence holder in relation to any matters arising under the Act or these Regulations or under a corresponding WHS law.</w:t>
      </w:r>
    </w:p>
    <w:p>
      <w:pPr>
        <w:spacing w:before="116" w:after="0" w:line="277"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For the purposes of regulation 520(1)(a) and (b), if the licence holder is a body corporate, the regulator must have regard to all relevant matters, including the matters referred to in subregulation (2), in relation to:</w:t>
      </w:r>
    </w:p>
    <w:p>
      <w:pPr>
        <w:spacing w:before="121" w:after="0" w:line="272" w:lineRule="exact"/>
        <w:ind w:right="0" w:left="1584"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 the body corporate; and</w:t>
      </w:r>
    </w:p>
    <w:p>
      <w:pPr>
        <w:spacing w:before="127" w:after="0" w:line="272" w:lineRule="exact"/>
        <w:ind w:right="0" w:left="1584"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(ii) each officer of the body corporate.</w:t>
      </w:r>
    </w:p>
    <w:p>
      <w:pPr>
        <w:spacing w:before="121"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522 Notice to and submissions by licence holder</w:t>
      </w:r>
    </w:p>
    <w:p>
      <w:pPr>
        <w:spacing w:before="118" w:after="0" w:line="276"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Before suspending or cancelling an asbestos removal licence or asbestos assessor licence, the regulator must give the licence holder a written notice of the proposed suspension or cancellation and any proposed disqualification:</w:t>
      </w:r>
    </w:p>
    <w:p>
      <w:pPr>
        <w:numPr>
          <w:ilvl w:val="0"/>
          <w:numId w:val="876"/>
        </w:numPr>
        <w:tabs>
          <w:tab w:val="clear" w:pos="288"/>
          <w:tab w:val="left" w:pos="1872"/>
        </w:tabs>
        <w:spacing w:before="116" w:after="0" w:line="278" w:lineRule="exact"/>
        <w:ind w:right="648"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outlining all relevant allegations, facts and circumstances known to the regulator; and</w:t>
      </w:r>
    </w:p>
    <w:p>
      <w:pPr>
        <w:numPr>
          <w:ilvl w:val="0"/>
          <w:numId w:val="876"/>
        </w:numPr>
        <w:tabs>
          <w:tab w:val="clear" w:pos="288"/>
          <w:tab w:val="left" w:pos="1872"/>
        </w:tabs>
        <w:spacing w:before="120" w:after="0" w:line="276" w:lineRule="exact"/>
        <w:ind w:right="216" w:left="1872" w:hanging="288"/>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advising the licence holder that the licence holder may, by a specified date (being not less than 28 days after giving the notice), make a submission in relation to the proposed suspension or cancellation and any proposed disqualification.</w:t>
      </w:r>
    </w:p>
    <w:p>
      <w:pPr>
        <w:spacing w:before="122" w:after="0" w:line="274" w:lineRule="exact"/>
        <w:ind w:right="0" w:left="288" w:firstLine="0"/>
        <w:jc w:val="left"/>
        <w:textAlignment w:val="baseline"/>
        <w:rPr>
          <w:rFonts w:ascii="Times New Roman" w:hAnsi="Times New Roman" w:eastAsia="Times New Roman"/>
          <w:b w:val="true"/>
          <w:color w:val="000000"/>
          <w:spacing w:val="6"/>
          <w:w w:val="100"/>
          <w:sz w:val="24"/>
          <w:vertAlign w:val="baseline"/>
          <w:lang w:val="en-US"/>
        </w:rPr>
      </w:pPr>
      <w:r>
        <w:rPr>
          <w:rFonts w:ascii="Times New Roman" w:hAnsi="Times New Roman" w:eastAsia="Times New Roman"/>
          <w:b w:val="true"/>
          <w:color w:val="000000"/>
          <w:spacing w:val="6"/>
          <w:w w:val="100"/>
          <w:sz w:val="24"/>
          <w:vertAlign w:val="baseline"/>
          <w:lang w:val="en-US"/>
        </w:rPr>
        <w:t xml:space="preserve">523 Notice of decision</w:t>
      </w:r>
    </w:p>
    <w:p>
      <w:pPr>
        <w:spacing w:before="122" w:after="0" w:line="275"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regulator must give the licence holder written notice of a decision under regulation 520 to suspend or cancel an asbestos removal licence or asbestos assessor licence within 14 days after making the decision.</w:t>
      </w:r>
    </w:p>
    <w:p>
      <w:pPr>
        <w:spacing w:before="126" w:after="0" w:line="272"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notice must:</w:t>
      </w:r>
    </w:p>
    <w:p>
      <w:pPr>
        <w:numPr>
          <w:ilvl w:val="0"/>
          <w:numId w:val="877"/>
        </w:numPr>
        <w:tabs>
          <w:tab w:val="clear" w:pos="288"/>
          <w:tab w:val="left" w:pos="1872"/>
        </w:tabs>
        <w:spacing w:before="122" w:after="0" w:line="272"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state that the licence is to be suspended or cancelled; and</w:t>
      </w:r>
    </w:p>
    <w:p>
      <w:pPr>
        <w:numPr>
          <w:ilvl w:val="0"/>
          <w:numId w:val="877"/>
        </w:numPr>
        <w:tabs>
          <w:tab w:val="clear" w:pos="288"/>
          <w:tab w:val="left" w:pos="1872"/>
        </w:tabs>
        <w:spacing w:before="126" w:after="0" w:line="272"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licence is to be suspended, state:</w:t>
      </w:r>
    </w:p>
    <w:p>
      <w:pPr>
        <w:numPr>
          <w:ilvl w:val="0"/>
          <w:numId w:val="878"/>
        </w:numPr>
        <w:tabs>
          <w:tab w:val="clear" w:pos="504"/>
          <w:tab w:val="left" w:pos="2376"/>
        </w:tabs>
        <w:spacing w:before="122" w:after="0" w:line="272" w:lineRule="exact"/>
        <w:ind w:right="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when the suspension begins and ends; and</w:t>
      </w:r>
    </w:p>
    <w:p>
      <w:pPr>
        <w:numPr>
          <w:ilvl w:val="0"/>
          <w:numId w:val="878"/>
        </w:numPr>
        <w:tabs>
          <w:tab w:val="clear" w:pos="504"/>
          <w:tab w:val="left" w:pos="2376"/>
        </w:tabs>
        <w:spacing w:before="126" w:after="0" w:line="272" w:lineRule="exact"/>
        <w:ind w:right="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reasons for the suspension; and</w:t>
      </w:r>
    </w:p>
    <w:p>
      <w:pPr>
        <w:numPr>
          <w:ilvl w:val="0"/>
          <w:numId w:val="878"/>
        </w:numPr>
        <w:tabs>
          <w:tab w:val="clear" w:pos="504"/>
          <w:tab w:val="left" w:pos="2376"/>
        </w:tabs>
        <w:spacing w:before="118" w:after="975" w:line="276" w:lineRule="exact"/>
        <w:ind w:right="72" w:left="2376" w:hanging="504"/>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whether the licence holder is required to undergo retraining or reassessment or take any other action before the suspension ends; and</w:t>
      </w:r>
    </w:p>
    <w:p>
      <w:pPr>
        <w:spacing w:before="118" w:after="975"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359</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8.10	</w:t>
      </w:r>
      <w:r>
        <w:rPr>
          <w:rFonts w:ascii="Times New Roman" w:hAnsi="Times New Roman" w:eastAsia="Times New Roman"/>
          <w:color w:val="000000"/>
          <w:spacing w:val="0"/>
          <w:w w:val="100"/>
          <w:sz w:val="20"/>
          <w:vertAlign w:val="baseline"/>
          <w:lang w:val="en-US"/>
        </w:rPr>
        <w:t xml:space="preserve">Licensing of Asbestos Removalists and Asbestos Assessors</w:t>
      </w:r>
    </w:p>
    <w:p>
      <w:pPr>
        <w:spacing w:before="245" w:after="0" w:line="279" w:lineRule="exact"/>
        <w:ind w:right="144" w:left="2376" w:hanging="432"/>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(iv) whether or not the licence holder is disqualified from applying for a further licence during the suspension; and</w:t>
      </w:r>
    </w:p>
    <w:p>
      <w:pPr>
        <w:spacing w:before="120"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if the licence is to be cancelled, state:</w:t>
      </w:r>
    </w:p>
    <w:p>
      <w:pPr>
        <w:numPr>
          <w:ilvl w:val="0"/>
          <w:numId w:val="879"/>
        </w:numPr>
        <w:tabs>
          <w:tab w:val="clear" w:pos="288"/>
          <w:tab w:val="left" w:pos="2376"/>
        </w:tabs>
        <w:spacing w:before="126" w:after="0" w:line="273" w:lineRule="exact"/>
        <w:ind w:right="0" w:left="208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when the cancellation takes effect; and</w:t>
      </w:r>
    </w:p>
    <w:p>
      <w:pPr>
        <w:numPr>
          <w:ilvl w:val="0"/>
          <w:numId w:val="828"/>
        </w:numPr>
        <w:tabs>
          <w:tab w:val="clear" w:pos="432"/>
          <w:tab w:val="left" w:pos="2376"/>
        </w:tabs>
        <w:spacing w:before="120" w:after="0" w:line="273"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reasons for the cancellation; and</w:t>
      </w:r>
    </w:p>
    <w:p>
      <w:pPr>
        <w:numPr>
          <w:ilvl w:val="0"/>
          <w:numId w:val="828"/>
        </w:numPr>
        <w:tabs>
          <w:tab w:val="clear" w:pos="432"/>
          <w:tab w:val="left" w:pos="2376"/>
        </w:tabs>
        <w:spacing w:before="126" w:after="0" w:line="273" w:lineRule="exact"/>
        <w:ind w:right="432"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whether or not the licence holder is disqualified from applying for a further licence; and</w:t>
      </w:r>
    </w:p>
    <w:p>
      <w:pPr>
        <w:spacing w:before="126" w:after="0" w:line="273" w:lineRule="exact"/>
        <w:ind w:right="144" w:left="1944" w:hanging="432"/>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if the licence holder is disqualified from applying for a further licence, state:</w:t>
      </w:r>
    </w:p>
    <w:p>
      <w:pPr>
        <w:numPr>
          <w:ilvl w:val="0"/>
          <w:numId w:val="880"/>
        </w:numPr>
        <w:tabs>
          <w:tab w:val="clear" w:pos="432"/>
          <w:tab w:val="left" w:pos="2376"/>
        </w:tabs>
        <w:spacing w:before="126" w:after="0" w:line="273"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when the disqualification begins and ends; and</w:t>
      </w:r>
    </w:p>
    <w:p>
      <w:pPr>
        <w:numPr>
          <w:ilvl w:val="0"/>
          <w:numId w:val="880"/>
        </w:numPr>
        <w:tabs>
          <w:tab w:val="clear" w:pos="432"/>
          <w:tab w:val="left" w:pos="2376"/>
        </w:tabs>
        <w:spacing w:before="120" w:after="0" w:line="273"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reasons for the disqualification; and</w:t>
      </w:r>
    </w:p>
    <w:p>
      <w:pPr>
        <w:numPr>
          <w:ilvl w:val="0"/>
          <w:numId w:val="880"/>
        </w:numPr>
        <w:tabs>
          <w:tab w:val="clear" w:pos="432"/>
          <w:tab w:val="left" w:pos="2376"/>
        </w:tabs>
        <w:spacing w:before="127" w:after="0" w:line="273" w:lineRule="exact"/>
        <w:ind w:right="72"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whether or not the licence holder is required to undergo retraining or reassessment or take any other action before the disqualification ends; and</w:t>
      </w:r>
    </w:p>
    <w:p>
      <w:pPr>
        <w:numPr>
          <w:ilvl w:val="0"/>
          <w:numId w:val="880"/>
        </w:numPr>
        <w:tabs>
          <w:tab w:val="clear" w:pos="432"/>
          <w:tab w:val="left" w:pos="2376"/>
        </w:tabs>
        <w:spacing w:before="124" w:after="0" w:line="274" w:lineRule="exact"/>
        <w:ind w:right="216"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other class of licence under these Regulations that the licence holder is disqualified from applying for; and</w:t>
      </w:r>
    </w:p>
    <w:p>
      <w:pPr>
        <w:spacing w:before="124" w:after="0" w:line="274" w:lineRule="exact"/>
        <w:ind w:right="720" w:left="1944"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 state when the licence document must be returned to the regulator.</w:t>
      </w:r>
    </w:p>
    <w:p>
      <w:pPr>
        <w:spacing w:before="125" w:after="0" w:line="274"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524 Immediate suspension</w:t>
      </w:r>
    </w:p>
    <w:p>
      <w:pPr>
        <w:spacing w:before="117"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regulator may suspend an asbestos removal licence or asbestos assessor licence on a ground referred to in regulation 520 without giving notice under regulation 522, if satisfied that:</w:t>
      </w:r>
    </w:p>
    <w:p>
      <w:pPr>
        <w:numPr>
          <w:ilvl w:val="0"/>
          <w:numId w:val="881"/>
        </w:numPr>
        <w:tabs>
          <w:tab w:val="clear" w:pos="360"/>
          <w:tab w:val="left" w:pos="1872"/>
        </w:tabs>
        <w:spacing w:before="122" w:after="0" w:line="276" w:lineRule="exact"/>
        <w:ind w:right="36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work carried out under the licence should cease because the work may involve an imminent serious risk to the health or safety of any person; or</w:t>
      </w:r>
    </w:p>
    <w:p>
      <w:pPr>
        <w:numPr>
          <w:ilvl w:val="0"/>
          <w:numId w:val="881"/>
        </w:numPr>
        <w:tabs>
          <w:tab w:val="clear" w:pos="360"/>
          <w:tab w:val="left" w:pos="1872"/>
        </w:tabs>
        <w:spacing w:before="118" w:after="0" w:line="276"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corresponding regulator has suspended an equivalent licence held by the licence holder under this regulation as applying in the corresponding jurisdiction.</w:t>
      </w:r>
    </w:p>
    <w:p>
      <w:pPr>
        <w:spacing w:before="125" w:after="0" w:line="273" w:lineRule="exact"/>
        <w:ind w:right="216" w:left="0" w:firstLine="0"/>
        <w:jc w:val="righ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If the regulator decides to suspend a licence under this regulation:</w:t>
      </w:r>
    </w:p>
    <w:p>
      <w:pPr>
        <w:numPr>
          <w:ilvl w:val="0"/>
          <w:numId w:val="882"/>
        </w:numPr>
        <w:tabs>
          <w:tab w:val="clear" w:pos="360"/>
          <w:tab w:val="left" w:pos="1872"/>
        </w:tabs>
        <w:spacing w:before="116" w:after="0" w:line="278"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must give the licence holder written notice of the suspension and the reasons for the suspension; and</w:t>
      </w:r>
    </w:p>
    <w:p>
      <w:pPr>
        <w:numPr>
          <w:ilvl w:val="0"/>
          <w:numId w:val="882"/>
        </w:numPr>
        <w:tabs>
          <w:tab w:val="clear" w:pos="360"/>
          <w:tab w:val="left" w:pos="1872"/>
        </w:tabs>
        <w:spacing w:before="116" w:after="1680" w:line="278" w:lineRule="exact"/>
        <w:ind w:right="288" w:left="1872" w:hanging="36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suspension of the licence takes effect on the giving of the notice.</w:t>
      </w:r>
    </w:p>
    <w:p>
      <w:pPr>
        <w:spacing w:before="116" w:after="1680"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360</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8.10	</w:t>
      </w:r>
      <w:r>
        <w:rPr>
          <w:rFonts w:ascii="Times New Roman" w:hAnsi="Times New Roman" w:eastAsia="Times New Roman"/>
          <w:color w:val="000000"/>
          <w:spacing w:val="0"/>
          <w:w w:val="100"/>
          <w:sz w:val="20"/>
          <w:vertAlign w:val="baseline"/>
          <w:lang w:val="en-US"/>
        </w:rPr>
        <w:t xml:space="preserve">Licensing of Asbestos Removalists and Asbestos Assessors</w:t>
      </w:r>
    </w:p>
    <w:p>
      <w:pPr>
        <w:spacing w:before="251"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(3) The regulator must then:</w:t>
      </w:r>
    </w:p>
    <w:p>
      <w:pPr>
        <w:numPr>
          <w:ilvl w:val="0"/>
          <w:numId w:val="883"/>
        </w:numPr>
        <w:tabs>
          <w:tab w:val="clear" w:pos="360"/>
          <w:tab w:val="left" w:pos="1872"/>
        </w:tabs>
        <w:spacing w:before="126" w:after="0" w:line="273"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give notice under regulation 522 within 14 days after giving the notice under subregulation (2); and</w:t>
      </w:r>
    </w:p>
    <w:p>
      <w:pPr>
        <w:numPr>
          <w:ilvl w:val="0"/>
          <w:numId w:val="883"/>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make its decision under regulation 520.</w:t>
      </w:r>
    </w:p>
    <w:p>
      <w:pPr>
        <w:spacing w:before="114" w:after="0" w:line="279"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If the regulator does not give notice under subregulation (3), the suspension ends at the end of the 14 day period.</w:t>
      </w:r>
    </w:p>
    <w:p>
      <w:pPr>
        <w:spacing w:before="114" w:after="0" w:line="279"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If the regulator gives notice under subregulation (3), the licence remains suspended until the decision is made under regulation 520.</w:t>
      </w:r>
    </w:p>
    <w:p>
      <w:pPr>
        <w:spacing w:before="120"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525 Licence holder to return licence document</w:t>
      </w:r>
    </w:p>
    <w:p>
      <w:pPr>
        <w:spacing w:before="122" w:after="0" w:line="276" w:lineRule="exact"/>
        <w:ind w:right="144"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licence holder, on receiving a notice under regulation 523, must return the licence document to the regulator in accordance with the notice.</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21"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526 Regulator to return licence document after suspension</w:t>
      </w:r>
    </w:p>
    <w:p>
      <w:pPr>
        <w:spacing w:before="123" w:after="0" w:line="274" w:lineRule="exact"/>
        <w:ind w:right="72" w:left="1368" w:firstLine="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must return the licence document to the licence holder within 14 days after the licence suspension ends.</w:t>
      </w:r>
    </w:p>
    <w:p>
      <w:pPr>
        <w:tabs>
          <w:tab w:val="left" w:leader="none" w:pos="1584"/>
        </w:tabs>
        <w:spacing w:before="250" w:after="0" w:line="274" w:lineRule="exact"/>
        <w:ind w:right="0" w:left="0" w:firstLine="0"/>
        <w:jc w:val="left"/>
        <w:textAlignment w:val="baseline"/>
        <w:rPr>
          <w:rFonts w:ascii="Times New Roman" w:hAnsi="Times New Roman" w:eastAsia="Times New Roman"/>
          <w:b w:val="true"/>
          <w:color w:val="000000"/>
          <w:spacing w:val="-1"/>
          <w:w w:val="100"/>
          <w:sz w:val="24"/>
          <w:vertAlign w:val="baseline"/>
          <w:lang w:val="en-US"/>
        </w:rPr>
      </w:pPr>
      <w:r>
        <w:rPr>
          <w:rFonts w:ascii="Times New Roman" w:hAnsi="Times New Roman" w:eastAsia="Times New Roman"/>
          <w:b w:val="true"/>
          <w:color w:val="000000"/>
          <w:spacing w:val="-1"/>
          <w:w w:val="100"/>
          <w:sz w:val="24"/>
          <w:vertAlign w:val="baseline"/>
          <w:lang w:val="en-US"/>
        </w:rPr>
        <w:t xml:space="preserve">Division 7	</w:t>
      </w:r>
      <w:r>
        <w:rPr>
          <w:rFonts w:ascii="Times New Roman" w:hAnsi="Times New Roman" w:eastAsia="Times New Roman"/>
          <w:b w:val="true"/>
          <w:color w:val="000000"/>
          <w:spacing w:val="-1"/>
          <w:w w:val="100"/>
          <w:sz w:val="24"/>
          <w:vertAlign w:val="baseline"/>
          <w:lang w:val="en-US"/>
        </w:rPr>
        <w:t xml:space="preserve">General</w:t>
      </w:r>
    </w:p>
    <w:p>
      <w:pPr>
        <w:spacing w:before="115"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527 Asbestos removal licence register</w:t>
      </w:r>
    </w:p>
    <w:p>
      <w:pPr>
        <w:spacing w:before="124"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must keep a register of:</w:t>
      </w:r>
    </w:p>
    <w:p>
      <w:pPr>
        <w:numPr>
          <w:ilvl w:val="0"/>
          <w:numId w:val="884"/>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each person holding an asbestos removal licence; and</w:t>
      </w:r>
    </w:p>
    <w:p>
      <w:pPr>
        <w:numPr>
          <w:ilvl w:val="0"/>
          <w:numId w:val="884"/>
        </w:numPr>
        <w:tabs>
          <w:tab w:val="clear" w:pos="360"/>
          <w:tab w:val="left" w:pos="1872"/>
        </w:tabs>
        <w:spacing w:before="124" w:after="0" w:line="274" w:lineRule="exact"/>
        <w:ind w:right="79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each supervisor named to the regulator in relation to an asbestos removal licence.</w:t>
      </w:r>
    </w:p>
    <w:p>
      <w:pPr>
        <w:spacing w:before="125"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528 Asbestos assessors register</w:t>
      </w:r>
    </w:p>
    <w:p>
      <w:pPr>
        <w:spacing w:before="115" w:after="0" w:line="278" w:lineRule="exact"/>
        <w:ind w:right="72" w:left="1368" w:firstLine="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must keep a publicly available register of each person holding an asbestos assessor licence.</w:t>
      </w:r>
    </w:p>
    <w:p>
      <w:pPr>
        <w:spacing w:before="121"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529 Work must be supervised by named supervisor</w:t>
      </w:r>
    </w:p>
    <w:p>
      <w:pPr>
        <w:spacing w:before="123" w:after="0" w:line="274" w:lineRule="exact"/>
        <w:ind w:right="144"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who holds an asbestos removal licence must ensure that asbestos removal work authorised by the licence is supervised by a</w:t>
      </w:r>
    </w:p>
    <w:p>
      <w:pPr>
        <w:spacing w:before="5" w:after="1752"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supervisor named to the regulator by the licence holder.</w:t>
      </w:r>
    </w:p>
    <w:p>
      <w:pPr>
        <w:spacing w:before="5" w:after="1752"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361</w:t>
      </w:r>
    </w:p>
    <w:p>
      <w:pPr>
        <w:sectPr>
          <w:type w:val="continuous"/>
          <w:pgSz w:w="11909" w:h="16838" w:orient="portrait"/>
          <w:pgMar w:bottom="1082" w:top="1140" w:right="5819" w:left="1970"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8.10	</w:t>
      </w:r>
      <w:r>
        <w:rPr>
          <w:rFonts w:ascii="Times New Roman" w:hAnsi="Times New Roman" w:eastAsia="Times New Roman"/>
          <w:color w:val="000000"/>
          <w:spacing w:val="0"/>
          <w:w w:val="100"/>
          <w:sz w:val="20"/>
          <w:vertAlign w:val="baseline"/>
          <w:lang w:val="en-US"/>
        </w:rPr>
        <w:t xml:space="preserve">Licensing of Asbestos Removalists and Asbestos Assessors</w:t>
      </w:r>
    </w:p>
    <w:p>
      <w:pPr>
        <w:spacing w:before="251"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Maximum penalty:</w:t>
      </w:r>
    </w:p>
    <w:p>
      <w:pPr>
        <w:spacing w:before="125"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19" w:after="11155"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7pt" strokecolor="#000000" from="243.6pt,188.65pt" to="352.15pt,188.65pt" style="position:absolute;mso-position-horizontal-relative:page;mso-position-vertical-relative:page;">
            <v:stroke dashstyle="solid"/>
          </v:line>
        </w:pict>
      </w: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corporate—$18 000.</w:t>
      </w:r>
    </w:p>
    <w:p>
      <w:pPr>
        <w:spacing w:before="321" w:after="0" w:line="288" w:lineRule="exact"/>
        <w:ind w:right="0" w:left="0" w:firstLine="0"/>
        <w:jc w:val="left"/>
        <w:textAlignment w:val="baseline"/>
        <w:rPr>
          <w:rFonts w:ascii="Times New Roman" w:hAnsi="Times New Roman" w:eastAsia="Times New Roman"/>
          <w:color w:val="000000"/>
          <w:w w:val="100"/>
          <w:sz w:val="24"/>
          <w:vertAlign w:val="baseline"/>
          <w:lang w:val="en-US"/>
        </w:rPr>
      </w:pPr>
    </w:p>
    <w:p>
      <w:pPr>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362</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9.1	</w:t>
      </w:r>
      <w:r>
        <w:rPr>
          <w:rFonts w:ascii="Times New Roman" w:hAnsi="Times New Roman" w:eastAsia="Times New Roman"/>
          <w:color w:val="000000"/>
          <w:spacing w:val="0"/>
          <w:w w:val="100"/>
          <w:sz w:val="20"/>
          <w:vertAlign w:val="baseline"/>
          <w:lang w:val="en-US"/>
        </w:rPr>
        <w:t xml:space="preserve">Preliminary</w:t>
      </w:r>
    </w:p>
    <w:p>
      <w:pPr>
        <w:spacing w:before="9" w:after="0" w:line="552" w:lineRule="exact"/>
        <w:ind w:right="0" w:left="0" w:firstLine="0"/>
        <w:jc w:val="left"/>
        <w:textAlignment w:val="baseline"/>
        <w:rPr>
          <w:rFonts w:ascii="Times New Roman" w:hAnsi="Times New Roman" w:eastAsia="Times New Roman"/>
          <w:b w:val="true"/>
          <w:color w:val="000000"/>
          <w:spacing w:val="0"/>
          <w:w w:val="100"/>
          <w:sz w:val="25"/>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5"/>
          <w:vertAlign w:val="baseline"/>
          <w:lang w:val="en-US"/>
        </w:rPr>
        <w:t xml:space="preserve">CHAPTER 9 MAJOR HAZARD FACILITIES</w:t>
        <w:br/>
      </w:r>
      <w:r>
        <w:rPr>
          <w:rFonts w:ascii="Times New Roman" w:hAnsi="Times New Roman" w:eastAsia="Times New Roman"/>
          <w:b w:val="true"/>
          <w:color w:val="000000"/>
          <w:spacing w:val="0"/>
          <w:w w:val="100"/>
          <w:sz w:val="28"/>
          <w:vertAlign w:val="baseline"/>
          <w:lang w:val="en-US"/>
        </w:rPr>
        <w:t xml:space="preserve">Part 9.1 Preliminary</w:t>
      </w:r>
    </w:p>
    <w:p>
      <w:pPr>
        <w:tabs>
          <w:tab w:val="right" w:leader="none" w:pos="4752"/>
        </w:tabs>
        <w:spacing w:before="242"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1	</w:t>
      </w:r>
      <w:r>
        <w:rPr>
          <w:rFonts w:ascii="Times New Roman" w:hAnsi="Times New Roman" w:eastAsia="Times New Roman"/>
          <w:b w:val="true"/>
          <w:color w:val="000000"/>
          <w:spacing w:val="0"/>
          <w:w w:val="100"/>
          <w:sz w:val="24"/>
          <w:vertAlign w:val="baseline"/>
          <w:lang w:val="en-US"/>
        </w:rPr>
        <w:t xml:space="preserve">Application and interpretation</w:t>
      </w:r>
    </w:p>
    <w:p>
      <w:pPr>
        <w:spacing w:before="120"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530 This Chapter does not apply to certain facilities</w:t>
      </w:r>
    </w:p>
    <w:p>
      <w:pPr>
        <w:numPr>
          <w:ilvl w:val="0"/>
          <w:numId w:val="885"/>
        </w:numPr>
        <w:tabs>
          <w:tab w:val="clear" w:pos="360"/>
          <w:tab w:val="left" w:pos="1368"/>
        </w:tabs>
        <w:spacing w:before="114" w:after="0" w:line="278" w:lineRule="exact"/>
        <w:ind w:right="144" w:left="1368" w:hanging="360"/>
        <w:jc w:val="both"/>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This Chapter does not apply in relation to a facility that is regulated by the National Offshore Petroleum Safety and Environmental</w:t>
      </w:r>
    </w:p>
    <w:p>
      <w:pPr>
        <w:tabs>
          <w:tab w:val="right" w:leader="none" w:pos="4752"/>
          <w:tab w:val="left" w:leader="none" w:pos="6840"/>
        </w:tabs>
        <w:spacing w:before="0" w:after="0" w:line="275"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ab/>
      </w:r>
      <w:r>
        <w:rPr>
          <w:rFonts w:ascii="Times New Roman" w:hAnsi="Times New Roman" w:eastAsia="Times New Roman"/>
          <w:color w:val="000000"/>
          <w:spacing w:val="0"/>
          <w:w w:val="100"/>
          <w:sz w:val="24"/>
          <w:vertAlign w:val="baseline"/>
          <w:lang w:val="en-US"/>
        </w:rPr>
        <w:t xml:space="preserve">Management Authority under the [	</w:t>
      </w:r>
      <w:r>
        <w:rPr>
          <w:rFonts w:ascii="Times New Roman" w:hAnsi="Times New Roman" w:eastAsia="Times New Roman"/>
          <w:color w:val="000000"/>
          <w:spacing w:val="0"/>
          <w:w w:val="100"/>
          <w:sz w:val="25"/>
          <w:u w:val="single"/>
          <w:vertAlign w:val="baseline"/>
          <w:lang w:val="en-US"/>
        </w:rPr>
        <w:t xml:space="preserve">].</w:t>
      </w:r>
      <w:r>
        <w:rPr>
          <w:rFonts w:ascii="Times New Roman" w:hAnsi="Times New Roman" w:eastAsia="Times New Roman"/>
          <w:color w:val="000000"/>
          <w:spacing w:val="0"/>
          <w:w w:val="100"/>
          <w:sz w:val="24"/>
          <w:vertAlign w:val="baseline"/>
          <w:lang w:val="en-US"/>
        </w:rPr>
        <w:t xml:space="preserve">
</w:t>
      </w:r>
    </w:p>
    <w:p>
      <w:pPr>
        <w:spacing w:before="128"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8"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jurisdictional notes in the Appendix.</w:t>
      </w:r>
    </w:p>
    <w:p>
      <w:pPr>
        <w:numPr>
          <w:ilvl w:val="0"/>
          <w:numId w:val="885"/>
        </w:numPr>
        <w:tabs>
          <w:tab w:val="clear" w:pos="360"/>
          <w:tab w:val="left" w:pos="1368"/>
          <w:tab w:val="left" w:leader="none" w:pos="6480"/>
        </w:tabs>
        <w:spacing w:before="117" w:after="0" w:line="275"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Chapter does not apply in relation to [	</w:t>
      </w:r>
      <w:r>
        <w:rPr>
          <w:rFonts w:ascii="Times New Roman" w:hAnsi="Times New Roman" w:eastAsia="Times New Roman"/>
          <w:color w:val="000000"/>
          <w:spacing w:val="0"/>
          <w:w w:val="100"/>
          <w:sz w:val="25"/>
          <w:u w:val="single"/>
          <w:vertAlign w:val="baseline"/>
          <w:lang w:val="en-US"/>
        </w:rPr>
        <w:t xml:space="preserve">].</w:t>
      </w:r>
      <w:r>
        <w:rPr>
          <w:rFonts w:ascii="Times New Roman" w:hAnsi="Times New Roman" w:eastAsia="Times New Roman"/>
          <w:color w:val="000000"/>
          <w:spacing w:val="0"/>
          <w:w w:val="100"/>
          <w:sz w:val="24"/>
          <w:vertAlign w:val="baseline"/>
          <w:lang w:val="en-US"/>
        </w:rPr>
        <w:t xml:space="preserve">
</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8"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tabs>
          <w:tab w:val="left" w:leader="none" w:pos="864"/>
        </w:tabs>
        <w:spacing w:before="119"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531	</w:t>
      </w:r>
      <w:r>
        <w:rPr>
          <w:rFonts w:ascii="Times New Roman" w:hAnsi="Times New Roman" w:eastAsia="Times New Roman"/>
          <w:b w:val="true"/>
          <w:color w:val="000000"/>
          <w:spacing w:val="0"/>
          <w:w w:val="100"/>
          <w:sz w:val="24"/>
          <w:vertAlign w:val="baseline"/>
          <w:lang w:val="en-US"/>
        </w:rPr>
        <w:t xml:space="preserve">Meaning of </w:t>
      </w:r>
      <w:r>
        <w:rPr>
          <w:rFonts w:ascii="Times New Roman" w:hAnsi="Times New Roman" w:eastAsia="Times New Roman"/>
          <w:b w:val="true"/>
          <w:i w:val="true"/>
          <w:color w:val="000000"/>
          <w:spacing w:val="0"/>
          <w:w w:val="100"/>
          <w:sz w:val="24"/>
          <w:vertAlign w:val="baseline"/>
          <w:lang w:val="en-US"/>
        </w:rPr>
        <w:t xml:space="preserve">major incident</w:t>
      </w:r>
    </w:p>
    <w:p>
      <w:pPr>
        <w:spacing w:before="124" w:after="0" w:line="273"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In this Chapter, a </w:t>
      </w:r>
      <w:r>
        <w:rPr>
          <w:rFonts w:ascii="Times New Roman" w:hAnsi="Times New Roman" w:eastAsia="Times New Roman"/>
          <w:b w:val="true"/>
          <w:i w:val="true"/>
          <w:color w:val="000000"/>
          <w:spacing w:val="0"/>
          <w:w w:val="100"/>
          <w:sz w:val="24"/>
          <w:vertAlign w:val="baseline"/>
          <w:lang w:val="en-US"/>
        </w:rPr>
        <w:t xml:space="preserve">major incident </w:t>
      </w:r>
      <w:r>
        <w:rPr>
          <w:rFonts w:ascii="Times New Roman" w:hAnsi="Times New Roman" w:eastAsia="Times New Roman"/>
          <w:color w:val="000000"/>
          <w:spacing w:val="0"/>
          <w:w w:val="100"/>
          <w:sz w:val="24"/>
          <w:vertAlign w:val="baseline"/>
          <w:lang w:val="en-US"/>
        </w:rPr>
        <w:t xml:space="preserve">at a major hazard facility is an occurrence that:</w:t>
      </w:r>
    </w:p>
    <w:p>
      <w:pPr>
        <w:numPr>
          <w:ilvl w:val="0"/>
          <w:numId w:val="886"/>
        </w:numPr>
        <w:tabs>
          <w:tab w:val="clear" w:pos="360"/>
          <w:tab w:val="left" w:pos="1872"/>
        </w:tabs>
        <w:spacing w:before="123"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results from an uncontrolled event at the major hazard facility involving, or potentially involving, Schedule 15 chemicals; and</w:t>
      </w:r>
    </w:p>
    <w:p>
      <w:pPr>
        <w:numPr>
          <w:ilvl w:val="0"/>
          <w:numId w:val="886"/>
        </w:numPr>
        <w:tabs>
          <w:tab w:val="clear" w:pos="360"/>
          <w:tab w:val="left" w:pos="1872"/>
        </w:tabs>
        <w:spacing w:before="114" w:after="0" w:line="279" w:lineRule="exact"/>
        <w:ind w:right="72" w:left="1872"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exposes a person to a serious risk to health or safety emanating from an immediate or imminent exposure to the occurrence.</w:t>
      </w:r>
    </w:p>
    <w:p>
      <w:pPr>
        <w:spacing w:before="114" w:after="0" w:line="279"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Without limiting subregulation (1), an </w:t>
      </w:r>
      <w:r>
        <w:rPr>
          <w:rFonts w:ascii="Times New Roman" w:hAnsi="Times New Roman" w:eastAsia="Times New Roman"/>
          <w:b w:val="true"/>
          <w:i w:val="true"/>
          <w:color w:val="000000"/>
          <w:spacing w:val="0"/>
          <w:w w:val="100"/>
          <w:sz w:val="24"/>
          <w:vertAlign w:val="baseline"/>
          <w:lang w:val="en-US"/>
        </w:rPr>
        <w:t xml:space="preserve">occurrence </w:t>
      </w:r>
      <w:r>
        <w:rPr>
          <w:rFonts w:ascii="Times New Roman" w:hAnsi="Times New Roman" w:eastAsia="Times New Roman"/>
          <w:color w:val="000000"/>
          <w:spacing w:val="0"/>
          <w:w w:val="100"/>
          <w:sz w:val="24"/>
          <w:vertAlign w:val="baseline"/>
          <w:lang w:val="en-US"/>
        </w:rPr>
        <w:t xml:space="preserve">includes any of the following:</w:t>
      </w:r>
    </w:p>
    <w:p>
      <w:pPr>
        <w:numPr>
          <w:ilvl w:val="0"/>
          <w:numId w:val="887"/>
        </w:numPr>
        <w:tabs>
          <w:tab w:val="clear" w:pos="360"/>
          <w:tab w:val="left" w:pos="1872"/>
        </w:tabs>
        <w:spacing w:before="121"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escape, spillage or leakage;</w:t>
      </w:r>
    </w:p>
    <w:p>
      <w:pPr>
        <w:numPr>
          <w:ilvl w:val="0"/>
          <w:numId w:val="887"/>
        </w:numPr>
        <w:tabs>
          <w:tab w:val="clear" w:pos="360"/>
          <w:tab w:val="left" w:pos="1872"/>
        </w:tabs>
        <w:spacing w:before="122"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implosion, explosion or fire.</w:t>
      </w:r>
    </w:p>
    <w:p>
      <w:pPr>
        <w:tabs>
          <w:tab w:val="left" w:leader="none" w:pos="864"/>
        </w:tabs>
        <w:spacing w:before="126" w:after="0" w:line="274" w:lineRule="exact"/>
        <w:ind w:right="72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532	</w:t>
      </w:r>
      <w:r>
        <w:rPr>
          <w:rFonts w:ascii="Times New Roman" w:hAnsi="Times New Roman" w:eastAsia="Times New Roman"/>
          <w:b w:val="true"/>
          <w:color w:val="000000"/>
          <w:spacing w:val="0"/>
          <w:w w:val="100"/>
          <w:sz w:val="24"/>
          <w:vertAlign w:val="baseline"/>
          <w:lang w:val="en-US"/>
        </w:rPr>
        <w:t xml:space="preserve">Meaning of hazardous chemicals that are </w:t>
      </w:r>
      <w:r>
        <w:rPr>
          <w:rFonts w:ascii="Times New Roman" w:hAnsi="Times New Roman" w:eastAsia="Times New Roman"/>
          <w:b w:val="true"/>
          <w:i w:val="true"/>
          <w:color w:val="000000"/>
          <w:spacing w:val="0"/>
          <w:w w:val="100"/>
          <w:sz w:val="24"/>
          <w:vertAlign w:val="baseline"/>
          <w:lang w:val="en-US"/>
        </w:rPr>
        <w:t xml:space="preserve">present or likely to be present</w:t>
      </w:r>
    </w:p>
    <w:p>
      <w:pPr>
        <w:spacing w:before="120"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reference in these Regulations to hazardous chemicals, including Schedule 15 chemicals, being </w:t>
      </w:r>
      <w:r>
        <w:rPr>
          <w:rFonts w:ascii="Times New Roman" w:hAnsi="Times New Roman" w:eastAsia="Times New Roman"/>
          <w:b w:val="true"/>
          <w:i w:val="true"/>
          <w:color w:val="000000"/>
          <w:spacing w:val="0"/>
          <w:w w:val="100"/>
          <w:sz w:val="24"/>
          <w:vertAlign w:val="baseline"/>
          <w:lang w:val="en-US"/>
        </w:rPr>
        <w:t xml:space="preserve">present or likely to be present </w:t>
      </w:r>
      <w:r>
        <w:rPr>
          <w:rFonts w:ascii="Times New Roman" w:hAnsi="Times New Roman" w:eastAsia="Times New Roman"/>
          <w:color w:val="000000"/>
          <w:spacing w:val="0"/>
          <w:w w:val="100"/>
          <w:sz w:val="24"/>
          <w:vertAlign w:val="baseline"/>
          <w:lang w:val="en-US"/>
        </w:rPr>
        <w:t xml:space="preserve">at a facility is a reference to the quantity of hazardous chemicals that would, if present, meet the maximum capacity of the facility, including:</w:t>
      </w:r>
    </w:p>
    <w:p>
      <w:pPr>
        <w:spacing w:before="116" w:after="1316" w:line="278" w:lineRule="exact"/>
        <w:ind w:right="216" w:left="1872" w:hanging="360"/>
        <w:jc w:val="left"/>
        <w:textAlignment w:val="baseline"/>
        <w:rPr>
          <w:rFonts w:ascii="Times New Roman" w:hAnsi="Times New Roman" w:eastAsia="Times New Roman"/>
          <w:color w:val="000000"/>
          <w:spacing w:val="-1"/>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1"/>
          <w:w w:val="100"/>
          <w:sz w:val="24"/>
          <w:vertAlign w:val="baseline"/>
          <w:lang w:val="en-US"/>
        </w:rPr>
        <w:t xml:space="preserve">(a) the maximum capacity of process vessels and interconnecting pipe systems that contain the hazardous chemicals; and</w:t>
      </w:r>
    </w:p>
    <w:p>
      <w:pPr>
        <w:spacing w:before="116" w:after="1316"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363</w:t>
      </w:r>
    </w:p>
    <w:p>
      <w:pPr>
        <w:sectPr>
          <w:type w:val="continuous"/>
          <w:pgSz w:w="11909" w:h="16838" w:orient="portrait"/>
          <w:pgMar w:bottom="1082" w:top="1140" w:right="5817" w:left="1972"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9.1	</w:t>
      </w:r>
      <w:r>
        <w:rPr>
          <w:rFonts w:ascii="Times New Roman" w:hAnsi="Times New Roman" w:eastAsia="Times New Roman"/>
          <w:color w:val="000000"/>
          <w:spacing w:val="0"/>
          <w:w w:val="100"/>
          <w:sz w:val="20"/>
          <w:vertAlign w:val="baseline"/>
          <w:lang w:val="en-US"/>
        </w:rPr>
        <w:t xml:space="preserve">Preliminary</w:t>
      </w:r>
    </w:p>
    <w:p>
      <w:pPr>
        <w:numPr>
          <w:ilvl w:val="0"/>
          <w:numId w:val="888"/>
        </w:numPr>
        <w:tabs>
          <w:tab w:val="clear" w:pos="288"/>
          <w:tab w:val="left" w:pos="1872"/>
        </w:tabs>
        <w:spacing w:before="245" w:after="0" w:line="279" w:lineRule="exact"/>
        <w:ind w:right="288" w:left="1872" w:hanging="288"/>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maximum capacity of storage tanks and vessels used for the hazardous chemicals; and</w:t>
      </w:r>
    </w:p>
    <w:p>
      <w:pPr>
        <w:numPr>
          <w:ilvl w:val="0"/>
          <w:numId w:val="888"/>
        </w:numPr>
        <w:tabs>
          <w:tab w:val="clear" w:pos="288"/>
          <w:tab w:val="left" w:pos="1872"/>
        </w:tabs>
        <w:spacing w:before="114" w:after="0" w:line="279" w:lineRule="exact"/>
        <w:ind w:right="72"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maximum capacity of other storage areas at the facility that could contain the hazardous chemicals; and</w:t>
      </w:r>
    </w:p>
    <w:p>
      <w:pPr>
        <w:numPr>
          <w:ilvl w:val="0"/>
          <w:numId w:val="888"/>
        </w:numPr>
        <w:tabs>
          <w:tab w:val="clear" w:pos="288"/>
          <w:tab w:val="left" w:pos="1872"/>
        </w:tabs>
        <w:spacing w:before="114" w:after="0" w:line="279" w:lineRule="exact"/>
        <w:ind w:right="288"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maximum capacity of pipe work outside process areas to contain the hazardous chemicals; and</w:t>
      </w:r>
    </w:p>
    <w:p>
      <w:pPr>
        <w:numPr>
          <w:ilvl w:val="0"/>
          <w:numId w:val="888"/>
        </w:numPr>
        <w:tabs>
          <w:tab w:val="clear" w:pos="288"/>
          <w:tab w:val="left" w:pos="1872"/>
        </w:tabs>
        <w:spacing w:before="116" w:after="0" w:line="277" w:lineRule="exact"/>
        <w:ind w:right="72" w:left="1872" w:hanging="288"/>
        <w:jc w:val="left"/>
        <w:textAlignment w:val="baseline"/>
        <w:rPr>
          <w:rFonts w:ascii="Times New Roman" w:hAnsi="Times New Roman" w:eastAsia="Times New Roman"/>
          <w:color w:val="000000"/>
          <w:spacing w:val="2"/>
          <w:w w:val="100"/>
          <w:sz w:val="24"/>
          <w:vertAlign w:val="baseline"/>
          <w:lang w:val="en-US"/>
        </w:rPr>
      </w:pPr>
      <w:r>
        <w:rPr>
          <w:rFonts w:ascii="Times New Roman" w:hAnsi="Times New Roman" w:eastAsia="Times New Roman"/>
          <w:color w:val="000000"/>
          <w:spacing w:val="2"/>
          <w:w w:val="100"/>
          <w:sz w:val="24"/>
          <w:vertAlign w:val="baseline"/>
          <w:lang w:val="en-US"/>
        </w:rPr>
        <w:t xml:space="preserve">the maximum quantity of hazardous chemicals that would, in the event of failure, escape into the facility from pipe work that is situated off the premises but is connected to the facility; and</w:t>
      </w:r>
    </w:p>
    <w:p>
      <w:pPr>
        <w:numPr>
          <w:ilvl w:val="0"/>
          <w:numId w:val="888"/>
        </w:numPr>
        <w:tabs>
          <w:tab w:val="clear" w:pos="288"/>
          <w:tab w:val="left" w:pos="1872"/>
        </w:tabs>
        <w:spacing w:before="119" w:after="0" w:line="275" w:lineRule="exact"/>
        <w:ind w:right="216"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maximum quantity of hazardous chemicals loaded into or onto, or unloaded from, vehicles, trailers, rolling stock and ships that are from time to time present at the facility in the course of the facility's operations.</w:t>
      </w:r>
    </w:p>
    <w:p>
      <w:pPr>
        <w:numPr>
          <w:ilvl w:val="0"/>
          <w:numId w:val="889"/>
        </w:numPr>
        <w:tabs>
          <w:tab w:val="clear" w:pos="360"/>
          <w:tab w:val="left" w:pos="1368"/>
        </w:tabs>
        <w:spacing w:before="125" w:after="0" w:line="274"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Subregulation (1) applies with any necessary changes to hazardous chemicals that are </w:t>
      </w:r>
      <w:r>
        <w:rPr>
          <w:rFonts w:ascii="Times New Roman" w:hAnsi="Times New Roman" w:eastAsia="Times New Roman"/>
          <w:b w:val="true"/>
          <w:i w:val="true"/>
          <w:color w:val="000000"/>
          <w:spacing w:val="0"/>
          <w:w w:val="100"/>
          <w:sz w:val="24"/>
          <w:vertAlign w:val="baseline"/>
          <w:lang w:val="en-US"/>
        </w:rPr>
        <w:t xml:space="preserve">likely to be present </w:t>
      </w:r>
      <w:r>
        <w:rPr>
          <w:rFonts w:ascii="Times New Roman" w:hAnsi="Times New Roman" w:eastAsia="Times New Roman"/>
          <w:color w:val="000000"/>
          <w:spacing w:val="0"/>
          <w:w w:val="100"/>
          <w:sz w:val="24"/>
          <w:vertAlign w:val="baseline"/>
          <w:lang w:val="en-US"/>
        </w:rPr>
        <w:t xml:space="preserve">at a proposed facility.</w:t>
      </w:r>
    </w:p>
    <w:p>
      <w:pPr>
        <w:numPr>
          <w:ilvl w:val="0"/>
          <w:numId w:val="889"/>
        </w:numPr>
        <w:tabs>
          <w:tab w:val="clear" w:pos="360"/>
          <w:tab w:val="left" w:pos="1368"/>
        </w:tabs>
        <w:spacing w:before="121"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Schedule 15 chemicals present or likely to be present in the tailings dam of a mine are not to be considered in determining whether a mine is a facility or a major hazard facility.</w:t>
      </w:r>
    </w:p>
    <w:p>
      <w:pPr>
        <w:tabs>
          <w:tab w:val="left" w:leader="none" w:pos="864"/>
        </w:tabs>
        <w:spacing w:before="121"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533	</w:t>
      </w:r>
      <w:r>
        <w:rPr>
          <w:rFonts w:ascii="Times New Roman" w:hAnsi="Times New Roman" w:eastAsia="Times New Roman"/>
          <w:b w:val="true"/>
          <w:color w:val="000000"/>
          <w:spacing w:val="0"/>
          <w:w w:val="100"/>
          <w:sz w:val="24"/>
          <w:vertAlign w:val="baseline"/>
          <w:lang w:val="en-US"/>
        </w:rPr>
        <w:t xml:space="preserve">Meaning of </w:t>
      </w:r>
      <w:r>
        <w:rPr>
          <w:rFonts w:ascii="Times New Roman" w:hAnsi="Times New Roman" w:eastAsia="Times New Roman"/>
          <w:b w:val="true"/>
          <w:i w:val="true"/>
          <w:color w:val="000000"/>
          <w:spacing w:val="0"/>
          <w:w w:val="100"/>
          <w:sz w:val="24"/>
          <w:vertAlign w:val="baseline"/>
          <w:lang w:val="en-US"/>
        </w:rPr>
        <w:t xml:space="preserve">operator </w:t>
      </w:r>
      <w:r>
        <w:rPr>
          <w:rFonts w:ascii="Times New Roman" w:hAnsi="Times New Roman" w:eastAsia="Times New Roman"/>
          <w:b w:val="true"/>
          <w:color w:val="000000"/>
          <w:spacing w:val="0"/>
          <w:w w:val="100"/>
          <w:sz w:val="24"/>
          <w:vertAlign w:val="baseline"/>
          <w:lang w:val="en-US"/>
        </w:rPr>
        <w:t xml:space="preserve">of a facility or proposed facility</w:t>
      </w:r>
    </w:p>
    <w:p>
      <w:pPr>
        <w:spacing w:before="123" w:after="0" w:line="274"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In this Chapter, the </w:t>
      </w:r>
      <w:r>
        <w:rPr>
          <w:rFonts w:ascii="Times New Roman" w:hAnsi="Times New Roman" w:eastAsia="Times New Roman"/>
          <w:b w:val="true"/>
          <w:i w:val="true"/>
          <w:color w:val="000000"/>
          <w:spacing w:val="0"/>
          <w:w w:val="100"/>
          <w:sz w:val="24"/>
          <w:vertAlign w:val="baseline"/>
          <w:lang w:val="en-US"/>
        </w:rPr>
        <w:t xml:space="preserve">operator </w:t>
      </w:r>
      <w:r>
        <w:rPr>
          <w:rFonts w:ascii="Times New Roman" w:hAnsi="Times New Roman" w:eastAsia="Times New Roman"/>
          <w:color w:val="000000"/>
          <w:spacing w:val="0"/>
          <w:w w:val="100"/>
          <w:sz w:val="24"/>
          <w:vertAlign w:val="baseline"/>
          <w:lang w:val="en-US"/>
        </w:rPr>
        <w:t xml:space="preserve">of a facility is the person conducting the business or undertaking of operating the facility who has:</w:t>
      </w:r>
    </w:p>
    <w:p>
      <w:pPr>
        <w:numPr>
          <w:ilvl w:val="0"/>
          <w:numId w:val="890"/>
        </w:numPr>
        <w:tabs>
          <w:tab w:val="clear" w:pos="288"/>
          <w:tab w:val="left" w:pos="1872"/>
        </w:tabs>
        <w:spacing w:before="125"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management or control of the facility; and</w:t>
      </w:r>
    </w:p>
    <w:p>
      <w:pPr>
        <w:numPr>
          <w:ilvl w:val="0"/>
          <w:numId w:val="890"/>
        </w:numPr>
        <w:tabs>
          <w:tab w:val="clear" w:pos="288"/>
          <w:tab w:val="left" w:pos="1872"/>
        </w:tabs>
        <w:spacing w:before="121"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power to direct that the whole facility be shut down.</w:t>
      </w:r>
    </w:p>
    <w:p>
      <w:pPr>
        <w:spacing w:before="125"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In this Chapter, </w:t>
      </w:r>
      <w:r>
        <w:rPr>
          <w:rFonts w:ascii="Times New Roman" w:hAnsi="Times New Roman" w:eastAsia="Times New Roman"/>
          <w:b w:val="true"/>
          <w:i w:val="true"/>
          <w:color w:val="000000"/>
          <w:spacing w:val="0"/>
          <w:w w:val="100"/>
          <w:sz w:val="24"/>
          <w:vertAlign w:val="baseline"/>
          <w:lang w:val="en-US"/>
        </w:rPr>
        <w:t xml:space="preserve">operator of a proposed facility </w:t>
      </w:r>
      <w:r>
        <w:rPr>
          <w:rFonts w:ascii="Times New Roman" w:hAnsi="Times New Roman" w:eastAsia="Times New Roman"/>
          <w:color w:val="000000"/>
          <w:spacing w:val="0"/>
          <w:w w:val="100"/>
          <w:sz w:val="24"/>
          <w:vertAlign w:val="baseline"/>
          <w:lang w:val="en-US"/>
        </w:rPr>
        <w:t xml:space="preserve">means:</w:t>
      </w:r>
    </w:p>
    <w:p>
      <w:pPr>
        <w:numPr>
          <w:ilvl w:val="0"/>
          <w:numId w:val="891"/>
        </w:numPr>
        <w:tabs>
          <w:tab w:val="clear" w:pos="288"/>
          <w:tab w:val="left" w:pos="1872"/>
        </w:tabs>
        <w:spacing w:before="115" w:after="0" w:line="278" w:lineRule="exact"/>
        <w:ind w:right="108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operator of a proposed facility that is an existing workplace; or</w:t>
      </w:r>
    </w:p>
    <w:p>
      <w:pPr>
        <w:numPr>
          <w:ilvl w:val="0"/>
          <w:numId w:val="891"/>
        </w:numPr>
        <w:tabs>
          <w:tab w:val="clear" w:pos="288"/>
          <w:tab w:val="left" w:pos="1872"/>
        </w:tabs>
        <w:spacing w:before="116" w:after="0" w:line="278" w:lineRule="exact"/>
        <w:ind w:right="144"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who is to be the operator of a proposed facility that is being designed or constructed.</w:t>
      </w:r>
    </w:p>
    <w:p>
      <w:pPr>
        <w:spacing w:before="116" w:after="0" w:line="278" w:lineRule="exact"/>
        <w:ind w:right="79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If more than 1 person is an operator of the facility within the meaning of subregulation (1):</w:t>
      </w:r>
    </w:p>
    <w:p>
      <w:pPr>
        <w:numPr>
          <w:ilvl w:val="0"/>
          <w:numId w:val="892"/>
        </w:numPr>
        <w:tabs>
          <w:tab w:val="clear" w:pos="288"/>
          <w:tab w:val="left" w:pos="1872"/>
        </w:tabs>
        <w:spacing w:before="116" w:after="0" w:line="278" w:lineRule="exact"/>
        <w:ind w:right="648"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of those persons must be selected as the operator of the facility for the purposes of this Chapter; and</w:t>
      </w:r>
    </w:p>
    <w:p>
      <w:pPr>
        <w:numPr>
          <w:ilvl w:val="0"/>
          <w:numId w:val="892"/>
        </w:numPr>
        <w:tabs>
          <w:tab w:val="clear" w:pos="288"/>
          <w:tab w:val="left" w:pos="1872"/>
        </w:tabs>
        <w:spacing w:before="121"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person's details must be given to the regulator.</w:t>
      </w:r>
    </w:p>
    <w:p>
      <w:pPr>
        <w:spacing w:before="125"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The person selected:</w:t>
      </w:r>
    </w:p>
    <w:p>
      <w:pPr>
        <w:spacing w:before="121" w:after="734" w:line="273" w:lineRule="exact"/>
        <w:ind w:right="0" w:left="1584"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must notify the regulator of the nomination; and</w:t>
      </w:r>
    </w:p>
    <w:p>
      <w:pPr>
        <w:spacing w:before="121" w:after="734"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364</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9.1	</w:t>
      </w:r>
      <w:r>
        <w:rPr>
          <w:rFonts w:ascii="Times New Roman" w:hAnsi="Times New Roman" w:eastAsia="Times New Roman"/>
          <w:color w:val="000000"/>
          <w:spacing w:val="0"/>
          <w:w w:val="100"/>
          <w:sz w:val="20"/>
          <w:vertAlign w:val="baseline"/>
          <w:lang w:val="en-US"/>
        </w:rPr>
        <w:t xml:space="preserve">Preliminary</w:t>
      </w:r>
    </w:p>
    <w:p>
      <w:pPr>
        <w:spacing w:before="244" w:after="0" w:line="279"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(b) may do so by including it in a notification under regulation 536.</w:t>
      </w:r>
    </w:p>
    <w:p>
      <w:pPr>
        <w:numPr>
          <w:ilvl w:val="0"/>
          <w:numId w:val="893"/>
        </w:numPr>
        <w:tabs>
          <w:tab w:val="clear" w:pos="360"/>
          <w:tab w:val="left" w:pos="1368"/>
        </w:tabs>
        <w:spacing w:before="114" w:after="0" w:line="279"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selected under subregulation (3) is the </w:t>
      </w:r>
      <w:r>
        <w:rPr>
          <w:rFonts w:ascii="Times New Roman" w:hAnsi="Times New Roman" w:eastAsia="Times New Roman"/>
          <w:b w:val="true"/>
          <w:i w:val="true"/>
          <w:color w:val="000000"/>
          <w:spacing w:val="0"/>
          <w:w w:val="100"/>
          <w:sz w:val="24"/>
          <w:vertAlign w:val="baseline"/>
          <w:lang w:val="en-US"/>
        </w:rPr>
        <w:t xml:space="preserve">operator </w:t>
      </w:r>
      <w:r>
        <w:rPr>
          <w:rFonts w:ascii="Times New Roman" w:hAnsi="Times New Roman" w:eastAsia="Times New Roman"/>
          <w:color w:val="000000"/>
          <w:spacing w:val="0"/>
          <w:w w:val="100"/>
          <w:sz w:val="24"/>
          <w:vertAlign w:val="baseline"/>
          <w:lang w:val="en-US"/>
        </w:rPr>
        <w:t xml:space="preserve">of the facility for the purposes of this Chapter.</w:t>
      </w:r>
    </w:p>
    <w:p>
      <w:pPr>
        <w:numPr>
          <w:ilvl w:val="0"/>
          <w:numId w:val="893"/>
        </w:numPr>
        <w:tabs>
          <w:tab w:val="clear" w:pos="360"/>
          <w:tab w:val="left" w:pos="1368"/>
        </w:tabs>
        <w:spacing w:before="116" w:after="0" w:line="279"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a selection is not made, each of the following persons is taken to be an </w:t>
      </w:r>
      <w:r>
        <w:rPr>
          <w:rFonts w:ascii="Times New Roman" w:hAnsi="Times New Roman" w:eastAsia="Times New Roman"/>
          <w:b w:val="true"/>
          <w:i w:val="true"/>
          <w:color w:val="000000"/>
          <w:spacing w:val="0"/>
          <w:w w:val="100"/>
          <w:sz w:val="24"/>
          <w:vertAlign w:val="baseline"/>
          <w:lang w:val="en-US"/>
        </w:rPr>
        <w:t xml:space="preserve">operator </w:t>
      </w:r>
      <w:r>
        <w:rPr>
          <w:rFonts w:ascii="Times New Roman" w:hAnsi="Times New Roman" w:eastAsia="Times New Roman"/>
          <w:color w:val="000000"/>
          <w:spacing w:val="0"/>
          <w:w w:val="100"/>
          <w:sz w:val="24"/>
          <w:vertAlign w:val="baseline"/>
          <w:lang w:val="en-US"/>
        </w:rPr>
        <w:t xml:space="preserve">of the facility for the purposes of this Chapter:</w:t>
      </w:r>
    </w:p>
    <w:p>
      <w:pPr>
        <w:numPr>
          <w:ilvl w:val="0"/>
          <w:numId w:val="894"/>
        </w:numPr>
        <w:tabs>
          <w:tab w:val="clear" w:pos="360"/>
          <w:tab w:val="left" w:pos="1872"/>
        </w:tabs>
        <w:spacing w:before="112" w:after="0" w:line="279"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each operator within the meaning of subregulation (1) who is an individual;</w:t>
      </w:r>
    </w:p>
    <w:p>
      <w:pPr>
        <w:numPr>
          <w:ilvl w:val="0"/>
          <w:numId w:val="894"/>
        </w:numPr>
        <w:tabs>
          <w:tab w:val="clear" w:pos="360"/>
          <w:tab w:val="left" w:pos="1872"/>
        </w:tabs>
        <w:spacing w:before="114" w:after="0" w:line="279"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each operator within the meaning of subregulation (1) that is a body corporate—each officer of the body corporate.</w:t>
      </w:r>
    </w:p>
    <w:p>
      <w:pPr>
        <w:tabs>
          <w:tab w:val="left" w:leader="none" w:pos="864"/>
        </w:tabs>
        <w:spacing w:before="121"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534	</w:t>
      </w:r>
      <w:r>
        <w:rPr>
          <w:rFonts w:ascii="Times New Roman" w:hAnsi="Times New Roman" w:eastAsia="Times New Roman"/>
          <w:b w:val="true"/>
          <w:color w:val="000000"/>
          <w:spacing w:val="0"/>
          <w:w w:val="100"/>
          <w:sz w:val="24"/>
          <w:vertAlign w:val="baseline"/>
          <w:lang w:val="en-US"/>
        </w:rPr>
        <w:t xml:space="preserve">Meaning of </w:t>
      </w:r>
      <w:r>
        <w:rPr>
          <w:rFonts w:ascii="Times New Roman" w:hAnsi="Times New Roman" w:eastAsia="Times New Roman"/>
          <w:b w:val="true"/>
          <w:i w:val="true"/>
          <w:color w:val="000000"/>
          <w:spacing w:val="0"/>
          <w:w w:val="100"/>
          <w:sz w:val="24"/>
          <w:vertAlign w:val="baseline"/>
          <w:lang w:val="en-US"/>
        </w:rPr>
        <w:t xml:space="preserve">modification </w:t>
      </w:r>
      <w:r>
        <w:rPr>
          <w:rFonts w:ascii="Times New Roman" w:hAnsi="Times New Roman" w:eastAsia="Times New Roman"/>
          <w:b w:val="true"/>
          <w:color w:val="000000"/>
          <w:spacing w:val="0"/>
          <w:w w:val="100"/>
          <w:sz w:val="24"/>
          <w:vertAlign w:val="baseline"/>
          <w:lang w:val="en-US"/>
        </w:rPr>
        <w:t xml:space="preserve">of a facility</w:t>
      </w:r>
    </w:p>
    <w:p>
      <w:pPr>
        <w:spacing w:before="125" w:after="0" w:line="273"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In these Regulations, a reference to a </w:t>
      </w:r>
      <w:r>
        <w:rPr>
          <w:rFonts w:ascii="Times New Roman" w:hAnsi="Times New Roman" w:eastAsia="Times New Roman"/>
          <w:b w:val="true"/>
          <w:i w:val="true"/>
          <w:color w:val="000000"/>
          <w:spacing w:val="0"/>
          <w:w w:val="100"/>
          <w:sz w:val="24"/>
          <w:vertAlign w:val="baseline"/>
          <w:lang w:val="en-US"/>
        </w:rPr>
        <w:t xml:space="preserve">modification </w:t>
      </w:r>
      <w:r>
        <w:rPr>
          <w:rFonts w:ascii="Times New Roman" w:hAnsi="Times New Roman" w:eastAsia="Times New Roman"/>
          <w:color w:val="000000"/>
          <w:spacing w:val="0"/>
          <w:w w:val="100"/>
          <w:sz w:val="24"/>
          <w:vertAlign w:val="baseline"/>
          <w:lang w:val="en-US"/>
        </w:rPr>
        <w:t xml:space="preserve">of a major hazard facility is a reference to a change or proposed change at the major hazard facility that has or would have the effect of:</w:t>
      </w:r>
    </w:p>
    <w:p>
      <w:pPr>
        <w:numPr>
          <w:ilvl w:val="0"/>
          <w:numId w:val="895"/>
        </w:numPr>
        <w:tabs>
          <w:tab w:val="clear" w:pos="360"/>
          <w:tab w:val="left" w:pos="1872"/>
        </w:tabs>
        <w:spacing w:before="124" w:after="0" w:line="274"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creating a major incident hazard that has not previously been identified; or</w:t>
      </w:r>
    </w:p>
    <w:p>
      <w:pPr>
        <w:numPr>
          <w:ilvl w:val="0"/>
          <w:numId w:val="895"/>
        </w:numPr>
        <w:tabs>
          <w:tab w:val="clear" w:pos="360"/>
          <w:tab w:val="left" w:pos="1872"/>
        </w:tabs>
        <w:spacing w:before="124" w:after="0" w:line="274"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significantly increasing the likelihood of a major incident occurring; or</w:t>
      </w:r>
    </w:p>
    <w:p>
      <w:pPr>
        <w:numPr>
          <w:ilvl w:val="0"/>
          <w:numId w:val="895"/>
        </w:numPr>
        <w:tabs>
          <w:tab w:val="clear" w:pos="360"/>
          <w:tab w:val="left" w:pos="1872"/>
        </w:tabs>
        <w:spacing w:before="124" w:after="0" w:line="274"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relation to a major incident that may occur—significantly increasing:</w:t>
      </w:r>
    </w:p>
    <w:p>
      <w:pPr>
        <w:numPr>
          <w:ilvl w:val="0"/>
          <w:numId w:val="896"/>
        </w:numPr>
        <w:tabs>
          <w:tab w:val="clear" w:pos="360"/>
          <w:tab w:val="left" w:pos="2376"/>
        </w:tabs>
        <w:spacing w:before="126" w:after="0" w:line="272" w:lineRule="exact"/>
        <w:ind w:right="0" w:left="2016"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its magnitude; or</w:t>
      </w:r>
    </w:p>
    <w:p>
      <w:pPr>
        <w:numPr>
          <w:ilvl w:val="0"/>
          <w:numId w:val="896"/>
        </w:numPr>
        <w:tabs>
          <w:tab w:val="clear" w:pos="360"/>
          <w:tab w:val="left" w:pos="2376"/>
        </w:tabs>
        <w:spacing w:before="122" w:after="0" w:line="272" w:lineRule="exact"/>
        <w:ind w:right="0" w:left="2016"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severity of its health and safety consequences.</w:t>
      </w:r>
    </w:p>
    <w:p>
      <w:pPr>
        <w:spacing w:before="122" w:after="0" w:line="276" w:lineRule="exact"/>
        <w:ind w:right="64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For the purposes of subregulation (1), a </w:t>
      </w:r>
      <w:r>
        <w:rPr>
          <w:rFonts w:ascii="Times New Roman" w:hAnsi="Times New Roman" w:eastAsia="Times New Roman"/>
          <w:b w:val="true"/>
          <w:i w:val="true"/>
          <w:color w:val="000000"/>
          <w:spacing w:val="0"/>
          <w:w w:val="100"/>
          <w:sz w:val="24"/>
          <w:vertAlign w:val="baseline"/>
          <w:lang w:val="en-US"/>
        </w:rPr>
        <w:t xml:space="preserve">change or proposed change </w:t>
      </w:r>
      <w:r>
        <w:rPr>
          <w:rFonts w:ascii="Times New Roman" w:hAnsi="Times New Roman" w:eastAsia="Times New Roman"/>
          <w:color w:val="000000"/>
          <w:spacing w:val="0"/>
          <w:w w:val="100"/>
          <w:sz w:val="24"/>
          <w:vertAlign w:val="baseline"/>
          <w:lang w:val="en-US"/>
        </w:rPr>
        <w:t xml:space="preserve">at a major hazard facility means a change or proposed change of any kind, including any of the following:</w:t>
      </w:r>
    </w:p>
    <w:p>
      <w:pPr>
        <w:numPr>
          <w:ilvl w:val="0"/>
          <w:numId w:val="897"/>
        </w:numPr>
        <w:tabs>
          <w:tab w:val="clear" w:pos="360"/>
          <w:tab w:val="left" w:pos="1872"/>
        </w:tabs>
        <w:spacing w:before="118"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change to any plant, structure, process or chemical or other substance used in a process, including the introduction of new plant, a new structure, a new process or a new chemical;</w:t>
      </w:r>
    </w:p>
    <w:p>
      <w:pPr>
        <w:numPr>
          <w:ilvl w:val="0"/>
          <w:numId w:val="897"/>
        </w:numPr>
        <w:tabs>
          <w:tab w:val="clear" w:pos="360"/>
          <w:tab w:val="left" w:pos="1872"/>
        </w:tabs>
        <w:spacing w:before="124" w:after="0" w:line="274"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change to the quantity of Schedule 15 chemicals present or likely to be present at the major hazard facility;</w:t>
      </w:r>
    </w:p>
    <w:p>
      <w:pPr>
        <w:numPr>
          <w:ilvl w:val="0"/>
          <w:numId w:val="897"/>
        </w:numPr>
        <w:tabs>
          <w:tab w:val="clear" w:pos="360"/>
          <w:tab w:val="left" w:pos="1872"/>
        </w:tabs>
        <w:spacing w:before="124" w:after="0" w:line="274"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change to the operation, or the nature of the operation, of the major hazard facility;</w:t>
      </w:r>
    </w:p>
    <w:p>
      <w:pPr>
        <w:numPr>
          <w:ilvl w:val="0"/>
          <w:numId w:val="897"/>
        </w:numPr>
        <w:tabs>
          <w:tab w:val="clear" w:pos="360"/>
          <w:tab w:val="left" w:pos="1872"/>
        </w:tabs>
        <w:spacing w:before="126"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change in the workers' safety role;</w:t>
      </w:r>
    </w:p>
    <w:p>
      <w:pPr>
        <w:numPr>
          <w:ilvl w:val="0"/>
          <w:numId w:val="897"/>
        </w:numPr>
        <w:tabs>
          <w:tab w:val="clear" w:pos="360"/>
          <w:tab w:val="left" w:pos="1872"/>
        </w:tabs>
        <w:spacing w:before="116" w:after="1129" w:line="278"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change to the major hazard facility's safety management system;</w:t>
      </w:r>
    </w:p>
    <w:p>
      <w:pPr>
        <w:spacing w:before="116" w:after="1129"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365</w:t>
      </w:r>
    </w:p>
    <w:p>
      <w:pPr>
        <w:sectPr>
          <w:type w:val="continuous"/>
          <w:pgSz w:w="11909" w:h="16838" w:orient="portrait"/>
          <w:pgMar w:bottom="1082" w:top="1140" w:right="5814" w:left="1975"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9.1	</w:t>
      </w:r>
      <w:r>
        <w:rPr>
          <w:rFonts w:ascii="Times New Roman" w:hAnsi="Times New Roman" w:eastAsia="Times New Roman"/>
          <w:color w:val="000000"/>
          <w:spacing w:val="0"/>
          <w:w w:val="100"/>
          <w:sz w:val="20"/>
          <w:vertAlign w:val="baseline"/>
          <w:lang w:val="en-US"/>
        </w:rPr>
        <w:t xml:space="preserve">Preliminary</w:t>
      </w:r>
    </w:p>
    <w:p>
      <w:pPr>
        <w:spacing w:before="244" w:after="0" w:line="279" w:lineRule="exact"/>
        <w:ind w:right="72" w:left="1872" w:hanging="288"/>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(f) an organisational change at the major hazard facility, including a change in its senior management.</w:t>
      </w:r>
    </w:p>
    <w:p>
      <w:pPr>
        <w:tabs>
          <w:tab w:val="left" w:leader="none" w:pos="1584"/>
        </w:tabs>
        <w:spacing w:before="246"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2	</w:t>
      </w:r>
      <w:r>
        <w:rPr>
          <w:rFonts w:ascii="Times New Roman" w:hAnsi="Times New Roman" w:eastAsia="Times New Roman"/>
          <w:b w:val="true"/>
          <w:color w:val="000000"/>
          <w:spacing w:val="0"/>
          <w:w w:val="100"/>
          <w:sz w:val="24"/>
          <w:vertAlign w:val="baseline"/>
          <w:lang w:val="en-US"/>
        </w:rPr>
        <w:t xml:space="preserve">Requirement to be licensed</w:t>
      </w:r>
    </w:p>
    <w:p>
      <w:pPr>
        <w:spacing w:before="120"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535 A major hazard facility must be licensed</w:t>
      </w:r>
    </w:p>
    <w:p>
      <w:pPr>
        <w:numPr>
          <w:ilvl w:val="0"/>
          <w:numId w:val="898"/>
        </w:numPr>
        <w:tabs>
          <w:tab w:val="clear" w:pos="360"/>
          <w:tab w:val="left" w:pos="1368"/>
        </w:tabs>
        <w:spacing w:before="115"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facility at which Schedule 15 chemicals are present or likely to be present in a quantity that exceeds their threshold quantity must be licensed under Part 9.7.</w:t>
      </w:r>
    </w:p>
    <w:p>
      <w:pPr>
        <w:spacing w:before="125"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30"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section 41 of the Act.</w:t>
      </w:r>
    </w:p>
    <w:p>
      <w:pPr>
        <w:numPr>
          <w:ilvl w:val="0"/>
          <w:numId w:val="898"/>
        </w:numPr>
        <w:tabs>
          <w:tab w:val="clear" w:pos="360"/>
          <w:tab w:val="left" w:pos="1368"/>
        </w:tabs>
        <w:spacing w:before="111" w:after="0" w:line="278" w:lineRule="exact"/>
        <w:ind w:right="50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facility that is determined to be a major hazard facility under regulation 541 must be licensed under Part 9.7.</w:t>
      </w:r>
    </w:p>
    <w:p>
      <w:pPr>
        <w:spacing w:before="125"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30"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section 41 of the Act.</w:t>
      </w:r>
    </w:p>
    <w:p>
      <w:pPr>
        <w:numPr>
          <w:ilvl w:val="0"/>
          <w:numId w:val="898"/>
        </w:numPr>
        <w:tabs>
          <w:tab w:val="clear" w:pos="360"/>
          <w:tab w:val="left" w:pos="1368"/>
        </w:tabs>
        <w:spacing w:before="115"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Despite subregulation (1) or (2), a determined major hazard facility is exempt from the requirement to be licensed during the exemption period if the operator of the major hazard facility is taken to be a suitable person to operate the facility for the purposes of Part 9.2.</w:t>
      </w:r>
    </w:p>
    <w:p>
      <w:pPr>
        <w:numPr>
          <w:ilvl w:val="0"/>
          <w:numId w:val="898"/>
        </w:numPr>
        <w:tabs>
          <w:tab w:val="clear" w:pos="360"/>
          <w:tab w:val="left" w:pos="1368"/>
        </w:tabs>
        <w:spacing w:before="116" w:after="0" w:line="278" w:lineRule="exact"/>
        <w:ind w:right="64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operator of a licensed major hazard facility must hold the licence for the major hazard facility.</w:t>
      </w:r>
    </w:p>
    <w:p>
      <w:pPr>
        <w:numPr>
          <w:ilvl w:val="0"/>
          <w:numId w:val="898"/>
        </w:numPr>
        <w:tabs>
          <w:tab w:val="clear" w:pos="360"/>
          <w:tab w:val="left" w:pos="1368"/>
        </w:tabs>
        <w:spacing w:before="120"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this regulation, </w:t>
      </w:r>
      <w:r>
        <w:rPr>
          <w:rFonts w:ascii="Times New Roman" w:hAnsi="Times New Roman" w:eastAsia="Times New Roman"/>
          <w:b w:val="true"/>
          <w:i w:val="true"/>
          <w:color w:val="000000"/>
          <w:spacing w:val="0"/>
          <w:w w:val="100"/>
          <w:sz w:val="24"/>
          <w:vertAlign w:val="baseline"/>
          <w:lang w:val="en-US"/>
        </w:rPr>
        <w:t xml:space="preserve">exemption period</w:t>
      </w:r>
      <w:r>
        <w:rPr>
          <w:rFonts w:ascii="Times New Roman" w:hAnsi="Times New Roman" w:eastAsia="Times New Roman"/>
          <w:color w:val="000000"/>
          <w:spacing w:val="0"/>
          <w:w w:val="100"/>
          <w:sz w:val="24"/>
          <w:vertAlign w:val="baseline"/>
          <w:lang w:val="en-US"/>
        </w:rPr>
        <w:t xml:space="preserve">, in relation to a determined major hazard facility, means the period beginning on the determination of the facility and ending on the first of the following to occur:</w:t>
      </w:r>
    </w:p>
    <w:p>
      <w:pPr>
        <w:numPr>
          <w:ilvl w:val="0"/>
          <w:numId w:val="899"/>
        </w:numPr>
        <w:tabs>
          <w:tab w:val="clear" w:pos="288"/>
          <w:tab w:val="left" w:pos="1872"/>
        </w:tabs>
        <w:spacing w:before="116" w:after="0" w:line="278" w:lineRule="exact"/>
        <w:ind w:right="792"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revocation of the determination of the facility under regulation 546;</w:t>
      </w:r>
    </w:p>
    <w:p>
      <w:pPr>
        <w:numPr>
          <w:ilvl w:val="0"/>
          <w:numId w:val="899"/>
        </w:numPr>
        <w:tabs>
          <w:tab w:val="clear" w:pos="288"/>
          <w:tab w:val="left" w:pos="1872"/>
        </w:tabs>
        <w:spacing w:before="118" w:after="0" w:line="276" w:lineRule="exact"/>
        <w:ind w:right="432"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end of the period for applying for a licence given under regulation 549, unless an application for a licence for the facility is made within that period;</w:t>
      </w:r>
    </w:p>
    <w:p>
      <w:pPr>
        <w:numPr>
          <w:ilvl w:val="0"/>
          <w:numId w:val="899"/>
        </w:numPr>
        <w:tabs>
          <w:tab w:val="clear" w:pos="288"/>
          <w:tab w:val="left" w:pos="1872"/>
        </w:tabs>
        <w:spacing w:before="126" w:after="0" w:line="272"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grant of a licence for the facility under Part 9.7;</w:t>
      </w:r>
    </w:p>
    <w:p>
      <w:pPr>
        <w:numPr>
          <w:ilvl w:val="0"/>
          <w:numId w:val="899"/>
        </w:numPr>
        <w:tabs>
          <w:tab w:val="clear" w:pos="288"/>
          <w:tab w:val="left" w:pos="1872"/>
        </w:tabs>
        <w:spacing w:before="116" w:after="0" w:line="278" w:lineRule="exact"/>
        <w:ind w:right="576"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regulator decides to refuse to grant a licence for the facility:</w:t>
      </w:r>
    </w:p>
    <w:p>
      <w:pPr>
        <w:numPr>
          <w:ilvl w:val="0"/>
          <w:numId w:val="900"/>
        </w:numPr>
        <w:tabs>
          <w:tab w:val="clear" w:pos="360"/>
          <w:tab w:val="left" w:pos="2376"/>
        </w:tabs>
        <w:spacing w:before="118" w:after="0" w:line="276" w:lineRule="exact"/>
        <w:ind w:right="7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end of the period for applying for an external review of that decision, unless an application for external review is made within that period; or</w:t>
      </w:r>
    </w:p>
    <w:p>
      <w:pPr>
        <w:numPr>
          <w:ilvl w:val="0"/>
          <w:numId w:val="900"/>
        </w:numPr>
        <w:tabs>
          <w:tab w:val="clear" w:pos="360"/>
          <w:tab w:val="left" w:pos="2376"/>
        </w:tabs>
        <w:spacing w:before="126" w:after="1191" w:line="272"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making of the decision on the external review.</w:t>
      </w:r>
    </w:p>
    <w:p>
      <w:pPr>
        <w:spacing w:before="126" w:after="1191" w:line="272"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366</w:t>
      </w:r>
    </w:p>
    <w:p>
      <w:pPr>
        <w:sectPr>
          <w:type w:val="continuous"/>
          <w:pgSz w:w="11909" w:h="16838" w:orient="portrait"/>
          <w:pgMar w:bottom="1082" w:top="1140" w:right="5812" w:left="1977" w:header="720" w:footer="720"/>
          <w:titlePg w:val="false"/>
          <w:textDirection w:val="lrTb"/>
        </w:sectPr>
      </w:pPr>
    </w:p>
    <w:p>
      <w:pPr>
        <w:spacing w:before="6"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5" w:after="226"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9.1	</w:t>
      </w:r>
      <w:r>
        <w:rPr>
          <w:rFonts w:ascii="Times New Roman" w:hAnsi="Times New Roman" w:eastAsia="Times New Roman"/>
          <w:color w:val="000000"/>
          <w:spacing w:val="0"/>
          <w:w w:val="100"/>
          <w:sz w:val="20"/>
          <w:vertAlign w:val="baseline"/>
          <w:lang w:val="en-US"/>
        </w:rPr>
        <w:t xml:space="preserve">Preliminary</w:t>
      </w:r>
    </w:p>
    <w:p>
      <w:pPr>
        <w:spacing w:before="255"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Notes</w:t>
      </w:r>
    </w:p>
    <w:p>
      <w:pPr>
        <w:tabs>
          <w:tab w:val="left" w:leader="none" w:pos="1296"/>
        </w:tabs>
        <w:spacing w:before="125" w:after="0" w:line="226"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The licensing process is provided for in Part 9.7.</w:t>
      </w:r>
    </w:p>
    <w:p>
      <w:pPr>
        <w:tabs>
          <w:tab w:val="left" w:leader="none" w:pos="1296"/>
        </w:tabs>
        <w:spacing w:before="125" w:after="0" w:line="226"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Under Part 9.2, an operator of a determined major hazard facility is taken to be a</w:t>
      </w:r>
    </w:p>
    <w:p>
      <w:pPr>
        <w:spacing w:before="4" w:after="0" w:line="226"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suitable operator if no determination is made under regulation 543.</w:t>
      </w:r>
    </w:p>
    <w:p>
      <w:pPr>
        <w:tabs>
          <w:tab w:val="left" w:leader="none" w:pos="1296"/>
        </w:tabs>
        <w:spacing w:before="122" w:after="0" w:line="228" w:lineRule="exact"/>
        <w:ind w:right="72" w:left="1296" w:hanging="432"/>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	</w:t>
      </w:r>
      <w:r>
        <w:rPr>
          <w:rFonts w:ascii="Times New Roman" w:hAnsi="Times New Roman" w:eastAsia="Times New Roman"/>
          <w:color w:val="000000"/>
          <w:spacing w:val="0"/>
          <w:w w:val="100"/>
          <w:sz w:val="20"/>
          <w:vertAlign w:val="baseline"/>
          <w:lang w:val="en-US"/>
        </w:rPr>
        <w:t xml:space="preserve">Under Part 9.3 the operator of a determined major hazard facility is given a limited time to prepare the major hazard facility to be licensed, including by preparing a safety case.</w:t>
      </w:r>
    </w:p>
    <w:p>
      <w:pPr>
        <w:tabs>
          <w:tab w:val="left" w:leader="none" w:pos="1296"/>
        </w:tabs>
        <w:spacing w:before="122" w:after="0" w:line="230" w:lineRule="exact"/>
        <w:ind w:right="216" w:left="1296" w:hanging="432"/>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	</w:t>
      </w:r>
      <w:r>
        <w:rPr>
          <w:rFonts w:ascii="Times New Roman" w:hAnsi="Times New Roman" w:eastAsia="Times New Roman"/>
          <w:color w:val="000000"/>
          <w:spacing w:val="0"/>
          <w:w w:val="100"/>
          <w:sz w:val="20"/>
          <w:vertAlign w:val="baseline"/>
          <w:lang w:val="en-US"/>
        </w:rPr>
        <w:t xml:space="preserve">Part 9.2 provides for the notification and determination of facilities and operators of facilities. The purpose of notification is to enable the regulator to determine whether:</w:t>
      </w:r>
    </w:p>
    <w:p>
      <w:pPr>
        <w:numPr>
          <w:ilvl w:val="0"/>
          <w:numId w:val="901"/>
        </w:numPr>
        <w:tabs>
          <w:tab w:val="clear" w:pos="288"/>
          <w:tab w:val="left" w:pos="1872"/>
        </w:tabs>
        <w:spacing w:before="124" w:after="0" w:line="226" w:lineRule="exact"/>
        <w:ind w:right="0" w:left="158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facility or proposed facility is a major hazard facility; and</w:t>
      </w:r>
    </w:p>
    <w:p>
      <w:pPr>
        <w:numPr>
          <w:ilvl w:val="0"/>
          <w:numId w:val="901"/>
        </w:numPr>
        <w:tabs>
          <w:tab w:val="clear" w:pos="288"/>
          <w:tab w:val="left" w:pos="1872"/>
        </w:tabs>
        <w:spacing w:before="124" w:after="0" w:line="226" w:lineRule="exact"/>
        <w:ind w:right="0" w:left="158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the operator of a determined major hazard facility is a suitable person to:</w:t>
      </w:r>
    </w:p>
    <w:p>
      <w:pPr>
        <w:numPr>
          <w:ilvl w:val="0"/>
          <w:numId w:val="902"/>
        </w:numPr>
        <w:tabs>
          <w:tab w:val="clear" w:pos="288"/>
          <w:tab w:val="left" w:pos="2376"/>
        </w:tabs>
        <w:spacing w:before="121" w:after="0" w:line="230" w:lineRule="exact"/>
        <w:ind w:right="72" w:left="2376" w:hanging="288"/>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operate the facility while the determination under paragraph (a) is in force; and</w:t>
      </w:r>
    </w:p>
    <w:p>
      <w:pPr>
        <w:numPr>
          <w:ilvl w:val="0"/>
          <w:numId w:val="902"/>
        </w:numPr>
        <w:tabs>
          <w:tab w:val="clear" w:pos="288"/>
          <w:tab w:val="left" w:pos="2376"/>
        </w:tabs>
        <w:spacing w:before="125" w:after="7810" w:line="226" w:lineRule="exact"/>
        <w:ind w:right="0" w:left="2376" w:hanging="288"/>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apply for a licence for the facility.</w:t>
      </w:r>
    </w:p>
    <w:p>
      <w:pPr>
        <w:spacing w:before="333"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1.05pt,0.3pt" style="position:absolute;mso-position-horizontal-relative:text;mso-position-vertical-relative:text;">
            <v:stroke dashstyle="solid"/>
          </v:line>
        </w:pict>
      </w:r>
    </w:p>
    <w:p>
      <w:pPr>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367</w:t>
      </w:r>
    </w:p>
    <w:p>
      <w:pPr>
        <w:sectPr>
          <w:type w:val="continuous"/>
          <w:pgSz w:w="11909" w:h="16838" w:orient="portrait"/>
          <w:pgMar w:bottom="1082" w:top="1140" w:right="5812" w:left="1977" w:header="720" w:footer="720"/>
          <w:titlePg w:val="false"/>
          <w:textDirection w:val="lrTb"/>
        </w:sectPr>
      </w:pPr>
    </w:p>
    <w:p>
      <w:pPr>
        <w:spacing w:before="6"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2" w:after="223"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9.2	</w:t>
      </w:r>
      <w:r>
        <w:rPr>
          <w:rFonts w:ascii="Times New Roman" w:hAnsi="Times New Roman" w:eastAsia="Times New Roman"/>
          <w:color w:val="000000"/>
          <w:spacing w:val="0"/>
          <w:w w:val="100"/>
          <w:sz w:val="20"/>
          <w:vertAlign w:val="baseline"/>
          <w:lang w:val="en-US"/>
        </w:rPr>
        <w:t xml:space="preserve">Determinations about Major Hazard Facilities</w:t>
      </w:r>
    </w:p>
    <w:p>
      <w:pPr>
        <w:spacing w:before="258" w:after="0" w:line="317" w:lineRule="exact"/>
        <w:ind w:right="0" w:left="0" w:firstLine="0"/>
        <w:jc w:val="left"/>
        <w:textAlignment w:val="baseline"/>
        <w:rPr>
          <w:rFonts w:ascii="Times New Roman" w:hAnsi="Times New Roman" w:eastAsia="Times New Roman"/>
          <w:b w:val="true"/>
          <w:color w:val="000000"/>
          <w:spacing w:val="4"/>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4"/>
          <w:w w:val="100"/>
          <w:sz w:val="28"/>
          <w:vertAlign w:val="baseline"/>
          <w:lang w:val="en-US"/>
        </w:rPr>
        <w:t xml:space="preserve">Part 9.2 Determinations about Major Hazard Facilities</w:t>
      </w:r>
    </w:p>
    <w:p>
      <w:pPr>
        <w:spacing w:before="118"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536 Operators of certain facilities must notify regulator</w:t>
      </w:r>
    </w:p>
    <w:p>
      <w:pPr>
        <w:numPr>
          <w:ilvl w:val="0"/>
          <w:numId w:val="903"/>
        </w:numPr>
        <w:tabs>
          <w:tab w:val="clear" w:pos="360"/>
          <w:tab w:val="left" w:pos="1368"/>
        </w:tabs>
        <w:spacing w:before="123" w:after="0" w:line="275"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operator of a facility at which Schedule 15 chemicals are present or likely to be present in a quantity that exceeds 10% of their threshold quantity must notify the regulator of this circumstance in accordance with this Part.</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903"/>
        </w:numPr>
        <w:tabs>
          <w:tab w:val="clear" w:pos="360"/>
          <w:tab w:val="left" w:pos="1368"/>
        </w:tabs>
        <w:spacing w:before="121" w:after="0" w:line="273"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Notification must be given:</w:t>
      </w:r>
    </w:p>
    <w:p>
      <w:pPr>
        <w:numPr>
          <w:ilvl w:val="0"/>
          <w:numId w:val="904"/>
        </w:numPr>
        <w:tabs>
          <w:tab w:val="clear" w:pos="360"/>
          <w:tab w:val="left" w:pos="1872"/>
        </w:tabs>
        <w:spacing w:before="124" w:after="0" w:line="275"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as soon as practicable (but not more than 3 months) after the operator becomes aware, or ought reasonably to have become aware, of the circumstance giving rise to the requirement to notify; or</w:t>
      </w:r>
    </w:p>
    <w:p>
      <w:pPr>
        <w:numPr>
          <w:ilvl w:val="0"/>
          <w:numId w:val="904"/>
        </w:numPr>
        <w:tabs>
          <w:tab w:val="clear" w:pos="360"/>
          <w:tab w:val="left" w:pos="1872"/>
        </w:tabs>
        <w:spacing w:before="122" w:after="0" w:line="276" w:lineRule="exact"/>
        <w:ind w:right="64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within any longer period that the regulator determines if satisfied on application by the operator that there is a reasonable excuse for the delayed notification.</w:t>
      </w:r>
    </w:p>
    <w:p>
      <w:pPr>
        <w:spacing w:before="124"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30" w:lineRule="exact"/>
        <w:ind w:right="432"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section 268 of the Act for offences relating to the giving of false or misleading information under the Act or these Regulations.</w:t>
      </w:r>
    </w:p>
    <w:p>
      <w:pPr>
        <w:spacing w:before="118"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537 Notification—proposed facilities</w:t>
      </w:r>
    </w:p>
    <w:p>
      <w:pPr>
        <w:spacing w:before="117" w:after="0" w:line="276" w:lineRule="exact"/>
        <w:ind w:right="144"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(1) The operator of a proposed facility at which Schedule 15 chemicals are likely to be present in a quantity that exceeds 10% of their threshold quantity may notify the regulator of this circumstance.</w:t>
      </w:r>
    </w:p>
    <w:p>
      <w:pPr>
        <w:spacing w:before="129"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Notes</w:t>
      </w:r>
    </w:p>
    <w:p>
      <w:pPr>
        <w:tabs>
          <w:tab w:val="left" w:leader="none" w:pos="1800"/>
        </w:tabs>
        <w:spacing w:before="123" w:after="0" w:line="232" w:lineRule="exact"/>
        <w:ind w:right="0" w:left="1368"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1	</w:t>
      </w:r>
      <w:r>
        <w:rPr>
          <w:rFonts w:ascii="Times New Roman" w:hAnsi="Times New Roman" w:eastAsia="Times New Roman"/>
          <w:color w:val="000000"/>
          <w:spacing w:val="-1"/>
          <w:w w:val="100"/>
          <w:sz w:val="20"/>
          <w:vertAlign w:val="baseline"/>
          <w:lang w:val="en-US"/>
        </w:rPr>
        <w:t xml:space="preserve">See definition of </w:t>
      </w:r>
      <w:r>
        <w:rPr>
          <w:rFonts w:ascii="Times New Roman" w:hAnsi="Times New Roman" w:eastAsia="Times New Roman"/>
          <w:b w:val="true"/>
          <w:i w:val="true"/>
          <w:color w:val="000000"/>
          <w:spacing w:val="-1"/>
          <w:w w:val="100"/>
          <w:sz w:val="21"/>
          <w:vertAlign w:val="baseline"/>
          <w:lang w:val="en-US"/>
        </w:rPr>
        <w:t xml:space="preserve">proposed facility </w:t>
      </w:r>
      <w:r>
        <w:rPr>
          <w:rFonts w:ascii="Times New Roman" w:hAnsi="Times New Roman" w:eastAsia="Times New Roman"/>
          <w:color w:val="000000"/>
          <w:spacing w:val="-1"/>
          <w:w w:val="100"/>
          <w:sz w:val="20"/>
          <w:vertAlign w:val="baseline"/>
          <w:lang w:val="en-US"/>
        </w:rPr>
        <w:t xml:space="preserve">in regulation 5(1).</w:t>
      </w:r>
    </w:p>
    <w:p>
      <w:pPr>
        <w:tabs>
          <w:tab w:val="left" w:leader="none" w:pos="1800"/>
        </w:tabs>
        <w:spacing w:before="118" w:after="0" w:line="232" w:lineRule="exact"/>
        <w:ind w:right="0" w:left="1368"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2	</w:t>
      </w:r>
      <w:r>
        <w:rPr>
          <w:rFonts w:ascii="Times New Roman" w:hAnsi="Times New Roman" w:eastAsia="Times New Roman"/>
          <w:color w:val="000000"/>
          <w:spacing w:val="-1"/>
          <w:w w:val="100"/>
          <w:sz w:val="20"/>
          <w:vertAlign w:val="baseline"/>
          <w:lang w:val="en-US"/>
        </w:rPr>
        <w:t xml:space="preserve">For the meaning of </w:t>
      </w:r>
      <w:r>
        <w:rPr>
          <w:rFonts w:ascii="Times New Roman" w:hAnsi="Times New Roman" w:eastAsia="Times New Roman"/>
          <w:b w:val="true"/>
          <w:i w:val="true"/>
          <w:color w:val="000000"/>
          <w:spacing w:val="-1"/>
          <w:w w:val="100"/>
          <w:sz w:val="21"/>
          <w:vertAlign w:val="baseline"/>
          <w:lang w:val="en-US"/>
        </w:rPr>
        <w:t xml:space="preserve">likely to be present</w:t>
      </w:r>
      <w:r>
        <w:rPr>
          <w:rFonts w:ascii="Times New Roman" w:hAnsi="Times New Roman" w:eastAsia="Times New Roman"/>
          <w:color w:val="000000"/>
          <w:spacing w:val="-1"/>
          <w:w w:val="100"/>
          <w:sz w:val="20"/>
          <w:vertAlign w:val="baseline"/>
          <w:lang w:val="en-US"/>
        </w:rPr>
        <w:t xml:space="preserve">, see regulation 532.</w:t>
      </w:r>
    </w:p>
    <w:p>
      <w:pPr>
        <w:spacing w:before="116" w:after="0" w:line="274"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Any notification under this regulation must include the information required by regulation 538 (with any necessary changes).</w:t>
      </w:r>
    </w:p>
    <w:p>
      <w:pPr>
        <w:spacing w:before="125" w:after="0" w:line="274"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538 Content of notification</w:t>
      </w:r>
    </w:p>
    <w:p>
      <w:pPr>
        <w:numPr>
          <w:ilvl w:val="0"/>
          <w:numId w:val="905"/>
        </w:numPr>
        <w:tabs>
          <w:tab w:val="clear" w:pos="360"/>
          <w:tab w:val="left" w:pos="1368"/>
        </w:tabs>
        <w:spacing w:before="119" w:after="0" w:line="274" w:lineRule="exact"/>
        <w:ind w:right="432"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notification under regulation 536 must be made in the manner and form required by the regulator.</w:t>
      </w:r>
    </w:p>
    <w:p>
      <w:pPr>
        <w:numPr>
          <w:ilvl w:val="0"/>
          <w:numId w:val="905"/>
        </w:numPr>
        <w:tabs>
          <w:tab w:val="clear" w:pos="360"/>
          <w:tab w:val="left" w:pos="1368"/>
        </w:tabs>
        <w:spacing w:before="125" w:after="0" w:line="273" w:lineRule="exact"/>
        <w:ind w:right="0"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notification must include the following:</w:t>
      </w:r>
    </w:p>
    <w:p>
      <w:pPr>
        <w:spacing w:before="116" w:after="998" w:line="278" w:lineRule="exact"/>
        <w:ind w:right="648"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information about the facility, including the nature of its operations;</w:t>
      </w:r>
    </w:p>
    <w:p>
      <w:pPr>
        <w:spacing w:before="116" w:after="998"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368</w:t>
      </w:r>
    </w:p>
    <w:p>
      <w:pPr>
        <w:sectPr>
          <w:type w:val="continuous"/>
          <w:pgSz w:w="11909" w:h="16838" w:orient="portrait"/>
          <w:pgMar w:bottom="1082" w:top="1140" w:right="5814" w:left="1975"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9.2	</w:t>
      </w:r>
      <w:r>
        <w:rPr>
          <w:rFonts w:ascii="Times New Roman" w:hAnsi="Times New Roman" w:eastAsia="Times New Roman"/>
          <w:color w:val="000000"/>
          <w:spacing w:val="0"/>
          <w:w w:val="100"/>
          <w:sz w:val="20"/>
          <w:vertAlign w:val="baseline"/>
          <w:lang w:val="en-US"/>
        </w:rPr>
        <w:t xml:space="preserve">Determinations about Major Hazard Facilities</w:t>
      </w:r>
    </w:p>
    <w:p>
      <w:pPr>
        <w:spacing w:before="244" w:after="0" w:line="279" w:lineRule="exact"/>
        <w:ind w:right="72" w:left="1944" w:hanging="432"/>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(b) information about the operator, including the matters specified in subregulation (3);</w:t>
      </w:r>
    </w:p>
    <w:p>
      <w:pPr>
        <w:spacing w:before="114" w:after="0" w:line="279" w:lineRule="exact"/>
        <w:ind w:right="144" w:left="1944"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information about the Schedule 15 chemicals present or likely to be present at the facility;</w:t>
      </w:r>
    </w:p>
    <w:p>
      <w:pPr>
        <w:spacing w:before="114" w:after="0" w:line="279" w:lineRule="exact"/>
        <w:ind w:right="360" w:left="1944" w:hanging="432"/>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the nomination of a contact person with whom the regulator can communicate for the purposes of:</w:t>
      </w:r>
    </w:p>
    <w:p>
      <w:pPr>
        <w:numPr>
          <w:ilvl w:val="0"/>
          <w:numId w:val="906"/>
        </w:numPr>
        <w:tabs>
          <w:tab w:val="clear" w:pos="432"/>
          <w:tab w:val="left" w:pos="2376"/>
        </w:tabs>
        <w:spacing w:before="121" w:after="0" w:line="272"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Part; and</w:t>
      </w:r>
    </w:p>
    <w:p>
      <w:pPr>
        <w:numPr>
          <w:ilvl w:val="0"/>
          <w:numId w:val="906"/>
        </w:numPr>
        <w:tabs>
          <w:tab w:val="clear" w:pos="432"/>
          <w:tab w:val="left" w:pos="2376"/>
        </w:tabs>
        <w:spacing w:before="127" w:after="0" w:line="272"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licensing process;</w:t>
      </w:r>
    </w:p>
    <w:p>
      <w:pPr>
        <w:spacing w:before="23" w:after="0" w:line="360" w:lineRule="exact"/>
        <w:ind w:right="1080" w:left="1368" w:firstLine="14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 any additional information required by the regulator. </w:t>
      </w:r>
      <w:r>
        <w:rPr>
          <w:rFonts w:ascii="Times New Roman" w:hAnsi="Times New Roman" w:eastAsia="Times New Roman"/>
          <w:b w:val="true"/>
          <w:color w:val="000000"/>
          <w:spacing w:val="0"/>
          <w:w w:val="100"/>
          <w:sz w:val="20"/>
          <w:vertAlign w:val="baseline"/>
          <w:lang w:val="en-US"/>
        </w:rPr>
        <w:t xml:space="preserve">Note</w:t>
      </w:r>
    </w:p>
    <w:p>
      <w:pPr>
        <w:spacing w:before="126" w:after="0" w:line="230" w:lineRule="exact"/>
        <w:ind w:right="864"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section 268 of the Act for offences relating to the giving of false or misleading information under the Act or these Regulations.</w:t>
      </w:r>
    </w:p>
    <w:p>
      <w:pPr>
        <w:spacing w:before="110" w:after="0" w:line="279"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information given under subregulation (2)(b) must include the following:</w:t>
      </w:r>
    </w:p>
    <w:p>
      <w:pPr>
        <w:numPr>
          <w:ilvl w:val="0"/>
          <w:numId w:val="907"/>
        </w:numPr>
        <w:tabs>
          <w:tab w:val="clear" w:pos="432"/>
          <w:tab w:val="left" w:pos="1944"/>
        </w:tabs>
        <w:spacing w:before="121" w:after="0" w:line="272" w:lineRule="exact"/>
        <w:ind w:right="0" w:left="1944" w:hanging="432"/>
        <w:jc w:val="left"/>
        <w:textAlignment w:val="baseline"/>
        <w:rPr>
          <w:rFonts w:ascii="Times New Roman" w:hAnsi="Times New Roman" w:eastAsia="Times New Roman"/>
          <w:color w:val="000000"/>
          <w:spacing w:val="-2"/>
          <w:w w:val="100"/>
          <w:sz w:val="24"/>
          <w:vertAlign w:val="baseline"/>
          <w:lang w:val="en-US"/>
        </w:rPr>
      </w:pPr>
      <w:r>
        <w:rPr>
          <w:rFonts w:ascii="Times New Roman" w:hAnsi="Times New Roman" w:eastAsia="Times New Roman"/>
          <w:color w:val="000000"/>
          <w:spacing w:val="-2"/>
          <w:w w:val="100"/>
          <w:sz w:val="24"/>
          <w:vertAlign w:val="baseline"/>
          <w:lang w:val="en-US"/>
        </w:rPr>
        <w:t xml:space="preserve">the operator's name;</w:t>
      </w:r>
    </w:p>
    <w:p>
      <w:pPr>
        <w:numPr>
          <w:ilvl w:val="0"/>
          <w:numId w:val="907"/>
        </w:numPr>
        <w:tabs>
          <w:tab w:val="clear" w:pos="432"/>
          <w:tab w:val="left" w:pos="1944"/>
        </w:tabs>
        <w:spacing w:before="127" w:after="0" w:line="272" w:lineRule="exact"/>
        <w:ind w:right="0" w:left="1944"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whether or not the operator is a body corporate;</w:t>
      </w:r>
    </w:p>
    <w:p>
      <w:pPr>
        <w:numPr>
          <w:ilvl w:val="0"/>
          <w:numId w:val="907"/>
        </w:numPr>
        <w:tabs>
          <w:tab w:val="clear" w:pos="432"/>
          <w:tab w:val="left" w:pos="1944"/>
        </w:tabs>
        <w:spacing w:before="114" w:after="0" w:line="279" w:lineRule="exact"/>
        <w:ind w:right="360" w:left="1944" w:hanging="432"/>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other evidence of the operator's identity required by the regulator;</w:t>
      </w:r>
    </w:p>
    <w:p>
      <w:pPr>
        <w:numPr>
          <w:ilvl w:val="0"/>
          <w:numId w:val="907"/>
        </w:numPr>
        <w:tabs>
          <w:tab w:val="clear" w:pos="432"/>
          <w:tab w:val="left" w:pos="1944"/>
        </w:tabs>
        <w:spacing w:before="121" w:after="0" w:line="272" w:lineRule="exact"/>
        <w:ind w:right="0" w:left="1944" w:hanging="432"/>
        <w:jc w:val="both"/>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if the operator is an individual:</w:t>
      </w:r>
    </w:p>
    <w:p>
      <w:pPr>
        <w:numPr>
          <w:ilvl w:val="0"/>
          <w:numId w:val="908"/>
        </w:numPr>
        <w:tabs>
          <w:tab w:val="clear" w:pos="432"/>
          <w:tab w:val="left" w:pos="2376"/>
        </w:tabs>
        <w:spacing w:before="124" w:after="0" w:line="275" w:lineRule="exact"/>
        <w:ind w:right="216"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declaration as to whether or not the operator has ever been convicted or found guilty of any offence under the Act or these Regulations or under any corresponding WHS law; and</w:t>
      </w:r>
    </w:p>
    <w:p>
      <w:pPr>
        <w:spacing w:before="130" w:after="0" w:line="225" w:lineRule="exact"/>
        <w:ind w:right="0" w:left="2376"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30" w:lineRule="exact"/>
        <w:ind w:right="0" w:left="237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numPr>
          <w:ilvl w:val="0"/>
          <w:numId w:val="908"/>
        </w:numPr>
        <w:tabs>
          <w:tab w:val="clear" w:pos="432"/>
          <w:tab w:val="left" w:pos="2376"/>
        </w:tabs>
        <w:spacing w:before="115" w:after="0" w:line="274" w:lineRule="exact"/>
        <w:ind w:right="576"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details of any conviction or finding of guilt declared under subparagraph (i); and</w:t>
      </w:r>
    </w:p>
    <w:p>
      <w:pPr>
        <w:numPr>
          <w:ilvl w:val="0"/>
          <w:numId w:val="908"/>
        </w:numPr>
        <w:tabs>
          <w:tab w:val="clear" w:pos="432"/>
          <w:tab w:val="left" w:pos="2376"/>
        </w:tabs>
        <w:spacing w:before="122" w:after="0" w:line="276" w:lineRule="exact"/>
        <w:ind w:right="144"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declaration as to whether or not the operator has ever entered into an enforceable undertaking under the Act or under any corresponding WHS law; and</w:t>
      </w:r>
    </w:p>
    <w:p>
      <w:pPr>
        <w:numPr>
          <w:ilvl w:val="0"/>
          <w:numId w:val="908"/>
        </w:numPr>
        <w:tabs>
          <w:tab w:val="clear" w:pos="432"/>
          <w:tab w:val="left" w:pos="2376"/>
        </w:tabs>
        <w:spacing w:before="120" w:after="0" w:line="274" w:lineRule="exact"/>
        <w:ind w:right="432"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details of any enforceable undertaking declared under subparagraph (iii); and</w:t>
      </w:r>
    </w:p>
    <w:p>
      <w:pPr>
        <w:numPr>
          <w:ilvl w:val="0"/>
          <w:numId w:val="908"/>
        </w:numPr>
        <w:tabs>
          <w:tab w:val="clear" w:pos="432"/>
          <w:tab w:val="left" w:pos="2376"/>
        </w:tabs>
        <w:spacing w:before="122" w:after="1119" w:line="276" w:lineRule="exact"/>
        <w:ind w:right="72" w:left="2376" w:hanging="432"/>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if the operator has previously been refused a major hazard facility licence under a corresponding WHS law, a declaration giving details of that refusal; and</w:t>
      </w:r>
    </w:p>
    <w:p>
      <w:pPr>
        <w:spacing w:before="122" w:after="1119"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369</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9.2	</w:t>
      </w:r>
      <w:r>
        <w:rPr>
          <w:rFonts w:ascii="Times New Roman" w:hAnsi="Times New Roman" w:eastAsia="Times New Roman"/>
          <w:color w:val="000000"/>
          <w:spacing w:val="0"/>
          <w:w w:val="100"/>
          <w:sz w:val="20"/>
          <w:vertAlign w:val="baseline"/>
          <w:lang w:val="en-US"/>
        </w:rPr>
        <w:t xml:space="preserve">Determinations about Major Hazard Facilities</w:t>
      </w:r>
    </w:p>
    <w:p>
      <w:pPr>
        <w:spacing w:before="245" w:after="0" w:line="279" w:lineRule="exact"/>
        <w:ind w:right="72" w:left="2376" w:hanging="504"/>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(vi) if the operator has previously held a major hazard facility licence under a corresponding WHS law, a declaration:</w:t>
      </w:r>
    </w:p>
    <w:p>
      <w:pPr>
        <w:numPr>
          <w:ilvl w:val="0"/>
          <w:numId w:val="909"/>
        </w:numPr>
        <w:tabs>
          <w:tab w:val="clear" w:pos="432"/>
          <w:tab w:val="left" w:pos="2952"/>
        </w:tabs>
        <w:spacing w:before="114" w:after="0" w:line="279" w:lineRule="exact"/>
        <w:ind w:right="288" w:left="2952"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describing any condition imposed on that licence; and</w:t>
      </w:r>
    </w:p>
    <w:p>
      <w:pPr>
        <w:numPr>
          <w:ilvl w:val="0"/>
          <w:numId w:val="909"/>
        </w:numPr>
        <w:tabs>
          <w:tab w:val="clear" w:pos="432"/>
          <w:tab w:val="left" w:pos="2952"/>
        </w:tabs>
        <w:spacing w:before="116" w:after="0" w:line="277" w:lineRule="exact"/>
        <w:ind w:right="72" w:left="2952"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stating whether or not that licence had been suspended or cancelled and, if so, whether or not the operator had been disqualified from applying for a major hazard facility licence; and</w:t>
      </w:r>
    </w:p>
    <w:p>
      <w:pPr>
        <w:numPr>
          <w:ilvl w:val="0"/>
          <w:numId w:val="909"/>
        </w:numPr>
        <w:tabs>
          <w:tab w:val="clear" w:pos="432"/>
          <w:tab w:val="left" w:pos="2952"/>
        </w:tabs>
        <w:spacing w:before="114" w:after="0" w:line="279" w:lineRule="exact"/>
        <w:ind w:right="432" w:left="2952"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giving details of any suspension, cancellation or disqualification;</w:t>
      </w:r>
    </w:p>
    <w:p>
      <w:pPr>
        <w:spacing w:before="114" w:after="0" w:line="279" w:lineRule="exact"/>
        <w:ind w:right="7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 if the operator is a body corporate, the information specified in paragraph (d) in relation to:</w:t>
      </w:r>
    </w:p>
    <w:p>
      <w:pPr>
        <w:numPr>
          <w:ilvl w:val="0"/>
          <w:numId w:val="910"/>
        </w:numPr>
        <w:tabs>
          <w:tab w:val="clear" w:pos="360"/>
          <w:tab w:val="left" w:pos="2376"/>
        </w:tabs>
        <w:spacing w:before="120" w:after="0" w:line="273" w:lineRule="exact"/>
        <w:ind w:right="0" w:left="2016"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operator; and</w:t>
      </w:r>
    </w:p>
    <w:p>
      <w:pPr>
        <w:numPr>
          <w:ilvl w:val="0"/>
          <w:numId w:val="910"/>
        </w:numPr>
        <w:tabs>
          <w:tab w:val="clear" w:pos="360"/>
          <w:tab w:val="left" w:pos="2376"/>
        </w:tabs>
        <w:spacing w:before="121" w:after="0" w:line="273" w:lineRule="exact"/>
        <w:ind w:right="0" w:left="2016"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each officer of the operator.</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The notification must be accompanied by the relevant fee.</w:t>
      </w:r>
    </w:p>
    <w:p>
      <w:pPr>
        <w:spacing w:before="121"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539 When regulator may conduct inquiry</w:t>
      </w:r>
    </w:p>
    <w:p>
      <w:pPr>
        <w:spacing w:before="121" w:after="0" w:line="276" w:lineRule="exact"/>
        <w:ind w:right="36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may conduct an inquiry under this Division if a notification under regulation 536 or 537 discloses, or if for some other reason the regulator reasonably suspects, that:</w:t>
      </w:r>
    </w:p>
    <w:p>
      <w:pPr>
        <w:numPr>
          <w:ilvl w:val="0"/>
          <w:numId w:val="911"/>
        </w:numPr>
        <w:tabs>
          <w:tab w:val="clear" w:pos="360"/>
          <w:tab w:val="left" w:pos="1872"/>
        </w:tabs>
        <w:spacing w:before="120"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quantity of Schedule 15 chemicals present or likely to be present at a facility (or proposed facility) exceeds 10% of their threshold quantity but does not exceed their threshold quantity; or</w:t>
      </w:r>
    </w:p>
    <w:p>
      <w:pPr>
        <w:numPr>
          <w:ilvl w:val="0"/>
          <w:numId w:val="911"/>
        </w:numPr>
        <w:tabs>
          <w:tab w:val="clear" w:pos="360"/>
          <w:tab w:val="left" w:pos="1872"/>
        </w:tabs>
        <w:spacing w:before="116" w:after="0" w:line="278"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operator of the facility (or proposed facility) may not be a suitable person to operate the facility (or proposed facility).</w:t>
      </w:r>
    </w:p>
    <w:p>
      <w:pPr>
        <w:spacing w:before="121" w:after="0" w:line="274" w:lineRule="exact"/>
        <w:ind w:right="0" w:left="288" w:firstLine="0"/>
        <w:jc w:val="left"/>
        <w:textAlignment w:val="baseline"/>
        <w:rPr>
          <w:rFonts w:ascii="Times New Roman" w:hAnsi="Times New Roman" w:eastAsia="Times New Roman"/>
          <w:b w:val="true"/>
          <w:color w:val="000000"/>
          <w:spacing w:val="6"/>
          <w:w w:val="100"/>
          <w:sz w:val="24"/>
          <w:vertAlign w:val="baseline"/>
          <w:lang w:val="en-US"/>
        </w:rPr>
      </w:pPr>
      <w:r>
        <w:rPr>
          <w:rFonts w:ascii="Times New Roman" w:hAnsi="Times New Roman" w:eastAsia="Times New Roman"/>
          <w:b w:val="true"/>
          <w:color w:val="000000"/>
          <w:spacing w:val="6"/>
          <w:w w:val="100"/>
          <w:sz w:val="24"/>
          <w:vertAlign w:val="baseline"/>
          <w:lang w:val="en-US"/>
        </w:rPr>
        <w:t xml:space="preserve">540 Inquiry procedure</w:t>
      </w:r>
    </w:p>
    <w:p>
      <w:pPr>
        <w:spacing w:before="124"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regulation sets out the procedure for an inquiry.</w:t>
      </w:r>
    </w:p>
    <w:p>
      <w:pPr>
        <w:spacing w:before="116" w:after="0" w:line="278"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regulator must give a written notice to the person referred to in subregulation (3):</w:t>
      </w:r>
    </w:p>
    <w:p>
      <w:pPr>
        <w:numPr>
          <w:ilvl w:val="0"/>
          <w:numId w:val="912"/>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informing the person of the reasons for the inquiry; and</w:t>
      </w:r>
    </w:p>
    <w:p>
      <w:pPr>
        <w:numPr>
          <w:ilvl w:val="0"/>
          <w:numId w:val="912"/>
        </w:numPr>
        <w:tabs>
          <w:tab w:val="clear" w:pos="360"/>
          <w:tab w:val="left" w:pos="1872"/>
        </w:tabs>
        <w:spacing w:before="122" w:after="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advising the person that the person may, by a specified date (being not less than 28 days after the notice is given), make a submission to the regulator in relation to the inquiry.</w:t>
      </w:r>
    </w:p>
    <w:p>
      <w:pPr>
        <w:spacing w:before="121" w:after="1406"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(3) Notice under subregulation (2) must be given:</w:t>
      </w:r>
    </w:p>
    <w:p>
      <w:pPr>
        <w:spacing w:before="121" w:after="1406"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370</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9.2	</w:t>
      </w:r>
      <w:r>
        <w:rPr>
          <w:rFonts w:ascii="Times New Roman" w:hAnsi="Times New Roman" w:eastAsia="Times New Roman"/>
          <w:color w:val="000000"/>
          <w:spacing w:val="0"/>
          <w:w w:val="100"/>
          <w:sz w:val="20"/>
          <w:vertAlign w:val="baseline"/>
          <w:lang w:val="en-US"/>
        </w:rPr>
        <w:t xml:space="preserve">Determinations about Major Hazard Facilities</w:t>
      </w:r>
    </w:p>
    <w:p>
      <w:pPr>
        <w:numPr>
          <w:ilvl w:val="0"/>
          <w:numId w:val="913"/>
        </w:numPr>
        <w:tabs>
          <w:tab w:val="clear" w:pos="360"/>
          <w:tab w:val="left" w:pos="1872"/>
        </w:tabs>
        <w:spacing w:before="248" w:after="0" w:line="276"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for an inquiry about a facility in relation to which a notification has been given under regulation 536 or 537—to the contact person identified in the notification; and</w:t>
      </w:r>
    </w:p>
    <w:p>
      <w:pPr>
        <w:numPr>
          <w:ilvl w:val="0"/>
          <w:numId w:val="913"/>
        </w:numPr>
        <w:tabs>
          <w:tab w:val="clear" w:pos="360"/>
          <w:tab w:val="left" w:pos="1872"/>
        </w:tabs>
        <w:spacing w:before="6" w:after="0" w:line="393" w:lineRule="exact"/>
        <w:ind w:right="1440" w:left="1008" w:firstLine="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any other case—to the operator of the facility. (4) The regulator must:</w:t>
      </w:r>
    </w:p>
    <w:p>
      <w:pPr>
        <w:spacing w:before="126" w:after="0" w:line="273" w:lineRule="exact"/>
        <w:ind w:right="7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if the recipient of the notice has made a submission in relation to the inquiry—consider that submission; and</w:t>
      </w:r>
    </w:p>
    <w:p>
      <w:pPr>
        <w:spacing w:before="126"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consult with interested persons including:</w:t>
      </w:r>
    </w:p>
    <w:p>
      <w:pPr>
        <w:numPr>
          <w:ilvl w:val="0"/>
          <w:numId w:val="914"/>
        </w:numPr>
        <w:tabs>
          <w:tab w:val="clear" w:pos="504"/>
          <w:tab w:val="left" w:pos="2376"/>
        </w:tabs>
        <w:spacing w:before="120" w:after="0" w:line="273" w:lineRule="exact"/>
        <w:ind w:right="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health and safety representatives at the facility; and</w:t>
      </w:r>
    </w:p>
    <w:p>
      <w:pPr>
        <w:numPr>
          <w:ilvl w:val="0"/>
          <w:numId w:val="914"/>
        </w:numPr>
        <w:tabs>
          <w:tab w:val="clear" w:pos="504"/>
          <w:tab w:val="left" w:pos="2376"/>
        </w:tabs>
        <w:spacing w:before="126" w:after="0" w:line="273" w:lineRule="exact"/>
        <w:ind w:right="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emergency service organisations that have</w:t>
      </w:r>
    </w:p>
    <w:p>
      <w:pPr>
        <w:spacing w:before="0" w:after="0" w:line="276" w:lineRule="exact"/>
        <w:ind w:right="72" w:left="2376"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responsibility for the area in which the facility is located; and</w:t>
      </w:r>
    </w:p>
    <w:p>
      <w:pPr>
        <w:numPr>
          <w:ilvl w:val="0"/>
          <w:numId w:val="914"/>
        </w:numPr>
        <w:tabs>
          <w:tab w:val="clear" w:pos="504"/>
          <w:tab w:val="left" w:pos="2376"/>
        </w:tabs>
        <w:spacing w:before="119" w:after="0" w:line="274" w:lineRule="exact"/>
        <w:ind w:right="144"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government department or agency with a regulatory role in relation to major hazard facilities; and</w:t>
      </w:r>
    </w:p>
    <w:p>
      <w:pPr>
        <w:spacing w:before="124" w:after="0" w:line="274" w:lineRule="exact"/>
        <w:ind w:right="100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decide whether or not to make a determination under regulation 541 or 542; and</w:t>
      </w:r>
    </w:p>
    <w:p>
      <w:pPr>
        <w:spacing w:before="124" w:after="0" w:line="274"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if it decides to make a determination under regulation 541 or 542—decide whether or not to make a determination in</w:t>
      </w:r>
    </w:p>
    <w:p>
      <w:pPr>
        <w:spacing w:before="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relation to the operator under regulation 543.</w:t>
      </w:r>
    </w:p>
    <w:p>
      <w:pPr>
        <w:spacing w:before="121" w:after="0" w:line="271"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541 Determination in relation to facility, on inquiry</w:t>
      </w:r>
    </w:p>
    <w:p>
      <w:pPr>
        <w:numPr>
          <w:ilvl w:val="0"/>
          <w:numId w:val="915"/>
        </w:numPr>
        <w:tabs>
          <w:tab w:val="clear" w:pos="360"/>
          <w:tab w:val="left" w:pos="1368"/>
        </w:tabs>
        <w:spacing w:before="126" w:after="0"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regulation applies if an inquiry discloses that the quantity of Schedule 15 chemicals present or likely to be present at a facility or proposed facility exceeds 10% of their threshold quantity, but does not exceed their threshold quantity.</w:t>
      </w:r>
    </w:p>
    <w:p>
      <w:pPr>
        <w:numPr>
          <w:ilvl w:val="0"/>
          <w:numId w:val="915"/>
        </w:numPr>
        <w:tabs>
          <w:tab w:val="clear" w:pos="360"/>
          <w:tab w:val="left" w:pos="1368"/>
        </w:tabs>
        <w:spacing w:before="124" w:after="0"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may determine the facility or proposed facility to be a major hazard facility if the regulator considers that there is a potential for a major incident to occur at the facility or proposed facility having regard to all relevant matters, including:</w:t>
      </w:r>
    </w:p>
    <w:p>
      <w:pPr>
        <w:numPr>
          <w:ilvl w:val="0"/>
          <w:numId w:val="916"/>
        </w:numPr>
        <w:tabs>
          <w:tab w:val="clear" w:pos="360"/>
          <w:tab w:val="left" w:pos="1872"/>
        </w:tabs>
        <w:spacing w:before="124" w:after="0" w:line="274" w:lineRule="exact"/>
        <w:ind w:right="792" w:left="1872"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the quantity and combination of Schedule 15 chemicals present or likely to be present at the facility; and</w:t>
      </w:r>
    </w:p>
    <w:p>
      <w:pPr>
        <w:numPr>
          <w:ilvl w:val="0"/>
          <w:numId w:val="916"/>
        </w:numPr>
        <w:tabs>
          <w:tab w:val="clear" w:pos="360"/>
          <w:tab w:val="left" w:pos="1872"/>
        </w:tabs>
        <w:spacing w:before="124" w:after="0" w:line="274" w:lineRule="exact"/>
        <w:ind w:right="7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type of activity at the facility that involves the Schedule 15 chemicals; and</w:t>
      </w:r>
    </w:p>
    <w:p>
      <w:pPr>
        <w:numPr>
          <w:ilvl w:val="0"/>
          <w:numId w:val="916"/>
        </w:numPr>
        <w:tabs>
          <w:tab w:val="clear" w:pos="360"/>
          <w:tab w:val="left" w:pos="1872"/>
        </w:tabs>
        <w:spacing w:before="27" w:after="0" w:line="360" w:lineRule="exact"/>
        <w:ind w:right="1080" w:left="864" w:firstLine="64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land use and other activities in the surrounding area. </w:t>
      </w:r>
      <w:r>
        <w:rPr>
          <w:rFonts w:ascii="Times New Roman" w:hAnsi="Times New Roman" w:eastAsia="Times New Roman"/>
          <w:b w:val="true"/>
          <w:color w:val="000000"/>
          <w:spacing w:val="0"/>
          <w:w w:val="100"/>
          <w:sz w:val="20"/>
          <w:vertAlign w:val="baseline"/>
          <w:lang w:val="en-US"/>
        </w:rPr>
        <w:t xml:space="preserve">Notes</w:t>
      </w:r>
    </w:p>
    <w:p>
      <w:pPr>
        <w:tabs>
          <w:tab w:val="right" w:leader="none" w:pos="7920"/>
        </w:tabs>
        <w:spacing w:before="126" w:after="0" w:line="228"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If an inquiry discloses that the quantity of Schedule 15 chemicals present or likely</w:t>
      </w:r>
    </w:p>
    <w:p>
      <w:pPr>
        <w:spacing w:before="1" w:after="754" w:line="231" w:lineRule="exact"/>
        <w:ind w:right="288" w:left="1368" w:firstLine="0"/>
        <w:jc w:val="left"/>
        <w:textAlignment w:val="baseline"/>
        <w:rPr>
          <w:rFonts w:ascii="Times New Roman" w:hAnsi="Times New Roman" w:eastAsia="Times New Roman"/>
          <w:color w:val="000000"/>
          <w:spacing w:val="-1"/>
          <w:w w:val="100"/>
          <w:sz w:val="20"/>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1"/>
          <w:w w:val="100"/>
          <w:sz w:val="20"/>
          <w:vertAlign w:val="baseline"/>
          <w:lang w:val="en-US"/>
        </w:rPr>
        <w:t xml:space="preserve">to be present at a facility exceeds their threshold quantity, the facility is a major hazard facility. See definition of </w:t>
      </w:r>
      <w:r>
        <w:rPr>
          <w:rFonts w:ascii="Times New Roman" w:hAnsi="Times New Roman" w:eastAsia="Times New Roman"/>
          <w:b w:val="true"/>
          <w:i w:val="true"/>
          <w:color w:val="000000"/>
          <w:spacing w:val="-1"/>
          <w:w w:val="100"/>
          <w:sz w:val="20"/>
          <w:vertAlign w:val="baseline"/>
          <w:lang w:val="en-US"/>
        </w:rPr>
        <w:t xml:space="preserve">major hazard facility </w:t>
      </w:r>
      <w:r>
        <w:rPr>
          <w:rFonts w:ascii="Times New Roman" w:hAnsi="Times New Roman" w:eastAsia="Times New Roman"/>
          <w:color w:val="000000"/>
          <w:spacing w:val="-1"/>
          <w:w w:val="100"/>
          <w:sz w:val="20"/>
          <w:vertAlign w:val="baseline"/>
          <w:lang w:val="en-US"/>
        </w:rPr>
        <w:t xml:space="preserve">in regulation 5(1).</w:t>
      </w:r>
    </w:p>
    <w:p>
      <w:pPr>
        <w:spacing w:before="1" w:after="754" w:line="231"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371</w:t>
      </w:r>
    </w:p>
    <w:p>
      <w:pPr>
        <w:sectPr>
          <w:type w:val="continuous"/>
          <w:pgSz w:w="11909" w:h="16838" w:orient="portrait"/>
          <w:pgMar w:bottom="1082" w:top="1140" w:right="5819" w:left="1970"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9.2	</w:t>
      </w:r>
      <w:r>
        <w:rPr>
          <w:rFonts w:ascii="Times New Roman" w:hAnsi="Times New Roman" w:eastAsia="Times New Roman"/>
          <w:color w:val="000000"/>
          <w:spacing w:val="0"/>
          <w:w w:val="100"/>
          <w:sz w:val="20"/>
          <w:vertAlign w:val="baseline"/>
          <w:lang w:val="en-US"/>
        </w:rPr>
        <w:t xml:space="preserve">Determinations about Major Hazard Facilities</w:t>
      </w:r>
    </w:p>
    <w:p>
      <w:pPr>
        <w:tabs>
          <w:tab w:val="left" w:leader="none" w:pos="1296"/>
        </w:tabs>
        <w:spacing w:before="252" w:after="0" w:line="230" w:lineRule="exact"/>
        <w:ind w:right="72" w:left="1368" w:hanging="504"/>
        <w:jc w:val="left"/>
        <w:textAlignment w:val="baseline"/>
        <w:rPr>
          <w:rFonts w:ascii="Times New Roman" w:hAnsi="Times New Roman" w:eastAsia="Times New Roman"/>
          <w:color w:val="000000"/>
          <w:spacing w:val="-1"/>
          <w:w w:val="100"/>
          <w:sz w:val="20"/>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1"/>
          <w:w w:val="100"/>
          <w:sz w:val="20"/>
          <w:vertAlign w:val="baseline"/>
          <w:lang w:val="en-US"/>
        </w:rPr>
        <w:t xml:space="preserve">2	</w:t>
      </w:r>
      <w:r>
        <w:rPr>
          <w:rFonts w:ascii="Times New Roman" w:hAnsi="Times New Roman" w:eastAsia="Times New Roman"/>
          <w:color w:val="000000"/>
          <w:spacing w:val="-1"/>
          <w:w w:val="100"/>
          <w:sz w:val="20"/>
          <w:vertAlign w:val="baseline"/>
          <w:lang w:val="en-US"/>
        </w:rPr>
        <w:t xml:space="preserve">A determination that a facility is a major hazard facility, or that a proposed facility is not a major hazard facility, is a reviewable decision (see regulation 676).</w:t>
      </w:r>
    </w:p>
    <w:p>
      <w:pPr>
        <w:spacing w:before="120"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542 Determination in relation to over-threshold facility</w:t>
      </w:r>
    </w:p>
    <w:p>
      <w:pPr>
        <w:numPr>
          <w:ilvl w:val="0"/>
          <w:numId w:val="917"/>
        </w:numPr>
        <w:tabs>
          <w:tab w:val="clear" w:pos="360"/>
          <w:tab w:val="left" w:pos="1368"/>
        </w:tabs>
        <w:spacing w:before="120"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regulation applies if a notification under regulation 536 or 537 discloses that the quantity of Schedule 15 chemicals present or likely to be present at a facility (or proposed facility) exceeds their threshold quantity.</w:t>
      </w:r>
    </w:p>
    <w:p>
      <w:pPr>
        <w:numPr>
          <w:ilvl w:val="0"/>
          <w:numId w:val="917"/>
        </w:numPr>
        <w:tabs>
          <w:tab w:val="clear" w:pos="360"/>
          <w:tab w:val="left" w:pos="1368"/>
        </w:tabs>
        <w:spacing w:before="116" w:after="0" w:line="278"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must make a determination confirming the facility (or proposed facility) to be a major hazard facility.</w:t>
      </w:r>
    </w:p>
    <w:p>
      <w:pPr>
        <w:spacing w:before="123"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3" w:after="0" w:line="230" w:lineRule="exact"/>
        <w:ind w:right="288" w:left="864"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determination that a facility is a major hazard facility is a reviewable decision (see regulation 676).</w:t>
      </w:r>
    </w:p>
    <w:p>
      <w:pPr>
        <w:tabs>
          <w:tab w:val="left" w:leader="none" w:pos="864"/>
        </w:tabs>
        <w:spacing w:before="120"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543	</w:t>
      </w:r>
      <w:r>
        <w:rPr>
          <w:rFonts w:ascii="Times New Roman" w:hAnsi="Times New Roman" w:eastAsia="Times New Roman"/>
          <w:b w:val="true"/>
          <w:color w:val="000000"/>
          <w:spacing w:val="0"/>
          <w:w w:val="100"/>
          <w:sz w:val="24"/>
          <w:vertAlign w:val="baseline"/>
          <w:lang w:val="en-US"/>
        </w:rPr>
        <w:t xml:space="preserve">Suitability of facility operator</w:t>
      </w:r>
    </w:p>
    <w:p>
      <w:pPr>
        <w:spacing w:before="122"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regulation applies if the regulator determines a facility or a proposed facility to be a major hazard facility under regulation 541 or 542.</w:t>
      </w:r>
    </w:p>
    <w:p>
      <w:pPr>
        <w:spacing w:before="118"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regulator may determine that the operator of the major hazard facility or proposed major hazard facility is not a suitable person to operate the major hazard facility if the regulator:</w:t>
      </w:r>
    </w:p>
    <w:p>
      <w:pPr>
        <w:numPr>
          <w:ilvl w:val="0"/>
          <w:numId w:val="918"/>
        </w:numPr>
        <w:tabs>
          <w:tab w:val="clear" w:pos="360"/>
          <w:tab w:val="left" w:pos="1872"/>
        </w:tabs>
        <w:spacing w:before="124" w:after="0" w:line="274" w:lineRule="exact"/>
        <w:ind w:right="86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has conducted an inquiry under regulation 540 into the suitability of the operator; and</w:t>
      </w:r>
    </w:p>
    <w:p>
      <w:pPr>
        <w:numPr>
          <w:ilvl w:val="0"/>
          <w:numId w:val="918"/>
        </w:numPr>
        <w:tabs>
          <w:tab w:val="clear" w:pos="360"/>
          <w:tab w:val="left" w:pos="1872"/>
        </w:tabs>
        <w:spacing w:before="122" w:after="0" w:line="276"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satisfied on reasonable grounds that the operator is not a suitable person to operate the major hazard facility or proposed major hazard facility.</w:t>
      </w:r>
    </w:p>
    <w:p>
      <w:pPr>
        <w:spacing w:before="120"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If no determination is made under this regulation, the operator of the major hazard facility or proposed major hazard facility is taken to be a suitable person to operate the major hazard facility and to apply for a major hazard facility licence.</w:t>
      </w:r>
    </w:p>
    <w:p>
      <w:pPr>
        <w:spacing w:before="123"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3" w:after="0" w:line="230" w:lineRule="exact"/>
        <w:ind w:right="36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determination that a person is not a suitable operator is a reviewable decision (see regulation 676).</w:t>
      </w:r>
    </w:p>
    <w:p>
      <w:pPr>
        <w:tabs>
          <w:tab w:val="left" w:leader="none" w:pos="864"/>
        </w:tabs>
        <w:spacing w:before="120"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544	</w:t>
      </w:r>
      <w:r>
        <w:rPr>
          <w:rFonts w:ascii="Times New Roman" w:hAnsi="Times New Roman" w:eastAsia="Times New Roman"/>
          <w:b w:val="true"/>
          <w:color w:val="000000"/>
          <w:spacing w:val="0"/>
          <w:w w:val="100"/>
          <w:sz w:val="24"/>
          <w:vertAlign w:val="baseline"/>
          <w:lang w:val="en-US"/>
        </w:rPr>
        <w:t xml:space="preserve">Conditions on determination of major hazard facility</w:t>
      </w:r>
    </w:p>
    <w:p>
      <w:pPr>
        <w:numPr>
          <w:ilvl w:val="0"/>
          <w:numId w:val="919"/>
        </w:numPr>
        <w:tabs>
          <w:tab w:val="clear" w:pos="360"/>
          <w:tab w:val="left" w:pos="1368"/>
        </w:tabs>
        <w:spacing w:before="116" w:after="0" w:line="278"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may impose any conditions it considers appropriate on a determination made under regulation 541 or 542.</w:t>
      </w:r>
    </w:p>
    <w:p>
      <w:pPr>
        <w:numPr>
          <w:ilvl w:val="0"/>
          <w:numId w:val="919"/>
        </w:numPr>
        <w:tabs>
          <w:tab w:val="clear" w:pos="360"/>
          <w:tab w:val="left" w:pos="1368"/>
        </w:tabs>
        <w:spacing w:before="116" w:after="1338" w:line="278" w:lineRule="exact"/>
        <w:ind w:right="720"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Without limiting subregulation (1), the regulator may impose conditions in relation to 1 or more of the following:</w:t>
      </w:r>
    </w:p>
    <w:p>
      <w:pPr>
        <w:spacing w:before="116" w:after="1338"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372</w:t>
      </w:r>
    </w:p>
    <w:p>
      <w:pPr>
        <w:sectPr>
          <w:type w:val="continuous"/>
          <w:pgSz w:w="11909" w:h="16838" w:orient="portrait"/>
          <w:pgMar w:bottom="1082" w:top="1140" w:right="5812" w:left="1977"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9.2	</w:t>
      </w:r>
      <w:r>
        <w:rPr>
          <w:rFonts w:ascii="Times New Roman" w:hAnsi="Times New Roman" w:eastAsia="Times New Roman"/>
          <w:color w:val="000000"/>
          <w:spacing w:val="0"/>
          <w:w w:val="100"/>
          <w:sz w:val="20"/>
          <w:vertAlign w:val="baseline"/>
          <w:lang w:val="en-US"/>
        </w:rPr>
        <w:t xml:space="preserve">Determinations about Major Hazard Facilities</w:t>
      </w:r>
    </w:p>
    <w:p>
      <w:pPr>
        <w:numPr>
          <w:ilvl w:val="0"/>
          <w:numId w:val="920"/>
        </w:numPr>
        <w:tabs>
          <w:tab w:val="clear" w:pos="360"/>
          <w:tab w:val="left" w:pos="1872"/>
        </w:tabs>
        <w:spacing w:before="247" w:after="0" w:line="276" w:lineRule="exact"/>
        <w:ind w:right="648"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additional control measures that must be implemented in relation to the carrying out of work or activities at the determined major hazard facility;</w:t>
      </w:r>
    </w:p>
    <w:p>
      <w:pPr>
        <w:numPr>
          <w:ilvl w:val="0"/>
          <w:numId w:val="920"/>
        </w:numPr>
        <w:tabs>
          <w:tab w:val="clear" w:pos="360"/>
          <w:tab w:val="left" w:pos="1872"/>
        </w:tabs>
        <w:spacing w:before="127"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recording or keeping of additional information;</w:t>
      </w:r>
    </w:p>
    <w:p>
      <w:pPr>
        <w:numPr>
          <w:ilvl w:val="0"/>
          <w:numId w:val="920"/>
        </w:numPr>
        <w:tabs>
          <w:tab w:val="clear" w:pos="360"/>
          <w:tab w:val="left" w:pos="1872"/>
        </w:tabs>
        <w:spacing w:before="117" w:after="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provision of additional information, training and instruction or the provision of specified information, training and instruction to additional persons or classes of persons;</w:t>
      </w:r>
    </w:p>
    <w:p>
      <w:pPr>
        <w:numPr>
          <w:ilvl w:val="0"/>
          <w:numId w:val="920"/>
        </w:numPr>
        <w:tabs>
          <w:tab w:val="clear" w:pos="360"/>
          <w:tab w:val="left" w:pos="1872"/>
        </w:tabs>
        <w:spacing w:before="127"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provision of additional information to the regulator;</w:t>
      </w:r>
    </w:p>
    <w:p>
      <w:pPr>
        <w:numPr>
          <w:ilvl w:val="0"/>
          <w:numId w:val="920"/>
        </w:numPr>
        <w:tabs>
          <w:tab w:val="clear" w:pos="360"/>
          <w:tab w:val="left" w:pos="1872"/>
        </w:tabs>
        <w:spacing w:before="117"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operator is a person conducting a business or undertaking, the additional class of persons who may carry out work or activities on the operator's behalf.</w:t>
      </w:r>
    </w:p>
    <w:p>
      <w:pPr>
        <w:spacing w:before="127" w:after="0" w:line="273" w:lineRule="exact"/>
        <w:ind w:right="432"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operator of a determined major hazard facility, in relation to which conditions are imposed under this regulation, must ensure that the conditions are complied with.</w:t>
      </w:r>
    </w:p>
    <w:p>
      <w:pPr>
        <w:spacing w:before="130"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1" w:after="0" w:line="231" w:lineRule="exact"/>
        <w:ind w:right="576"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decision to impose a condition on a determination is a reviewable decision (see regulation 676).</w:t>
      </w:r>
    </w:p>
    <w:p>
      <w:pPr>
        <w:spacing w:before="120" w:after="0" w:line="273"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545 Notice and effect of determinations</w:t>
      </w:r>
    </w:p>
    <w:p>
      <w:pPr>
        <w:spacing w:before="116"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If the regulator makes a determination under this Part, the regulator must give the operator of the determined major hazard facility a written notice of the determination, stating:</w:t>
      </w:r>
    </w:p>
    <w:p>
      <w:pPr>
        <w:numPr>
          <w:ilvl w:val="0"/>
          <w:numId w:val="921"/>
        </w:numPr>
        <w:tabs>
          <w:tab w:val="clear" w:pos="360"/>
          <w:tab w:val="left" w:pos="1872"/>
        </w:tabs>
        <w:spacing w:before="127"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reasons for the determination; and</w:t>
      </w:r>
    </w:p>
    <w:p>
      <w:pPr>
        <w:numPr>
          <w:ilvl w:val="0"/>
          <w:numId w:val="921"/>
        </w:numPr>
        <w:tabs>
          <w:tab w:val="clear" w:pos="360"/>
          <w:tab w:val="left" w:pos="1872"/>
        </w:tabs>
        <w:spacing w:before="114" w:after="0" w:line="279"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date on which the determination takes effect, which must be at least 28 days after the date of the notice; and</w:t>
      </w:r>
    </w:p>
    <w:p>
      <w:pPr>
        <w:numPr>
          <w:ilvl w:val="0"/>
          <w:numId w:val="921"/>
        </w:numPr>
        <w:tabs>
          <w:tab w:val="clear" w:pos="360"/>
          <w:tab w:val="left" w:pos="1872"/>
        </w:tabs>
        <w:spacing w:before="114" w:after="0" w:line="279" w:lineRule="exact"/>
        <w:ind w:right="7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conditions imposed on the determination under regulation 544.</w:t>
      </w:r>
    </w:p>
    <w:p>
      <w:pPr>
        <w:spacing w:before="114" w:after="0" w:line="279" w:lineRule="exact"/>
        <w:ind w:right="72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notice must be given within 14 days of the making of the determination.</w:t>
      </w:r>
    </w:p>
    <w:p>
      <w:pPr>
        <w:spacing w:before="121" w:after="0" w:line="272"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effect of a determination under regulation 543 is that:</w:t>
      </w:r>
    </w:p>
    <w:p>
      <w:pPr>
        <w:numPr>
          <w:ilvl w:val="0"/>
          <w:numId w:val="922"/>
        </w:numPr>
        <w:tabs>
          <w:tab w:val="clear" w:pos="360"/>
          <w:tab w:val="left" w:pos="1872"/>
        </w:tabs>
        <w:spacing w:before="126" w:after="0" w:line="273"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operator is not taken to be a suitable person to operate the determined major hazard facility; and</w:t>
      </w:r>
    </w:p>
    <w:p>
      <w:pPr>
        <w:numPr>
          <w:ilvl w:val="0"/>
          <w:numId w:val="922"/>
        </w:numPr>
        <w:tabs>
          <w:tab w:val="clear" w:pos="360"/>
          <w:tab w:val="left" w:pos="1872"/>
        </w:tabs>
        <w:spacing w:before="126" w:after="0" w:line="273" w:lineRule="exact"/>
        <w:ind w:right="7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exemption provided by regulation 535(3) does not apply to the determined major hazard facility.</w:t>
      </w:r>
    </w:p>
    <w:p>
      <w:pPr>
        <w:spacing w:before="130"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2" w:after="1003" w:line="230" w:lineRule="exact"/>
        <w:ind w:right="288" w:left="1368"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For the effect of a determination under regulation 541 or 542, see definition of </w:t>
      </w:r>
      <w:r>
        <w:rPr>
          <w:rFonts w:ascii="Times New Roman" w:hAnsi="Times New Roman" w:eastAsia="Times New Roman"/>
          <w:b w:val="true"/>
          <w:i w:val="true"/>
          <w:color w:val="000000"/>
          <w:spacing w:val="0"/>
          <w:w w:val="100"/>
          <w:sz w:val="21"/>
          <w:vertAlign w:val="baseline"/>
          <w:lang w:val="en-US"/>
        </w:rPr>
        <w:t xml:space="preserve">determined major hazard facility </w:t>
      </w:r>
      <w:r>
        <w:rPr>
          <w:rFonts w:ascii="Times New Roman" w:hAnsi="Times New Roman" w:eastAsia="Times New Roman"/>
          <w:color w:val="000000"/>
          <w:spacing w:val="0"/>
          <w:w w:val="100"/>
          <w:sz w:val="20"/>
          <w:vertAlign w:val="baseline"/>
          <w:lang w:val="en-US"/>
        </w:rPr>
        <w:t xml:space="preserve">in regulation 5(1).</w:t>
      </w:r>
    </w:p>
    <w:p>
      <w:pPr>
        <w:spacing w:before="122" w:after="1003" w:line="230"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373</w:t>
      </w:r>
    </w:p>
    <w:p>
      <w:pPr>
        <w:sectPr>
          <w:type w:val="continuous"/>
          <w:pgSz w:w="11909" w:h="16838" w:orient="portrait"/>
          <w:pgMar w:bottom="1082" w:top="1140" w:right="5817" w:left="1972"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9.2	</w:t>
      </w:r>
      <w:r>
        <w:rPr>
          <w:rFonts w:ascii="Times New Roman" w:hAnsi="Times New Roman" w:eastAsia="Times New Roman"/>
          <w:color w:val="000000"/>
          <w:spacing w:val="0"/>
          <w:w w:val="100"/>
          <w:sz w:val="20"/>
          <w:vertAlign w:val="baseline"/>
          <w:lang w:val="en-US"/>
        </w:rPr>
        <w:t xml:space="preserve">Determinations about Major Hazard Facilities</w:t>
      </w:r>
    </w:p>
    <w:p>
      <w:pPr>
        <w:numPr>
          <w:ilvl w:val="0"/>
          <w:numId w:val="923"/>
        </w:numPr>
        <w:tabs>
          <w:tab w:val="clear" w:pos="360"/>
          <w:tab w:val="left" w:pos="1368"/>
        </w:tabs>
        <w:spacing w:before="251"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determination takes effect on the date specified in the notice.</w:t>
      </w:r>
    </w:p>
    <w:p>
      <w:pPr>
        <w:numPr>
          <w:ilvl w:val="0"/>
          <w:numId w:val="923"/>
        </w:numPr>
        <w:tabs>
          <w:tab w:val="clear" w:pos="360"/>
          <w:tab w:val="left" w:pos="1368"/>
        </w:tabs>
        <w:spacing w:before="126"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determination is of unlimited duration unless it is revoked.</w:t>
      </w:r>
    </w:p>
    <w:p>
      <w:pPr>
        <w:spacing w:before="124"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8"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notes in the Appendix.</w:t>
      </w:r>
    </w:p>
    <w:p>
      <w:pPr>
        <w:spacing w:before="119"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546 When regulator may revoke a determination</w:t>
      </w:r>
    </w:p>
    <w:p>
      <w:pPr>
        <w:spacing w:before="119" w:after="0" w:line="276" w:lineRule="exact"/>
        <w:ind w:right="288"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may revoke a determination under this Part if, after consultation with the major hazard facility's contact person or operator (as applicable), the regulator is satisfied that the reasons for the determination no longer apply.</w:t>
      </w:r>
    </w:p>
    <w:p>
      <w:pPr>
        <w:spacing w:before="121"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547 Re-notification if quantity of Schedule 15 chemicals increases</w:t>
      </w:r>
    </w:p>
    <w:p>
      <w:pPr>
        <w:spacing w:before="124"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regulation applies to a facility or proposed facility:</w:t>
      </w:r>
    </w:p>
    <w:p>
      <w:pPr>
        <w:numPr>
          <w:ilvl w:val="0"/>
          <w:numId w:val="924"/>
        </w:numPr>
        <w:tabs>
          <w:tab w:val="clear" w:pos="360"/>
          <w:tab w:val="left" w:pos="1872"/>
        </w:tabs>
        <w:spacing w:before="118" w:after="0" w:line="276"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at which the quantity of Schedule 15 chemicals present or likely to be present exceeds 10% of their threshold quantity but does not exceed their threshold quantity; and</w:t>
      </w:r>
    </w:p>
    <w:p>
      <w:pPr>
        <w:numPr>
          <w:ilvl w:val="0"/>
          <w:numId w:val="924"/>
        </w:numPr>
        <w:tabs>
          <w:tab w:val="clear" w:pos="360"/>
          <w:tab w:val="left" w:pos="1872"/>
        </w:tabs>
        <w:spacing w:before="124" w:after="0" w:line="274"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relation to which notification was given under regulation 536 or 537; and</w:t>
      </w:r>
    </w:p>
    <w:p>
      <w:pPr>
        <w:numPr>
          <w:ilvl w:val="0"/>
          <w:numId w:val="924"/>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relation to which the regulator:</w:t>
      </w:r>
    </w:p>
    <w:p>
      <w:pPr>
        <w:numPr>
          <w:ilvl w:val="0"/>
          <w:numId w:val="925"/>
        </w:numPr>
        <w:tabs>
          <w:tab w:val="clear" w:pos="360"/>
          <w:tab w:val="left" w:pos="2376"/>
        </w:tabs>
        <w:spacing w:before="121" w:after="0" w:line="273"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has not conducted an inquiry under this Division; or</w:t>
      </w:r>
    </w:p>
    <w:p>
      <w:pPr>
        <w:numPr>
          <w:ilvl w:val="0"/>
          <w:numId w:val="925"/>
        </w:numPr>
        <w:tabs>
          <w:tab w:val="clear" w:pos="360"/>
          <w:tab w:val="left" w:pos="2376"/>
        </w:tabs>
        <w:spacing w:before="122" w:after="0" w:line="276" w:lineRule="exact"/>
        <w:ind w:right="14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on conducting an inquiry, has not determined the facility or proposed facility to be a major hazard facility under regulation 541.</w:t>
      </w:r>
    </w:p>
    <w:p>
      <w:pPr>
        <w:spacing w:before="118"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operator of the facility or proposed facility must re-notify the regulator in accordance with this Part if the quantity of Schedule 15 chemicals present or likely to be present at the facility or proposed facility increases, or is likely to increase, to a level that exceeds the level previously notified to the regulator.</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18" w:after="2049"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(3) The provisions of this Part apply, to the extent that they relate to a re-notification under this regulation, as if the re-notification were a notification under regulation 536.</w:t>
      </w:r>
    </w:p>
    <w:p>
      <w:pPr>
        <w:spacing w:before="118" w:after="2049"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374</w:t>
      </w:r>
    </w:p>
    <w:p>
      <w:pPr>
        <w:sectPr>
          <w:type w:val="continuous"/>
          <w:pgSz w:w="11909" w:h="16838" w:orient="portrait"/>
          <w:pgMar w:bottom="1082" w:top="1140" w:right="5812" w:left="1977"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9.2	</w:t>
      </w:r>
      <w:r>
        <w:rPr>
          <w:rFonts w:ascii="Times New Roman" w:hAnsi="Times New Roman" w:eastAsia="Times New Roman"/>
          <w:color w:val="000000"/>
          <w:spacing w:val="0"/>
          <w:w w:val="100"/>
          <w:sz w:val="20"/>
          <w:vertAlign w:val="baseline"/>
          <w:lang w:val="en-US"/>
        </w:rPr>
        <w:t xml:space="preserve">Determinations about Major Hazard Facilities</w:t>
      </w:r>
    </w:p>
    <w:p>
      <w:pPr>
        <w:spacing w:before="251"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4"/>
          <w:w w:val="100"/>
          <w:sz w:val="24"/>
          <w:vertAlign w:val="baseline"/>
          <w:lang w:val="en-US"/>
        </w:rPr>
        <w:t xml:space="preserve">548 Notification by new operator</w:t>
      </w:r>
    </w:p>
    <w:p>
      <w:pPr>
        <w:spacing w:before="125"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regulation applies:</w:t>
      </w:r>
    </w:p>
    <w:p>
      <w:pPr>
        <w:numPr>
          <w:ilvl w:val="0"/>
          <w:numId w:val="926"/>
        </w:numPr>
        <w:tabs>
          <w:tab w:val="clear" w:pos="360"/>
          <w:tab w:val="left" w:pos="1872"/>
        </w:tabs>
        <w:spacing w:before="114" w:after="0" w:line="279" w:lineRule="exact"/>
        <w:ind w:right="86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relation to a determined major hazard facility that is proposed to be operated by a new operator;</w:t>
      </w:r>
    </w:p>
    <w:p>
      <w:pPr>
        <w:numPr>
          <w:ilvl w:val="0"/>
          <w:numId w:val="926"/>
        </w:numPr>
        <w:tabs>
          <w:tab w:val="clear" w:pos="360"/>
          <w:tab w:val="left" w:pos="1872"/>
        </w:tabs>
        <w:spacing w:before="114" w:after="0" w:line="279"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whether or not a determination under regulation 543 was made in relation to the current operator.</w:t>
      </w:r>
    </w:p>
    <w:p>
      <w:pPr>
        <w:spacing w:before="116" w:after="0" w:line="277"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 proposed new operator of the determined major hazard facility must give the regulator a notification that contains the information specified in regulation 538(2) in relation to the proposed new operator.</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18"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provisions of this Part apply, to the extent that they relate to the suitability of an operator, as if the notification under subregulation (2) were a notification under regulation 536.</w:t>
      </w:r>
    </w:p>
    <w:p>
      <w:pPr>
        <w:spacing w:before="125" w:after="0" w:line="274" w:lineRule="exact"/>
        <w:ind w:right="0" w:left="0" w:firstLine="0"/>
        <w:jc w:val="center"/>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549 Time in which major hazard facility licence must be applied for</w:t>
      </w:r>
    </w:p>
    <w:p>
      <w:pPr>
        <w:numPr>
          <w:ilvl w:val="0"/>
          <w:numId w:val="927"/>
        </w:numPr>
        <w:tabs>
          <w:tab w:val="clear" w:pos="360"/>
          <w:tab w:val="left" w:pos="1368"/>
        </w:tabs>
        <w:spacing w:before="117"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Subject to this regulation, the operator of a determined major hazard facility must apply for a major hazard facility licence within 24 months after the determination of the facility.</w:t>
      </w:r>
    </w:p>
    <w:p>
      <w:pPr>
        <w:numPr>
          <w:ilvl w:val="0"/>
          <w:numId w:val="927"/>
        </w:numPr>
        <w:tabs>
          <w:tab w:val="clear" w:pos="360"/>
          <w:tab w:val="left" w:pos="1368"/>
        </w:tabs>
        <w:spacing w:before="124" w:after="0" w:line="275" w:lineRule="exact"/>
        <w:ind w:right="50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may extend the time in which the operator of a determined major hazard facility must apply for a licence if satisfied, on application by the operator, that there has not been sufficient time to comply with Part 9.3.</w:t>
      </w:r>
    </w:p>
    <w:p>
      <w:pPr>
        <w:spacing w:before="129"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3" w:after="3115" w:line="230" w:lineRule="exact"/>
        <w:ind w:right="72"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The exemption from the requirement to be licensed is conditional on an application for a licence being made within the time specified by this regulation (see regulation 535(3) and (5)).</w:t>
      </w:r>
    </w:p>
    <w:p>
      <w:pPr>
        <w:spacing w:before="333"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1.05pt,0.3pt" style="position:absolute;mso-position-horizontal-relative:text;mso-position-vertical-relative:text;">
            <v:stroke dashstyle="solid"/>
          </v:line>
        </w:pict>
      </w:r>
    </w:p>
    <w:p>
      <w:pPr>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375</w:t>
      </w:r>
    </w:p>
    <w:p>
      <w:pPr>
        <w:sectPr>
          <w:type w:val="continuous"/>
          <w:pgSz w:w="11909" w:h="16838" w:orient="portrait"/>
          <w:pgMar w:bottom="1082" w:top="1140" w:right="5814" w:left="1975"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9.3	</w:t>
      </w:r>
      <w:r>
        <w:rPr>
          <w:rFonts w:ascii="Times New Roman" w:hAnsi="Times New Roman" w:eastAsia="Times New Roman"/>
          <w:color w:val="000000"/>
          <w:spacing w:val="0"/>
          <w:w w:val="100"/>
          <w:sz w:val="20"/>
          <w:vertAlign w:val="baseline"/>
          <w:lang w:val="en-US"/>
        </w:rPr>
        <w:t xml:space="preserve">Duties of Operators of Determined Major Hazard Facilities</w:t>
      </w:r>
    </w:p>
    <w:p>
      <w:pPr>
        <w:spacing w:before="254" w:after="0" w:line="321" w:lineRule="exact"/>
        <w:ind w:right="720" w:left="1368" w:hanging="1368"/>
        <w:jc w:val="left"/>
        <w:textAlignment w:val="baseline"/>
        <w:rPr>
          <w:rFonts w:ascii="Times New Roman" w:hAnsi="Times New Roman" w:eastAsia="Times New Roman"/>
          <w:b w:val="true"/>
          <w:color w:val="000000"/>
          <w:spacing w:val="0"/>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8"/>
          <w:vertAlign w:val="baseline"/>
          <w:lang w:val="en-US"/>
        </w:rPr>
        <w:t xml:space="preserve">Part 9.3 Duties of Operators of Determined Major Hazard Facilities</w:t>
      </w:r>
    </w:p>
    <w:p>
      <w:pPr>
        <w:spacing w:before="122"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Notes</w:t>
      </w:r>
    </w:p>
    <w:p>
      <w:pPr>
        <w:tabs>
          <w:tab w:val="left" w:leader="none" w:pos="1296"/>
        </w:tabs>
        <w:spacing w:before="124" w:after="0" w:line="230" w:lineRule="exact"/>
        <w:ind w:right="72" w:left="1368" w:hanging="50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The operator of a determined major hazard facility is required to comply with this Part for a specified period and to prepare a safety case in order to apply for a major hazard facility licence.</w:t>
      </w:r>
    </w:p>
    <w:p>
      <w:pPr>
        <w:tabs>
          <w:tab w:val="left" w:leader="none" w:pos="1296"/>
        </w:tabs>
        <w:spacing w:before="121" w:after="0" w:line="230" w:lineRule="exact"/>
        <w:ind w:right="288" w:left="1368" w:hanging="50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The Act and Chapter 7 of these Regulations (Hazardous Chemicals) continue to apply to a determined major hazard facility.</w:t>
      </w:r>
    </w:p>
    <w:p>
      <w:pPr>
        <w:tabs>
          <w:tab w:val="left" w:leader="none" w:pos="1584"/>
        </w:tabs>
        <w:spacing w:before="244" w:after="0" w:line="273"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1	</w:t>
      </w:r>
      <w:r>
        <w:rPr>
          <w:rFonts w:ascii="Times New Roman" w:hAnsi="Times New Roman" w:eastAsia="Times New Roman"/>
          <w:b w:val="true"/>
          <w:color w:val="000000"/>
          <w:spacing w:val="0"/>
          <w:w w:val="100"/>
          <w:sz w:val="24"/>
          <w:vertAlign w:val="baseline"/>
          <w:lang w:val="en-US"/>
        </w:rPr>
        <w:t xml:space="preserve">Application of Part 9.3</w:t>
      </w:r>
    </w:p>
    <w:p>
      <w:pPr>
        <w:spacing w:before="116" w:after="0" w:line="273"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550 Application of Part 9.3</w:t>
      </w:r>
    </w:p>
    <w:p>
      <w:pPr>
        <w:spacing w:before="121" w:after="0" w:line="276" w:lineRule="exact"/>
        <w:ind w:right="36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Part ceases to apply to a determined major hazard facility at the end of the exemption period applying to that facility under regulation 535.</w:t>
      </w:r>
    </w:p>
    <w:p>
      <w:pPr>
        <w:tabs>
          <w:tab w:val="left" w:leader="none" w:pos="1584"/>
        </w:tabs>
        <w:spacing w:before="246" w:after="0" w:line="273"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2	</w:t>
      </w:r>
      <w:r>
        <w:rPr>
          <w:rFonts w:ascii="Times New Roman" w:hAnsi="Times New Roman" w:eastAsia="Times New Roman"/>
          <w:b w:val="true"/>
          <w:color w:val="000000"/>
          <w:spacing w:val="0"/>
          <w:w w:val="100"/>
          <w:sz w:val="24"/>
          <w:vertAlign w:val="baseline"/>
          <w:lang w:val="en-US"/>
        </w:rPr>
        <w:t xml:space="preserve">Safety case outline</w:t>
      </w:r>
    </w:p>
    <w:p>
      <w:pPr>
        <w:spacing w:before="121" w:after="0" w:line="273"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551 Safety case outline must be provided</w:t>
      </w:r>
    </w:p>
    <w:p>
      <w:pPr>
        <w:spacing w:before="119" w:after="0" w:line="276"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operator of a determined major hazard facility must provide the regulator with a safety case outline for the major hazard facility within 3 months after the facility is determined to be a major hazard facility.</w:t>
      </w:r>
    </w:p>
    <w:p>
      <w:pPr>
        <w:spacing w:before="122" w:after="0" w:line="272"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2"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520" w:after="0" w:line="273" w:lineRule="exact"/>
        <w:ind w:right="0" w:left="288" w:firstLine="0"/>
        <w:jc w:val="left"/>
        <w:textAlignment w:val="baseline"/>
        <w:rPr>
          <w:rFonts w:ascii="Times New Roman" w:hAnsi="Times New Roman" w:eastAsia="Times New Roman"/>
          <w:b w:val="true"/>
          <w:color w:val="000000"/>
          <w:spacing w:val="12"/>
          <w:w w:val="100"/>
          <w:sz w:val="24"/>
          <w:vertAlign w:val="baseline"/>
          <w:lang w:val="en-US"/>
        </w:rPr>
      </w:pPr>
      <w:r>
        <w:rPr>
          <w:rFonts w:ascii="Times New Roman" w:hAnsi="Times New Roman" w:eastAsia="Times New Roman"/>
          <w:b w:val="true"/>
          <w:color w:val="000000"/>
          <w:spacing w:val="12"/>
          <w:w w:val="100"/>
          <w:sz w:val="24"/>
          <w:vertAlign w:val="baseline"/>
          <w:lang w:val="en-US"/>
        </w:rPr>
        <w:t xml:space="preserve">552 Content</w:t>
      </w:r>
    </w:p>
    <w:p>
      <w:pPr>
        <w:spacing w:before="123" w:after="0" w:line="274" w:lineRule="exact"/>
        <w:ind w:right="288"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safety case outline provided under regulation 551 must include the following:</w:t>
      </w:r>
    </w:p>
    <w:p>
      <w:pPr>
        <w:numPr>
          <w:ilvl w:val="0"/>
          <w:numId w:val="928"/>
        </w:numPr>
        <w:tabs>
          <w:tab w:val="clear" w:pos="288"/>
          <w:tab w:val="left" w:pos="1872"/>
        </w:tabs>
        <w:spacing w:before="122" w:after="0" w:line="276" w:lineRule="exact"/>
        <w:ind w:right="216"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written plan for the preparation of the safety case, including key steps and timelines, with reference being made to each element of the safety case;</w:t>
      </w:r>
    </w:p>
    <w:p>
      <w:pPr>
        <w:numPr>
          <w:ilvl w:val="0"/>
          <w:numId w:val="928"/>
        </w:numPr>
        <w:tabs>
          <w:tab w:val="clear" w:pos="288"/>
          <w:tab w:val="left" w:pos="1872"/>
        </w:tabs>
        <w:spacing w:before="120" w:after="0" w:line="276" w:lineRule="exact"/>
        <w:ind w:right="72"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description of the methods to be used in preparing the safety case, including methods for ensuring that all the information contained in the safety case is accurate and up to date when the safety case is provided to the regulator;</w:t>
      </w:r>
    </w:p>
    <w:p>
      <w:pPr>
        <w:numPr>
          <w:ilvl w:val="0"/>
          <w:numId w:val="928"/>
        </w:numPr>
        <w:tabs>
          <w:tab w:val="clear" w:pos="288"/>
          <w:tab w:val="left" w:pos="1872"/>
        </w:tabs>
        <w:spacing w:before="116" w:after="951" w:line="278" w:lineRule="exact"/>
        <w:ind w:right="216" w:left="1872" w:hanging="288"/>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details of the resources that will be applied to the preparation of the safety case, including the number of persons involved,</w:t>
      </w:r>
    </w:p>
    <w:p>
      <w:pPr>
        <w:spacing w:before="116" w:after="951"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376</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9.3	</w:t>
      </w:r>
      <w:r>
        <w:rPr>
          <w:rFonts w:ascii="Times New Roman" w:hAnsi="Times New Roman" w:eastAsia="Times New Roman"/>
          <w:color w:val="000000"/>
          <w:spacing w:val="0"/>
          <w:w w:val="100"/>
          <w:sz w:val="20"/>
          <w:vertAlign w:val="baseline"/>
          <w:lang w:val="en-US"/>
        </w:rPr>
        <w:t xml:space="preserve">Duties of Operators of Determined Major Hazard Facilities</w:t>
      </w:r>
    </w:p>
    <w:p>
      <w:pPr>
        <w:spacing w:before="245" w:after="0" w:line="279" w:lineRule="exact"/>
        <w:ind w:right="720"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their relevant knowledge and experience and sources of technical information;</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a description of the consultation with workers that:</w:t>
      </w:r>
    </w:p>
    <w:p>
      <w:pPr>
        <w:numPr>
          <w:ilvl w:val="0"/>
          <w:numId w:val="929"/>
        </w:numPr>
        <w:tabs>
          <w:tab w:val="clear" w:pos="360"/>
          <w:tab w:val="left" w:pos="2376"/>
        </w:tabs>
        <w:spacing w:before="126" w:after="0" w:line="273" w:lineRule="exact"/>
        <w:ind w:right="0" w:left="2016"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occurred in the preparation of the safety case outline; and</w:t>
      </w:r>
    </w:p>
    <w:p>
      <w:pPr>
        <w:numPr>
          <w:ilvl w:val="0"/>
          <w:numId w:val="929"/>
        </w:numPr>
        <w:tabs>
          <w:tab w:val="clear" w:pos="360"/>
          <w:tab w:val="left" w:pos="2376"/>
        </w:tabs>
        <w:spacing w:before="120" w:after="0" w:line="273" w:lineRule="exact"/>
        <w:ind w:right="0" w:left="2016"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will occur in the preparation of the safety case;</w:t>
      </w:r>
    </w:p>
    <w:p>
      <w:pPr>
        <w:spacing w:before="126" w:after="0" w:line="273" w:lineRule="exact"/>
        <w:ind w:right="72"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 a draft of the emergency plan prepared or to be prepared under regulation 557;</w:t>
      </w:r>
    </w:p>
    <w:p>
      <w:pPr>
        <w:spacing w:before="126" w:after="0" w:line="273" w:lineRule="exact"/>
        <w:ind w:right="72"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 a summary of any arrangements that are to be made in relation to the security of the major hazard facility.</w:t>
      </w:r>
    </w:p>
    <w:p>
      <w:pPr>
        <w:spacing w:before="124" w:after="0" w:line="226"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Example</w:t>
      </w:r>
    </w:p>
    <w:p>
      <w:pPr>
        <w:spacing w:before="123" w:after="0" w:line="230" w:lineRule="exact"/>
        <w:ind w:right="504"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Arrangements for preventing unauthorised access to the major hazard facility.</w:t>
      </w:r>
    </w:p>
    <w:p>
      <w:pPr>
        <w:spacing w:before="123" w:after="0" w:line="226"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4" w:after="0" w:line="228"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notes in the Appendix.</w:t>
      </w:r>
    </w:p>
    <w:p>
      <w:pPr>
        <w:spacing w:before="119" w:after="0" w:line="273" w:lineRule="exact"/>
        <w:ind w:right="0" w:left="288" w:firstLine="0"/>
        <w:jc w:val="left"/>
        <w:textAlignment w:val="baseline"/>
        <w:rPr>
          <w:rFonts w:ascii="Times New Roman" w:hAnsi="Times New Roman" w:eastAsia="Times New Roman"/>
          <w:b w:val="true"/>
          <w:color w:val="000000"/>
          <w:spacing w:val="9"/>
          <w:w w:val="100"/>
          <w:sz w:val="24"/>
          <w:vertAlign w:val="baseline"/>
          <w:lang w:val="en-US"/>
        </w:rPr>
      </w:pPr>
      <w:r>
        <w:rPr>
          <w:rFonts w:ascii="Times New Roman" w:hAnsi="Times New Roman" w:eastAsia="Times New Roman"/>
          <w:b w:val="true"/>
          <w:color w:val="000000"/>
          <w:spacing w:val="9"/>
          <w:w w:val="100"/>
          <w:sz w:val="24"/>
          <w:vertAlign w:val="baseline"/>
          <w:lang w:val="en-US"/>
        </w:rPr>
        <w:t xml:space="preserve">553 Alteration</w:t>
      </w:r>
    </w:p>
    <w:p>
      <w:pPr>
        <w:spacing w:before="124" w:after="0"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If the regulator is not satisfied that a safety case outline provided by the operator of a determined major hazard facility will lead to the development of a safety case that complies with regulation 561, the regulator may require the operator to alter the outline.</w:t>
      </w:r>
    </w:p>
    <w:p>
      <w:pPr>
        <w:spacing w:before="124" w:after="0" w:line="274"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If the regulator proposes to require an operator to alter a safety case outline, the regulator must give the operator a written notice:</w:t>
      </w:r>
    </w:p>
    <w:p>
      <w:pPr>
        <w:numPr>
          <w:ilvl w:val="0"/>
          <w:numId w:val="930"/>
        </w:numPr>
        <w:tabs>
          <w:tab w:val="clear" w:pos="288"/>
          <w:tab w:val="left" w:pos="1872"/>
        </w:tabs>
        <w:spacing w:before="124" w:after="0" w:line="274" w:lineRule="exact"/>
        <w:ind w:right="36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informing the operator of the proposed requirement and the reasons for it; and</w:t>
      </w:r>
    </w:p>
    <w:p>
      <w:pPr>
        <w:numPr>
          <w:ilvl w:val="0"/>
          <w:numId w:val="930"/>
        </w:numPr>
        <w:tabs>
          <w:tab w:val="clear" w:pos="288"/>
          <w:tab w:val="left" w:pos="1872"/>
        </w:tabs>
        <w:spacing w:before="124" w:after="0" w:line="274" w:lineRule="exact"/>
        <w:ind w:right="72"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advising the operator that the operator may make a submission to the regulator in relation to the proposed requirement; and</w:t>
      </w:r>
    </w:p>
    <w:p>
      <w:pPr>
        <w:numPr>
          <w:ilvl w:val="0"/>
          <w:numId w:val="930"/>
        </w:numPr>
        <w:tabs>
          <w:tab w:val="clear" w:pos="288"/>
          <w:tab w:val="left" w:pos="1872"/>
        </w:tabs>
        <w:spacing w:before="124" w:after="0" w:line="274" w:lineRule="exact"/>
        <w:ind w:right="216"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specifying the date (being not less than 28 days) by which the submission must be made.</w:t>
      </w:r>
    </w:p>
    <w:p>
      <w:pPr>
        <w:spacing w:before="125"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regulator must:</w:t>
      </w:r>
    </w:p>
    <w:p>
      <w:pPr>
        <w:numPr>
          <w:ilvl w:val="0"/>
          <w:numId w:val="931"/>
        </w:numPr>
        <w:tabs>
          <w:tab w:val="clear" w:pos="288"/>
          <w:tab w:val="left" w:pos="1872"/>
        </w:tabs>
        <w:spacing w:before="118" w:after="0" w:line="276" w:lineRule="exact"/>
        <w:ind w:right="216"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operator has made a submission in relation to the proposed requirement to alter a safety case outline—consider that submission; and</w:t>
      </w:r>
    </w:p>
    <w:p>
      <w:pPr>
        <w:numPr>
          <w:ilvl w:val="0"/>
          <w:numId w:val="931"/>
        </w:numPr>
        <w:tabs>
          <w:tab w:val="clear" w:pos="288"/>
          <w:tab w:val="left" w:pos="1872"/>
        </w:tabs>
        <w:spacing w:before="116" w:after="0" w:line="278" w:lineRule="exact"/>
        <w:ind w:right="216" w:left="1872" w:hanging="288"/>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whether or not the operator has made a submission—decide whether or not to require the operator to alter the outline; and</w:t>
      </w:r>
    </w:p>
    <w:p>
      <w:pPr>
        <w:numPr>
          <w:ilvl w:val="0"/>
          <w:numId w:val="931"/>
        </w:numPr>
        <w:tabs>
          <w:tab w:val="clear" w:pos="288"/>
          <w:tab w:val="left" w:pos="1872"/>
        </w:tabs>
        <w:spacing w:before="118" w:after="844" w:line="276" w:lineRule="exact"/>
        <w:ind w:right="72" w:left="1872" w:hanging="288"/>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within 14 days after deciding, give the operator written notice of the decision, including details of the alteration required and the reasons why it is required.</w:t>
      </w:r>
    </w:p>
    <w:p>
      <w:pPr>
        <w:spacing w:before="118" w:after="844"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377</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9.3	</w:t>
      </w:r>
      <w:r>
        <w:rPr>
          <w:rFonts w:ascii="Times New Roman" w:hAnsi="Times New Roman" w:eastAsia="Times New Roman"/>
          <w:color w:val="000000"/>
          <w:spacing w:val="0"/>
          <w:w w:val="100"/>
          <w:sz w:val="20"/>
          <w:vertAlign w:val="baseline"/>
          <w:lang w:val="en-US"/>
        </w:rPr>
        <w:t xml:space="preserve">Duties of Operators of Determined Major Hazard Facilities</w:t>
      </w:r>
    </w:p>
    <w:p>
      <w:pPr>
        <w:spacing w:before="251"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(4) The operator must alter the outline as required.</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14" w:after="0" w:line="279"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The operator must give the regulator a copy of a safety case outline that has been altered:</w:t>
      </w:r>
    </w:p>
    <w:p>
      <w:pPr>
        <w:numPr>
          <w:ilvl w:val="0"/>
          <w:numId w:val="932"/>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under this regulation; or</w:t>
      </w:r>
    </w:p>
    <w:p>
      <w:pPr>
        <w:numPr>
          <w:ilvl w:val="0"/>
          <w:numId w:val="932"/>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by the operator on the operator's initiative.</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6" w:after="0" w:line="273"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(6) The safety case outline as altered becomes the safety case outline for the major hazard facility.</w:t>
      </w:r>
    </w:p>
    <w:p>
      <w:pPr>
        <w:tabs>
          <w:tab w:val="left" w:leader="none" w:pos="1584"/>
        </w:tabs>
        <w:spacing w:before="246"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3	</w:t>
      </w:r>
      <w:r>
        <w:rPr>
          <w:rFonts w:ascii="Times New Roman" w:hAnsi="Times New Roman" w:eastAsia="Times New Roman"/>
          <w:b w:val="true"/>
          <w:color w:val="000000"/>
          <w:spacing w:val="0"/>
          <w:w w:val="100"/>
          <w:sz w:val="24"/>
          <w:vertAlign w:val="baseline"/>
          <w:lang w:val="en-US"/>
        </w:rPr>
        <w:t xml:space="preserve">Management of risk</w:t>
      </w:r>
    </w:p>
    <w:p>
      <w:pPr>
        <w:tabs>
          <w:tab w:val="left" w:leader="none" w:pos="864"/>
        </w:tabs>
        <w:spacing w:before="119"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554	</w:t>
      </w:r>
      <w:r>
        <w:rPr>
          <w:rFonts w:ascii="Times New Roman" w:hAnsi="Times New Roman" w:eastAsia="Times New Roman"/>
          <w:b w:val="true"/>
          <w:color w:val="000000"/>
          <w:spacing w:val="0"/>
          <w:w w:val="100"/>
          <w:sz w:val="24"/>
          <w:vertAlign w:val="baseline"/>
          <w:lang w:val="en-US"/>
        </w:rPr>
        <w:t xml:space="preserve">Identification of major incidents and major incident hazards</w:t>
      </w:r>
    </w:p>
    <w:p>
      <w:pPr>
        <w:spacing w:before="120"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operator of a determined major hazard facility must identify:</w:t>
      </w:r>
    </w:p>
    <w:p>
      <w:pPr>
        <w:numPr>
          <w:ilvl w:val="0"/>
          <w:numId w:val="933"/>
        </w:numPr>
        <w:tabs>
          <w:tab w:val="clear" w:pos="360"/>
          <w:tab w:val="left" w:pos="1872"/>
        </w:tabs>
        <w:spacing w:before="124" w:after="0" w:line="274" w:lineRule="exact"/>
        <w:ind w:right="79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all major incidents that could occur in the course of the operation of the major hazard facility; and</w:t>
      </w:r>
    </w:p>
    <w:p>
      <w:pPr>
        <w:numPr>
          <w:ilvl w:val="0"/>
          <w:numId w:val="933"/>
        </w:numPr>
        <w:tabs>
          <w:tab w:val="clear" w:pos="360"/>
          <w:tab w:val="left" w:pos="1872"/>
        </w:tabs>
        <w:spacing w:before="122"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all major incident hazards for the major hazard facility, including major incident hazards relating to the security of the major hazard facility.</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74"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In complying with subregulation (1), the operator must have regard to any advice and recommendations given by:</w:t>
      </w:r>
    </w:p>
    <w:p>
      <w:pPr>
        <w:numPr>
          <w:ilvl w:val="0"/>
          <w:numId w:val="934"/>
        </w:numPr>
        <w:tabs>
          <w:tab w:val="clear" w:pos="360"/>
          <w:tab w:val="left" w:pos="1872"/>
        </w:tabs>
        <w:spacing w:before="124" w:after="0" w:line="274"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emergency service organisations with responsibility for the area in which the major hazard facility is located; and</w:t>
      </w:r>
    </w:p>
    <w:p>
      <w:pPr>
        <w:numPr>
          <w:ilvl w:val="0"/>
          <w:numId w:val="934"/>
        </w:numPr>
        <w:tabs>
          <w:tab w:val="clear" w:pos="360"/>
          <w:tab w:val="left" w:pos="1872"/>
        </w:tabs>
        <w:spacing w:before="124" w:after="0" w:line="274"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government department or agency with a regulatory role in relation to major hazard facilities.</w:t>
      </w:r>
    </w:p>
    <w:p>
      <w:pPr>
        <w:spacing w:before="125"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operator must document:</w:t>
      </w:r>
    </w:p>
    <w:p>
      <w:pPr>
        <w:spacing w:before="121" w:after="1118"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all identified major incidents and major incident hazards; and</w:t>
      </w:r>
    </w:p>
    <w:p>
      <w:pPr>
        <w:spacing w:before="121" w:after="1118"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378</w:t>
      </w:r>
    </w:p>
    <w:p>
      <w:pPr>
        <w:sectPr>
          <w:type w:val="continuous"/>
          <w:pgSz w:w="11909" w:h="16838" w:orient="portrait"/>
          <w:pgMar w:bottom="1082" w:top="1140" w:right="5814" w:left="1975"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9.3	</w:t>
      </w:r>
      <w:r>
        <w:rPr>
          <w:rFonts w:ascii="Times New Roman" w:hAnsi="Times New Roman" w:eastAsia="Times New Roman"/>
          <w:color w:val="000000"/>
          <w:spacing w:val="0"/>
          <w:w w:val="100"/>
          <w:sz w:val="20"/>
          <w:vertAlign w:val="baseline"/>
          <w:lang w:val="en-US"/>
        </w:rPr>
        <w:t xml:space="preserve">Duties of Operators of Determined Major Hazard Facilities</w:t>
      </w:r>
    </w:p>
    <w:p>
      <w:pPr>
        <w:numPr>
          <w:ilvl w:val="0"/>
          <w:numId w:val="935"/>
        </w:numPr>
        <w:tabs>
          <w:tab w:val="clear" w:pos="360"/>
          <w:tab w:val="left" w:pos="1872"/>
        </w:tabs>
        <w:spacing w:before="245" w:after="0" w:line="279" w:lineRule="exact"/>
        <w:ind w:right="936"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criteria and methods used in identifying the major incidents and major incident hazards; and</w:t>
      </w:r>
    </w:p>
    <w:p>
      <w:pPr>
        <w:numPr>
          <w:ilvl w:val="0"/>
          <w:numId w:val="935"/>
        </w:numPr>
        <w:tabs>
          <w:tab w:val="clear" w:pos="360"/>
          <w:tab w:val="left" w:pos="1872"/>
        </w:tabs>
        <w:spacing w:before="117" w:after="0" w:line="276" w:lineRule="exact"/>
        <w:ind w:right="360" w:left="1872"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any external conditions under which the major incident hazards, including those relating to the security of the major hazard facility, might give rise to the major incidents.</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0" w:after="0" w:line="274" w:lineRule="exact"/>
        <w:ind w:right="0" w:left="288" w:firstLine="0"/>
        <w:jc w:val="left"/>
        <w:textAlignment w:val="baseline"/>
        <w:rPr>
          <w:rFonts w:ascii="Times New Roman" w:hAnsi="Times New Roman" w:eastAsia="Times New Roman"/>
          <w:b w:val="true"/>
          <w:color w:val="000000"/>
          <w:spacing w:val="6"/>
          <w:w w:val="100"/>
          <w:sz w:val="24"/>
          <w:vertAlign w:val="baseline"/>
          <w:lang w:val="en-US"/>
        </w:rPr>
      </w:pPr>
      <w:r>
        <w:rPr>
          <w:rFonts w:ascii="Times New Roman" w:hAnsi="Times New Roman" w:eastAsia="Times New Roman"/>
          <w:b w:val="true"/>
          <w:color w:val="000000"/>
          <w:spacing w:val="6"/>
          <w:w w:val="100"/>
          <w:sz w:val="24"/>
          <w:vertAlign w:val="baseline"/>
          <w:lang w:val="en-US"/>
        </w:rPr>
        <w:t xml:space="preserve">555 Safety assessment</w:t>
      </w:r>
    </w:p>
    <w:p>
      <w:pPr>
        <w:spacing w:before="122"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operator of a determined major hazard facility must conduct a safety assessment in relation to the operation of the major hazard facility.</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0" w:after="0" w:line="276" w:lineRule="exact"/>
        <w:ind w:right="72" w:left="1368" w:hanging="360"/>
        <w:jc w:val="both"/>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(2) In order to provide the operator with a detailed understanding of all aspects of risks to health and safety associated with major incidents, a safety assessment must involve a comprehensive and systematic investigation and analysis of all aspects of risks to health and safety associated with all major incidents that could occur in the course of the operation of the major hazard facility, including the following:</w:t>
      </w:r>
    </w:p>
    <w:p>
      <w:pPr>
        <w:numPr>
          <w:ilvl w:val="0"/>
          <w:numId w:val="936"/>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nature of each major incident and major incident hazard;</w:t>
      </w:r>
    </w:p>
    <w:p>
      <w:pPr>
        <w:numPr>
          <w:ilvl w:val="0"/>
          <w:numId w:val="936"/>
        </w:numPr>
        <w:tabs>
          <w:tab w:val="clear" w:pos="360"/>
          <w:tab w:val="left" w:pos="1872"/>
        </w:tabs>
        <w:spacing w:before="124" w:after="0" w:line="274" w:lineRule="exact"/>
        <w:ind w:right="288"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likelihood of each major incident hazard causing a major incident;</w:t>
      </w:r>
    </w:p>
    <w:p>
      <w:pPr>
        <w:numPr>
          <w:ilvl w:val="0"/>
          <w:numId w:val="936"/>
        </w:numPr>
        <w:tabs>
          <w:tab w:val="clear" w:pos="360"/>
          <w:tab w:val="left" w:pos="1872"/>
        </w:tabs>
        <w:spacing w:before="122" w:after="0" w:line="276"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event of a major incident occurring, its potential magnitude and the severity of its potential health and safety consequences;</w:t>
      </w:r>
    </w:p>
    <w:p>
      <w:pPr>
        <w:numPr>
          <w:ilvl w:val="0"/>
          <w:numId w:val="936"/>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range of control measures considered;</w:t>
      </w:r>
    </w:p>
    <w:p>
      <w:pPr>
        <w:numPr>
          <w:ilvl w:val="0"/>
          <w:numId w:val="936"/>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control measures the operator decides to implement.</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In conducting a safety assessment, the operator must:</w:t>
      </w:r>
    </w:p>
    <w:p>
      <w:pPr>
        <w:numPr>
          <w:ilvl w:val="0"/>
          <w:numId w:val="937"/>
        </w:numPr>
        <w:tabs>
          <w:tab w:val="clear" w:pos="360"/>
          <w:tab w:val="left" w:pos="1872"/>
        </w:tabs>
        <w:spacing w:before="124" w:after="0" w:line="274" w:lineRule="exact"/>
        <w:ind w:right="108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consider major incidents and major incident hazards cumulatively as well as individually; and</w:t>
      </w:r>
    </w:p>
    <w:p>
      <w:pPr>
        <w:numPr>
          <w:ilvl w:val="0"/>
          <w:numId w:val="937"/>
        </w:numPr>
        <w:tabs>
          <w:tab w:val="clear" w:pos="360"/>
          <w:tab w:val="left" w:pos="1872"/>
        </w:tabs>
        <w:spacing w:before="122" w:after="1008" w:line="276"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use assessment methods (whether quantitative or qualitative, or both), that are suitable for the major incidents and major incident hazards being considered.</w:t>
      </w:r>
    </w:p>
    <w:p>
      <w:pPr>
        <w:spacing w:before="122" w:after="1008"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379</w:t>
      </w:r>
    </w:p>
    <w:p>
      <w:pPr>
        <w:sectPr>
          <w:type w:val="continuous"/>
          <w:pgSz w:w="11909" w:h="16838" w:orient="portrait"/>
          <w:pgMar w:bottom="1082" w:top="1140" w:right="5812" w:left="1977"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9.3	</w:t>
      </w:r>
      <w:r>
        <w:rPr>
          <w:rFonts w:ascii="Times New Roman" w:hAnsi="Times New Roman" w:eastAsia="Times New Roman"/>
          <w:color w:val="000000"/>
          <w:spacing w:val="0"/>
          <w:w w:val="100"/>
          <w:sz w:val="20"/>
          <w:vertAlign w:val="baseline"/>
          <w:lang w:val="en-US"/>
        </w:rPr>
        <w:t xml:space="preserve">Duties of Operators of Determined Major Hazard Facilities</w:t>
      </w:r>
    </w:p>
    <w:p>
      <w:pPr>
        <w:spacing w:before="245" w:after="0" w:line="279"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(4) The operator must document all aspects of the safety assessment, including:</w:t>
      </w:r>
    </w:p>
    <w:p>
      <w:pPr>
        <w:numPr>
          <w:ilvl w:val="0"/>
          <w:numId w:val="938"/>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methods used in the investigation and analysis; and</w:t>
      </w:r>
    </w:p>
    <w:p>
      <w:pPr>
        <w:numPr>
          <w:ilvl w:val="0"/>
          <w:numId w:val="938"/>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reasons for deciding which control measures to implement.</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6" w:after="0" w:line="273"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The operator must keep a copy of the safety assessment at the major hazard facility.</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6"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0" w:after="0" w:line="274" w:lineRule="exact"/>
        <w:ind w:right="0" w:left="288" w:firstLine="0"/>
        <w:jc w:val="left"/>
        <w:textAlignment w:val="baseline"/>
        <w:rPr>
          <w:rFonts w:ascii="Times New Roman" w:hAnsi="Times New Roman" w:eastAsia="Times New Roman"/>
          <w:b w:val="true"/>
          <w:color w:val="000000"/>
          <w:spacing w:val="7"/>
          <w:w w:val="100"/>
          <w:sz w:val="24"/>
          <w:vertAlign w:val="baseline"/>
          <w:lang w:val="en-US"/>
        </w:rPr>
      </w:pPr>
      <w:r>
        <w:rPr>
          <w:rFonts w:ascii="Times New Roman" w:hAnsi="Times New Roman" w:eastAsia="Times New Roman"/>
          <w:b w:val="true"/>
          <w:color w:val="000000"/>
          <w:spacing w:val="7"/>
          <w:w w:val="100"/>
          <w:sz w:val="24"/>
          <w:vertAlign w:val="baseline"/>
          <w:lang w:val="en-US"/>
        </w:rPr>
        <w:t xml:space="preserve">556 Control of risk</w:t>
      </w:r>
    </w:p>
    <w:p>
      <w:pPr>
        <w:spacing w:before="115" w:after="0" w:line="278" w:lineRule="exact"/>
        <w:ind w:right="144"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operator of a determined major hazard facility must implement control measures that:</w:t>
      </w:r>
    </w:p>
    <w:p>
      <w:pPr>
        <w:numPr>
          <w:ilvl w:val="0"/>
          <w:numId w:val="939"/>
        </w:numPr>
        <w:tabs>
          <w:tab w:val="clear" w:pos="360"/>
          <w:tab w:val="left" w:pos="1872"/>
        </w:tabs>
        <w:spacing w:before="116" w:after="0" w:line="278"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eliminate, so far as is reasonably practicable, the risk of a major incident occurring; or</w:t>
      </w:r>
    </w:p>
    <w:p>
      <w:pPr>
        <w:numPr>
          <w:ilvl w:val="0"/>
          <w:numId w:val="939"/>
        </w:numPr>
        <w:tabs>
          <w:tab w:val="clear" w:pos="360"/>
          <w:tab w:val="left" w:pos="1872"/>
        </w:tabs>
        <w:spacing w:before="116" w:after="0" w:line="278" w:lineRule="exact"/>
        <w:ind w:right="64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it is not reasonably practicable to eliminate that risk— minimise that risk so far as is reasonably practicable.</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7"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WHS Act—section 20 (see regulation 9).</w:t>
      </w:r>
    </w:p>
    <w:p>
      <w:pPr>
        <w:spacing w:before="119"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operator of a determined major hazard facility must implement risk control measures designed to minimise, in the event of a major incident occurring, its magnitude and the severity of its consequences to persons both on-site and off-site.</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5" w:after="0" w:line="274" w:lineRule="exact"/>
        <w:ind w:right="0" w:left="288" w:firstLine="0"/>
        <w:jc w:val="left"/>
        <w:textAlignment w:val="baseline"/>
        <w:rPr>
          <w:rFonts w:ascii="Times New Roman" w:hAnsi="Times New Roman" w:eastAsia="Times New Roman"/>
          <w:b w:val="true"/>
          <w:color w:val="000000"/>
          <w:spacing w:val="7"/>
          <w:w w:val="100"/>
          <w:sz w:val="24"/>
          <w:vertAlign w:val="baseline"/>
          <w:lang w:val="en-US"/>
        </w:rPr>
      </w:pPr>
      <w:r>
        <w:rPr>
          <w:rFonts w:ascii="Times New Roman" w:hAnsi="Times New Roman" w:eastAsia="Times New Roman"/>
          <w:b w:val="true"/>
          <w:color w:val="000000"/>
          <w:spacing w:val="7"/>
          <w:w w:val="100"/>
          <w:sz w:val="24"/>
          <w:vertAlign w:val="baseline"/>
          <w:lang w:val="en-US"/>
        </w:rPr>
        <w:t xml:space="preserve">557 Emergency plan</w:t>
      </w:r>
    </w:p>
    <w:p>
      <w:pPr>
        <w:spacing w:before="115" w:after="0" w:line="278" w:lineRule="exact"/>
        <w:ind w:right="144"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operator of a determined major hazard facility must prepare an emergency plan for the major hazard facility that:</w:t>
      </w:r>
    </w:p>
    <w:p>
      <w:pPr>
        <w:numPr>
          <w:ilvl w:val="0"/>
          <w:numId w:val="940"/>
        </w:numPr>
        <w:tabs>
          <w:tab w:val="clear" w:pos="360"/>
          <w:tab w:val="left" w:pos="1872"/>
        </w:tabs>
        <w:spacing w:before="116" w:after="0" w:line="278" w:lineRule="exact"/>
        <w:ind w:right="79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addresses all health and safety consequences of a major incident occurring; and</w:t>
      </w:r>
    </w:p>
    <w:p>
      <w:pPr>
        <w:numPr>
          <w:ilvl w:val="0"/>
          <w:numId w:val="940"/>
        </w:numPr>
        <w:tabs>
          <w:tab w:val="clear" w:pos="360"/>
          <w:tab w:val="left" w:pos="1872"/>
        </w:tabs>
        <w:spacing w:before="121" w:after="777"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includes all matters specified in Schedule 16; and</w:t>
      </w:r>
    </w:p>
    <w:p>
      <w:pPr>
        <w:spacing w:before="121" w:after="777"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380</w:t>
      </w:r>
    </w:p>
    <w:p>
      <w:pPr>
        <w:sectPr>
          <w:type w:val="continuous"/>
          <w:pgSz w:w="11909" w:h="16838" w:orient="portrait"/>
          <w:pgMar w:bottom="1082" w:top="1140" w:right="5812" w:left="1977"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9.3	</w:t>
      </w:r>
      <w:r>
        <w:rPr>
          <w:rFonts w:ascii="Times New Roman" w:hAnsi="Times New Roman" w:eastAsia="Times New Roman"/>
          <w:color w:val="000000"/>
          <w:spacing w:val="0"/>
          <w:w w:val="100"/>
          <w:sz w:val="20"/>
          <w:vertAlign w:val="baseline"/>
          <w:lang w:val="en-US"/>
        </w:rPr>
        <w:t xml:space="preserve">Duties of Operators of Determined Major Hazard Facilities</w:t>
      </w:r>
    </w:p>
    <w:p>
      <w:pPr>
        <w:spacing w:before="245" w:after="0" w:line="279"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(c) provides for testing of emergency procedures, including the frequency of testing.</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6"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In preparing an emergency plan, the operator must consult with:</w:t>
      </w:r>
    </w:p>
    <w:p>
      <w:pPr>
        <w:numPr>
          <w:ilvl w:val="0"/>
          <w:numId w:val="941"/>
        </w:numPr>
        <w:tabs>
          <w:tab w:val="clear" w:pos="360"/>
          <w:tab w:val="left" w:pos="1872"/>
        </w:tabs>
        <w:spacing w:before="114" w:after="0" w:line="279"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emergency service organisations with responsibility for the area in which the major hazard facility is located; and</w:t>
      </w:r>
    </w:p>
    <w:p>
      <w:pPr>
        <w:spacing w:before="124"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7"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numPr>
          <w:ilvl w:val="0"/>
          <w:numId w:val="941"/>
        </w:numPr>
        <w:tabs>
          <w:tab w:val="clear" w:pos="360"/>
          <w:tab w:val="left" w:pos="1872"/>
        </w:tabs>
        <w:spacing w:before="119" w:after="0" w:line="274"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relation to the off-site health and safety consequences of a major incident occurring—the local authority.</w:t>
      </w:r>
    </w:p>
    <w:p>
      <w:pPr>
        <w:spacing w:before="122" w:after="0" w:line="276"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operator must ensure that the emergency plan addresses any recommendation made by the emergency service organisations consulted under subregulation (2) in relation to:</w:t>
      </w:r>
    </w:p>
    <w:p>
      <w:pPr>
        <w:numPr>
          <w:ilvl w:val="0"/>
          <w:numId w:val="942"/>
        </w:numPr>
        <w:tabs>
          <w:tab w:val="clear" w:pos="360"/>
          <w:tab w:val="left" w:pos="1872"/>
        </w:tabs>
        <w:spacing w:before="120"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testing of the emergency plan, including the manner in which it will be tested, the frequency of testing and whether or not the emergency service organisations will participate in the testing; and</w:t>
      </w:r>
    </w:p>
    <w:p>
      <w:pPr>
        <w:numPr>
          <w:ilvl w:val="0"/>
          <w:numId w:val="942"/>
        </w:numPr>
        <w:tabs>
          <w:tab w:val="clear" w:pos="360"/>
          <w:tab w:val="left" w:pos="1872"/>
        </w:tabs>
        <w:spacing w:before="116" w:after="0" w:line="278"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what incidents or events at the major hazard facility should be notified to the emergency service organisations.</w:t>
      </w:r>
    </w:p>
    <w:p>
      <w:pPr>
        <w:spacing w:before="116" w:after="0" w:line="278" w:lineRule="exact"/>
        <w:ind w:right="0" w:left="504"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The operator must have regard to any other recommendation or</w:t>
        <w:br/>
      </w:r>
      <w:r>
        <w:rPr>
          <w:rFonts w:ascii="Times New Roman" w:hAnsi="Times New Roman" w:eastAsia="Times New Roman"/>
          <w:color w:val="000000"/>
          <w:spacing w:val="0"/>
          <w:w w:val="100"/>
          <w:sz w:val="24"/>
          <w:vertAlign w:val="baseline"/>
          <w:lang w:val="en-US"/>
        </w:rPr>
        <w:t xml:space="preserve">advice given by a person consulted under subregulation (2).</w:t>
      </w:r>
    </w:p>
    <w:p>
      <w:pPr>
        <w:spacing w:before="121"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The operator must:</w:t>
      </w:r>
    </w:p>
    <w:p>
      <w:pPr>
        <w:spacing w:before="125"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keep a copy of the plan at the major hazard facility; and</w:t>
      </w:r>
    </w:p>
    <w:p>
      <w:pPr>
        <w:spacing w:before="121"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give a copy of the plan to:</w:t>
      </w:r>
    </w:p>
    <w:p>
      <w:pPr>
        <w:numPr>
          <w:ilvl w:val="0"/>
          <w:numId w:val="943"/>
        </w:numPr>
        <w:tabs>
          <w:tab w:val="clear" w:pos="360"/>
          <w:tab w:val="left" w:pos="2376"/>
        </w:tabs>
        <w:spacing w:before="124" w:after="0" w:line="274" w:lineRule="exact"/>
        <w:ind w:right="50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emergency service organisations consulted under subregulation (2); and</w:t>
      </w:r>
    </w:p>
    <w:p>
      <w:pPr>
        <w:numPr>
          <w:ilvl w:val="0"/>
          <w:numId w:val="943"/>
        </w:numPr>
        <w:tabs>
          <w:tab w:val="clear" w:pos="360"/>
          <w:tab w:val="left" w:pos="2376"/>
        </w:tabs>
        <w:spacing w:before="125" w:after="0" w:line="273"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other relevant emergency service organisations.</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1017" w:line="274"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(6) The operator must test the emergency plan in accordance with the recommendations made by the emergency service organisations</w:t>
      </w:r>
    </w:p>
    <w:p>
      <w:pPr>
        <w:spacing w:before="124" w:after="1017"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381</w:t>
      </w:r>
    </w:p>
    <w:p>
      <w:pPr>
        <w:sectPr>
          <w:type w:val="continuous"/>
          <w:pgSz w:w="11909" w:h="16838" w:orient="portrait"/>
          <w:pgMar w:bottom="1082" w:top="1140" w:right="5819" w:left="1970"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9.3	</w:t>
      </w:r>
      <w:r>
        <w:rPr>
          <w:rFonts w:ascii="Times New Roman" w:hAnsi="Times New Roman" w:eastAsia="Times New Roman"/>
          <w:color w:val="000000"/>
          <w:spacing w:val="0"/>
          <w:w w:val="100"/>
          <w:sz w:val="20"/>
          <w:vertAlign w:val="baseline"/>
          <w:lang w:val="en-US"/>
        </w:rPr>
        <w:t xml:space="preserve">Duties of Operators of Determined Major Hazard Facilities</w:t>
      </w:r>
    </w:p>
    <w:p>
      <w:pPr>
        <w:spacing w:before="246" w:after="0" w:line="279" w:lineRule="exact"/>
        <w:ind w:right="216"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consulted under subregulation (2) before applying for a licence for the major hazard facility.</w:t>
      </w:r>
    </w:p>
    <w:p>
      <w:pPr>
        <w:spacing w:before="119"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19"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5" w:after="0" w:line="274" w:lineRule="exact"/>
        <w:ind w:right="252" w:left="0" w:firstLine="0"/>
        <w:jc w:val="righ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(7) The operator must immediately implement the emergency plan if:</w:t>
      </w:r>
    </w:p>
    <w:p>
      <w:pPr>
        <w:numPr>
          <w:ilvl w:val="0"/>
          <w:numId w:val="944"/>
        </w:numPr>
        <w:tabs>
          <w:tab w:val="clear" w:pos="360"/>
          <w:tab w:val="left" w:pos="1872"/>
        </w:tabs>
        <w:spacing w:before="114" w:after="0" w:line="279"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major incident occurs in the course of the operation of the major hazard facility; or</w:t>
      </w:r>
    </w:p>
    <w:p>
      <w:pPr>
        <w:numPr>
          <w:ilvl w:val="0"/>
          <w:numId w:val="944"/>
        </w:numPr>
        <w:tabs>
          <w:tab w:val="clear" w:pos="360"/>
          <w:tab w:val="left" w:pos="1872"/>
        </w:tabs>
        <w:spacing w:before="114" w:after="0" w:line="279"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event occurs that could reasonably be expected to lead to a major incident.</w:t>
      </w:r>
    </w:p>
    <w:p>
      <w:pPr>
        <w:spacing w:before="119"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19"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8" w:after="0" w:line="276"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(8) The operator must notify the emergency service organisations consulted under subregulation (2) of the occurrence of an incident or event referred to in subregulation (3)(b).</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4"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3"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8"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This regulation applies in addition to regulation 43.</w:t>
      </w:r>
    </w:p>
    <w:p>
      <w:pPr>
        <w:spacing w:before="119"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558 Safety management system</w:t>
      </w:r>
    </w:p>
    <w:p>
      <w:pPr>
        <w:numPr>
          <w:ilvl w:val="0"/>
          <w:numId w:val="945"/>
        </w:numPr>
        <w:tabs>
          <w:tab w:val="clear" w:pos="360"/>
          <w:tab w:val="left" w:pos="1368"/>
        </w:tabs>
        <w:spacing w:before="122"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operator of a determined major hazard facility must establish a safety management system for the operation of the major hazard facility, in accordance with this regulation.</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945"/>
        </w:numPr>
        <w:tabs>
          <w:tab w:val="clear" w:pos="360"/>
          <w:tab w:val="left" w:pos="1368"/>
        </w:tabs>
        <w:spacing w:before="122"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operator of a determined major hazard facility must implement the safety management system for the major hazard facility, so far as is reasonably practicable.</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105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an individual—$6 000.</w:t>
      </w:r>
    </w:p>
    <w:p>
      <w:pPr>
        <w:spacing w:before="124" w:after="1050"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382</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9.3	</w:t>
      </w:r>
      <w:r>
        <w:rPr>
          <w:rFonts w:ascii="Times New Roman" w:hAnsi="Times New Roman" w:eastAsia="Times New Roman"/>
          <w:color w:val="000000"/>
          <w:spacing w:val="0"/>
          <w:w w:val="100"/>
          <w:sz w:val="20"/>
          <w:vertAlign w:val="baseline"/>
          <w:lang w:val="en-US"/>
        </w:rPr>
        <w:t xml:space="preserve">Duties of Operators of Determined Major Hazard Facilities</w:t>
      </w:r>
    </w:p>
    <w:p>
      <w:pPr>
        <w:spacing w:before="25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corporate—$30 000.</w:t>
      </w:r>
    </w:p>
    <w:p>
      <w:pPr>
        <w:spacing w:before="126"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safety management system must:</w:t>
      </w:r>
    </w:p>
    <w:p>
      <w:pPr>
        <w:numPr>
          <w:ilvl w:val="0"/>
          <w:numId w:val="946"/>
        </w:numPr>
        <w:tabs>
          <w:tab w:val="clear" w:pos="360"/>
          <w:tab w:val="left" w:pos="1872"/>
        </w:tabs>
        <w:spacing w:before="116" w:after="0" w:line="277"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provide a comprehensive and integrated system for the management of all aspects of risk control in relation to the occurrence and potential occurrence of major incidents at the major hazard facility; and</w:t>
      </w:r>
    </w:p>
    <w:p>
      <w:pPr>
        <w:numPr>
          <w:ilvl w:val="0"/>
          <w:numId w:val="946"/>
        </w:numPr>
        <w:tabs>
          <w:tab w:val="clear" w:pos="360"/>
          <w:tab w:val="left" w:pos="1872"/>
        </w:tabs>
        <w:spacing w:before="114" w:after="0" w:line="279"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be designed to be used by the operator as the primary means of ensuring the safe operation of the major hazard facility.</w:t>
      </w:r>
    </w:p>
    <w:p>
      <w:pPr>
        <w:spacing w:before="120"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The safety management system must:</w:t>
      </w:r>
    </w:p>
    <w:p>
      <w:pPr>
        <w:numPr>
          <w:ilvl w:val="0"/>
          <w:numId w:val="947"/>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be documented; and</w:t>
      </w:r>
    </w:p>
    <w:p>
      <w:pPr>
        <w:numPr>
          <w:ilvl w:val="0"/>
          <w:numId w:val="947"/>
        </w:numPr>
        <w:tabs>
          <w:tab w:val="clear" w:pos="360"/>
          <w:tab w:val="left" w:pos="1872"/>
        </w:tabs>
        <w:spacing w:before="117" w:after="0" w:line="276"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state the operator's safety policy, including the operator's broad aims in relation to the safe operation of the major hazard facility; and</w:t>
      </w:r>
    </w:p>
    <w:p>
      <w:pPr>
        <w:numPr>
          <w:ilvl w:val="0"/>
          <w:numId w:val="947"/>
        </w:numPr>
        <w:tabs>
          <w:tab w:val="clear" w:pos="360"/>
          <w:tab w:val="left" w:pos="1872"/>
        </w:tabs>
        <w:spacing w:before="118" w:after="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state the operator's specific safety objectives and describe the systems and procedures that will be used to achieve those objectives; and</w:t>
      </w:r>
    </w:p>
    <w:p>
      <w:pPr>
        <w:numPr>
          <w:ilvl w:val="0"/>
          <w:numId w:val="947"/>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include the matters specified in Schedule 17; and</w:t>
      </w:r>
    </w:p>
    <w:p>
      <w:pPr>
        <w:numPr>
          <w:ilvl w:val="0"/>
          <w:numId w:val="947"/>
        </w:numPr>
        <w:tabs>
          <w:tab w:val="clear" w:pos="360"/>
          <w:tab w:val="left" w:pos="1872"/>
        </w:tabs>
        <w:spacing w:before="0" w:after="0" w:line="396" w:lineRule="exact"/>
        <w:ind w:right="1944" w:left="360" w:firstLine="115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be readily accessible to persons who use it. </w:t>
      </w:r>
      <w:r>
        <w:rPr>
          <w:rFonts w:ascii="Times New Roman" w:hAnsi="Times New Roman" w:eastAsia="Times New Roman"/>
          <w:b w:val="true"/>
          <w:color w:val="000000"/>
          <w:spacing w:val="0"/>
          <w:w w:val="100"/>
          <w:sz w:val="24"/>
          <w:vertAlign w:val="baseline"/>
          <w:lang w:val="en-US"/>
        </w:rPr>
        <w:t xml:space="preserve">559 Review of risk management</w:t>
      </w:r>
    </w:p>
    <w:p>
      <w:pPr>
        <w:spacing w:before="117" w:after="0" w:line="276" w:lineRule="exact"/>
        <w:ind w:right="72"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(1) The operator of a determined major hazard facility must review and as necessary revise the following, in accordance with this regulation:</w:t>
      </w:r>
    </w:p>
    <w:p>
      <w:pPr>
        <w:numPr>
          <w:ilvl w:val="0"/>
          <w:numId w:val="948"/>
        </w:numPr>
        <w:tabs>
          <w:tab w:val="clear" w:pos="360"/>
          <w:tab w:val="left" w:pos="1872"/>
        </w:tabs>
        <w:spacing w:before="122"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safety assessment conducted under regulation 555 in order to ensure the adequacy of the control measures to be implemented by the operator;</w:t>
      </w:r>
    </w:p>
    <w:p>
      <w:pPr>
        <w:numPr>
          <w:ilvl w:val="0"/>
          <w:numId w:val="948"/>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major hazard facility's emergency plan;</w:t>
      </w:r>
    </w:p>
    <w:p>
      <w:pPr>
        <w:numPr>
          <w:ilvl w:val="0"/>
          <w:numId w:val="948"/>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major hazard facility's safety management system.</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74" w:lineRule="exact"/>
        <w:ind w:right="50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Without limiting subregulation (1), the operator must conduct a review and revision in the following circumstances:</w:t>
      </w:r>
    </w:p>
    <w:p>
      <w:pPr>
        <w:numPr>
          <w:ilvl w:val="0"/>
          <w:numId w:val="949"/>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modification to the major hazard facility is proposed;</w:t>
      </w:r>
    </w:p>
    <w:p>
      <w:pPr>
        <w:numPr>
          <w:ilvl w:val="0"/>
          <w:numId w:val="949"/>
        </w:numPr>
        <w:tabs>
          <w:tab w:val="clear" w:pos="360"/>
          <w:tab w:val="left" w:pos="1872"/>
        </w:tabs>
        <w:spacing w:before="116" w:after="768" w:line="278"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control measure implemented under regulation 556 does not minimise the relevant risk so far as is reasonably practicable;</w:t>
      </w:r>
    </w:p>
    <w:p>
      <w:pPr>
        <w:spacing w:before="116" w:after="768"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383</w:t>
      </w:r>
    </w:p>
    <w:p>
      <w:pPr>
        <w:sectPr>
          <w:type w:val="continuous"/>
          <w:pgSz w:w="11909" w:h="16838" w:orient="portrait"/>
          <w:pgMar w:bottom="1082" w:top="1140" w:right="5817" w:left="1972" w:header="720" w:footer="720"/>
          <w:titlePg w:val="false"/>
          <w:textDirection w:val="lrTb"/>
        </w:sectPr>
      </w:pPr>
    </w:p>
    <w:p>
      <w:pPr>
        <w:spacing w:before="6"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2" w:after="223"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9.3	</w:t>
      </w:r>
      <w:r>
        <w:rPr>
          <w:rFonts w:ascii="Times New Roman" w:hAnsi="Times New Roman" w:eastAsia="Times New Roman"/>
          <w:color w:val="000000"/>
          <w:spacing w:val="0"/>
          <w:w w:val="100"/>
          <w:sz w:val="20"/>
          <w:vertAlign w:val="baseline"/>
          <w:lang w:val="en-US"/>
        </w:rPr>
        <w:t xml:space="preserve">Duties of Operators of Determined Major Hazard Facilities</w:t>
      </w:r>
    </w:p>
    <w:p>
      <w:pPr>
        <w:spacing w:before="255"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Example</w:t>
      </w:r>
    </w:p>
    <w:p>
      <w:pPr>
        <w:spacing w:before="125" w:after="0" w:line="229"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An effectiveness test indicates a deficiency in the control measure.</w:t>
      </w:r>
    </w:p>
    <w:p>
      <w:pPr>
        <w:numPr>
          <w:ilvl w:val="0"/>
          <w:numId w:val="931"/>
        </w:numPr>
        <w:tabs>
          <w:tab w:val="clear" w:pos="288"/>
          <w:tab w:val="left" w:pos="1872"/>
        </w:tabs>
        <w:spacing w:before="118"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new major hazard risk is identified;</w:t>
      </w:r>
    </w:p>
    <w:p>
      <w:pPr>
        <w:numPr>
          <w:ilvl w:val="0"/>
          <w:numId w:val="931"/>
        </w:numPr>
        <w:tabs>
          <w:tab w:val="clear" w:pos="288"/>
          <w:tab w:val="left" w:pos="1872"/>
        </w:tabs>
        <w:spacing w:before="116" w:after="0" w:line="278" w:lineRule="exact"/>
        <w:ind w:right="72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results of consultation by the operator under Part 9.5 indicate that a review is necessary;</w:t>
      </w:r>
    </w:p>
    <w:p>
      <w:pPr>
        <w:numPr>
          <w:ilvl w:val="0"/>
          <w:numId w:val="931"/>
        </w:numPr>
        <w:tabs>
          <w:tab w:val="clear" w:pos="288"/>
          <w:tab w:val="left" w:pos="1872"/>
        </w:tabs>
        <w:spacing w:before="116" w:after="0" w:line="278" w:lineRule="exact"/>
        <w:ind w:right="576"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health and safety representative requests a review under subregulation (4);</w:t>
      </w:r>
    </w:p>
    <w:p>
      <w:pPr>
        <w:numPr>
          <w:ilvl w:val="0"/>
          <w:numId w:val="931"/>
        </w:numPr>
        <w:tabs>
          <w:tab w:val="clear" w:pos="288"/>
          <w:tab w:val="left" w:pos="1872"/>
        </w:tabs>
        <w:spacing w:before="121"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requires the review.</w:t>
      </w:r>
    </w:p>
    <w:p>
      <w:pPr>
        <w:numPr>
          <w:ilvl w:val="0"/>
          <w:numId w:val="950"/>
        </w:numPr>
        <w:tabs>
          <w:tab w:val="clear" w:pos="360"/>
          <w:tab w:val="left" w:pos="1368"/>
        </w:tabs>
        <w:spacing w:before="122" w:after="0" w:line="276"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reviewing and revising the emergency plan, the operator must consult with the emergency service organisations referred to in regulation 557(2).</w:t>
      </w:r>
    </w:p>
    <w:p>
      <w:pPr>
        <w:numPr>
          <w:ilvl w:val="0"/>
          <w:numId w:val="950"/>
        </w:numPr>
        <w:tabs>
          <w:tab w:val="clear" w:pos="360"/>
          <w:tab w:val="left" w:pos="1368"/>
        </w:tabs>
        <w:spacing w:before="118" w:after="0" w:line="276"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health and safety representative for workers at a major hazard facility may request a review if the representative reasonably believes that:</w:t>
      </w:r>
    </w:p>
    <w:p>
      <w:pPr>
        <w:numPr>
          <w:ilvl w:val="0"/>
          <w:numId w:val="951"/>
        </w:numPr>
        <w:tabs>
          <w:tab w:val="clear" w:pos="288"/>
          <w:tab w:val="left" w:pos="1872"/>
        </w:tabs>
        <w:spacing w:before="124" w:after="0" w:line="275" w:lineRule="exact"/>
        <w:ind w:right="144"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circumstance referred to in subregulation (2)(a), (b), (c) or (d) affects or may affect the health and safety of a member of the work group represented by the health and safety representative; and</w:t>
      </w:r>
    </w:p>
    <w:p>
      <w:pPr>
        <w:numPr>
          <w:ilvl w:val="0"/>
          <w:numId w:val="951"/>
        </w:numPr>
        <w:tabs>
          <w:tab w:val="clear" w:pos="288"/>
          <w:tab w:val="left" w:pos="1872"/>
        </w:tabs>
        <w:spacing w:before="124" w:after="0" w:line="274" w:lineRule="exact"/>
        <w:ind w:right="936"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operator has not adequately conducted a review in response to the circumstance.</w:t>
      </w:r>
    </w:p>
    <w:p>
      <w:pPr>
        <w:tabs>
          <w:tab w:val="left" w:leader="none" w:pos="1584"/>
        </w:tabs>
        <w:spacing w:before="250"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4	</w:t>
      </w:r>
      <w:r>
        <w:rPr>
          <w:rFonts w:ascii="Times New Roman" w:hAnsi="Times New Roman" w:eastAsia="Times New Roman"/>
          <w:b w:val="true"/>
          <w:color w:val="000000"/>
          <w:spacing w:val="0"/>
          <w:w w:val="100"/>
          <w:sz w:val="24"/>
          <w:vertAlign w:val="baseline"/>
          <w:lang w:val="en-US"/>
        </w:rPr>
        <w:t xml:space="preserve">Safety case</w:t>
      </w:r>
    </w:p>
    <w:p>
      <w:pPr>
        <w:spacing w:before="115"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560 Safety case must be provided</w:t>
      </w:r>
    </w:p>
    <w:p>
      <w:pPr>
        <w:spacing w:before="121" w:after="0" w:line="276"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operator of a determined major hazard facility must provide the regulator with a completed safety case for the major hazard facility, that has been prepared in accordance with regulation 561, within 24 months after the facility was determined to be a major hazard facility.</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5" w:after="0" w:line="274" w:lineRule="exact"/>
        <w:ind w:right="0" w:left="288" w:firstLine="0"/>
        <w:jc w:val="left"/>
        <w:textAlignment w:val="baseline"/>
        <w:rPr>
          <w:rFonts w:ascii="Times New Roman" w:hAnsi="Times New Roman" w:eastAsia="Times New Roman"/>
          <w:b w:val="true"/>
          <w:color w:val="000000"/>
          <w:spacing w:val="12"/>
          <w:w w:val="100"/>
          <w:sz w:val="24"/>
          <w:vertAlign w:val="baseline"/>
          <w:lang w:val="en-US"/>
        </w:rPr>
      </w:pPr>
      <w:r>
        <w:rPr>
          <w:rFonts w:ascii="Times New Roman" w:hAnsi="Times New Roman" w:eastAsia="Times New Roman"/>
          <w:b w:val="true"/>
          <w:color w:val="000000"/>
          <w:spacing w:val="12"/>
          <w:w w:val="100"/>
          <w:sz w:val="24"/>
          <w:vertAlign w:val="baseline"/>
          <w:lang w:val="en-US"/>
        </w:rPr>
        <w:t xml:space="preserve">561 Content</w:t>
      </w:r>
    </w:p>
    <w:p>
      <w:pPr>
        <w:numPr>
          <w:ilvl w:val="0"/>
          <w:numId w:val="952"/>
        </w:numPr>
        <w:tabs>
          <w:tab w:val="clear" w:pos="360"/>
          <w:tab w:val="left" w:pos="1368"/>
        </w:tabs>
        <w:spacing w:before="115" w:after="0" w:line="278" w:lineRule="exact"/>
        <w:ind w:right="432"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operator must prepare the safety case in accordance with the safety case outline prepared or altered under this Division.</w:t>
      </w:r>
    </w:p>
    <w:p>
      <w:pPr>
        <w:numPr>
          <w:ilvl w:val="0"/>
          <w:numId w:val="952"/>
        </w:numPr>
        <w:tabs>
          <w:tab w:val="clear" w:pos="360"/>
          <w:tab w:val="left" w:pos="1368"/>
        </w:tabs>
        <w:spacing w:before="121" w:after="1257" w:line="273" w:lineRule="exact"/>
        <w:ind w:right="0" w:left="1368" w:hanging="36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safety case must contain the following:</w:t>
      </w:r>
    </w:p>
    <w:p>
      <w:pPr>
        <w:spacing w:before="121" w:after="1257"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384</w:t>
      </w:r>
    </w:p>
    <w:p>
      <w:pPr>
        <w:sectPr>
          <w:type w:val="continuous"/>
          <w:pgSz w:w="11909" w:h="16838" w:orient="portrait"/>
          <w:pgMar w:bottom="1082" w:top="1140" w:right="5812" w:left="1977"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9.3	</w:t>
      </w:r>
      <w:r>
        <w:rPr>
          <w:rFonts w:ascii="Times New Roman" w:hAnsi="Times New Roman" w:eastAsia="Times New Roman"/>
          <w:color w:val="000000"/>
          <w:spacing w:val="0"/>
          <w:w w:val="100"/>
          <w:sz w:val="20"/>
          <w:vertAlign w:val="baseline"/>
          <w:lang w:val="en-US"/>
        </w:rPr>
        <w:t xml:space="preserve">Duties of Operators of Determined Major Hazard Facilities</w:t>
      </w:r>
    </w:p>
    <w:p>
      <w:pPr>
        <w:numPr>
          <w:ilvl w:val="0"/>
          <w:numId w:val="953"/>
        </w:numPr>
        <w:tabs>
          <w:tab w:val="clear" w:pos="288"/>
          <w:tab w:val="left" w:pos="1872"/>
        </w:tabs>
        <w:spacing w:before="245" w:after="0" w:line="279" w:lineRule="exact"/>
        <w:ind w:right="360" w:left="1872" w:hanging="288"/>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summary of the identification conducted under regulation 554, including a list of all major incidents identified;</w:t>
      </w:r>
    </w:p>
    <w:p>
      <w:pPr>
        <w:numPr>
          <w:ilvl w:val="0"/>
          <w:numId w:val="953"/>
        </w:numPr>
        <w:tabs>
          <w:tab w:val="clear" w:pos="288"/>
          <w:tab w:val="left" w:pos="1872"/>
        </w:tabs>
        <w:spacing w:before="114" w:after="0" w:line="279" w:lineRule="exact"/>
        <w:ind w:right="1008"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summary of the safety assessment conducted under regulation 555;</w:t>
      </w:r>
    </w:p>
    <w:p>
      <w:pPr>
        <w:numPr>
          <w:ilvl w:val="0"/>
          <w:numId w:val="953"/>
        </w:numPr>
        <w:tabs>
          <w:tab w:val="clear" w:pos="288"/>
          <w:tab w:val="left" w:pos="1872"/>
        </w:tabs>
        <w:spacing w:before="120"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summary of the major hazard facility's emergency plan;</w:t>
      </w:r>
    </w:p>
    <w:p>
      <w:pPr>
        <w:numPr>
          <w:ilvl w:val="0"/>
          <w:numId w:val="953"/>
        </w:numPr>
        <w:tabs>
          <w:tab w:val="clear" w:pos="288"/>
          <w:tab w:val="left" w:pos="1872"/>
        </w:tabs>
        <w:spacing w:before="126" w:after="0" w:line="273" w:lineRule="exact"/>
        <w:ind w:right="288"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summary of the major hazard facility's safety management system;</w:t>
      </w:r>
    </w:p>
    <w:p>
      <w:pPr>
        <w:numPr>
          <w:ilvl w:val="0"/>
          <w:numId w:val="953"/>
        </w:numPr>
        <w:tabs>
          <w:tab w:val="clear" w:pos="288"/>
          <w:tab w:val="left" w:pos="1872"/>
        </w:tabs>
        <w:spacing w:before="126" w:after="0" w:line="273" w:lineRule="exact"/>
        <w:ind w:right="648"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description of any arrangements made in relation to the security of the major hazard facility;</w:t>
      </w:r>
    </w:p>
    <w:p>
      <w:pPr>
        <w:spacing w:before="124"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7"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notes in the Appendix.</w:t>
      </w:r>
    </w:p>
    <w:p>
      <w:pPr>
        <w:numPr>
          <w:ilvl w:val="0"/>
          <w:numId w:val="953"/>
        </w:numPr>
        <w:tabs>
          <w:tab w:val="clear" w:pos="288"/>
          <w:tab w:val="left" w:pos="1872"/>
        </w:tabs>
        <w:spacing w:before="115" w:after="0" w:line="278" w:lineRule="exact"/>
        <w:ind w:right="216"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description of the consultation with workers that took place under regulation 575 in the preparation of the safety case;</w:t>
      </w:r>
    </w:p>
    <w:p>
      <w:pPr>
        <w:numPr>
          <w:ilvl w:val="0"/>
          <w:numId w:val="953"/>
        </w:numPr>
        <w:tabs>
          <w:tab w:val="clear" w:pos="288"/>
          <w:tab w:val="left" w:pos="1872"/>
        </w:tabs>
        <w:spacing w:before="121" w:after="0" w:line="273"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additional matters specified in Schedule 18.</w:t>
      </w:r>
    </w:p>
    <w:p>
      <w:pPr>
        <w:spacing w:before="122"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safety case must include any further information that is necessary to ensure that all information contained in the safety case is accurate and up to date.</w:t>
      </w:r>
    </w:p>
    <w:p>
      <w:pPr>
        <w:spacing w:before="121"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A safety case must demonstrate:</w:t>
      </w:r>
    </w:p>
    <w:p>
      <w:pPr>
        <w:numPr>
          <w:ilvl w:val="0"/>
          <w:numId w:val="954"/>
        </w:numPr>
        <w:tabs>
          <w:tab w:val="clear" w:pos="288"/>
          <w:tab w:val="left" w:pos="1872"/>
        </w:tabs>
        <w:spacing w:before="122" w:after="0" w:line="276" w:lineRule="exact"/>
        <w:ind w:right="72"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the major hazard facility's safety management system will, once implemented, control risks arising from major incidents and major incident hazards; and</w:t>
      </w:r>
    </w:p>
    <w:p>
      <w:pPr>
        <w:numPr>
          <w:ilvl w:val="0"/>
          <w:numId w:val="954"/>
        </w:numPr>
        <w:tabs>
          <w:tab w:val="clear" w:pos="288"/>
          <w:tab w:val="left" w:pos="1872"/>
        </w:tabs>
        <w:spacing w:before="118" w:after="0" w:line="276" w:lineRule="exact"/>
        <w:ind w:right="36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adequacy of the measures to be implemented by the operator to control risks associated with the occurrence and potential occurrence of major incidents.</w:t>
      </w:r>
    </w:p>
    <w:p>
      <w:pPr>
        <w:spacing w:before="125" w:after="0" w:line="273" w:lineRule="exact"/>
        <w:ind w:right="0" w:left="0" w:firstLine="0"/>
        <w:jc w:val="righ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The operator must include in the safety case a signed statement that:</w:t>
      </w:r>
    </w:p>
    <w:p>
      <w:pPr>
        <w:numPr>
          <w:ilvl w:val="0"/>
          <w:numId w:val="955"/>
        </w:numPr>
        <w:tabs>
          <w:tab w:val="clear" w:pos="288"/>
          <w:tab w:val="left" w:pos="1872"/>
        </w:tabs>
        <w:spacing w:before="116" w:after="0" w:line="278" w:lineRule="exact"/>
        <w:ind w:right="288"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information provided under subregulations (1) and (2) is accurate and up to date; and</w:t>
      </w:r>
    </w:p>
    <w:p>
      <w:pPr>
        <w:numPr>
          <w:ilvl w:val="0"/>
          <w:numId w:val="955"/>
        </w:numPr>
        <w:tabs>
          <w:tab w:val="clear" w:pos="288"/>
          <w:tab w:val="left" w:pos="1872"/>
        </w:tabs>
        <w:spacing w:before="120" w:after="0" w:line="276" w:lineRule="exact"/>
        <w:ind w:right="216"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as a consequence of conducting the safety assessment, the operator has a detailed understanding of all aspects of risk to health and safety associated with major incidents that may occur; and</w:t>
      </w:r>
    </w:p>
    <w:p>
      <w:pPr>
        <w:numPr>
          <w:ilvl w:val="0"/>
          <w:numId w:val="955"/>
        </w:numPr>
        <w:tabs>
          <w:tab w:val="clear" w:pos="288"/>
          <w:tab w:val="left" w:pos="1872"/>
        </w:tabs>
        <w:spacing w:before="121"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control measures to be implemented by the operator:</w:t>
      </w:r>
    </w:p>
    <w:p>
      <w:pPr>
        <w:spacing w:before="124" w:after="1497" w:line="274" w:lineRule="exact"/>
        <w:ind w:right="288" w:left="2376" w:hanging="288"/>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 will eliminate the risk of a major incident occurring, so far as is reasonably practicable; and</w:t>
      </w:r>
    </w:p>
    <w:p>
      <w:pPr>
        <w:spacing w:before="124" w:after="1497"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385</w:t>
      </w:r>
    </w:p>
    <w:p>
      <w:pPr>
        <w:sectPr>
          <w:type w:val="continuous"/>
          <w:pgSz w:w="11909" w:h="16838" w:orient="portrait"/>
          <w:pgMar w:bottom="1082" w:top="1140" w:right="5814" w:left="1975"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9.3	</w:t>
      </w:r>
      <w:r>
        <w:rPr>
          <w:rFonts w:ascii="Times New Roman" w:hAnsi="Times New Roman" w:eastAsia="Times New Roman"/>
          <w:color w:val="000000"/>
          <w:spacing w:val="0"/>
          <w:w w:val="100"/>
          <w:sz w:val="20"/>
          <w:vertAlign w:val="baseline"/>
          <w:lang w:val="en-US"/>
        </w:rPr>
        <w:t xml:space="preserve">Duties of Operators of Determined Major Hazard Facilities</w:t>
      </w:r>
    </w:p>
    <w:p>
      <w:pPr>
        <w:numPr>
          <w:ilvl w:val="0"/>
          <w:numId w:val="956"/>
        </w:numPr>
        <w:tabs>
          <w:tab w:val="clear" w:pos="432"/>
          <w:tab w:val="left" w:pos="2376"/>
        </w:tabs>
        <w:spacing w:before="249" w:after="0" w:line="276" w:lineRule="exact"/>
        <w:ind w:right="72" w:left="2376" w:hanging="432"/>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if it is not reasonably practicable to eliminate the risk of a major incident occurring—will minimise the risk so far as is reasonably practicable; and</w:t>
      </w:r>
    </w:p>
    <w:p>
      <w:pPr>
        <w:numPr>
          <w:ilvl w:val="0"/>
          <w:numId w:val="956"/>
        </w:numPr>
        <w:tabs>
          <w:tab w:val="clear" w:pos="432"/>
          <w:tab w:val="left" w:pos="2376"/>
        </w:tabs>
        <w:spacing w:before="123" w:after="0" w:line="276" w:lineRule="exact"/>
        <w:ind w:right="72" w:left="2376" w:hanging="432"/>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in the event of a major incident occurring—will minimise its magnitude and the severity of its health and safety consequences so far as is reasonably practicable; and</w:t>
      </w:r>
    </w:p>
    <w:p>
      <w:pPr>
        <w:spacing w:before="117" w:after="0" w:line="276" w:lineRule="exact"/>
        <w:ind w:right="144" w:left="1944" w:hanging="432"/>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(d) all persons to be involved in the implementation of the safety management system have the knowledge and skills necessary to enable them to carry out their role safely and competently.</w:t>
      </w:r>
    </w:p>
    <w:p>
      <w:pPr>
        <w:spacing w:before="123" w:after="0" w:line="276"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(6) If the operator is a body corporate, the safety case must be signed by the most senior executive officer of the body corporate who resides in [this jurisdiction].</w:t>
      </w:r>
    </w:p>
    <w:p>
      <w:pPr>
        <w:spacing w:before="123"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7"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notes in the Appendix.</w:t>
      </w:r>
    </w:p>
    <w:p>
      <w:pPr>
        <w:spacing w:before="120"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562 Co-ordination for multiple facilities</w:t>
      </w:r>
    </w:p>
    <w:p>
      <w:pPr>
        <w:numPr>
          <w:ilvl w:val="0"/>
          <w:numId w:val="957"/>
        </w:numPr>
        <w:tabs>
          <w:tab w:val="clear" w:pos="360"/>
          <w:tab w:val="left" w:pos="1368"/>
        </w:tabs>
        <w:spacing w:before="120"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may require the operators of 2 or more major hazard facilities to co-ordinate the preparation of the safety cases for their major hazard facilities if the regulator is satisfied on reasonable grounds that such co-ordination is necessary in the interests of the safe operation and effective safety management of any or all of those major hazard facilities.</w:t>
      </w:r>
    </w:p>
    <w:p>
      <w:pPr>
        <w:numPr>
          <w:ilvl w:val="0"/>
          <w:numId w:val="957"/>
        </w:numPr>
        <w:tabs>
          <w:tab w:val="clear" w:pos="360"/>
          <w:tab w:val="left" w:pos="1368"/>
        </w:tabs>
        <w:spacing w:before="118"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regulator requires the co-ordinated preparation of safety cases, each operator must provide the other operators with information concerning any circumstances at the operator's facility that could constitute a major incident hazard in relation to any of the other major hazard facilities.</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944"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In the case of an individual—$3 600.</w:t>
      </w:r>
    </w:p>
    <w:p>
      <w:pPr>
        <w:spacing w:before="124"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numPr>
          <w:ilvl w:val="0"/>
          <w:numId w:val="957"/>
        </w:numPr>
        <w:tabs>
          <w:tab w:val="clear" w:pos="360"/>
          <w:tab w:val="left" w:pos="1368"/>
        </w:tabs>
        <w:spacing w:before="120"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complying with this regulation, the operator is not required to disclose information that may expose the major hazard facility to a major incident hazard in relation to the security of the major hazard facility.</w:t>
      </w:r>
    </w:p>
    <w:p>
      <w:pPr>
        <w:spacing w:before="120" w:after="0" w:line="274" w:lineRule="exact"/>
        <w:ind w:right="0" w:left="288" w:firstLine="0"/>
        <w:jc w:val="left"/>
        <w:textAlignment w:val="baseline"/>
        <w:rPr>
          <w:rFonts w:ascii="Times New Roman" w:hAnsi="Times New Roman" w:eastAsia="Times New Roman"/>
          <w:b w:val="true"/>
          <w:color w:val="000000"/>
          <w:spacing w:val="12"/>
          <w:w w:val="100"/>
          <w:sz w:val="24"/>
          <w:vertAlign w:val="baseline"/>
          <w:lang w:val="en-US"/>
        </w:rPr>
      </w:pPr>
      <w:r>
        <w:rPr>
          <w:rFonts w:ascii="Times New Roman" w:hAnsi="Times New Roman" w:eastAsia="Times New Roman"/>
          <w:b w:val="true"/>
          <w:color w:val="000000"/>
          <w:spacing w:val="12"/>
          <w:w w:val="100"/>
          <w:sz w:val="24"/>
          <w:vertAlign w:val="baseline"/>
          <w:lang w:val="en-US"/>
        </w:rPr>
        <w:t xml:space="preserve">563 Review</w:t>
      </w:r>
    </w:p>
    <w:p>
      <w:pPr>
        <w:spacing w:before="122" w:after="1026" w:line="276"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operator of a determined major hazard facility must review and as necessary revise the major hazard facility's safety case after any review is conducted under regulation 559.</w:t>
      </w:r>
    </w:p>
    <w:p>
      <w:pPr>
        <w:spacing w:before="122" w:after="1026"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386</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9.3	</w:t>
      </w:r>
      <w:r>
        <w:rPr>
          <w:rFonts w:ascii="Times New Roman" w:hAnsi="Times New Roman" w:eastAsia="Times New Roman"/>
          <w:color w:val="000000"/>
          <w:spacing w:val="0"/>
          <w:w w:val="100"/>
          <w:sz w:val="20"/>
          <w:vertAlign w:val="baseline"/>
          <w:lang w:val="en-US"/>
        </w:rPr>
        <w:t xml:space="preserve">Duties of Operators of Determined Major Hazard Facilities</w:t>
      </w:r>
    </w:p>
    <w:p>
      <w:pPr>
        <w:spacing w:before="251"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Maximum penalty:</w:t>
      </w:r>
    </w:p>
    <w:p>
      <w:pPr>
        <w:spacing w:before="125"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19"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3"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9992" w:line="230" w:lineRule="exact"/>
        <w:ind w:right="72"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The operator of a licensed major hazard facility is required to notify the regulator of any change in relation to certain information about the licence (see regulation 588).</w:t>
      </w:r>
    </w:p>
    <w:p>
      <w:pPr>
        <w:spacing w:before="333"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1.05pt,0.3pt" style="position:absolute;mso-position-horizontal-relative:text;mso-position-vertical-relative:text;">
            <v:stroke dashstyle="solid"/>
          </v:line>
        </w:pict>
      </w:r>
    </w:p>
    <w:p>
      <w:pPr>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387</w:t>
      </w:r>
    </w:p>
    <w:p>
      <w:pPr>
        <w:sectPr>
          <w:type w:val="continuous"/>
          <w:pgSz w:w="11909" w:h="16838" w:orient="portrait"/>
          <w:pgMar w:bottom="1082" w:top="1140" w:right="5812" w:left="1977" w:header="720" w:footer="720"/>
          <w:titlePg w:val="false"/>
          <w:textDirection w:val="lrTb"/>
        </w:sectPr>
      </w:pPr>
    </w:p>
    <w:p>
      <w:pPr>
        <w:spacing w:before="6"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2" w:after="223"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9.4	</w:t>
      </w:r>
      <w:r>
        <w:rPr>
          <w:rFonts w:ascii="Times New Roman" w:hAnsi="Times New Roman" w:eastAsia="Times New Roman"/>
          <w:color w:val="000000"/>
          <w:spacing w:val="0"/>
          <w:w w:val="100"/>
          <w:sz w:val="20"/>
          <w:vertAlign w:val="baseline"/>
          <w:lang w:val="en-US"/>
        </w:rPr>
        <w:t xml:space="preserve">Licensed Major Hazard Facilities—Risk Management</w:t>
      </w:r>
    </w:p>
    <w:p>
      <w:pPr>
        <w:spacing w:before="258" w:after="0" w:line="317" w:lineRule="exact"/>
        <w:ind w:right="0" w:left="0" w:firstLine="0"/>
        <w:jc w:val="center"/>
        <w:textAlignment w:val="baseline"/>
        <w:rPr>
          <w:rFonts w:ascii="Times New Roman" w:hAnsi="Times New Roman" w:eastAsia="Times New Roman"/>
          <w:b w:val="true"/>
          <w:color w:val="000000"/>
          <w:spacing w:val="4"/>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4"/>
          <w:w w:val="100"/>
          <w:sz w:val="28"/>
          <w:vertAlign w:val="baseline"/>
          <w:lang w:val="en-US"/>
        </w:rPr>
        <w:t xml:space="preserve">Part 9.4 Licensed Major Hazard Facilities—Risk Management</w:t>
      </w:r>
    </w:p>
    <w:p>
      <w:pPr>
        <w:spacing w:before="121"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9"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This Part applies to a major hazard facility that is licensed under Part 9.7.</w:t>
      </w:r>
    </w:p>
    <w:p>
      <w:pPr>
        <w:tabs>
          <w:tab w:val="left" w:leader="none" w:pos="864"/>
        </w:tabs>
        <w:spacing w:before="118"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564	</w:t>
      </w:r>
      <w:r>
        <w:rPr>
          <w:rFonts w:ascii="Times New Roman" w:hAnsi="Times New Roman" w:eastAsia="Times New Roman"/>
          <w:b w:val="true"/>
          <w:color w:val="000000"/>
          <w:spacing w:val="0"/>
          <w:w w:val="100"/>
          <w:sz w:val="24"/>
          <w:vertAlign w:val="baseline"/>
          <w:lang w:val="en-US"/>
        </w:rPr>
        <w:t xml:space="preserve">Identification of major incidents and major incident hazards</w:t>
      </w:r>
    </w:p>
    <w:p>
      <w:pPr>
        <w:spacing w:before="119"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operator of a licensed major hazard facility must identify:</w:t>
      </w:r>
    </w:p>
    <w:p>
      <w:pPr>
        <w:numPr>
          <w:ilvl w:val="0"/>
          <w:numId w:val="958"/>
        </w:numPr>
        <w:tabs>
          <w:tab w:val="clear" w:pos="360"/>
          <w:tab w:val="left" w:pos="1872"/>
        </w:tabs>
        <w:spacing w:before="126" w:after="0" w:line="273" w:lineRule="exact"/>
        <w:ind w:right="79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all major incidents that could occur in the course of the operation of the major hazard facility; and</w:t>
      </w:r>
    </w:p>
    <w:p>
      <w:pPr>
        <w:numPr>
          <w:ilvl w:val="0"/>
          <w:numId w:val="958"/>
        </w:numPr>
        <w:tabs>
          <w:tab w:val="clear" w:pos="360"/>
          <w:tab w:val="left" w:pos="1872"/>
        </w:tabs>
        <w:spacing w:before="123"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all major incident hazards for the major hazard facility, including major incident hazards relating to the security of the major hazard facility.</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6" w:after="0" w:line="273"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In complying with subregulation (1), the operator must have regard to any advice and recommendations given by:</w:t>
      </w:r>
    </w:p>
    <w:p>
      <w:pPr>
        <w:numPr>
          <w:ilvl w:val="0"/>
          <w:numId w:val="959"/>
        </w:numPr>
        <w:tabs>
          <w:tab w:val="clear" w:pos="360"/>
          <w:tab w:val="left" w:pos="1872"/>
        </w:tabs>
        <w:spacing w:before="126" w:after="0" w:line="273"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emergency service organisations with responsibility for the area in which the major hazard facility is located; and</w:t>
      </w:r>
    </w:p>
    <w:p>
      <w:pPr>
        <w:numPr>
          <w:ilvl w:val="0"/>
          <w:numId w:val="959"/>
        </w:numPr>
        <w:tabs>
          <w:tab w:val="clear" w:pos="360"/>
          <w:tab w:val="left" w:pos="1872"/>
        </w:tabs>
        <w:spacing w:before="126" w:after="0" w:line="273"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government department or agency with a regulatory role in relation to major hazard facilities.</w:t>
      </w:r>
    </w:p>
    <w:p>
      <w:pPr>
        <w:spacing w:before="126"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operator must document:</w:t>
      </w:r>
    </w:p>
    <w:p>
      <w:pPr>
        <w:numPr>
          <w:ilvl w:val="0"/>
          <w:numId w:val="960"/>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all identified major incidents and major incident hazards; and</w:t>
      </w:r>
    </w:p>
    <w:p>
      <w:pPr>
        <w:numPr>
          <w:ilvl w:val="0"/>
          <w:numId w:val="960"/>
        </w:numPr>
        <w:tabs>
          <w:tab w:val="clear" w:pos="360"/>
          <w:tab w:val="left" w:pos="1872"/>
        </w:tabs>
        <w:spacing w:before="126" w:after="0" w:line="273" w:lineRule="exact"/>
        <w:ind w:right="93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criteria and methods used in identifying the major incidents and major incident hazards; and</w:t>
      </w:r>
    </w:p>
    <w:p>
      <w:pPr>
        <w:numPr>
          <w:ilvl w:val="0"/>
          <w:numId w:val="960"/>
        </w:numPr>
        <w:tabs>
          <w:tab w:val="clear" w:pos="360"/>
          <w:tab w:val="left" w:pos="1872"/>
        </w:tabs>
        <w:spacing w:before="123" w:after="0" w:line="276"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external conditions under which the major incident hazards, including those relating to the security of the major hazard facility, might give rise to the major incidents.</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1368"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(4) All major incidents and major incident hazards identified and documented under regulation 554 in relation to the major hazard facility are taken to have been identified and documented under this regulation.</w:t>
      </w:r>
    </w:p>
    <w:p>
      <w:pPr>
        <w:spacing w:before="124" w:after="1368" w:line="275"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388</w:t>
      </w:r>
    </w:p>
    <w:p>
      <w:pPr>
        <w:sectPr>
          <w:type w:val="continuous"/>
          <w:pgSz w:w="11909" w:h="16838" w:orient="portrait"/>
          <w:pgMar w:bottom="1082" w:top="1140" w:right="5814" w:left="1975"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9.4	</w:t>
      </w:r>
      <w:r>
        <w:rPr>
          <w:rFonts w:ascii="Times New Roman" w:hAnsi="Times New Roman" w:eastAsia="Times New Roman"/>
          <w:color w:val="000000"/>
          <w:spacing w:val="0"/>
          <w:w w:val="100"/>
          <w:sz w:val="20"/>
          <w:vertAlign w:val="baseline"/>
          <w:lang w:val="en-US"/>
        </w:rPr>
        <w:t xml:space="preserve">Licensed Major Hazard Facilities—Risk Management</w:t>
      </w:r>
    </w:p>
    <w:p>
      <w:pPr>
        <w:spacing w:before="251" w:after="0" w:line="274" w:lineRule="exact"/>
        <w:ind w:right="0" w:left="288" w:firstLine="0"/>
        <w:jc w:val="left"/>
        <w:textAlignment w:val="baseline"/>
        <w:rPr>
          <w:rFonts w:ascii="Times New Roman" w:hAnsi="Times New Roman" w:eastAsia="Times New Roman"/>
          <w:b w:val="true"/>
          <w:color w:val="000000"/>
          <w:spacing w:val="6"/>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6"/>
          <w:w w:val="100"/>
          <w:sz w:val="24"/>
          <w:vertAlign w:val="baseline"/>
          <w:lang w:val="en-US"/>
        </w:rPr>
        <w:t xml:space="preserve">565 Safety assessment</w:t>
      </w:r>
    </w:p>
    <w:p>
      <w:pPr>
        <w:spacing w:before="123" w:after="0" w:line="276"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operator of a licensed major hazard facility must keep a copy of the safety assessment documented under regulation 555 as revised under Part 9.3 and this Part at the facility.</w:t>
      </w:r>
    </w:p>
    <w:p>
      <w:pPr>
        <w:spacing w:before="119"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19"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5" w:after="0" w:line="274" w:lineRule="exact"/>
        <w:ind w:right="0" w:left="288" w:firstLine="0"/>
        <w:jc w:val="left"/>
        <w:textAlignment w:val="baseline"/>
        <w:rPr>
          <w:rFonts w:ascii="Times New Roman" w:hAnsi="Times New Roman" w:eastAsia="Times New Roman"/>
          <w:b w:val="true"/>
          <w:color w:val="000000"/>
          <w:spacing w:val="7"/>
          <w:w w:val="100"/>
          <w:sz w:val="24"/>
          <w:vertAlign w:val="baseline"/>
          <w:lang w:val="en-US"/>
        </w:rPr>
      </w:pPr>
      <w:r>
        <w:rPr>
          <w:rFonts w:ascii="Times New Roman" w:hAnsi="Times New Roman" w:eastAsia="Times New Roman"/>
          <w:b w:val="true"/>
          <w:color w:val="000000"/>
          <w:spacing w:val="7"/>
          <w:w w:val="100"/>
          <w:sz w:val="24"/>
          <w:vertAlign w:val="baseline"/>
          <w:lang w:val="en-US"/>
        </w:rPr>
        <w:t xml:space="preserve">566 Control of risk</w:t>
      </w:r>
    </w:p>
    <w:p>
      <w:pPr>
        <w:spacing w:before="114" w:after="0" w:line="279" w:lineRule="exact"/>
        <w:ind w:right="432"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operator of a licensed major hazard facility must implement risk control measures that:</w:t>
      </w:r>
    </w:p>
    <w:p>
      <w:pPr>
        <w:numPr>
          <w:ilvl w:val="0"/>
          <w:numId w:val="961"/>
        </w:numPr>
        <w:tabs>
          <w:tab w:val="clear" w:pos="360"/>
          <w:tab w:val="left" w:pos="1872"/>
        </w:tabs>
        <w:spacing w:before="114" w:after="0" w:line="279"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eliminate, so far as is reasonably practicable, the risk of a major incident occurring; or</w:t>
      </w:r>
    </w:p>
    <w:p>
      <w:pPr>
        <w:numPr>
          <w:ilvl w:val="0"/>
          <w:numId w:val="961"/>
        </w:numPr>
        <w:tabs>
          <w:tab w:val="clear" w:pos="360"/>
          <w:tab w:val="left" w:pos="1872"/>
        </w:tabs>
        <w:spacing w:before="119" w:after="0" w:line="274" w:lineRule="exact"/>
        <w:ind w:right="64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it is not reasonably practicable to eliminate that risk— minimise that risk so far as is reasonably practicable.</w:t>
      </w:r>
    </w:p>
    <w:p>
      <w:pPr>
        <w:spacing w:before="128"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8"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WHS Act—section 20 (see regulation 9).</w:t>
      </w:r>
    </w:p>
    <w:p>
      <w:pPr>
        <w:spacing w:before="119" w:after="0" w:line="275"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operator of a licensed major hazard facility must implement risk control measures designed to minimise, in the event of a major incident occurring, its magnitude and the severity of its consequences to persons both on-site and off-site.</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4"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0" w:after="0" w:line="274" w:lineRule="exact"/>
        <w:ind w:right="0" w:left="288" w:firstLine="0"/>
        <w:jc w:val="left"/>
        <w:textAlignment w:val="baseline"/>
        <w:rPr>
          <w:rFonts w:ascii="Times New Roman" w:hAnsi="Times New Roman" w:eastAsia="Times New Roman"/>
          <w:b w:val="true"/>
          <w:color w:val="000000"/>
          <w:spacing w:val="7"/>
          <w:w w:val="100"/>
          <w:sz w:val="24"/>
          <w:vertAlign w:val="baseline"/>
          <w:lang w:val="en-US"/>
        </w:rPr>
      </w:pPr>
      <w:r>
        <w:rPr>
          <w:rFonts w:ascii="Times New Roman" w:hAnsi="Times New Roman" w:eastAsia="Times New Roman"/>
          <w:b w:val="true"/>
          <w:color w:val="000000"/>
          <w:spacing w:val="7"/>
          <w:w w:val="100"/>
          <w:sz w:val="24"/>
          <w:vertAlign w:val="baseline"/>
          <w:lang w:val="en-US"/>
        </w:rPr>
        <w:t xml:space="preserve">567 Emergency plan</w:t>
      </w:r>
    </w:p>
    <w:p>
      <w:pPr>
        <w:numPr>
          <w:ilvl w:val="0"/>
          <w:numId w:val="962"/>
        </w:numPr>
        <w:tabs>
          <w:tab w:val="clear" w:pos="360"/>
          <w:tab w:val="left" w:pos="1368"/>
        </w:tabs>
        <w:spacing w:before="122" w:after="0" w:line="276"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operator of a licensed major hazard facility must keep a copy of the major hazard facility's emergency plan prepared under regulation 557 as revised under Part 9.3 and this Part at the facility.</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4"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962"/>
        </w:numPr>
        <w:tabs>
          <w:tab w:val="clear" w:pos="360"/>
          <w:tab w:val="left" w:pos="1368"/>
        </w:tabs>
        <w:spacing w:before="122" w:after="1410" w:line="276"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operator must test the emergency plan in accordance with the recommendations made by the emergency service organisations referred to in regulation 557(2).</w:t>
      </w:r>
    </w:p>
    <w:p>
      <w:pPr>
        <w:spacing w:before="122" w:after="1410"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389</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9.4	</w:t>
      </w:r>
      <w:r>
        <w:rPr>
          <w:rFonts w:ascii="Times New Roman" w:hAnsi="Times New Roman" w:eastAsia="Times New Roman"/>
          <w:color w:val="000000"/>
          <w:spacing w:val="0"/>
          <w:w w:val="100"/>
          <w:sz w:val="20"/>
          <w:vertAlign w:val="baseline"/>
          <w:lang w:val="en-US"/>
        </w:rPr>
        <w:t xml:space="preserve">Licensed Major Hazard Facilities—Risk Management</w:t>
      </w:r>
    </w:p>
    <w:p>
      <w:pPr>
        <w:spacing w:before="251"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Maximum penalty:</w:t>
      </w:r>
    </w:p>
    <w:p>
      <w:pPr>
        <w:spacing w:before="125"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19"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5" w:after="0" w:line="274" w:lineRule="exact"/>
        <w:ind w:right="252" w:left="0" w:firstLine="0"/>
        <w:jc w:val="righ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operator must immediately implement the emergency plan if:</w:t>
      </w:r>
    </w:p>
    <w:p>
      <w:pPr>
        <w:numPr>
          <w:ilvl w:val="0"/>
          <w:numId w:val="963"/>
        </w:numPr>
        <w:tabs>
          <w:tab w:val="clear" w:pos="360"/>
          <w:tab w:val="left" w:pos="1872"/>
        </w:tabs>
        <w:spacing w:before="114" w:after="0" w:line="279"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major incident occurs in the course of the operation of the major hazard facility; or</w:t>
      </w:r>
    </w:p>
    <w:p>
      <w:pPr>
        <w:numPr>
          <w:ilvl w:val="0"/>
          <w:numId w:val="963"/>
        </w:numPr>
        <w:tabs>
          <w:tab w:val="clear" w:pos="360"/>
          <w:tab w:val="left" w:pos="1872"/>
        </w:tabs>
        <w:spacing w:before="114" w:after="0" w:line="279"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event occurs that could reasonably be expected to lead to a major incident.</w:t>
      </w:r>
    </w:p>
    <w:p>
      <w:pPr>
        <w:spacing w:before="119"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19"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75"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The operator must notify the regulator and the emergency service organisations referred to in regulation 557(2) of the occurrence of an incident or event referred to in regulation 557(3) as soon as practicable after the incident or event occurs.</w:t>
      </w:r>
    </w:p>
    <w:p>
      <w:pPr>
        <w:spacing w:before="120"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4"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568 Safety management system</w:t>
      </w:r>
    </w:p>
    <w:p>
      <w:pPr>
        <w:numPr>
          <w:ilvl w:val="0"/>
          <w:numId w:val="964"/>
        </w:numPr>
        <w:tabs>
          <w:tab w:val="clear" w:pos="360"/>
          <w:tab w:val="left" w:pos="1368"/>
        </w:tabs>
        <w:spacing w:before="118"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operator of a licensed major hazard facility must implement the major hazard facility's safety management system established under regulation 558 as revised under Part 9.3 and this Part.</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4" w:after="0" w:line="274"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numPr>
          <w:ilvl w:val="0"/>
          <w:numId w:val="964"/>
        </w:numPr>
        <w:tabs>
          <w:tab w:val="clear" w:pos="360"/>
          <w:tab w:val="left" w:pos="1368"/>
        </w:tabs>
        <w:spacing w:before="116" w:after="0" w:line="278"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operator must use the safety management system as the primary means of:</w:t>
      </w:r>
    </w:p>
    <w:p>
      <w:pPr>
        <w:numPr>
          <w:ilvl w:val="0"/>
          <w:numId w:val="965"/>
        </w:numPr>
        <w:tabs>
          <w:tab w:val="clear" w:pos="360"/>
          <w:tab w:val="left" w:pos="1872"/>
        </w:tabs>
        <w:spacing w:before="118"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ensuring the health and safety of workers engaged or caused to be engaged by the operator and workers whose activities in carrying out work are influenced or directed by the operator while the workers are at work in the operation of the major hazard facility; and</w:t>
      </w:r>
    </w:p>
    <w:p>
      <w:pPr>
        <w:numPr>
          <w:ilvl w:val="0"/>
          <w:numId w:val="965"/>
        </w:numPr>
        <w:tabs>
          <w:tab w:val="clear" w:pos="360"/>
          <w:tab w:val="left" w:pos="1872"/>
        </w:tabs>
        <w:spacing w:before="122" w:after="767"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ensuring that the health and safety of other persons is not put at risk from work carried out as part of the operation of the major hazard facility.</w:t>
      </w:r>
    </w:p>
    <w:p>
      <w:pPr>
        <w:spacing w:before="122" w:after="767"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390</w:t>
      </w:r>
    </w:p>
    <w:p>
      <w:pPr>
        <w:sectPr>
          <w:type w:val="continuous"/>
          <w:pgSz w:w="11909" w:h="16838" w:orient="portrait"/>
          <w:pgMar w:bottom="1082" w:top="1140" w:right="5812" w:left="1977" w:header="720" w:footer="720"/>
          <w:titlePg w:val="false"/>
          <w:textDirection w:val="lrTb"/>
        </w:sectPr>
      </w:pPr>
    </w:p>
    <w:p>
      <w:pPr>
        <w:spacing w:before="6"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2" w:after="223"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9.4	</w:t>
      </w:r>
      <w:r>
        <w:rPr>
          <w:rFonts w:ascii="Times New Roman" w:hAnsi="Times New Roman" w:eastAsia="Times New Roman"/>
          <w:color w:val="000000"/>
          <w:spacing w:val="0"/>
          <w:w w:val="100"/>
          <w:sz w:val="20"/>
          <w:vertAlign w:val="baseline"/>
          <w:lang w:val="en-US"/>
        </w:rPr>
        <w:t xml:space="preserve">Licensed Major Hazard Facilities—Risk Management</w:t>
      </w:r>
    </w:p>
    <w:p>
      <w:pPr>
        <w:spacing w:before="255" w:after="0" w:line="226"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Note</w:t>
      </w:r>
    </w:p>
    <w:p>
      <w:pPr>
        <w:spacing w:before="124" w:after="0" w:line="230" w:lineRule="exact"/>
        <w:ind w:right="72"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The operator of a licensed major hazard facility is required to notify the regulator of any change in relation to certain information about the licence (see regulation 588).</w:t>
      </w:r>
    </w:p>
    <w:p>
      <w:pPr>
        <w:spacing w:before="118" w:after="0" w:line="274"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569 Review of risk management</w:t>
      </w:r>
    </w:p>
    <w:p>
      <w:pPr>
        <w:spacing w:before="115" w:after="0" w:line="278"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operator of a licensed major hazard facility must review and as necessary revise the following, in accordance with this regulation:</w:t>
      </w:r>
    </w:p>
    <w:p>
      <w:pPr>
        <w:numPr>
          <w:ilvl w:val="0"/>
          <w:numId w:val="966"/>
        </w:numPr>
        <w:tabs>
          <w:tab w:val="clear" w:pos="288"/>
          <w:tab w:val="left" w:pos="1872"/>
        </w:tabs>
        <w:spacing w:before="118" w:after="0" w:line="276" w:lineRule="exact"/>
        <w:ind w:right="36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safety assessment for the facility in order to ensure the adequacy of the control measures to be implemented by the operator;</w:t>
      </w:r>
    </w:p>
    <w:p>
      <w:pPr>
        <w:numPr>
          <w:ilvl w:val="0"/>
          <w:numId w:val="966"/>
        </w:numPr>
        <w:tabs>
          <w:tab w:val="clear" w:pos="288"/>
          <w:tab w:val="left" w:pos="1872"/>
        </w:tabs>
        <w:spacing w:before="125"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major hazard facility's emergency plan;</w:t>
      </w:r>
    </w:p>
    <w:p>
      <w:pPr>
        <w:numPr>
          <w:ilvl w:val="0"/>
          <w:numId w:val="966"/>
        </w:numPr>
        <w:tabs>
          <w:tab w:val="clear" w:pos="288"/>
          <w:tab w:val="left" w:pos="1872"/>
        </w:tabs>
        <w:spacing w:before="121"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major hazard facility's safety management system.</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6" w:after="0" w:line="278" w:lineRule="exact"/>
        <w:ind w:right="50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Without limiting subregulation (1), the operator must conduct a review and revision in the following circumstances:</w:t>
      </w:r>
    </w:p>
    <w:p>
      <w:pPr>
        <w:numPr>
          <w:ilvl w:val="0"/>
          <w:numId w:val="967"/>
        </w:numPr>
        <w:tabs>
          <w:tab w:val="clear" w:pos="288"/>
          <w:tab w:val="left" w:pos="1872"/>
        </w:tabs>
        <w:spacing w:before="121"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modification to the major hazard facility is proposed;</w:t>
      </w:r>
    </w:p>
    <w:p>
      <w:pPr>
        <w:numPr>
          <w:ilvl w:val="0"/>
          <w:numId w:val="967"/>
        </w:numPr>
        <w:tabs>
          <w:tab w:val="clear" w:pos="288"/>
          <w:tab w:val="left" w:pos="1872"/>
        </w:tabs>
        <w:spacing w:before="124" w:after="0" w:line="274" w:lineRule="exact"/>
        <w:ind w:right="144"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control measure implemented under regulation 566 does not minimise the relevant risk so far as is reasonably practicable;</w:t>
      </w:r>
    </w:p>
    <w:p>
      <w:pPr>
        <w:spacing w:before="128" w:after="0" w:line="226"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Example</w:t>
      </w:r>
    </w:p>
    <w:p>
      <w:pPr>
        <w:spacing w:before="120" w:after="0" w:line="229"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An effectiveness test indicates a deficiency in the control measure.</w:t>
      </w:r>
    </w:p>
    <w:p>
      <w:pPr>
        <w:numPr>
          <w:ilvl w:val="0"/>
          <w:numId w:val="967"/>
        </w:numPr>
        <w:tabs>
          <w:tab w:val="clear" w:pos="288"/>
          <w:tab w:val="left" w:pos="1872"/>
        </w:tabs>
        <w:spacing w:before="118"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new major hazard risk is identified;</w:t>
      </w:r>
    </w:p>
    <w:p>
      <w:pPr>
        <w:numPr>
          <w:ilvl w:val="0"/>
          <w:numId w:val="967"/>
        </w:numPr>
        <w:tabs>
          <w:tab w:val="clear" w:pos="288"/>
          <w:tab w:val="left" w:pos="1872"/>
        </w:tabs>
        <w:spacing w:before="124" w:after="0" w:line="274" w:lineRule="exact"/>
        <w:ind w:right="72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results of consultation by the operator under Part 9.5 indicate that a review is necessary;</w:t>
      </w:r>
    </w:p>
    <w:p>
      <w:pPr>
        <w:numPr>
          <w:ilvl w:val="0"/>
          <w:numId w:val="967"/>
        </w:numPr>
        <w:tabs>
          <w:tab w:val="clear" w:pos="288"/>
          <w:tab w:val="left" w:pos="1872"/>
        </w:tabs>
        <w:spacing w:before="124" w:after="0" w:line="274" w:lineRule="exact"/>
        <w:ind w:right="504"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health and safety representative requests a review under subregulation (5);</w:t>
      </w:r>
    </w:p>
    <w:p>
      <w:pPr>
        <w:numPr>
          <w:ilvl w:val="0"/>
          <w:numId w:val="967"/>
        </w:numPr>
        <w:tabs>
          <w:tab w:val="clear" w:pos="288"/>
          <w:tab w:val="left" w:pos="1872"/>
        </w:tabs>
        <w:spacing w:before="125"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requires the review;</w:t>
      </w:r>
    </w:p>
    <w:p>
      <w:pPr>
        <w:numPr>
          <w:ilvl w:val="0"/>
          <w:numId w:val="967"/>
        </w:numPr>
        <w:tabs>
          <w:tab w:val="clear" w:pos="288"/>
          <w:tab w:val="left" w:pos="1872"/>
        </w:tabs>
        <w:spacing w:before="121"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at least once every 5 years.</w:t>
      </w:r>
    </w:p>
    <w:p>
      <w:pPr>
        <w:spacing w:before="122" w:after="0" w:line="276" w:lineRule="exact"/>
        <w:ind w:right="216"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In reviewing and revising the safety assessment, the operator must comply with the requirements set out in regulation 555(2), (3) and (4).</w:t>
      </w:r>
    </w:p>
    <w:p>
      <w:pPr>
        <w:spacing w:before="118" w:after="926" w:line="276"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(4) In reviewing and revising the emergency plan, the operator must consult with the emergency service organisations referred to in regulation 557(2).</w:t>
      </w:r>
    </w:p>
    <w:p>
      <w:pPr>
        <w:spacing w:before="118" w:after="926"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391</w:t>
      </w:r>
    </w:p>
    <w:p>
      <w:pPr>
        <w:sectPr>
          <w:type w:val="continuous"/>
          <w:pgSz w:w="11909" w:h="16838" w:orient="portrait"/>
          <w:pgMar w:bottom="1082" w:top="1140" w:right="5819" w:left="1970" w:header="720" w:footer="720"/>
          <w:titlePg w:val="false"/>
          <w:textDirection w:val="lrTb"/>
        </w:sectPr>
      </w:pPr>
    </w:p>
    <w:p>
      <w:pPr>
        <w:spacing w:before="6"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2" w:after="223"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9.4	</w:t>
      </w:r>
      <w:r>
        <w:rPr>
          <w:rFonts w:ascii="Times New Roman" w:hAnsi="Times New Roman" w:eastAsia="Times New Roman"/>
          <w:color w:val="000000"/>
          <w:spacing w:val="0"/>
          <w:w w:val="100"/>
          <w:sz w:val="20"/>
          <w:vertAlign w:val="baseline"/>
          <w:lang w:val="en-US"/>
        </w:rPr>
        <w:t xml:space="preserve">Licensed Major Hazard Facilities—Risk Management</w:t>
      </w:r>
    </w:p>
    <w:p>
      <w:pPr>
        <w:spacing w:before="248" w:after="0" w:line="276"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(5) A health and safety representative for workers at a major hazard facility may request a review if the representative reasonably believes that:</w:t>
      </w:r>
    </w:p>
    <w:p>
      <w:pPr>
        <w:spacing w:before="126" w:after="0" w:line="273" w:lineRule="exact"/>
        <w:ind w:right="252" w:left="0" w:firstLine="0"/>
        <w:jc w:val="righ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a circumstance referred to in subregulation (2)(a), (b), (c) or</w:t>
      </w:r>
    </w:p>
    <w:p>
      <w:pPr>
        <w:spacing w:before="0" w:after="0" w:line="275" w:lineRule="exact"/>
        <w:ind w:right="216"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affects or may affect the health and safety of a member of the work group represented by the health and safety representative; and</w:t>
      </w:r>
    </w:p>
    <w:p>
      <w:pPr>
        <w:spacing w:before="126" w:after="0" w:line="273" w:lineRule="exact"/>
        <w:ind w:right="93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the operator has not adequately conducted a review in response to the circumstance.</w:t>
      </w:r>
    </w:p>
    <w:p>
      <w:pPr>
        <w:spacing w:before="126" w:after="0" w:line="274" w:lineRule="exact"/>
        <w:ind w:right="0" w:left="288" w:firstLine="0"/>
        <w:jc w:val="left"/>
        <w:textAlignment w:val="baseline"/>
        <w:rPr>
          <w:rFonts w:ascii="Times New Roman" w:hAnsi="Times New Roman" w:eastAsia="Times New Roman"/>
          <w:b w:val="true"/>
          <w:color w:val="000000"/>
          <w:spacing w:val="6"/>
          <w:w w:val="100"/>
          <w:sz w:val="24"/>
          <w:vertAlign w:val="baseline"/>
          <w:lang w:val="en-US"/>
        </w:rPr>
      </w:pPr>
      <w:r>
        <w:rPr>
          <w:rFonts w:ascii="Times New Roman" w:hAnsi="Times New Roman" w:eastAsia="Times New Roman"/>
          <w:b w:val="true"/>
          <w:color w:val="000000"/>
          <w:spacing w:val="6"/>
          <w:w w:val="100"/>
          <w:sz w:val="24"/>
          <w:vertAlign w:val="baseline"/>
          <w:lang w:val="en-US"/>
        </w:rPr>
        <w:t xml:space="preserve">570 Safety case—review</w:t>
      </w:r>
    </w:p>
    <w:p>
      <w:pPr>
        <w:spacing w:before="116" w:after="0" w:line="276"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operator of a licensed major hazard facility must review and as necessary revise the safety case after any review is conducted under regulation 569.</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29"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30" w:lineRule="exact"/>
        <w:ind w:right="72"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The operator of a licensed major hazard facility is required to notify the regulator of any change in relation to certain information about the licence. See regulation 588.</w:t>
      </w:r>
    </w:p>
    <w:p>
      <w:pPr>
        <w:spacing w:before="118" w:after="0" w:line="274"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571 Information for visitors</w:t>
      </w:r>
    </w:p>
    <w:p>
      <w:pPr>
        <w:spacing w:before="117" w:after="0" w:line="276"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operator of a licensed major hazard facility must ensure that a person other than a worker who enters the major hazard facility is as soon as practicable:</w:t>
      </w:r>
    </w:p>
    <w:p>
      <w:pPr>
        <w:numPr>
          <w:ilvl w:val="0"/>
          <w:numId w:val="968"/>
        </w:numPr>
        <w:tabs>
          <w:tab w:val="clear" w:pos="360"/>
          <w:tab w:val="left" w:pos="1872"/>
        </w:tabs>
        <w:spacing w:before="124" w:after="0" w:line="274"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informed about hazards at the major hazard facility that may affect that person; and</w:t>
      </w:r>
    </w:p>
    <w:p>
      <w:pPr>
        <w:numPr>
          <w:ilvl w:val="0"/>
          <w:numId w:val="968"/>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instructed in safety precautions the person should take; and</w:t>
      </w:r>
    </w:p>
    <w:p>
      <w:pPr>
        <w:numPr>
          <w:ilvl w:val="0"/>
          <w:numId w:val="968"/>
        </w:numPr>
        <w:tabs>
          <w:tab w:val="clear" w:pos="360"/>
          <w:tab w:val="left" w:pos="1872"/>
        </w:tabs>
        <w:spacing w:before="116" w:after="0" w:line="278" w:lineRule="exact"/>
        <w:ind w:right="432" w:left="1872"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instructed in the actions the person should take if the emergency plan is implemented while the person is on-site.</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5"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572 Information for local community—general</w:t>
      </w:r>
    </w:p>
    <w:p>
      <w:pPr>
        <w:spacing w:before="117" w:after="796"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(1) The operator of a licensed major hazard facility must ensure the provision of the following information to the local community and the local authority:</w:t>
      </w:r>
    </w:p>
    <w:p>
      <w:pPr>
        <w:spacing w:before="117" w:after="796"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392</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9.4	</w:t>
      </w:r>
      <w:r>
        <w:rPr>
          <w:rFonts w:ascii="Times New Roman" w:hAnsi="Times New Roman" w:eastAsia="Times New Roman"/>
          <w:color w:val="000000"/>
          <w:spacing w:val="0"/>
          <w:w w:val="100"/>
          <w:sz w:val="20"/>
          <w:vertAlign w:val="baseline"/>
          <w:lang w:val="en-US"/>
        </w:rPr>
        <w:t xml:space="preserve">Licensed Major Hazard Facilities—Risk Management</w:t>
      </w:r>
    </w:p>
    <w:p>
      <w:pPr>
        <w:numPr>
          <w:ilvl w:val="0"/>
          <w:numId w:val="969"/>
        </w:numPr>
        <w:tabs>
          <w:tab w:val="clear" w:pos="288"/>
          <w:tab w:val="left" w:pos="1872"/>
        </w:tabs>
        <w:spacing w:before="251"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name and location of the major hazard facility;</w:t>
      </w:r>
    </w:p>
    <w:p>
      <w:pPr>
        <w:numPr>
          <w:ilvl w:val="0"/>
          <w:numId w:val="969"/>
        </w:numPr>
        <w:tabs>
          <w:tab w:val="clear" w:pos="288"/>
          <w:tab w:val="left" w:pos="1872"/>
        </w:tabs>
        <w:spacing w:before="126" w:after="0" w:line="273" w:lineRule="exact"/>
        <w:ind w:right="72"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position and contact details of a contact person from whom information may be obtained;</w:t>
      </w:r>
    </w:p>
    <w:p>
      <w:pPr>
        <w:numPr>
          <w:ilvl w:val="0"/>
          <w:numId w:val="969"/>
        </w:numPr>
        <w:tabs>
          <w:tab w:val="clear" w:pos="288"/>
          <w:tab w:val="left" w:pos="1872"/>
        </w:tabs>
        <w:spacing w:before="126"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general description of the major hazard facility's operations;</w:t>
      </w:r>
    </w:p>
    <w:p>
      <w:pPr>
        <w:numPr>
          <w:ilvl w:val="0"/>
          <w:numId w:val="969"/>
        </w:numPr>
        <w:tabs>
          <w:tab w:val="clear" w:pos="288"/>
          <w:tab w:val="left" w:pos="1872"/>
        </w:tabs>
        <w:spacing w:before="114" w:after="0" w:line="279" w:lineRule="exact"/>
        <w:ind w:right="72"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means by which the local community will be informed of a major incident occurring;</w:t>
      </w:r>
    </w:p>
    <w:p>
      <w:pPr>
        <w:numPr>
          <w:ilvl w:val="0"/>
          <w:numId w:val="969"/>
        </w:numPr>
        <w:tabs>
          <w:tab w:val="clear" w:pos="288"/>
          <w:tab w:val="left" w:pos="1872"/>
        </w:tabs>
        <w:spacing w:before="117" w:after="0" w:line="276" w:lineRule="exact"/>
        <w:ind w:right="144"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actions, as specified in the major hazard facility's emergency plan, that members of the local community should take if a major incident occurs;</w:t>
      </w:r>
    </w:p>
    <w:p>
      <w:pPr>
        <w:numPr>
          <w:ilvl w:val="0"/>
          <w:numId w:val="969"/>
        </w:numPr>
        <w:tabs>
          <w:tab w:val="clear" w:pos="288"/>
          <w:tab w:val="left" w:pos="1872"/>
        </w:tabs>
        <w:spacing w:before="126"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summary of the safety case for the major hazard facility.</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6" w:after="0" w:line="278" w:lineRule="exact"/>
        <w:ind w:right="64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operator must ensure that the information provided under subregulation (1) is:</w:t>
      </w:r>
    </w:p>
    <w:p>
      <w:pPr>
        <w:numPr>
          <w:ilvl w:val="0"/>
          <w:numId w:val="970"/>
        </w:numPr>
        <w:tabs>
          <w:tab w:val="clear" w:pos="288"/>
          <w:tab w:val="left" w:pos="1872"/>
        </w:tabs>
        <w:spacing w:before="118" w:after="0" w:line="276" w:lineRule="exact"/>
        <w:ind w:right="144"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set out and expressed in a way that is readily accessible and understandable to persons who are not familiar with the major hazard facility and its operations; and</w:t>
      </w:r>
    </w:p>
    <w:p>
      <w:pPr>
        <w:numPr>
          <w:ilvl w:val="0"/>
          <w:numId w:val="970"/>
        </w:numPr>
        <w:tabs>
          <w:tab w:val="clear" w:pos="288"/>
          <w:tab w:val="left" w:pos="1872"/>
        </w:tabs>
        <w:spacing w:before="124" w:after="0" w:line="274" w:lineRule="exact"/>
        <w:ind w:right="144"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reviewed and as necessary revised if a modification is made to the major hazard facility; and</w:t>
      </w:r>
    </w:p>
    <w:p>
      <w:pPr>
        <w:numPr>
          <w:ilvl w:val="0"/>
          <w:numId w:val="970"/>
        </w:numPr>
        <w:tabs>
          <w:tab w:val="clear" w:pos="288"/>
          <w:tab w:val="left" w:pos="1872"/>
        </w:tabs>
        <w:spacing w:before="124" w:after="0" w:line="274" w:lineRule="exact"/>
        <w:ind w:right="144"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sent in writing to any community or public library serving the local community.</w:t>
      </w:r>
    </w:p>
    <w:p>
      <w:pPr>
        <w:spacing w:before="124" w:after="0" w:line="275" w:lineRule="exact"/>
        <w:ind w:right="144"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In complying with subregulation (1), the operator is not required to disclose information that may expose the major hazard facility to a major incident hazard in relation to the security of the major hazard facility.</w:t>
      </w:r>
    </w:p>
    <w:p>
      <w:pPr>
        <w:spacing w:before="126" w:after="0" w:line="275"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The operator of a licensed major hazard facility who receives a written request from a person who reasonably believes that the occurrence of a major incident at the major hazard facility may adversely affect his or her health or safety must give that person a copy of the information provided to the local community under this regulation.</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5" w:after="1128"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the case of a body corporate—$6 000.</w:t>
      </w:r>
    </w:p>
    <w:p>
      <w:pPr>
        <w:spacing w:before="125" w:after="1128"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393</w:t>
      </w:r>
    </w:p>
    <w:p>
      <w:pPr>
        <w:sectPr>
          <w:type w:val="continuous"/>
          <w:pgSz w:w="11909" w:h="16838" w:orient="portrait"/>
          <w:pgMar w:bottom="1082" w:top="1140" w:right="5817" w:left="1972"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9.4	</w:t>
      </w:r>
      <w:r>
        <w:rPr>
          <w:rFonts w:ascii="Times New Roman" w:hAnsi="Times New Roman" w:eastAsia="Times New Roman"/>
          <w:color w:val="000000"/>
          <w:spacing w:val="0"/>
          <w:w w:val="100"/>
          <w:sz w:val="20"/>
          <w:vertAlign w:val="baseline"/>
          <w:lang w:val="en-US"/>
        </w:rPr>
        <w:t xml:space="preserve">Licensed Major Hazard Facilities—Risk Management</w:t>
      </w:r>
    </w:p>
    <w:p>
      <w:pPr>
        <w:spacing w:before="251"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3"/>
          <w:w w:val="100"/>
          <w:sz w:val="24"/>
          <w:vertAlign w:val="baseline"/>
          <w:lang w:val="en-US"/>
        </w:rPr>
        <w:t xml:space="preserve">573 Information for local community—major incident</w:t>
      </w:r>
    </w:p>
    <w:p>
      <w:pPr>
        <w:spacing w:before="123" w:after="0"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As soon as practicable after a major incident occurs, the operator of the major hazard facility must take all reasonable steps to provide the persons specified in subregulation (2) with information about the major incident, including:</w:t>
      </w:r>
    </w:p>
    <w:p>
      <w:pPr>
        <w:numPr>
          <w:ilvl w:val="0"/>
          <w:numId w:val="971"/>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general description of the major incident; and</w:t>
      </w:r>
    </w:p>
    <w:p>
      <w:pPr>
        <w:numPr>
          <w:ilvl w:val="0"/>
          <w:numId w:val="971"/>
        </w:numPr>
        <w:tabs>
          <w:tab w:val="clear" w:pos="360"/>
          <w:tab w:val="left" w:pos="1872"/>
        </w:tabs>
        <w:spacing w:before="117" w:after="0" w:line="276"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description of the actions the operator has taken and proposes to take to prevent any recurrence of the major incident or the occurrence of a similar major incident; and</w:t>
      </w:r>
    </w:p>
    <w:p>
      <w:pPr>
        <w:numPr>
          <w:ilvl w:val="0"/>
          <w:numId w:val="971"/>
        </w:numPr>
        <w:tabs>
          <w:tab w:val="clear" w:pos="360"/>
          <w:tab w:val="left" w:pos="1872"/>
        </w:tabs>
        <w:spacing w:before="123"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recommended actions that the local authority and members of the local community should take to eliminate or minimise risks to health and safety.</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16" w:after="0" w:line="278"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persons to whom information about a major incident must be given are:</w:t>
      </w:r>
    </w:p>
    <w:p>
      <w:pPr>
        <w:numPr>
          <w:ilvl w:val="0"/>
          <w:numId w:val="972"/>
        </w:numPr>
        <w:tabs>
          <w:tab w:val="clear" w:pos="360"/>
          <w:tab w:val="left" w:pos="1872"/>
        </w:tabs>
        <w:spacing w:before="116" w:after="0" w:line="278"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local community, if a member of the local community was affected by the major incident; and</w:t>
      </w:r>
    </w:p>
    <w:p>
      <w:pPr>
        <w:numPr>
          <w:ilvl w:val="0"/>
          <w:numId w:val="972"/>
        </w:numPr>
        <w:tabs>
          <w:tab w:val="clear" w:pos="360"/>
          <w:tab w:val="left" w:pos="1872"/>
        </w:tabs>
        <w:spacing w:before="121" w:after="0" w:line="273" w:lineRule="exact"/>
        <w:ind w:right="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local authority; and</w:t>
      </w:r>
    </w:p>
    <w:p>
      <w:pPr>
        <w:numPr>
          <w:ilvl w:val="0"/>
          <w:numId w:val="972"/>
        </w:numPr>
        <w:tabs>
          <w:tab w:val="clear" w:pos="360"/>
          <w:tab w:val="left" w:pos="1872"/>
        </w:tabs>
        <w:spacing w:before="124" w:after="4834" w:line="274" w:lineRule="exact"/>
        <w:ind w:right="288"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government department or agency with a regulatory role in relation to major hazard facilities.</w:t>
      </w:r>
    </w:p>
    <w:p>
      <w:pPr>
        <w:spacing w:before="333"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1.05pt,0.3pt" style="position:absolute;mso-position-horizontal-relative:text;mso-position-vertical-relative:text;">
            <v:stroke dashstyle="solid"/>
          </v:line>
        </w:pict>
      </w:r>
    </w:p>
    <w:p>
      <w:pPr>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394</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9.5	</w:t>
      </w:r>
      <w:r>
        <w:rPr>
          <w:rFonts w:ascii="Times New Roman" w:hAnsi="Times New Roman" w:eastAsia="Times New Roman"/>
          <w:color w:val="000000"/>
          <w:spacing w:val="0"/>
          <w:w w:val="100"/>
          <w:sz w:val="20"/>
          <w:vertAlign w:val="baseline"/>
          <w:lang w:val="en-US"/>
        </w:rPr>
        <w:t xml:space="preserve">Consultation and Workers' Safety Role</w:t>
      </w:r>
    </w:p>
    <w:p>
      <w:pPr>
        <w:spacing w:before="258" w:after="0" w:line="317" w:lineRule="exact"/>
        <w:ind w:right="0" w:left="0" w:firstLine="0"/>
        <w:jc w:val="left"/>
        <w:textAlignment w:val="baseline"/>
        <w:rPr>
          <w:rFonts w:ascii="Times New Roman" w:hAnsi="Times New Roman" w:eastAsia="Times New Roman"/>
          <w:b w:val="true"/>
          <w:color w:val="000000"/>
          <w:spacing w:val="5"/>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5"/>
          <w:w w:val="100"/>
          <w:sz w:val="28"/>
          <w:vertAlign w:val="baseline"/>
          <w:lang w:val="en-US"/>
        </w:rPr>
        <w:t xml:space="preserve">Part 9.5 Consultation and Workers' Safety Role</w:t>
      </w:r>
    </w:p>
    <w:p>
      <w:pPr>
        <w:spacing w:before="118" w:after="0" w:line="274"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574 Safety role for workers</w:t>
      </w:r>
    </w:p>
    <w:p>
      <w:pPr>
        <w:spacing w:before="123" w:after="0"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operator of a determined major hazard facility must, within the time specified in the safety case outline for the major hazard facility, implement a safety role for the workers at the major hazard facility that enables them to contribute to:</w:t>
      </w:r>
    </w:p>
    <w:p>
      <w:pPr>
        <w:numPr>
          <w:ilvl w:val="0"/>
          <w:numId w:val="973"/>
        </w:numPr>
        <w:tabs>
          <w:tab w:val="clear" w:pos="288"/>
          <w:tab w:val="left" w:pos="1872"/>
        </w:tabs>
        <w:spacing w:before="124" w:after="0" w:line="274" w:lineRule="exact"/>
        <w:ind w:right="792"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identification of major incidents and major incident hazards under regulation 554; and</w:t>
      </w:r>
    </w:p>
    <w:p>
      <w:pPr>
        <w:numPr>
          <w:ilvl w:val="0"/>
          <w:numId w:val="973"/>
        </w:numPr>
        <w:tabs>
          <w:tab w:val="clear" w:pos="288"/>
          <w:tab w:val="left" w:pos="1872"/>
        </w:tabs>
        <w:spacing w:before="124" w:after="0" w:line="274" w:lineRule="exact"/>
        <w:ind w:right="432"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consideration of control measures in the conduct of the safety assessment under regulation 555; and</w:t>
      </w:r>
    </w:p>
    <w:p>
      <w:pPr>
        <w:numPr>
          <w:ilvl w:val="0"/>
          <w:numId w:val="973"/>
        </w:numPr>
        <w:tabs>
          <w:tab w:val="clear" w:pos="288"/>
          <w:tab w:val="left" w:pos="1872"/>
        </w:tabs>
        <w:spacing w:before="125"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conduct of a review under regulation 559.</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2"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operator of a licensed major hazard facility must implement a safety role for workers at the facility so as to enable them to contribute to the conduct of a review under regulation 569.</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5"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575 Operator of major hazard facility must consult with workers</w:t>
      </w:r>
    </w:p>
    <w:p>
      <w:pPr>
        <w:spacing w:before="117" w:after="0" w:line="276"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For the purposes of section 49(f) of the Act, the operator of a determined major hazard facility must consult with workers at the major hazard facility in relation to the following:</w:t>
      </w:r>
    </w:p>
    <w:p>
      <w:pPr>
        <w:numPr>
          <w:ilvl w:val="0"/>
          <w:numId w:val="974"/>
        </w:numPr>
        <w:tabs>
          <w:tab w:val="clear" w:pos="288"/>
          <w:tab w:val="left" w:pos="1872"/>
        </w:tabs>
        <w:spacing w:before="124" w:after="0" w:line="274" w:lineRule="exact"/>
        <w:ind w:right="216"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preparation of the safety case outline for the major hazard facility;</w:t>
      </w:r>
    </w:p>
    <w:p>
      <w:pPr>
        <w:numPr>
          <w:ilvl w:val="0"/>
          <w:numId w:val="974"/>
        </w:numPr>
        <w:tabs>
          <w:tab w:val="clear" w:pos="288"/>
          <w:tab w:val="left" w:pos="1872"/>
        </w:tabs>
        <w:spacing w:before="124" w:after="0" w:line="274" w:lineRule="exact"/>
        <w:ind w:right="648"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preparation, testing and implementation of the major hazard facility's emergency plan;</w:t>
      </w:r>
    </w:p>
    <w:p>
      <w:pPr>
        <w:numPr>
          <w:ilvl w:val="0"/>
          <w:numId w:val="974"/>
        </w:numPr>
        <w:tabs>
          <w:tab w:val="clear" w:pos="288"/>
          <w:tab w:val="left" w:pos="1872"/>
        </w:tabs>
        <w:spacing w:before="124" w:after="0" w:line="274" w:lineRule="exact"/>
        <w:ind w:right="504"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establishment and implementation of the major hazard facility's safety management system;</w:t>
      </w:r>
    </w:p>
    <w:p>
      <w:pPr>
        <w:numPr>
          <w:ilvl w:val="0"/>
          <w:numId w:val="974"/>
        </w:numPr>
        <w:tabs>
          <w:tab w:val="clear" w:pos="288"/>
          <w:tab w:val="left" w:pos="1872"/>
        </w:tabs>
        <w:spacing w:before="121"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conduct of a review under regulation 559;</w:t>
      </w:r>
    </w:p>
    <w:p>
      <w:pPr>
        <w:numPr>
          <w:ilvl w:val="0"/>
          <w:numId w:val="974"/>
        </w:numPr>
        <w:tabs>
          <w:tab w:val="clear" w:pos="288"/>
          <w:tab w:val="left" w:pos="1872"/>
        </w:tabs>
        <w:spacing w:before="124" w:after="0" w:line="274" w:lineRule="exact"/>
        <w:ind w:right="72"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implementation of the workers' safety role under regulation 574(1);</w:t>
      </w:r>
    </w:p>
    <w:p>
      <w:pPr>
        <w:numPr>
          <w:ilvl w:val="0"/>
          <w:numId w:val="974"/>
        </w:numPr>
        <w:tabs>
          <w:tab w:val="clear" w:pos="288"/>
          <w:tab w:val="left" w:pos="1872"/>
        </w:tabs>
        <w:spacing w:before="124" w:after="724" w:line="274" w:lineRule="exact"/>
        <w:ind w:right="72" w:left="1872" w:hanging="288"/>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preparation and review of the major hazard facility's safety case.</w:t>
      </w:r>
    </w:p>
    <w:p>
      <w:pPr>
        <w:spacing w:before="124" w:after="724"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395</w:t>
      </w:r>
    </w:p>
    <w:p>
      <w:pPr>
        <w:sectPr>
          <w:type w:val="continuous"/>
          <w:pgSz w:w="11909" w:h="16838" w:orient="portrait"/>
          <w:pgMar w:bottom="1082" w:top="1140" w:right="5814" w:left="1975" w:header="720" w:footer="720"/>
          <w:titlePg w:val="false"/>
          <w:textDirection w:val="lrTb"/>
        </w:sectPr>
      </w:pPr>
    </w:p>
    <w:p>
      <w:pPr>
        <w:spacing w:before="6"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2" w:after="223"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9.5	</w:t>
      </w:r>
      <w:r>
        <w:rPr>
          <w:rFonts w:ascii="Times New Roman" w:hAnsi="Times New Roman" w:eastAsia="Times New Roman"/>
          <w:color w:val="000000"/>
          <w:spacing w:val="0"/>
          <w:w w:val="100"/>
          <w:sz w:val="20"/>
          <w:vertAlign w:val="baseline"/>
          <w:lang w:val="en-US"/>
        </w:rPr>
        <w:t xml:space="preserve">Consultation and Workers' Safety Role</w:t>
      </w:r>
    </w:p>
    <w:p>
      <w:pPr>
        <w:spacing w:before="25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3" w:after="0" w:line="276" w:lineRule="exact"/>
        <w:ind w:right="57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For the purposes of section 49(f) of the Act, the operator of a licensed major hazard facility must consult with workers at the major hazard facility in relation to the following:</w:t>
      </w:r>
    </w:p>
    <w:p>
      <w:pPr>
        <w:numPr>
          <w:ilvl w:val="0"/>
          <w:numId w:val="975"/>
        </w:numPr>
        <w:tabs>
          <w:tab w:val="clear" w:pos="360"/>
          <w:tab w:val="left" w:pos="1872"/>
        </w:tabs>
        <w:spacing w:before="114" w:after="0" w:line="279"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testing and implementation of the major hazard facility's emergency plan;</w:t>
      </w:r>
    </w:p>
    <w:p>
      <w:pPr>
        <w:numPr>
          <w:ilvl w:val="0"/>
          <w:numId w:val="975"/>
        </w:numPr>
        <w:tabs>
          <w:tab w:val="clear" w:pos="360"/>
          <w:tab w:val="left" w:pos="1872"/>
        </w:tabs>
        <w:spacing w:before="114" w:after="0" w:line="279" w:lineRule="exact"/>
        <w:ind w:right="79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implementation of the major hazard facility's safety management system;</w:t>
      </w:r>
    </w:p>
    <w:p>
      <w:pPr>
        <w:numPr>
          <w:ilvl w:val="0"/>
          <w:numId w:val="975"/>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conduct of a review under regulation 569;</w:t>
      </w:r>
    </w:p>
    <w:p>
      <w:pPr>
        <w:numPr>
          <w:ilvl w:val="0"/>
          <w:numId w:val="975"/>
        </w:numPr>
        <w:tabs>
          <w:tab w:val="clear" w:pos="360"/>
          <w:tab w:val="left" w:pos="1872"/>
        </w:tabs>
        <w:spacing w:before="126" w:after="0" w:line="273" w:lineRule="exact"/>
        <w:ind w:right="7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implementation of the workers' safety role under regulation 574(2);</w:t>
      </w:r>
    </w:p>
    <w:p>
      <w:pPr>
        <w:numPr>
          <w:ilvl w:val="0"/>
          <w:numId w:val="975"/>
        </w:numPr>
        <w:tabs>
          <w:tab w:val="clear" w:pos="360"/>
          <w:tab w:val="left" w:pos="1872"/>
        </w:tabs>
        <w:spacing w:before="121" w:after="0" w:line="273" w:lineRule="exact"/>
        <w:ind w:right="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review of the major hazard facility's safety case.</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individual—$6 000.</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corporate—$30 000.</w:t>
      </w:r>
    </w:p>
    <w:p>
      <w:pPr>
        <w:spacing w:before="124"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5278" w:line="230" w:lineRule="exact"/>
        <w:ind w:right="72"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section 49 of the Act for other consultation duties of a person conducting a business or undertaking.</w:t>
      </w:r>
    </w:p>
    <w:p>
      <w:pPr>
        <w:spacing w:before="333"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1.05pt,0.3pt" style="position:absolute;mso-position-horizontal-relative:text;mso-position-vertical-relative:text;">
            <v:stroke dashstyle="solid"/>
          </v:line>
        </w:pict>
      </w:r>
    </w:p>
    <w:p>
      <w:pPr>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396</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9.6	</w:t>
      </w:r>
      <w:r>
        <w:rPr>
          <w:rFonts w:ascii="Times New Roman" w:hAnsi="Times New Roman" w:eastAsia="Times New Roman"/>
          <w:color w:val="000000"/>
          <w:spacing w:val="0"/>
          <w:w w:val="100"/>
          <w:sz w:val="20"/>
          <w:vertAlign w:val="baseline"/>
          <w:lang w:val="en-US"/>
        </w:rPr>
        <w:t xml:space="preserve">Duties of Workers at Licensed Major Hazard Facilities</w:t>
      </w:r>
    </w:p>
    <w:p>
      <w:pPr>
        <w:spacing w:before="258" w:after="0" w:line="317" w:lineRule="exact"/>
        <w:ind w:right="0" w:left="0" w:firstLine="0"/>
        <w:jc w:val="center"/>
        <w:textAlignment w:val="baseline"/>
        <w:rPr>
          <w:rFonts w:ascii="Times New Roman" w:hAnsi="Times New Roman" w:eastAsia="Times New Roman"/>
          <w:b w:val="true"/>
          <w:color w:val="000000"/>
          <w:spacing w:val="3"/>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3"/>
          <w:w w:val="100"/>
          <w:sz w:val="28"/>
          <w:vertAlign w:val="baseline"/>
          <w:lang w:val="en-US"/>
        </w:rPr>
        <w:t xml:space="preserve">Part 9.6 Duties of Workers at Licensed Major Hazard Facilities</w:t>
      </w:r>
    </w:p>
    <w:p>
      <w:pPr>
        <w:spacing w:before="118" w:after="0" w:line="273" w:lineRule="exact"/>
        <w:ind w:right="0" w:left="288" w:firstLine="0"/>
        <w:jc w:val="left"/>
        <w:textAlignment w:val="baseline"/>
        <w:rPr>
          <w:rFonts w:ascii="Times New Roman" w:hAnsi="Times New Roman" w:eastAsia="Times New Roman"/>
          <w:b w:val="true"/>
          <w:color w:val="000000"/>
          <w:spacing w:val="12"/>
          <w:w w:val="100"/>
          <w:sz w:val="24"/>
          <w:vertAlign w:val="baseline"/>
          <w:lang w:val="en-US"/>
        </w:rPr>
      </w:pPr>
      <w:r>
        <w:rPr>
          <w:rFonts w:ascii="Times New Roman" w:hAnsi="Times New Roman" w:eastAsia="Times New Roman"/>
          <w:b w:val="true"/>
          <w:color w:val="000000"/>
          <w:spacing w:val="12"/>
          <w:w w:val="100"/>
          <w:sz w:val="24"/>
          <w:vertAlign w:val="baseline"/>
          <w:lang w:val="en-US"/>
        </w:rPr>
        <w:t xml:space="preserve">576 Duties</w:t>
      </w:r>
    </w:p>
    <w:p>
      <w:pPr>
        <w:spacing w:before="125"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While at work, a worker at a licensed major hazard facility must:</w:t>
      </w:r>
    </w:p>
    <w:p>
      <w:pPr>
        <w:numPr>
          <w:ilvl w:val="0"/>
          <w:numId w:val="976"/>
        </w:numPr>
        <w:tabs>
          <w:tab w:val="clear" w:pos="360"/>
          <w:tab w:val="left" w:pos="1872"/>
        </w:tabs>
        <w:spacing w:before="118" w:after="0" w:line="276"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comply with any procedure imposed by the operator as a control measure in relation to major incidents, including the taking of corrective action under the procedure; and</w:t>
      </w:r>
    </w:p>
    <w:p>
      <w:pPr>
        <w:numPr>
          <w:ilvl w:val="0"/>
          <w:numId w:val="976"/>
        </w:numPr>
        <w:tabs>
          <w:tab w:val="clear" w:pos="360"/>
          <w:tab w:val="left" w:pos="1872"/>
        </w:tabs>
        <w:spacing w:before="124" w:after="0" w:line="274"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comply with any procedure in the emergency plan, including the taking of corrective action under the plan; and</w:t>
      </w:r>
    </w:p>
    <w:p>
      <w:pPr>
        <w:numPr>
          <w:ilvl w:val="0"/>
          <w:numId w:val="976"/>
        </w:numPr>
        <w:tabs>
          <w:tab w:val="clear" w:pos="360"/>
          <w:tab w:val="left" w:pos="1872"/>
        </w:tabs>
        <w:spacing w:before="124" w:after="0" w:line="274"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immediately inform the operator about any circumstance that the worker believes may cause a major incident; and</w:t>
      </w:r>
    </w:p>
    <w:p>
      <w:pPr>
        <w:numPr>
          <w:ilvl w:val="0"/>
          <w:numId w:val="976"/>
        </w:numPr>
        <w:tabs>
          <w:tab w:val="clear" w:pos="360"/>
          <w:tab w:val="left" w:pos="1872"/>
        </w:tabs>
        <w:spacing w:before="124" w:after="0" w:line="274"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inform his or her supervisor about any corrective action taken by the worker.</w:t>
      </w:r>
    </w:p>
    <w:p>
      <w:pPr>
        <w:spacing w:before="125"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1"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individual—$3 600.</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corporate—$18 000.</w:t>
      </w:r>
    </w:p>
    <w:p>
      <w:pPr>
        <w:spacing w:before="118" w:after="601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 worker is not required to comply with subregulation (1) if to do so would risk the health or safety of the worker or of another worker or other person.</w:t>
      </w:r>
    </w:p>
    <w:p>
      <w:pPr>
        <w:spacing w:before="333"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1.05pt,0.3pt" style="position:absolute;mso-position-horizontal-relative:text;mso-position-vertical-relative:text;">
            <v:stroke dashstyle="solid"/>
          </v:line>
        </w:pict>
      </w:r>
    </w:p>
    <w:p>
      <w:pPr>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397</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9.7	</w:t>
      </w:r>
      <w:r>
        <w:rPr>
          <w:rFonts w:ascii="Times New Roman" w:hAnsi="Times New Roman" w:eastAsia="Times New Roman"/>
          <w:color w:val="000000"/>
          <w:spacing w:val="0"/>
          <w:w w:val="100"/>
          <w:sz w:val="20"/>
          <w:vertAlign w:val="baseline"/>
          <w:lang w:val="en-US"/>
        </w:rPr>
        <w:t xml:space="preserve">Licensing of Major Hazard Facilities</w:t>
      </w:r>
    </w:p>
    <w:p>
      <w:pPr>
        <w:spacing w:before="258" w:after="0" w:line="317" w:lineRule="exact"/>
        <w:ind w:right="0" w:left="0" w:firstLine="0"/>
        <w:jc w:val="left"/>
        <w:textAlignment w:val="baseline"/>
        <w:rPr>
          <w:rFonts w:ascii="Times New Roman" w:hAnsi="Times New Roman" w:eastAsia="Times New Roman"/>
          <w:b w:val="true"/>
          <w:color w:val="000000"/>
          <w:spacing w:val="5"/>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5"/>
          <w:w w:val="100"/>
          <w:sz w:val="28"/>
          <w:vertAlign w:val="baseline"/>
          <w:lang w:val="en-US"/>
        </w:rPr>
        <w:t xml:space="preserve">Part 9.7 Licensing of Major Hazard Facilities</w:t>
      </w:r>
    </w:p>
    <w:p>
      <w:pPr>
        <w:spacing w:before="121"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8"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notes in the Appendix.</w:t>
      </w:r>
    </w:p>
    <w:p>
      <w:pPr>
        <w:tabs>
          <w:tab w:val="left" w:leader="none" w:pos="1584"/>
        </w:tabs>
        <w:spacing w:before="244" w:after="0" w:line="273" w:lineRule="exact"/>
        <w:ind w:right="0" w:left="0" w:firstLine="0"/>
        <w:jc w:val="left"/>
        <w:textAlignment w:val="baseline"/>
        <w:rPr>
          <w:rFonts w:ascii="Times New Roman" w:hAnsi="Times New Roman" w:eastAsia="Times New Roman"/>
          <w:b w:val="true"/>
          <w:color w:val="000000"/>
          <w:spacing w:val="-1"/>
          <w:w w:val="100"/>
          <w:sz w:val="24"/>
          <w:vertAlign w:val="baseline"/>
          <w:lang w:val="en-US"/>
        </w:rPr>
      </w:pPr>
      <w:r>
        <w:rPr>
          <w:rFonts w:ascii="Times New Roman" w:hAnsi="Times New Roman" w:eastAsia="Times New Roman"/>
          <w:b w:val="true"/>
          <w:color w:val="000000"/>
          <w:spacing w:val="-1"/>
          <w:w w:val="100"/>
          <w:sz w:val="24"/>
          <w:vertAlign w:val="baseline"/>
          <w:lang w:val="en-US"/>
        </w:rPr>
        <w:t xml:space="preserve">Division 1	</w:t>
      </w:r>
      <w:r>
        <w:rPr>
          <w:rFonts w:ascii="Times New Roman" w:hAnsi="Times New Roman" w:eastAsia="Times New Roman"/>
          <w:b w:val="true"/>
          <w:color w:val="000000"/>
          <w:spacing w:val="-1"/>
          <w:w w:val="100"/>
          <w:sz w:val="24"/>
          <w:vertAlign w:val="baseline"/>
          <w:lang w:val="en-US"/>
        </w:rPr>
        <w:t xml:space="preserve">Licensing process</w:t>
      </w:r>
    </w:p>
    <w:p>
      <w:pPr>
        <w:spacing w:before="115" w:after="0" w:line="273"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577 Who may apply for a licence</w:t>
      </w:r>
    </w:p>
    <w:p>
      <w:pPr>
        <w:spacing w:before="123" w:after="0" w:line="276" w:lineRule="exact"/>
        <w:ind w:right="72" w:left="1368" w:firstLine="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Only an operator of a determined major hazard facility who is taken to be a suitable operator under regulation 543 may apply for a major hazard facility licence for that facility.</w:t>
      </w:r>
    </w:p>
    <w:p>
      <w:pPr>
        <w:spacing w:before="120" w:after="0" w:line="273"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578 Application for major hazard facility licence</w:t>
      </w:r>
    </w:p>
    <w:p>
      <w:pPr>
        <w:numPr>
          <w:ilvl w:val="0"/>
          <w:numId w:val="977"/>
        </w:numPr>
        <w:tabs>
          <w:tab w:val="clear" w:pos="360"/>
          <w:tab w:val="left" w:pos="1368"/>
        </w:tabs>
        <w:spacing w:before="126" w:after="0" w:line="273"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application for a major hazard facility licence must be made in the manner and form required by the regulator.</w:t>
      </w:r>
    </w:p>
    <w:p>
      <w:pPr>
        <w:numPr>
          <w:ilvl w:val="0"/>
          <w:numId w:val="977"/>
        </w:numPr>
        <w:tabs>
          <w:tab w:val="clear" w:pos="360"/>
          <w:tab w:val="left" w:pos="1368"/>
        </w:tabs>
        <w:spacing w:before="126" w:after="0" w:line="273"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application must include the following information:</w:t>
      </w:r>
    </w:p>
    <w:p>
      <w:pPr>
        <w:numPr>
          <w:ilvl w:val="0"/>
          <w:numId w:val="978"/>
        </w:numPr>
        <w:tabs>
          <w:tab w:val="clear" w:pos="288"/>
          <w:tab w:val="left" w:pos="1872"/>
        </w:tabs>
        <w:spacing w:before="120"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operator's name;</w:t>
      </w:r>
    </w:p>
    <w:p>
      <w:pPr>
        <w:numPr>
          <w:ilvl w:val="0"/>
          <w:numId w:val="978"/>
        </w:numPr>
        <w:tabs>
          <w:tab w:val="clear" w:pos="288"/>
          <w:tab w:val="left" w:pos="1872"/>
        </w:tabs>
        <w:spacing w:before="126"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whether or not the operator is a body corporate;</w:t>
      </w:r>
    </w:p>
    <w:p>
      <w:pPr>
        <w:numPr>
          <w:ilvl w:val="0"/>
          <w:numId w:val="978"/>
        </w:numPr>
        <w:tabs>
          <w:tab w:val="clear" w:pos="288"/>
          <w:tab w:val="left" w:pos="1872"/>
        </w:tabs>
        <w:spacing w:before="117" w:after="0" w:line="276" w:lineRule="exact"/>
        <w:ind w:right="216"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operator conducts the business or undertaking under a business name—that business name and a certificate or other written evidence of the registration of the business name;</w:t>
      </w:r>
    </w:p>
    <w:p>
      <w:pPr>
        <w:numPr>
          <w:ilvl w:val="0"/>
          <w:numId w:val="978"/>
        </w:numPr>
        <w:tabs>
          <w:tab w:val="clear" w:pos="288"/>
          <w:tab w:val="left" w:pos="1872"/>
        </w:tabs>
        <w:spacing w:before="126" w:after="0" w:line="273" w:lineRule="exact"/>
        <w:ind w:right="36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other evidence of the operator's identity required by the regulator;</w:t>
      </w:r>
    </w:p>
    <w:p>
      <w:pPr>
        <w:numPr>
          <w:ilvl w:val="0"/>
          <w:numId w:val="978"/>
        </w:numPr>
        <w:tabs>
          <w:tab w:val="clear" w:pos="288"/>
          <w:tab w:val="left" w:pos="1872"/>
        </w:tabs>
        <w:spacing w:before="126" w:after="0" w:line="273"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safety case prepared under Division 4 of Part 9.3;</w:t>
      </w:r>
    </w:p>
    <w:p>
      <w:pPr>
        <w:numPr>
          <w:ilvl w:val="0"/>
          <w:numId w:val="978"/>
        </w:numPr>
        <w:tabs>
          <w:tab w:val="clear" w:pos="288"/>
          <w:tab w:val="left" w:pos="1872"/>
        </w:tabs>
        <w:spacing w:before="120" w:after="0" w:line="273"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operator is an individual:</w:t>
      </w:r>
    </w:p>
    <w:p>
      <w:pPr>
        <w:numPr>
          <w:ilvl w:val="0"/>
          <w:numId w:val="979"/>
        </w:numPr>
        <w:tabs>
          <w:tab w:val="clear" w:pos="504"/>
          <w:tab w:val="left" w:pos="2376"/>
        </w:tabs>
        <w:spacing w:before="124" w:after="0" w:line="275" w:lineRule="exact"/>
        <w:ind w:right="216"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declaration as to whether or not the operator has ever been convicted or found guilty of any offence under the Act or these Regulations or under any corresponding WHS law; and</w:t>
      </w:r>
    </w:p>
    <w:p>
      <w:pPr>
        <w:spacing w:before="129" w:after="0" w:line="225" w:lineRule="exact"/>
        <w:ind w:right="0" w:left="2376"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8" w:lineRule="exact"/>
        <w:ind w:right="0" w:left="237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numPr>
          <w:ilvl w:val="0"/>
          <w:numId w:val="979"/>
        </w:numPr>
        <w:tabs>
          <w:tab w:val="clear" w:pos="504"/>
          <w:tab w:val="left" w:pos="2376"/>
        </w:tabs>
        <w:spacing w:before="119" w:after="0" w:line="273" w:lineRule="exact"/>
        <w:ind w:right="576"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details of any conviction or finding of guilt declared under subparagraph (i); and</w:t>
      </w:r>
    </w:p>
    <w:p>
      <w:pPr>
        <w:numPr>
          <w:ilvl w:val="0"/>
          <w:numId w:val="979"/>
        </w:numPr>
        <w:tabs>
          <w:tab w:val="clear" w:pos="504"/>
          <w:tab w:val="left" w:pos="2376"/>
        </w:tabs>
        <w:spacing w:before="123" w:after="0" w:line="276" w:lineRule="exact"/>
        <w:ind w:right="144"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declaration as to whether or not the operator has ever entered into an enforceable undertaking under the Act or under any corresponding WHS law; and</w:t>
      </w:r>
    </w:p>
    <w:p>
      <w:pPr>
        <w:numPr>
          <w:ilvl w:val="0"/>
          <w:numId w:val="979"/>
        </w:numPr>
        <w:tabs>
          <w:tab w:val="clear" w:pos="504"/>
          <w:tab w:val="left" w:pos="2376"/>
        </w:tabs>
        <w:spacing w:before="114" w:after="1060" w:line="279" w:lineRule="exact"/>
        <w:ind w:right="432" w:left="2376" w:hanging="504"/>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details of any enforceable undertaking declared under subparagraph (iii); and</w:t>
      </w:r>
    </w:p>
    <w:p>
      <w:pPr>
        <w:spacing w:before="114" w:after="1060" w:line="279"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398</w:t>
      </w:r>
    </w:p>
    <w:p>
      <w:pPr>
        <w:sectPr>
          <w:type w:val="continuous"/>
          <w:pgSz w:w="11909" w:h="16838" w:orient="portrait"/>
          <w:pgMar w:bottom="1082" w:top="1140" w:right="5814" w:left="1975"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9.7	</w:t>
      </w:r>
      <w:r>
        <w:rPr>
          <w:rFonts w:ascii="Times New Roman" w:hAnsi="Times New Roman" w:eastAsia="Times New Roman"/>
          <w:color w:val="000000"/>
          <w:spacing w:val="0"/>
          <w:w w:val="100"/>
          <w:sz w:val="20"/>
          <w:vertAlign w:val="baseline"/>
          <w:lang w:val="en-US"/>
        </w:rPr>
        <w:t xml:space="preserve">Licensing of Major Hazard Facilities</w:t>
      </w:r>
    </w:p>
    <w:p>
      <w:pPr>
        <w:numPr>
          <w:ilvl w:val="0"/>
          <w:numId w:val="943"/>
        </w:numPr>
        <w:tabs>
          <w:tab w:val="clear" w:pos="360"/>
          <w:tab w:val="left" w:pos="2376"/>
        </w:tabs>
        <w:spacing w:before="247" w:after="0" w:line="276" w:lineRule="exact"/>
        <w:ind w:right="72" w:left="2376"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if the operator has previously been refused a major hazard facility licence under a corresponding WHS law, a declaration giving details of that refusal; and</w:t>
      </w:r>
    </w:p>
    <w:p>
      <w:pPr>
        <w:numPr>
          <w:ilvl w:val="0"/>
          <w:numId w:val="943"/>
        </w:numPr>
        <w:tabs>
          <w:tab w:val="clear" w:pos="360"/>
          <w:tab w:val="left" w:pos="2376"/>
        </w:tabs>
        <w:spacing w:before="123" w:after="0" w:line="276" w:lineRule="exact"/>
        <w:ind w:right="7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operator has previously held a major hazard facility licence under the Act or these Regulations or under a corresponding WHS law, a declaration:</w:t>
      </w:r>
    </w:p>
    <w:p>
      <w:pPr>
        <w:numPr>
          <w:ilvl w:val="0"/>
          <w:numId w:val="980"/>
        </w:numPr>
        <w:tabs>
          <w:tab w:val="clear" w:pos="432"/>
          <w:tab w:val="left" w:pos="2952"/>
        </w:tabs>
        <w:spacing w:before="114" w:after="0" w:line="279" w:lineRule="exact"/>
        <w:ind w:right="288" w:left="2952"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describing any condition imposed on that licence; and</w:t>
      </w:r>
    </w:p>
    <w:p>
      <w:pPr>
        <w:numPr>
          <w:ilvl w:val="0"/>
          <w:numId w:val="980"/>
        </w:numPr>
        <w:tabs>
          <w:tab w:val="clear" w:pos="432"/>
          <w:tab w:val="left" w:pos="2952"/>
        </w:tabs>
        <w:spacing w:before="116" w:after="0" w:line="277" w:lineRule="exact"/>
        <w:ind w:right="72" w:left="2952"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stating whether or not that licence had been suspended or cancelled and, if so, whether or not the operator had been disqualified from applying for a major hazard facility licence; and</w:t>
      </w:r>
    </w:p>
    <w:p>
      <w:pPr>
        <w:numPr>
          <w:ilvl w:val="0"/>
          <w:numId w:val="980"/>
        </w:numPr>
        <w:tabs>
          <w:tab w:val="clear" w:pos="432"/>
          <w:tab w:val="left" w:pos="2952"/>
        </w:tabs>
        <w:spacing w:before="119" w:after="0" w:line="274" w:lineRule="exact"/>
        <w:ind w:right="432" w:left="2952" w:hanging="432"/>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giving details of any suspension, cancellation or disqualification;</w:t>
      </w:r>
    </w:p>
    <w:p>
      <w:pPr>
        <w:spacing w:before="124" w:after="0" w:line="274"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 if the operator is a body corporate, the information referred to in paragraph (f) in relation to:</w:t>
      </w:r>
    </w:p>
    <w:p>
      <w:pPr>
        <w:numPr>
          <w:ilvl w:val="0"/>
          <w:numId w:val="981"/>
        </w:numPr>
        <w:tabs>
          <w:tab w:val="clear" w:pos="360"/>
          <w:tab w:val="left" w:pos="2376"/>
        </w:tabs>
        <w:spacing w:before="126" w:after="0" w:line="272" w:lineRule="exact"/>
        <w:ind w:right="0" w:left="1368" w:firstLine="64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operator; and</w:t>
      </w:r>
    </w:p>
    <w:p>
      <w:pPr>
        <w:numPr>
          <w:ilvl w:val="0"/>
          <w:numId w:val="981"/>
        </w:numPr>
        <w:tabs>
          <w:tab w:val="clear" w:pos="360"/>
          <w:tab w:val="left" w:pos="2376"/>
        </w:tabs>
        <w:spacing w:before="19" w:after="0" w:line="365" w:lineRule="exact"/>
        <w:ind w:right="0" w:left="1368" w:firstLine="64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each officer of the operator.</w:t>
        <w:br/>
      </w:r>
      <w:r>
        <w:rPr>
          <w:rFonts w:ascii="Times New Roman" w:hAnsi="Times New Roman" w:eastAsia="Times New Roman"/>
          <w:b w:val="true"/>
          <w:color w:val="000000"/>
          <w:spacing w:val="0"/>
          <w:w w:val="100"/>
          <w:sz w:val="20"/>
          <w:vertAlign w:val="baseline"/>
          <w:lang w:val="en-US"/>
        </w:rPr>
        <w:t xml:space="preserve">Note</w:t>
      </w:r>
    </w:p>
    <w:p>
      <w:pPr>
        <w:spacing w:before="124" w:after="0" w:line="231" w:lineRule="exact"/>
        <w:ind w:right="864"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section 268 of the Act for offences relating to the giving of false or misleading information under the Act or these Regulations.</w:t>
      </w:r>
    </w:p>
    <w:p>
      <w:pPr>
        <w:spacing w:before="117" w:after="0" w:line="272"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application must be accompanied by the relevant fee.</w:t>
      </w:r>
    </w:p>
    <w:p>
      <w:pPr>
        <w:spacing w:before="125"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30"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17" w:after="0" w:line="273"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579 Additional information</w:t>
      </w:r>
    </w:p>
    <w:p>
      <w:pPr>
        <w:spacing w:before="123" w:after="0"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If an application for a major hazard facility licence does not contain sufficient information to enable the regulator to make a decision whether or not to grant the licence, the regulator may ask the operator to provide additional information.</w:t>
      </w:r>
    </w:p>
    <w:p>
      <w:pPr>
        <w:spacing w:before="126" w:after="0" w:line="272"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 request for additional information must:</w:t>
      </w:r>
    </w:p>
    <w:p>
      <w:pPr>
        <w:numPr>
          <w:ilvl w:val="0"/>
          <w:numId w:val="982"/>
        </w:numPr>
        <w:tabs>
          <w:tab w:val="clear" w:pos="360"/>
          <w:tab w:val="left" w:pos="1872"/>
        </w:tabs>
        <w:spacing w:before="120" w:after="0" w:line="274" w:lineRule="exact"/>
        <w:ind w:right="216" w:left="1872"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specify the date (not being less than 28 days after the request) by which the additional information is to be given; and</w:t>
      </w:r>
    </w:p>
    <w:p>
      <w:pPr>
        <w:numPr>
          <w:ilvl w:val="0"/>
          <w:numId w:val="982"/>
        </w:numPr>
        <w:tabs>
          <w:tab w:val="clear" w:pos="360"/>
          <w:tab w:val="left" w:pos="1872"/>
        </w:tabs>
        <w:spacing w:before="126"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be confirmed in writing.</w:t>
      </w:r>
    </w:p>
    <w:p>
      <w:pPr>
        <w:spacing w:before="118" w:after="965" w:line="276"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(3) If an operator does not provide the additional information by the date specified, the application is to be taken to have been withdrawn.</w:t>
      </w:r>
    </w:p>
    <w:p>
      <w:pPr>
        <w:spacing w:before="118" w:after="965"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399</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9.7	</w:t>
      </w:r>
      <w:r>
        <w:rPr>
          <w:rFonts w:ascii="Times New Roman" w:hAnsi="Times New Roman" w:eastAsia="Times New Roman"/>
          <w:color w:val="000000"/>
          <w:spacing w:val="0"/>
          <w:w w:val="100"/>
          <w:sz w:val="20"/>
          <w:vertAlign w:val="baseline"/>
          <w:lang w:val="en-US"/>
        </w:rPr>
        <w:t xml:space="preserve">Licensing of Major Hazard Facilities</w:t>
      </w:r>
    </w:p>
    <w:p>
      <w:pPr>
        <w:spacing w:before="245" w:after="0" w:line="279" w:lineRule="exact"/>
        <w:ind w:right="936"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(4) The regulator may make more than 1 request for additional information under this regulation.</w:t>
      </w:r>
    </w:p>
    <w:p>
      <w:pPr>
        <w:spacing w:before="124"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4" w:after="0" w:line="231" w:lineRule="exact"/>
        <w:ind w:right="504"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section 268 of the Act for offences relating to the giving of false or misleading information under the Act or these Regulations.</w:t>
      </w:r>
    </w:p>
    <w:p>
      <w:pPr>
        <w:spacing w:before="117" w:after="0" w:line="273"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580 Decision on application</w:t>
      </w:r>
    </w:p>
    <w:p>
      <w:pPr>
        <w:spacing w:before="117" w:after="0" w:line="276"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Subject to this regulation, the regulator must grant a major hazard facility licence if satisfied about the matters referred to in subregulation (2).</w:t>
      </w:r>
    </w:p>
    <w:p>
      <w:pPr>
        <w:spacing w:before="126"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regulator must be satisfied about the following:</w:t>
      </w:r>
    </w:p>
    <w:p>
      <w:pPr>
        <w:numPr>
          <w:ilvl w:val="0"/>
          <w:numId w:val="983"/>
        </w:numPr>
        <w:tabs>
          <w:tab w:val="clear" w:pos="360"/>
          <w:tab w:val="left" w:pos="1872"/>
        </w:tabs>
        <w:spacing w:before="114" w:after="0" w:line="279" w:lineRule="exact"/>
        <w:ind w:right="79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application has been made in accordance with these Regulations;</w:t>
      </w:r>
    </w:p>
    <w:p>
      <w:pPr>
        <w:numPr>
          <w:ilvl w:val="0"/>
          <w:numId w:val="983"/>
        </w:numPr>
        <w:tabs>
          <w:tab w:val="clear" w:pos="360"/>
          <w:tab w:val="left" w:pos="1872"/>
        </w:tabs>
        <w:spacing w:before="114" w:after="0" w:line="279"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safety case for the facility has been prepared in accordance with Division 4 of Part 9.3;</w:t>
      </w:r>
    </w:p>
    <w:p>
      <w:pPr>
        <w:numPr>
          <w:ilvl w:val="0"/>
          <w:numId w:val="983"/>
        </w:numPr>
        <w:tabs>
          <w:tab w:val="clear" w:pos="360"/>
          <w:tab w:val="left" w:pos="1872"/>
        </w:tabs>
        <w:spacing w:before="114" w:after="0" w:line="279"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operator is able to operate the major hazard facility safely and competently;</w:t>
      </w:r>
    </w:p>
    <w:p>
      <w:pPr>
        <w:numPr>
          <w:ilvl w:val="0"/>
          <w:numId w:val="983"/>
        </w:numPr>
        <w:tabs>
          <w:tab w:val="clear" w:pos="360"/>
          <w:tab w:val="left" w:pos="1872"/>
        </w:tabs>
        <w:spacing w:before="114" w:after="0" w:line="279" w:lineRule="exact"/>
        <w:ind w:right="43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operator is able to comply with any conditions that will apply to the licence.</w:t>
      </w:r>
    </w:p>
    <w:p>
      <w:pPr>
        <w:spacing w:before="116" w:after="0" w:line="277" w:lineRule="exact"/>
        <w:ind w:right="144"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regulator may refuse to grant a major hazard facility licence if it becomes aware of circumstances that satisfy it that the following persons are not suitable persons to exercise management or control over the major hazard facility:</w:t>
      </w:r>
    </w:p>
    <w:p>
      <w:pPr>
        <w:numPr>
          <w:ilvl w:val="0"/>
          <w:numId w:val="984"/>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operator is an individual—the operator;</w:t>
      </w:r>
    </w:p>
    <w:p>
      <w:pPr>
        <w:numPr>
          <w:ilvl w:val="0"/>
          <w:numId w:val="984"/>
        </w:numPr>
        <w:tabs>
          <w:tab w:val="clear" w:pos="360"/>
          <w:tab w:val="left" w:pos="1872"/>
        </w:tabs>
        <w:spacing w:before="126" w:after="0" w:line="273" w:lineRule="exact"/>
        <w:ind w:right="43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operator is a body corporate—any officer of the body corporate.</w:t>
      </w:r>
    </w:p>
    <w:p>
      <w:pPr>
        <w:spacing w:before="126" w:after="0" w:line="273" w:lineRule="exact"/>
        <w:ind w:right="144"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The regulator must refuse to grant a major hazard facility licence if satisfied that the operator, in making the application, has:</w:t>
      </w:r>
    </w:p>
    <w:p>
      <w:pPr>
        <w:numPr>
          <w:ilvl w:val="0"/>
          <w:numId w:val="985"/>
        </w:numPr>
        <w:tabs>
          <w:tab w:val="clear" w:pos="360"/>
          <w:tab w:val="left" w:pos="1872"/>
        </w:tabs>
        <w:spacing w:before="126" w:after="0" w:line="273"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given information that is false or misleading in a material particular; or</w:t>
      </w:r>
    </w:p>
    <w:p>
      <w:pPr>
        <w:numPr>
          <w:ilvl w:val="0"/>
          <w:numId w:val="985"/>
        </w:numPr>
        <w:tabs>
          <w:tab w:val="clear" w:pos="360"/>
          <w:tab w:val="left" w:pos="1872"/>
        </w:tabs>
        <w:spacing w:before="126" w:after="0" w:line="273"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failed to give any material information that should have been given.</w:t>
      </w:r>
    </w:p>
    <w:p>
      <w:pPr>
        <w:spacing w:before="126" w:after="0" w:line="273" w:lineRule="exact"/>
        <w:ind w:right="72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If the regulator decides to grant the licence, it must notify the operator within 14 days after making the decision.</w:t>
      </w:r>
    </w:p>
    <w:p>
      <w:pPr>
        <w:spacing w:before="124" w:after="715" w:line="275"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(6) If the regulator does not make a decision within 6 months after receiving the application or the additional information requested under regulation 579, the regulator is taken to have refused to grant the licence applied for.</w:t>
      </w:r>
    </w:p>
    <w:p>
      <w:pPr>
        <w:spacing w:before="124" w:after="715" w:line="275"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400</w:t>
      </w:r>
    </w:p>
    <w:p>
      <w:pPr>
        <w:sectPr>
          <w:type w:val="continuous"/>
          <w:pgSz w:w="11909" w:h="16838" w:orient="portrait"/>
          <w:pgMar w:bottom="1082" w:top="1140" w:right="5812" w:left="1977"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9.7	</w:t>
      </w:r>
      <w:r>
        <w:rPr>
          <w:rFonts w:ascii="Times New Roman" w:hAnsi="Times New Roman" w:eastAsia="Times New Roman"/>
          <w:color w:val="000000"/>
          <w:spacing w:val="0"/>
          <w:w w:val="100"/>
          <w:sz w:val="20"/>
          <w:vertAlign w:val="baseline"/>
          <w:lang w:val="en-US"/>
        </w:rPr>
        <w:t xml:space="preserve">Licensing of Major Hazard Facilities</w:t>
      </w:r>
    </w:p>
    <w:p>
      <w:pPr>
        <w:spacing w:before="255"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Note</w:t>
      </w:r>
    </w:p>
    <w:p>
      <w:pPr>
        <w:spacing w:before="121" w:after="0" w:line="231" w:lineRule="exact"/>
        <w:ind w:right="72"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refusal to grant a major hazard facility licence (including under subregulation (6)) is a reviewable decision (see regulation 676).</w:t>
      </w:r>
    </w:p>
    <w:p>
      <w:pPr>
        <w:spacing w:before="120" w:after="0" w:line="273"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581 Matters to be taken into account</w:t>
      </w:r>
    </w:p>
    <w:p>
      <w:pPr>
        <w:spacing w:before="116" w:after="0" w:line="276"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For the purposes of regulation 580(3), if the operator is an individual, the regulator must have regard to all relevant matters, including the following:</w:t>
      </w:r>
    </w:p>
    <w:p>
      <w:pPr>
        <w:spacing w:before="123" w:after="0" w:line="276"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any offence under the Act or these Regulations or under a corresponding WHS law of which the operator has been convicted or found guilty;</w:t>
      </w:r>
    </w:p>
    <w:p>
      <w:pPr>
        <w:spacing w:before="125"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7"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14" w:after="0" w:line="278"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any enforceable undertaking the operator has entered into under the Act or under a corresponding WHS law;</w:t>
      </w:r>
    </w:p>
    <w:p>
      <w:pPr>
        <w:spacing w:before="118"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in relation to a major hazard facility licence applied for or held by the operator under the Act or these Regulations or under a corresponding WHS law:</w:t>
      </w:r>
    </w:p>
    <w:p>
      <w:pPr>
        <w:numPr>
          <w:ilvl w:val="0"/>
          <w:numId w:val="986"/>
        </w:numPr>
        <w:tabs>
          <w:tab w:val="clear" w:pos="504"/>
          <w:tab w:val="left" w:pos="2376"/>
        </w:tabs>
        <w:spacing w:before="126" w:after="0" w:line="272" w:lineRule="exact"/>
        <w:ind w:right="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refusal to grant the licence; and</w:t>
      </w:r>
    </w:p>
    <w:p>
      <w:pPr>
        <w:numPr>
          <w:ilvl w:val="0"/>
          <w:numId w:val="986"/>
        </w:numPr>
        <w:tabs>
          <w:tab w:val="clear" w:pos="504"/>
          <w:tab w:val="left" w:pos="2376"/>
        </w:tabs>
        <w:spacing w:before="116" w:after="0" w:line="278" w:lineRule="exact"/>
        <w:ind w:right="144"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condition imposed on the licence, if granted, and the reason the condition was imposed; and</w:t>
      </w:r>
    </w:p>
    <w:p>
      <w:pPr>
        <w:numPr>
          <w:ilvl w:val="0"/>
          <w:numId w:val="986"/>
        </w:numPr>
        <w:tabs>
          <w:tab w:val="clear" w:pos="504"/>
          <w:tab w:val="left" w:pos="2376"/>
        </w:tabs>
        <w:spacing w:before="118" w:after="0" w:line="276" w:lineRule="exact"/>
        <w:ind w:right="144"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suspension or cancellation of the licence, if granted, including any disqualification from applying for any licence;</w:t>
      </w:r>
    </w:p>
    <w:p>
      <w:pPr>
        <w:spacing w:before="122" w:after="0" w:line="276"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the operator's record in relation to any matters arising under the Act or these Regulations or under a corresponding WHS law;</w:t>
      </w:r>
    </w:p>
    <w:p>
      <w:pPr>
        <w:spacing w:before="116" w:after="0" w:line="278"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 any advice or recommendations received from any agency of the Crown with responsibility in relation to national security.</w:t>
      </w:r>
    </w:p>
    <w:p>
      <w:pPr>
        <w:spacing w:before="125"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7"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16" w:after="0" w:line="276" w:lineRule="exact"/>
        <w:ind w:right="144"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(2) For the purposes of regulation 580(3), if the operator is a body corporate, the regulator must have regard to all relevant matters, including the matters referred to in subregulation (1), in relation to:</w:t>
      </w:r>
    </w:p>
    <w:p>
      <w:pPr>
        <w:numPr>
          <w:ilvl w:val="0"/>
          <w:numId w:val="987"/>
        </w:numPr>
        <w:tabs>
          <w:tab w:val="clear" w:pos="360"/>
          <w:tab w:val="left" w:pos="1872"/>
        </w:tabs>
        <w:spacing w:before="121" w:after="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body corporate; and</w:t>
      </w:r>
    </w:p>
    <w:p>
      <w:pPr>
        <w:numPr>
          <w:ilvl w:val="0"/>
          <w:numId w:val="987"/>
        </w:numPr>
        <w:tabs>
          <w:tab w:val="clear" w:pos="360"/>
          <w:tab w:val="left" w:pos="1872"/>
        </w:tabs>
        <w:spacing w:before="127" w:after="133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each officer of the body corporate.</w:t>
      </w:r>
    </w:p>
    <w:p>
      <w:pPr>
        <w:spacing w:before="127" w:after="1330" w:line="272"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401</w:t>
      </w:r>
    </w:p>
    <w:p>
      <w:pPr>
        <w:sectPr>
          <w:type w:val="continuous"/>
          <w:pgSz w:w="11909" w:h="16838" w:orient="portrait"/>
          <w:pgMar w:bottom="1082" w:top="1140" w:right="5819" w:left="1970"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9.7	</w:t>
      </w:r>
      <w:r>
        <w:rPr>
          <w:rFonts w:ascii="Times New Roman" w:hAnsi="Times New Roman" w:eastAsia="Times New Roman"/>
          <w:color w:val="000000"/>
          <w:spacing w:val="0"/>
          <w:w w:val="100"/>
          <w:sz w:val="20"/>
          <w:vertAlign w:val="baseline"/>
          <w:lang w:val="en-US"/>
        </w:rPr>
        <w:t xml:space="preserve">Licensing of Major Hazard Facilities</w:t>
      </w:r>
    </w:p>
    <w:p>
      <w:pPr>
        <w:spacing w:before="251"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4"/>
          <w:w w:val="100"/>
          <w:sz w:val="24"/>
          <w:vertAlign w:val="baseline"/>
          <w:lang w:val="en-US"/>
        </w:rPr>
        <w:t xml:space="preserve">582 When decision is to be made</w:t>
      </w:r>
    </w:p>
    <w:p>
      <w:pPr>
        <w:spacing w:before="123" w:after="0" w:line="275"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must make a decision in relation to an application for a major hazard facility licence within 6 months after receiving the application or the additional information requested under regulation 579.</w:t>
      </w:r>
    </w:p>
    <w:p>
      <w:pPr>
        <w:spacing w:before="126"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583 Refusal to grant major hazard facility licence—process</w:t>
      </w:r>
    </w:p>
    <w:p>
      <w:pPr>
        <w:spacing w:before="113" w:after="0" w:line="279" w:lineRule="exact"/>
        <w:ind w:right="360"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(1) If the regulator proposes to refuse to grant a major hazard facility licence, the regulator must give a written notice to the operator:</w:t>
      </w:r>
    </w:p>
    <w:p>
      <w:pPr>
        <w:numPr>
          <w:ilvl w:val="0"/>
          <w:numId w:val="988"/>
        </w:numPr>
        <w:tabs>
          <w:tab w:val="clear" w:pos="360"/>
          <w:tab w:val="left" w:pos="1872"/>
        </w:tabs>
        <w:spacing w:before="114" w:after="0" w:line="279"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informing the operator of the reasons for the proposed refusal; and</w:t>
      </w:r>
    </w:p>
    <w:p>
      <w:pPr>
        <w:numPr>
          <w:ilvl w:val="0"/>
          <w:numId w:val="988"/>
        </w:numPr>
        <w:tabs>
          <w:tab w:val="clear" w:pos="360"/>
          <w:tab w:val="left" w:pos="1872"/>
        </w:tabs>
        <w:spacing w:before="117" w:after="0" w:line="276" w:lineRule="exact"/>
        <w:ind w:right="72" w:left="1872"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advising the operator that the operator may, by a specified date (being not less than 28 days after giving the notice), make a submission to the regulator in relation to the proposed refusal.</w:t>
      </w:r>
    </w:p>
    <w:p>
      <w:pPr>
        <w:spacing w:before="116" w:after="0" w:line="278" w:lineRule="exact"/>
        <w:ind w:right="57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After the date specified in a notice under subregulation (1), the regulator must:</w:t>
      </w:r>
    </w:p>
    <w:p>
      <w:pPr>
        <w:numPr>
          <w:ilvl w:val="0"/>
          <w:numId w:val="989"/>
        </w:numPr>
        <w:tabs>
          <w:tab w:val="clear" w:pos="360"/>
          <w:tab w:val="left" w:pos="1872"/>
        </w:tabs>
        <w:spacing w:before="118" w:after="0" w:line="276" w:lineRule="exact"/>
        <w:ind w:right="86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operator has made a submission in relation to the proposed refusal to grant the licence—consider that submission; and</w:t>
      </w:r>
    </w:p>
    <w:p>
      <w:pPr>
        <w:numPr>
          <w:ilvl w:val="0"/>
          <w:numId w:val="989"/>
        </w:numPr>
        <w:tabs>
          <w:tab w:val="clear" w:pos="360"/>
          <w:tab w:val="left" w:pos="1872"/>
        </w:tabs>
        <w:spacing w:before="124" w:after="0" w:line="274" w:lineRule="exact"/>
        <w:ind w:right="360" w:left="1872" w:hanging="360"/>
        <w:jc w:val="both"/>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whether or not the operator has made a submission—decide whether to grant or refuse to grant the licence; and</w:t>
      </w:r>
    </w:p>
    <w:p>
      <w:pPr>
        <w:numPr>
          <w:ilvl w:val="0"/>
          <w:numId w:val="989"/>
        </w:numPr>
        <w:tabs>
          <w:tab w:val="clear" w:pos="360"/>
          <w:tab w:val="left" w:pos="1872"/>
        </w:tabs>
        <w:spacing w:before="122" w:after="0" w:line="276" w:lineRule="exact"/>
        <w:ind w:right="43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within 14 days after making the decision, give the operator written notice of the decision, including the reasons for the decision.</w:t>
      </w:r>
    </w:p>
    <w:p>
      <w:pPr>
        <w:tabs>
          <w:tab w:val="left" w:leader="none" w:pos="864"/>
        </w:tabs>
        <w:spacing w:before="121"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584	</w:t>
      </w:r>
      <w:r>
        <w:rPr>
          <w:rFonts w:ascii="Times New Roman" w:hAnsi="Times New Roman" w:eastAsia="Times New Roman"/>
          <w:b w:val="true"/>
          <w:color w:val="000000"/>
          <w:spacing w:val="0"/>
          <w:w w:val="100"/>
          <w:sz w:val="24"/>
          <w:vertAlign w:val="baseline"/>
          <w:lang w:val="en-US"/>
        </w:rPr>
        <w:t xml:space="preserve">Conditions of licence</w:t>
      </w:r>
    </w:p>
    <w:p>
      <w:pPr>
        <w:numPr>
          <w:ilvl w:val="0"/>
          <w:numId w:val="990"/>
        </w:numPr>
        <w:tabs>
          <w:tab w:val="clear" w:pos="360"/>
          <w:tab w:val="left" w:pos="1368"/>
        </w:tabs>
        <w:spacing w:before="123" w:after="0" w:line="274"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may impose any conditions it considers appropriate on a major hazard facility licence.</w:t>
      </w:r>
    </w:p>
    <w:p>
      <w:pPr>
        <w:numPr>
          <w:ilvl w:val="0"/>
          <w:numId w:val="990"/>
        </w:numPr>
        <w:tabs>
          <w:tab w:val="clear" w:pos="360"/>
          <w:tab w:val="left" w:pos="1368"/>
        </w:tabs>
        <w:spacing w:before="124" w:after="0" w:line="274" w:lineRule="exact"/>
        <w:ind w:right="72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Without limiting subregulation (1), the regulator may impose conditions in relation to 1 or more of the following:</w:t>
      </w:r>
    </w:p>
    <w:p>
      <w:pPr>
        <w:numPr>
          <w:ilvl w:val="0"/>
          <w:numId w:val="991"/>
        </w:numPr>
        <w:tabs>
          <w:tab w:val="clear" w:pos="360"/>
          <w:tab w:val="left" w:pos="1872"/>
        </w:tabs>
        <w:spacing w:before="122" w:after="0" w:line="276"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additional control measures which must be implemented in relation to the carrying out of work or activities under the licence;</w:t>
      </w:r>
    </w:p>
    <w:p>
      <w:pPr>
        <w:numPr>
          <w:ilvl w:val="0"/>
          <w:numId w:val="991"/>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recording or keeping of additional information;</w:t>
      </w:r>
    </w:p>
    <w:p>
      <w:pPr>
        <w:numPr>
          <w:ilvl w:val="0"/>
          <w:numId w:val="991"/>
        </w:numPr>
        <w:tabs>
          <w:tab w:val="clear" w:pos="360"/>
          <w:tab w:val="left" w:pos="1872"/>
        </w:tabs>
        <w:spacing w:before="122" w:after="0" w:line="276"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provision of additional information, training and instruction or the giving of specified information, training and instruction to additional persons or classes of persons;</w:t>
      </w:r>
    </w:p>
    <w:p>
      <w:pPr>
        <w:numPr>
          <w:ilvl w:val="0"/>
          <w:numId w:val="991"/>
        </w:numPr>
        <w:tabs>
          <w:tab w:val="clear" w:pos="360"/>
          <w:tab w:val="left" w:pos="1872"/>
        </w:tabs>
        <w:spacing w:before="121" w:after="974"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provision of additional information to the regulator;</w:t>
      </w:r>
    </w:p>
    <w:p>
      <w:pPr>
        <w:spacing w:before="121" w:after="974"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402</w:t>
      </w:r>
    </w:p>
    <w:p>
      <w:pPr>
        <w:sectPr>
          <w:type w:val="continuous"/>
          <w:pgSz w:w="11909" w:h="16838" w:orient="portrait"/>
          <w:pgMar w:bottom="1082" w:top="1140" w:right="5812" w:left="1977"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9.7	</w:t>
      </w:r>
      <w:r>
        <w:rPr>
          <w:rFonts w:ascii="Times New Roman" w:hAnsi="Times New Roman" w:eastAsia="Times New Roman"/>
          <w:color w:val="000000"/>
          <w:spacing w:val="0"/>
          <w:w w:val="100"/>
          <w:sz w:val="20"/>
          <w:vertAlign w:val="baseline"/>
          <w:lang w:val="en-US"/>
        </w:rPr>
        <w:t xml:space="preserve">Licensing of Major Hazard Facilities</w:t>
      </w:r>
    </w:p>
    <w:p>
      <w:pPr>
        <w:spacing w:before="247" w:after="0" w:line="276" w:lineRule="exact"/>
        <w:ind w:right="72" w:left="1872" w:hanging="288"/>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(e) if the operator is a person conducting a business or undertaking, the additional class of persons who may carry out work or activities on the operator's behalf.</w:t>
      </w:r>
    </w:p>
    <w:p>
      <w:pPr>
        <w:spacing w:before="125"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Notes</w:t>
      </w:r>
    </w:p>
    <w:p>
      <w:pPr>
        <w:tabs>
          <w:tab w:val="left" w:leader="none" w:pos="1296"/>
        </w:tabs>
        <w:spacing w:before="126" w:after="0" w:line="227"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A person must comply with the conditions of a licence (see section 45 of the Act).</w:t>
      </w:r>
    </w:p>
    <w:p>
      <w:pPr>
        <w:tabs>
          <w:tab w:val="left" w:leader="none" w:pos="1296"/>
        </w:tabs>
        <w:spacing w:before="119" w:after="0" w:line="231" w:lineRule="exact"/>
        <w:ind w:right="720" w:left="1368" w:hanging="50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A decision to impose a condition on a licence is a reviewable decision (see regulation 676).</w:t>
      </w:r>
    </w:p>
    <w:p>
      <w:pPr>
        <w:spacing w:before="120" w:after="0" w:line="273" w:lineRule="exact"/>
        <w:ind w:right="0" w:left="288" w:firstLine="0"/>
        <w:jc w:val="left"/>
        <w:textAlignment w:val="baseline"/>
        <w:rPr>
          <w:rFonts w:ascii="Times New Roman" w:hAnsi="Times New Roman" w:eastAsia="Times New Roman"/>
          <w:b w:val="true"/>
          <w:color w:val="000000"/>
          <w:spacing w:val="6"/>
          <w:w w:val="100"/>
          <w:sz w:val="24"/>
          <w:vertAlign w:val="baseline"/>
          <w:lang w:val="en-US"/>
        </w:rPr>
      </w:pPr>
      <w:r>
        <w:rPr>
          <w:rFonts w:ascii="Times New Roman" w:hAnsi="Times New Roman" w:eastAsia="Times New Roman"/>
          <w:b w:val="true"/>
          <w:color w:val="000000"/>
          <w:spacing w:val="6"/>
          <w:w w:val="100"/>
          <w:sz w:val="24"/>
          <w:vertAlign w:val="baseline"/>
          <w:lang w:val="en-US"/>
        </w:rPr>
        <w:t xml:space="preserve">585 Duration of licence</w:t>
      </w:r>
    </w:p>
    <w:p>
      <w:pPr>
        <w:spacing w:before="123" w:after="0" w:line="275"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Subject to this Part, a major hazard facility licence takes effect on the day it is granted and, unless cancelled earlier, expires on the day determined by the regulator, which must be not more than 5 years after the day the licence was granted.</w:t>
      </w:r>
    </w:p>
    <w:p>
      <w:pPr>
        <w:spacing w:before="126" w:after="0" w:line="273" w:lineRule="exact"/>
        <w:ind w:right="0" w:left="288" w:firstLine="0"/>
        <w:jc w:val="left"/>
        <w:textAlignment w:val="baseline"/>
        <w:rPr>
          <w:rFonts w:ascii="Times New Roman" w:hAnsi="Times New Roman" w:eastAsia="Times New Roman"/>
          <w:b w:val="true"/>
          <w:color w:val="000000"/>
          <w:spacing w:val="7"/>
          <w:w w:val="100"/>
          <w:sz w:val="24"/>
          <w:vertAlign w:val="baseline"/>
          <w:lang w:val="en-US"/>
        </w:rPr>
      </w:pPr>
      <w:r>
        <w:rPr>
          <w:rFonts w:ascii="Times New Roman" w:hAnsi="Times New Roman" w:eastAsia="Times New Roman"/>
          <w:b w:val="true"/>
          <w:color w:val="000000"/>
          <w:spacing w:val="7"/>
          <w:w w:val="100"/>
          <w:sz w:val="24"/>
          <w:vertAlign w:val="baseline"/>
          <w:lang w:val="en-US"/>
        </w:rPr>
        <w:t xml:space="preserve">586 Licence document</w:t>
      </w:r>
    </w:p>
    <w:p>
      <w:pPr>
        <w:numPr>
          <w:ilvl w:val="0"/>
          <w:numId w:val="992"/>
        </w:numPr>
        <w:tabs>
          <w:tab w:val="clear" w:pos="360"/>
          <w:tab w:val="left" w:pos="1368"/>
        </w:tabs>
        <w:spacing w:before="117"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regulator grants a major hazard facility licence, the regulator must issue to the operator a licence document in the form determined by the regulator.</w:t>
      </w:r>
    </w:p>
    <w:p>
      <w:pPr>
        <w:numPr>
          <w:ilvl w:val="0"/>
          <w:numId w:val="992"/>
        </w:numPr>
        <w:tabs>
          <w:tab w:val="clear" w:pos="360"/>
          <w:tab w:val="left" w:pos="1368"/>
        </w:tabs>
        <w:spacing w:before="126" w:after="0" w:line="272"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licence document must include the following:</w:t>
      </w:r>
    </w:p>
    <w:p>
      <w:pPr>
        <w:numPr>
          <w:ilvl w:val="0"/>
          <w:numId w:val="993"/>
        </w:numPr>
        <w:tabs>
          <w:tab w:val="clear" w:pos="288"/>
          <w:tab w:val="left" w:pos="1872"/>
        </w:tabs>
        <w:spacing w:before="122" w:after="0" w:line="272"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of the operator;</w:t>
      </w:r>
    </w:p>
    <w:p>
      <w:pPr>
        <w:numPr>
          <w:ilvl w:val="0"/>
          <w:numId w:val="993"/>
        </w:numPr>
        <w:tabs>
          <w:tab w:val="clear" w:pos="288"/>
          <w:tab w:val="left" w:pos="1872"/>
        </w:tabs>
        <w:spacing w:before="124" w:after="0" w:line="274" w:lineRule="exact"/>
        <w:ind w:right="36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operator conducts the business or undertaking under a business name—that business name;</w:t>
      </w:r>
    </w:p>
    <w:p>
      <w:pPr>
        <w:numPr>
          <w:ilvl w:val="0"/>
          <w:numId w:val="993"/>
        </w:numPr>
        <w:tabs>
          <w:tab w:val="clear" w:pos="288"/>
          <w:tab w:val="left" w:pos="1872"/>
        </w:tabs>
        <w:spacing w:before="126" w:after="0" w:line="272"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location of the major hazard facility;</w:t>
      </w:r>
    </w:p>
    <w:p>
      <w:pPr>
        <w:numPr>
          <w:ilvl w:val="0"/>
          <w:numId w:val="993"/>
        </w:numPr>
        <w:tabs>
          <w:tab w:val="clear" w:pos="288"/>
          <w:tab w:val="left" w:pos="1872"/>
        </w:tabs>
        <w:spacing w:before="122" w:after="0" w:line="272"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conditions imposed on the licence by the regulator;</w:t>
      </w:r>
    </w:p>
    <w:p>
      <w:pPr>
        <w:numPr>
          <w:ilvl w:val="0"/>
          <w:numId w:val="993"/>
        </w:numPr>
        <w:tabs>
          <w:tab w:val="clear" w:pos="288"/>
          <w:tab w:val="left" w:pos="1872"/>
        </w:tabs>
        <w:spacing w:before="126" w:after="0" w:line="272"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date on which the licence was granted;</w:t>
      </w:r>
    </w:p>
    <w:p>
      <w:pPr>
        <w:numPr>
          <w:ilvl w:val="0"/>
          <w:numId w:val="993"/>
        </w:numPr>
        <w:tabs>
          <w:tab w:val="clear" w:pos="288"/>
          <w:tab w:val="left" w:pos="1872"/>
        </w:tabs>
        <w:spacing w:before="122" w:after="0" w:line="272"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expiry date of the licence.</w:t>
      </w:r>
    </w:p>
    <w:p>
      <w:pPr>
        <w:spacing w:before="126" w:after="0" w:line="273"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587 Licence document to be available</w:t>
      </w:r>
    </w:p>
    <w:p>
      <w:pPr>
        <w:numPr>
          <w:ilvl w:val="0"/>
          <w:numId w:val="994"/>
        </w:numPr>
        <w:tabs>
          <w:tab w:val="clear" w:pos="360"/>
          <w:tab w:val="left" w:pos="1368"/>
        </w:tabs>
        <w:spacing w:before="115" w:after="0" w:line="278" w:lineRule="exact"/>
        <w:ind w:right="57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operator of the major hazard facility must keep the licence document available for inspection under the Act.</w:t>
      </w:r>
    </w:p>
    <w:p>
      <w:pPr>
        <w:spacing w:before="122" w:after="0" w:line="272"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6"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2" w:after="0" w:line="272"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numPr>
          <w:ilvl w:val="0"/>
          <w:numId w:val="994"/>
        </w:numPr>
        <w:tabs>
          <w:tab w:val="clear" w:pos="360"/>
          <w:tab w:val="left" w:pos="1368"/>
        </w:tabs>
        <w:spacing w:before="124" w:after="0" w:line="274"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Subregulation (1) does not apply if the licence document is not in the operator's possession because:</w:t>
      </w:r>
    </w:p>
    <w:p>
      <w:pPr>
        <w:numPr>
          <w:ilvl w:val="0"/>
          <w:numId w:val="995"/>
        </w:numPr>
        <w:tabs>
          <w:tab w:val="clear" w:pos="288"/>
          <w:tab w:val="left" w:pos="1872"/>
        </w:tabs>
        <w:spacing w:before="126" w:after="0" w:line="272"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it has been returned to the regulator under regulation 593; and</w:t>
      </w:r>
    </w:p>
    <w:p>
      <w:pPr>
        <w:numPr>
          <w:ilvl w:val="0"/>
          <w:numId w:val="995"/>
        </w:numPr>
        <w:tabs>
          <w:tab w:val="clear" w:pos="288"/>
          <w:tab w:val="left" w:pos="1872"/>
        </w:tabs>
        <w:spacing w:before="116" w:after="711" w:line="278" w:lineRule="exact"/>
        <w:ind w:right="1224" w:left="1872" w:hanging="288"/>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operator has applied for, but has not received, a replacement licence under regulation 594.</w:t>
      </w:r>
    </w:p>
    <w:p>
      <w:pPr>
        <w:spacing w:before="116" w:after="711" w:line="278"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403</w:t>
      </w:r>
    </w:p>
    <w:p>
      <w:pPr>
        <w:sectPr>
          <w:type w:val="continuous"/>
          <w:pgSz w:w="11909" w:h="16838" w:orient="portrait"/>
          <w:pgMar w:bottom="1082" w:top="1140" w:right="5817" w:left="1972"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9.7	</w:t>
      </w:r>
      <w:r>
        <w:rPr>
          <w:rFonts w:ascii="Times New Roman" w:hAnsi="Times New Roman" w:eastAsia="Times New Roman"/>
          <w:color w:val="000000"/>
          <w:spacing w:val="0"/>
          <w:w w:val="100"/>
          <w:sz w:val="20"/>
          <w:vertAlign w:val="baseline"/>
          <w:lang w:val="en-US"/>
        </w:rPr>
        <w:t xml:space="preserve">Licensing of Major Hazard Facilities</w:t>
      </w:r>
    </w:p>
    <w:p>
      <w:pPr>
        <w:tabs>
          <w:tab w:val="left" w:leader="none" w:pos="1584"/>
        </w:tabs>
        <w:spacing w:before="256"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4"/>
          <w:vertAlign w:val="baseline"/>
          <w:lang w:val="en-US"/>
        </w:rPr>
        <w:t xml:space="preserve">Division 2	</w:t>
      </w:r>
      <w:r>
        <w:rPr>
          <w:rFonts w:ascii="Times New Roman" w:hAnsi="Times New Roman" w:eastAsia="Times New Roman"/>
          <w:b w:val="true"/>
          <w:color w:val="000000"/>
          <w:spacing w:val="0"/>
          <w:w w:val="100"/>
          <w:sz w:val="24"/>
          <w:vertAlign w:val="baseline"/>
          <w:lang w:val="en-US"/>
        </w:rPr>
        <w:t xml:space="preserve">Amendment of licence and licence document</w:t>
      </w:r>
    </w:p>
    <w:p>
      <w:pPr>
        <w:spacing w:before="120" w:after="0" w:line="274"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588 Changes to information</w:t>
      </w:r>
    </w:p>
    <w:p>
      <w:pPr>
        <w:numPr>
          <w:ilvl w:val="0"/>
          <w:numId w:val="996"/>
        </w:numPr>
        <w:tabs>
          <w:tab w:val="clear" w:pos="360"/>
          <w:tab w:val="left" w:pos="1368"/>
        </w:tabs>
        <w:spacing w:before="116"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operator of a licensed major hazard facility must give the regulator written notice of any change to any material particular in any information given at any time by the operator to the regulator in relation to the licence within 14 days after the operator becomes aware of the change.</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Example</w:t>
      </w:r>
    </w:p>
    <w:p>
      <w:pPr>
        <w:spacing w:before="122" w:after="0" w:line="231" w:lineRule="exact"/>
        <w:ind w:right="648"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change to the quantity of the hazardous chemicals present or likely to be present at the facility.</w:t>
      </w:r>
    </w:p>
    <w:p>
      <w:pPr>
        <w:numPr>
          <w:ilvl w:val="0"/>
          <w:numId w:val="996"/>
        </w:numPr>
        <w:tabs>
          <w:tab w:val="clear" w:pos="360"/>
          <w:tab w:val="left" w:pos="1368"/>
        </w:tabs>
        <w:spacing w:before="116"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Subregulation (1) applies whether the information was given in the application for grant or renewal of the licence or in any other circumstance.</w:t>
      </w:r>
    </w:p>
    <w:p>
      <w:pPr>
        <w:spacing w:before="120"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589 Amendment imposed by regulator</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regulator may, on its own initiative, amend a major hazard</w:t>
      </w:r>
    </w:p>
    <w:p>
      <w:pPr>
        <w:spacing w:before="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facility licence, including by amending the licence to:</w:t>
      </w:r>
    </w:p>
    <w:p>
      <w:pPr>
        <w:numPr>
          <w:ilvl w:val="0"/>
          <w:numId w:val="997"/>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vary or delete a condition of the licence; or</w:t>
      </w:r>
    </w:p>
    <w:p>
      <w:pPr>
        <w:numPr>
          <w:ilvl w:val="0"/>
          <w:numId w:val="997"/>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impose a new condition on the licence.</w:t>
      </w:r>
    </w:p>
    <w:p>
      <w:pPr>
        <w:spacing w:before="126" w:after="0" w:line="273" w:lineRule="exact"/>
        <w:ind w:right="72"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If the regulator proposes to amend a licence, the regulator must give the operator a written notice:</w:t>
      </w:r>
    </w:p>
    <w:p>
      <w:pPr>
        <w:numPr>
          <w:ilvl w:val="0"/>
          <w:numId w:val="998"/>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setting out the proposed amendment and the reasons for it; and</w:t>
      </w:r>
    </w:p>
    <w:p>
      <w:pPr>
        <w:numPr>
          <w:ilvl w:val="0"/>
          <w:numId w:val="998"/>
        </w:numPr>
        <w:tabs>
          <w:tab w:val="clear" w:pos="360"/>
          <w:tab w:val="left" w:pos="1872"/>
        </w:tabs>
        <w:spacing w:before="116" w:after="0" w:line="277"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advising the operator that the operator may, by a specified date (being not less than 28 days after giving the notice), make a submission to the regulator in relation to the proposed amendment.</w:t>
      </w:r>
    </w:p>
    <w:p>
      <w:pPr>
        <w:spacing w:before="114" w:after="0" w:line="279" w:lineRule="exact"/>
        <w:ind w:right="57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After the date specified in a notice under subregulation (2), the regulator must:</w:t>
      </w:r>
    </w:p>
    <w:p>
      <w:pPr>
        <w:numPr>
          <w:ilvl w:val="0"/>
          <w:numId w:val="999"/>
        </w:numPr>
        <w:tabs>
          <w:tab w:val="clear" w:pos="360"/>
          <w:tab w:val="left" w:pos="1872"/>
        </w:tabs>
        <w:spacing w:before="114" w:after="0" w:line="279" w:lineRule="exact"/>
        <w:ind w:right="864" w:left="1872"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if the operator has made a submission in relation to the proposed amendment—consider that submission; and</w:t>
      </w:r>
    </w:p>
    <w:p>
      <w:pPr>
        <w:numPr>
          <w:ilvl w:val="0"/>
          <w:numId w:val="999"/>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whether or not the operator has made a submission—decide:</w:t>
      </w:r>
    </w:p>
    <w:p>
      <w:pPr>
        <w:numPr>
          <w:ilvl w:val="0"/>
          <w:numId w:val="1000"/>
        </w:numPr>
        <w:tabs>
          <w:tab w:val="clear" w:pos="360"/>
          <w:tab w:val="left" w:pos="2376"/>
        </w:tabs>
        <w:spacing w:before="126" w:after="0" w:line="273" w:lineRule="exact"/>
        <w:ind w:right="0" w:left="2016"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to make the proposed amendment; or</w:t>
      </w:r>
    </w:p>
    <w:p>
      <w:pPr>
        <w:numPr>
          <w:ilvl w:val="0"/>
          <w:numId w:val="1000"/>
        </w:numPr>
        <w:tabs>
          <w:tab w:val="clear" w:pos="360"/>
          <w:tab w:val="left" w:pos="2376"/>
        </w:tabs>
        <w:spacing w:before="120" w:after="907" w:line="273" w:lineRule="exact"/>
        <w:ind w:right="0" w:left="2016"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not to make any amendment; or</w:t>
      </w:r>
    </w:p>
    <w:p>
      <w:pPr>
        <w:spacing w:before="120" w:after="907"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404</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9.7	</w:t>
      </w:r>
      <w:r>
        <w:rPr>
          <w:rFonts w:ascii="Times New Roman" w:hAnsi="Times New Roman" w:eastAsia="Times New Roman"/>
          <w:color w:val="000000"/>
          <w:spacing w:val="0"/>
          <w:w w:val="100"/>
          <w:sz w:val="20"/>
          <w:vertAlign w:val="baseline"/>
          <w:lang w:val="en-US"/>
        </w:rPr>
        <w:t xml:space="preserve">Licensing of Major Hazard Facilities</w:t>
      </w:r>
    </w:p>
    <w:p>
      <w:pPr>
        <w:spacing w:before="247" w:after="0" w:line="276" w:lineRule="exact"/>
        <w:ind w:right="360" w:left="2448" w:hanging="504"/>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(iii) to make a different amendment that results from consideration of any submission made by the operator; and</w:t>
      </w:r>
    </w:p>
    <w:p>
      <w:pPr>
        <w:spacing w:before="126" w:after="0" w:line="273" w:lineRule="exact"/>
        <w:ind w:right="360" w:left="1944" w:hanging="432"/>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within 14 days after making that decision, give the operator written notice that:</w:t>
      </w:r>
    </w:p>
    <w:p>
      <w:pPr>
        <w:numPr>
          <w:ilvl w:val="0"/>
          <w:numId w:val="1001"/>
        </w:numPr>
        <w:tabs>
          <w:tab w:val="clear" w:pos="504"/>
          <w:tab w:val="left" w:pos="2448"/>
        </w:tabs>
        <w:spacing w:before="127" w:after="0" w:line="272" w:lineRule="exact"/>
        <w:ind w:right="0" w:left="2448"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sets out the amendment if any; and</w:t>
      </w:r>
    </w:p>
    <w:p>
      <w:pPr>
        <w:numPr>
          <w:ilvl w:val="0"/>
          <w:numId w:val="1001"/>
        </w:numPr>
        <w:tabs>
          <w:tab w:val="clear" w:pos="504"/>
          <w:tab w:val="left" w:pos="2448"/>
        </w:tabs>
        <w:spacing w:before="117" w:after="0" w:line="276" w:lineRule="exact"/>
        <w:ind w:right="216" w:left="2448"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a submission was made in relation to the proposed amendment—sets out the regulator's reasons for making the amendment; and</w:t>
      </w:r>
    </w:p>
    <w:p>
      <w:pPr>
        <w:numPr>
          <w:ilvl w:val="0"/>
          <w:numId w:val="1001"/>
        </w:numPr>
        <w:tabs>
          <w:tab w:val="clear" w:pos="504"/>
          <w:tab w:val="left" w:pos="2448"/>
        </w:tabs>
        <w:spacing w:before="123" w:after="0" w:line="276" w:lineRule="exact"/>
        <w:ind w:right="144" w:left="2448"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specifies the date (being not less than 28 days after the operator is given the notice) on which the amendment, if any, takes effect.</w:t>
      </w:r>
    </w:p>
    <w:p>
      <w:pPr>
        <w:spacing w:before="125"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8"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decision to amend a licence is a reviewable decision (see regulation 676).</w:t>
      </w:r>
    </w:p>
    <w:p>
      <w:pPr>
        <w:spacing w:before="119"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590 Amendment on application by operator</w:t>
      </w:r>
    </w:p>
    <w:p>
      <w:pPr>
        <w:spacing w:before="118" w:after="0" w:line="276" w:lineRule="exact"/>
        <w:ind w:right="28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regulator, on application by the operator of a licensed major hazard facility, may amend the major hazard facility licence, including by amending the licence to vary or delete a condition of the licence.</w:t>
      </w:r>
    </w:p>
    <w:p>
      <w:pPr>
        <w:spacing w:before="116" w:after="0" w:line="278" w:lineRule="exact"/>
        <w:ind w:right="93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If the regulator proposes to refuse to amend the licence, the regulator must give the operator a written notice:</w:t>
      </w:r>
    </w:p>
    <w:p>
      <w:pPr>
        <w:numPr>
          <w:ilvl w:val="0"/>
          <w:numId w:val="1002"/>
        </w:numPr>
        <w:tabs>
          <w:tab w:val="clear" w:pos="432"/>
          <w:tab w:val="left" w:pos="1944"/>
        </w:tabs>
        <w:spacing w:before="116" w:after="0" w:line="278" w:lineRule="exact"/>
        <w:ind w:right="360" w:left="1944" w:hanging="432"/>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informing the operator of the proposed refusal to amend the licence and the reasons for the proposed refusal; and</w:t>
      </w:r>
    </w:p>
    <w:p>
      <w:pPr>
        <w:numPr>
          <w:ilvl w:val="0"/>
          <w:numId w:val="1002"/>
        </w:numPr>
        <w:tabs>
          <w:tab w:val="clear" w:pos="432"/>
          <w:tab w:val="left" w:pos="1944"/>
        </w:tabs>
        <w:spacing w:before="118" w:after="0" w:line="276" w:lineRule="exact"/>
        <w:ind w:right="72" w:left="1944" w:hanging="432"/>
        <w:jc w:val="left"/>
        <w:textAlignment w:val="baseline"/>
        <w:rPr>
          <w:rFonts w:ascii="Times New Roman" w:hAnsi="Times New Roman" w:eastAsia="Times New Roman"/>
          <w:color w:val="000000"/>
          <w:spacing w:val="-2"/>
          <w:w w:val="100"/>
          <w:sz w:val="24"/>
          <w:vertAlign w:val="baseline"/>
          <w:lang w:val="en-US"/>
        </w:rPr>
      </w:pPr>
      <w:r>
        <w:rPr>
          <w:rFonts w:ascii="Times New Roman" w:hAnsi="Times New Roman" w:eastAsia="Times New Roman"/>
          <w:color w:val="000000"/>
          <w:spacing w:val="-2"/>
          <w:w w:val="100"/>
          <w:sz w:val="24"/>
          <w:vertAlign w:val="baseline"/>
          <w:lang w:val="en-US"/>
        </w:rPr>
        <w:t xml:space="preserve">advising the operator that the operator may, by a specified date (being not less than 28 days after giving the notice), make a submission to the regulator in relation to the proposed refusal.</w:t>
      </w:r>
    </w:p>
    <w:p>
      <w:pPr>
        <w:spacing w:before="124" w:after="0" w:line="274" w:lineRule="exact"/>
        <w:ind w:right="57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After the date specified in a notice under subregulation (2), the regulator must:</w:t>
      </w:r>
    </w:p>
    <w:p>
      <w:pPr>
        <w:spacing w:before="124" w:after="0" w:line="274" w:lineRule="exact"/>
        <w:ind w:right="864" w:left="1944"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if the operator has made a submission in relation to the proposed refusal—consider that submission; and</w:t>
      </w:r>
    </w:p>
    <w:p>
      <w:pPr>
        <w:spacing w:before="126" w:after="0" w:line="272" w:lineRule="exact"/>
        <w:ind w:right="216" w:left="0" w:firstLine="0"/>
        <w:jc w:val="righ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whether or not the operator has made a submission—decide:</w:t>
      </w:r>
    </w:p>
    <w:p>
      <w:pPr>
        <w:numPr>
          <w:ilvl w:val="0"/>
          <w:numId w:val="1003"/>
        </w:numPr>
        <w:tabs>
          <w:tab w:val="clear" w:pos="504"/>
          <w:tab w:val="left" w:pos="2448"/>
        </w:tabs>
        <w:spacing w:before="122" w:after="0" w:line="272" w:lineRule="exact"/>
        <w:ind w:right="0" w:left="2448"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to make the amendment applied for; or</w:t>
      </w:r>
    </w:p>
    <w:p>
      <w:pPr>
        <w:numPr>
          <w:ilvl w:val="0"/>
          <w:numId w:val="1003"/>
        </w:numPr>
        <w:tabs>
          <w:tab w:val="clear" w:pos="504"/>
          <w:tab w:val="left" w:pos="2448"/>
        </w:tabs>
        <w:spacing w:before="126" w:after="0" w:line="272" w:lineRule="exact"/>
        <w:ind w:right="0" w:left="2448"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not to make any amendment; or</w:t>
      </w:r>
    </w:p>
    <w:p>
      <w:pPr>
        <w:numPr>
          <w:ilvl w:val="0"/>
          <w:numId w:val="1003"/>
        </w:numPr>
        <w:tabs>
          <w:tab w:val="clear" w:pos="504"/>
          <w:tab w:val="left" w:pos="2448"/>
        </w:tabs>
        <w:spacing w:before="118" w:after="946" w:line="276" w:lineRule="exact"/>
        <w:ind w:right="360" w:left="2448" w:hanging="504"/>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to make a different amendment that results from consideration of any submission made by the operator; and</w:t>
      </w:r>
    </w:p>
    <w:p>
      <w:pPr>
        <w:spacing w:before="118" w:after="946"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405</w:t>
      </w:r>
    </w:p>
    <w:p>
      <w:pPr>
        <w:sectPr>
          <w:type w:val="continuous"/>
          <w:pgSz w:w="11909" w:h="16838" w:orient="portrait"/>
          <w:pgMar w:bottom="1082" w:top="1140" w:right="5814" w:left="1975" w:header="720" w:footer="720"/>
          <w:titlePg w:val="false"/>
          <w:textDirection w:val="lrTb"/>
        </w:sectPr>
      </w:pPr>
    </w:p>
    <w:p>
      <w:pPr>
        <w:spacing w:before="6"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5" w:after="226"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9.7	</w:t>
      </w:r>
      <w:r>
        <w:rPr>
          <w:rFonts w:ascii="Times New Roman" w:hAnsi="Times New Roman" w:eastAsia="Times New Roman"/>
          <w:color w:val="000000"/>
          <w:spacing w:val="0"/>
          <w:w w:val="100"/>
          <w:sz w:val="20"/>
          <w:vertAlign w:val="baseline"/>
          <w:lang w:val="en-US"/>
        </w:rPr>
        <w:t xml:space="preserve">Licensing of Major Hazard Facilities</w:t>
      </w:r>
    </w:p>
    <w:p>
      <w:pPr>
        <w:spacing w:before="248" w:after="0" w:line="276"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(c) within 14 days after making that decision, give the operator written notice of the decision in accordance with this regulation.</w:t>
      </w:r>
    </w:p>
    <w:p>
      <w:pPr>
        <w:numPr>
          <w:ilvl w:val="0"/>
          <w:numId w:val="1004"/>
        </w:numPr>
        <w:tabs>
          <w:tab w:val="clear" w:pos="360"/>
          <w:tab w:val="left" w:pos="1368"/>
        </w:tabs>
        <w:spacing w:before="124" w:after="0" w:line="275"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regulator makes the amendment applied for, the notice under subregulation (3)(c) must specify the date (not being less than 28 days after the operator is given the decision notice) on which the amendment takes effect.</w:t>
      </w:r>
    </w:p>
    <w:p>
      <w:pPr>
        <w:numPr>
          <w:ilvl w:val="0"/>
          <w:numId w:val="1004"/>
        </w:numPr>
        <w:tabs>
          <w:tab w:val="clear" w:pos="360"/>
          <w:tab w:val="left" w:pos="1368"/>
        </w:tabs>
        <w:spacing w:before="123" w:after="0" w:line="276" w:lineRule="exact"/>
        <w:ind w:right="144"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If the regulator refuses to make the amendment applied for or makes a different amendment, the notice under subregulation (3)(c) must:</w:t>
      </w:r>
    </w:p>
    <w:p>
      <w:pPr>
        <w:spacing w:before="117" w:after="0" w:line="276"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if a submission was made in relation to the proposed refusal of the amendment applied for—set out the reasons for the regulator's decision; and</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if the regulator makes a different amendment:</w:t>
      </w:r>
    </w:p>
    <w:p>
      <w:pPr>
        <w:numPr>
          <w:ilvl w:val="0"/>
          <w:numId w:val="1005"/>
        </w:numPr>
        <w:tabs>
          <w:tab w:val="clear" w:pos="432"/>
          <w:tab w:val="left" w:pos="2448"/>
        </w:tabs>
        <w:spacing w:before="125" w:after="0" w:line="273" w:lineRule="exact"/>
        <w:ind w:right="0" w:left="2448"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set out the amendment; and</w:t>
      </w:r>
    </w:p>
    <w:p>
      <w:pPr>
        <w:numPr>
          <w:ilvl w:val="0"/>
          <w:numId w:val="1005"/>
        </w:numPr>
        <w:tabs>
          <w:tab w:val="clear" w:pos="432"/>
          <w:tab w:val="left" w:pos="2448"/>
        </w:tabs>
        <w:spacing w:before="118" w:after="0" w:line="276" w:lineRule="exact"/>
        <w:ind w:right="504" w:left="2448"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specify the date (being not less than 28 days after the operator is given the decision notice) on which the amendment takes effect.</w:t>
      </w:r>
    </w:p>
    <w:p>
      <w:pPr>
        <w:spacing w:before="129"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0" w:after="0" w:line="231" w:lineRule="exact"/>
        <w:ind w:right="792"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refusal to make the amendment applied for, or a decision to make a different amendment, is a reviewable decision (see regulation 676).</w:t>
      </w:r>
    </w:p>
    <w:p>
      <w:pPr>
        <w:spacing w:before="121" w:after="0" w:line="273"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591 Minor corrections to major hazard facility licence</w:t>
      </w:r>
    </w:p>
    <w:p>
      <w:pPr>
        <w:spacing w:before="114" w:after="0" w:line="279" w:lineRule="exact"/>
        <w:ind w:right="576"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may make minor amendments to a major hazard facility licence, including an amendment:</w:t>
      </w:r>
    </w:p>
    <w:p>
      <w:pPr>
        <w:numPr>
          <w:ilvl w:val="0"/>
          <w:numId w:val="1006"/>
        </w:numPr>
        <w:tabs>
          <w:tab w:val="clear" w:pos="360"/>
          <w:tab w:val="left" w:pos="1872"/>
        </w:tabs>
        <w:spacing w:before="120"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to correct an obvious error; or</w:t>
      </w:r>
    </w:p>
    <w:p>
      <w:pPr>
        <w:numPr>
          <w:ilvl w:val="0"/>
          <w:numId w:val="1006"/>
        </w:numPr>
        <w:tabs>
          <w:tab w:val="clear" w:pos="360"/>
          <w:tab w:val="left" w:pos="1872"/>
        </w:tabs>
        <w:spacing w:before="126"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to change an address; or</w:t>
      </w:r>
    </w:p>
    <w:p>
      <w:pPr>
        <w:numPr>
          <w:ilvl w:val="0"/>
          <w:numId w:val="1006"/>
        </w:numPr>
        <w:tabs>
          <w:tab w:val="clear" w:pos="360"/>
          <w:tab w:val="left" w:pos="1872"/>
        </w:tabs>
        <w:spacing w:before="120"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does not impose a significant burden on the operator.</w:t>
      </w:r>
    </w:p>
    <w:p>
      <w:pPr>
        <w:spacing w:before="126" w:after="0" w:line="273"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592 Regulator to give amended licence document to operator</w:t>
      </w:r>
    </w:p>
    <w:p>
      <w:pPr>
        <w:spacing w:before="116" w:after="0" w:line="277"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regulator amends a major hazard facility licence and considers that the licence document requires amendment, the regulator must give the operator an amended licence document within 14 days after making the decision to amend the licence.</w:t>
      </w:r>
    </w:p>
    <w:p>
      <w:pPr>
        <w:spacing w:before="120" w:after="0" w:line="273"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593 Operator to return licence</w:t>
      </w:r>
    </w:p>
    <w:p>
      <w:pPr>
        <w:spacing w:before="124" w:after="715" w:line="275" w:lineRule="exact"/>
        <w:ind w:right="216"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If a major hazard facility licence is amended, the operator of the licensed major hazard facility must return the licence document to the regulator for amendment at the written request of the regulator and within the time specified in the request.</w:t>
      </w:r>
    </w:p>
    <w:p>
      <w:pPr>
        <w:spacing w:before="124" w:after="715" w:line="275"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406</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9.7	</w:t>
      </w:r>
      <w:r>
        <w:rPr>
          <w:rFonts w:ascii="Times New Roman" w:hAnsi="Times New Roman" w:eastAsia="Times New Roman"/>
          <w:color w:val="000000"/>
          <w:spacing w:val="0"/>
          <w:w w:val="100"/>
          <w:sz w:val="20"/>
          <w:vertAlign w:val="baseline"/>
          <w:lang w:val="en-US"/>
        </w:rPr>
        <w:t xml:space="preserve">Licensing of Major Hazard Facilities</w:t>
      </w:r>
    </w:p>
    <w:p>
      <w:pPr>
        <w:spacing w:before="25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Maximum penalty:</w:t>
      </w:r>
    </w:p>
    <w:p>
      <w:pPr>
        <w:spacing w:before="12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0"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26"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594 Replacement licence document</w:t>
      </w:r>
    </w:p>
    <w:p>
      <w:pPr>
        <w:spacing w:before="116"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operator of a licensed major hazard facility must give written notice to the regulator as soon as practicable if the licence document is lost, stolen or destroyed.</w:t>
      </w:r>
    </w:p>
    <w:p>
      <w:pPr>
        <w:spacing w:before="12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6"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17" w:after="0" w:line="276"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If a licence document for a licensed major hazard facility is lost, stolen or destroyed, the operator may apply to the regulator for a replacement document.</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4" w:after="0" w:line="230" w:lineRule="exact"/>
        <w:ind w:right="72" w:left="1368"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An operator is required to keep the licence document available for inspection (see regulation 587).</w:t>
      </w:r>
    </w:p>
    <w:p>
      <w:pPr>
        <w:spacing w:before="113" w:after="0" w:line="279" w:lineRule="exact"/>
        <w:ind w:right="72"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An application for a replacement licence document must be made in the manner and form required by the regulator.</w:t>
      </w:r>
    </w:p>
    <w:p>
      <w:pPr>
        <w:spacing w:before="120"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The application must:</w:t>
      </w:r>
    </w:p>
    <w:p>
      <w:pPr>
        <w:numPr>
          <w:ilvl w:val="0"/>
          <w:numId w:val="1007"/>
        </w:numPr>
        <w:tabs>
          <w:tab w:val="clear" w:pos="360"/>
          <w:tab w:val="left" w:pos="1872"/>
        </w:tabs>
        <w:spacing w:before="126" w:after="0" w:line="273" w:lineRule="exact"/>
        <w:ind w:right="36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include a declaration describing the circumstances in which the original document was lost, stolen or destroyed; and</w:t>
      </w:r>
    </w:p>
    <w:p>
      <w:pPr>
        <w:spacing w:before="129"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7" w:after="0" w:line="226" w:lineRule="exact"/>
        <w:ind w:right="360" w:left="1872"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section 268 of the Act for offences relating to the giving of false or misleading information under the Act or these Regulations.</w:t>
      </w:r>
    </w:p>
    <w:p>
      <w:pPr>
        <w:numPr>
          <w:ilvl w:val="0"/>
          <w:numId w:val="1007"/>
        </w:numPr>
        <w:tabs>
          <w:tab w:val="clear" w:pos="360"/>
          <w:tab w:val="left" w:pos="1872"/>
        </w:tabs>
        <w:spacing w:before="119"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be accompanied by the relevant fee.</w:t>
      </w:r>
    </w:p>
    <w:p>
      <w:pPr>
        <w:spacing w:before="124" w:after="0" w:line="274"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The regulator must issue a replacement licence document if satisfied that the original document was lost, stolen or destroyed.</w:t>
      </w:r>
    </w:p>
    <w:p>
      <w:pPr>
        <w:spacing w:before="122"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(6) If the regulator refuses to issue a replacement licence document, it must give the operator written notice of this decision, including the reasons for the decision, within 14 days after making the decision.</w:t>
      </w:r>
    </w:p>
    <w:p>
      <w:pPr>
        <w:spacing w:before="124"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4" w:after="1731" w:line="230" w:lineRule="exact"/>
        <w:ind w:right="720" w:left="864"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A refusal to issue a replacement licence document is a reviewable decision (see regulation 676).</w:t>
      </w:r>
    </w:p>
    <w:p>
      <w:pPr>
        <w:spacing w:before="124" w:after="1731" w:line="230"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407</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9.7	</w:t>
      </w:r>
      <w:r>
        <w:rPr>
          <w:rFonts w:ascii="Times New Roman" w:hAnsi="Times New Roman" w:eastAsia="Times New Roman"/>
          <w:color w:val="000000"/>
          <w:spacing w:val="0"/>
          <w:w w:val="100"/>
          <w:sz w:val="20"/>
          <w:vertAlign w:val="baseline"/>
          <w:lang w:val="en-US"/>
        </w:rPr>
        <w:t xml:space="preserve">Licensing of Major Hazard Facilities</w:t>
      </w:r>
    </w:p>
    <w:p>
      <w:pPr>
        <w:tabs>
          <w:tab w:val="left" w:leader="none" w:pos="1584"/>
        </w:tabs>
        <w:spacing w:before="256" w:after="0" w:line="273"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4"/>
          <w:vertAlign w:val="baseline"/>
          <w:lang w:val="en-US"/>
        </w:rPr>
        <w:t xml:space="preserve">Division 3	</w:t>
      </w:r>
      <w:r>
        <w:rPr>
          <w:rFonts w:ascii="Times New Roman" w:hAnsi="Times New Roman" w:eastAsia="Times New Roman"/>
          <w:b w:val="true"/>
          <w:color w:val="000000"/>
          <w:spacing w:val="0"/>
          <w:w w:val="100"/>
          <w:sz w:val="24"/>
          <w:vertAlign w:val="baseline"/>
          <w:lang w:val="en-US"/>
        </w:rPr>
        <w:t xml:space="preserve">Renewal of major hazard facility licence</w:t>
      </w:r>
    </w:p>
    <w:p>
      <w:pPr>
        <w:spacing w:before="121" w:after="0" w:line="273"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595 Regulator may renew licence</w:t>
      </w:r>
    </w:p>
    <w:p>
      <w:pPr>
        <w:spacing w:before="114" w:after="0" w:line="279" w:lineRule="exact"/>
        <w:ind w:right="936"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may renew a major hazard facility licence on application by the operator.</w:t>
      </w:r>
    </w:p>
    <w:p>
      <w:pPr>
        <w:spacing w:before="120" w:after="0" w:line="273"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596 Application for renewal</w:t>
      </w:r>
    </w:p>
    <w:p>
      <w:pPr>
        <w:numPr>
          <w:ilvl w:val="0"/>
          <w:numId w:val="1008"/>
        </w:numPr>
        <w:tabs>
          <w:tab w:val="clear" w:pos="360"/>
          <w:tab w:val="left" w:pos="1368"/>
        </w:tabs>
        <w:spacing w:before="126" w:after="0" w:line="273"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application for renewal of a major hazard facility licence must be made in the manner and form required by the regulator.</w:t>
      </w:r>
    </w:p>
    <w:p>
      <w:pPr>
        <w:numPr>
          <w:ilvl w:val="0"/>
          <w:numId w:val="1008"/>
        </w:numPr>
        <w:tabs>
          <w:tab w:val="clear" w:pos="360"/>
          <w:tab w:val="left" w:pos="1368"/>
        </w:tabs>
        <w:spacing w:before="126" w:after="0" w:line="273" w:lineRule="exact"/>
        <w:ind w:right="72"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application must include a copy of the safety case for the major hazard facility as revised under regulation 570.</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30" w:lineRule="exact"/>
        <w:ind w:right="864"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section 268 of the Act for offences relating to the giving of false or misleading information under the Act or these Regulations.</w:t>
      </w:r>
    </w:p>
    <w:p>
      <w:pPr>
        <w:numPr>
          <w:ilvl w:val="0"/>
          <w:numId w:val="1008"/>
        </w:numPr>
        <w:tabs>
          <w:tab w:val="clear" w:pos="360"/>
          <w:tab w:val="left" w:pos="1368"/>
        </w:tabs>
        <w:spacing w:before="117" w:after="0" w:line="273"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application must be accompanied by the relevant fee.</w:t>
      </w:r>
    </w:p>
    <w:p>
      <w:pPr>
        <w:numPr>
          <w:ilvl w:val="0"/>
          <w:numId w:val="1008"/>
        </w:numPr>
        <w:tabs>
          <w:tab w:val="clear" w:pos="360"/>
          <w:tab w:val="left" w:pos="1368"/>
        </w:tabs>
        <w:spacing w:before="126" w:after="0" w:line="273"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application must be made not less than 6 months before the licence to be renewed expires.</w:t>
      </w:r>
    </w:p>
    <w:p>
      <w:pPr>
        <w:spacing w:before="126" w:after="0" w:line="273"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597 Licence continues in force until application is decided</w:t>
      </w:r>
    </w:p>
    <w:p>
      <w:pPr>
        <w:spacing w:before="117" w:after="0" w:line="276"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operator of a licensed major hazard facility applies under regulation 596 for the renewal of a major hazard facility licence, the licence is taken to continue in force from the day it would, apart from this regulation, have expired until the operator is given notice of the decision on the application.</w:t>
      </w:r>
    </w:p>
    <w:p>
      <w:pPr>
        <w:spacing w:before="6" w:after="0" w:line="393" w:lineRule="exact"/>
        <w:ind w:right="0" w:left="1368" w:hanging="108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598 Provisions relating to renewal of licence</w:t>
        <w:br/>
      </w:r>
      <w:r>
        <w:rPr>
          <w:rFonts w:ascii="Times New Roman" w:hAnsi="Times New Roman" w:eastAsia="Times New Roman"/>
          <w:color w:val="000000"/>
          <w:spacing w:val="0"/>
          <w:w w:val="100"/>
          <w:sz w:val="24"/>
          <w:vertAlign w:val="baseline"/>
          <w:lang w:val="en-US"/>
        </w:rPr>
        <w:t xml:space="preserve">For the purposes of this Division:</w:t>
      </w:r>
    </w:p>
    <w:p>
      <w:pPr>
        <w:numPr>
          <w:ilvl w:val="0"/>
          <w:numId w:val="1009"/>
        </w:numPr>
        <w:tabs>
          <w:tab w:val="clear" w:pos="288"/>
          <w:tab w:val="left" w:pos="1872"/>
        </w:tabs>
        <w:spacing w:before="123" w:after="0" w:line="276" w:lineRule="exact"/>
        <w:ind w:right="144"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regulation 579 applies as if a reference in that regulation to an application for a licence were a reference to an application to renew a licence; and</w:t>
      </w:r>
    </w:p>
    <w:p>
      <w:pPr>
        <w:numPr>
          <w:ilvl w:val="0"/>
          <w:numId w:val="1009"/>
        </w:numPr>
        <w:tabs>
          <w:tab w:val="clear" w:pos="288"/>
          <w:tab w:val="left" w:pos="1872"/>
        </w:tabs>
        <w:spacing w:before="117" w:after="0" w:line="276" w:lineRule="exact"/>
        <w:ind w:right="288" w:left="1872" w:hanging="288"/>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regulations 580 (except subregulation (6)), 581, 584 and 585 apply as if a reference in those regulations to the grant of a licence were a reference to the renewal of a licence; and</w:t>
      </w:r>
    </w:p>
    <w:p>
      <w:pPr>
        <w:numPr>
          <w:ilvl w:val="0"/>
          <w:numId w:val="1009"/>
        </w:numPr>
        <w:tabs>
          <w:tab w:val="clear" w:pos="288"/>
          <w:tab w:val="left" w:pos="1872"/>
        </w:tabs>
        <w:spacing w:before="123" w:after="0" w:line="276" w:lineRule="exact"/>
        <w:ind w:right="72"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regulation 583 applies as if a reference in that regulation to a refusal to grant a licence were a reference to a refusal to renew a licence.</w:t>
      </w:r>
    </w:p>
    <w:p>
      <w:pPr>
        <w:spacing w:before="124"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1508" w:line="230"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A refusal to renew a licence is a reviewable decision (see regulation 676).</w:t>
      </w:r>
    </w:p>
    <w:p>
      <w:pPr>
        <w:spacing w:before="125" w:after="1508" w:line="230"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408</w:t>
      </w:r>
    </w:p>
    <w:p>
      <w:pPr>
        <w:sectPr>
          <w:type w:val="continuous"/>
          <w:pgSz w:w="11909" w:h="16838" w:orient="portrait"/>
          <w:pgMar w:bottom="1082" w:top="1140" w:right="5814" w:left="1975"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9.7	</w:t>
      </w:r>
      <w:r>
        <w:rPr>
          <w:rFonts w:ascii="Times New Roman" w:hAnsi="Times New Roman" w:eastAsia="Times New Roman"/>
          <w:color w:val="000000"/>
          <w:spacing w:val="0"/>
          <w:w w:val="100"/>
          <w:sz w:val="20"/>
          <w:vertAlign w:val="baseline"/>
          <w:lang w:val="en-US"/>
        </w:rPr>
        <w:t xml:space="preserve">Licensing of Major Hazard Facilities</w:t>
      </w:r>
    </w:p>
    <w:p>
      <w:pPr>
        <w:spacing w:before="251"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2"/>
          <w:w w:val="100"/>
          <w:sz w:val="24"/>
          <w:vertAlign w:val="baseline"/>
          <w:lang w:val="en-US"/>
        </w:rPr>
        <w:t xml:space="preserve">599 Status of major hazard facility licence during review</w:t>
      </w:r>
    </w:p>
    <w:p>
      <w:pPr>
        <w:spacing w:before="125" w:after="0" w:line="273"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regulation applies if the regulator gives the operator written notice of its decision to refuse to renew the licence.</w:t>
      </w:r>
    </w:p>
    <w:p>
      <w:pPr>
        <w:spacing w:before="126" w:after="0" w:line="273"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If the operator does not apply for an external review, the licence continues to have effect until the last of the following events:</w:t>
      </w:r>
    </w:p>
    <w:p>
      <w:pPr>
        <w:numPr>
          <w:ilvl w:val="0"/>
          <w:numId w:val="1010"/>
        </w:numPr>
        <w:tabs>
          <w:tab w:val="clear" w:pos="360"/>
          <w:tab w:val="left" w:pos="1872"/>
        </w:tabs>
        <w:spacing w:before="126"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expiry of the licence;</w:t>
      </w:r>
    </w:p>
    <w:p>
      <w:pPr>
        <w:numPr>
          <w:ilvl w:val="0"/>
          <w:numId w:val="1010"/>
        </w:numPr>
        <w:tabs>
          <w:tab w:val="clear" w:pos="360"/>
          <w:tab w:val="left" w:pos="1872"/>
        </w:tabs>
        <w:spacing w:before="120"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end of the period for applying for an external review.</w:t>
      </w:r>
    </w:p>
    <w:p>
      <w:pPr>
        <w:spacing w:before="126"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If the operator applies for an external review, the licence continues</w:t>
      </w:r>
    </w:p>
    <w:p>
      <w:pPr>
        <w:spacing w:before="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to have effect until the earlier of the following events:</w:t>
      </w:r>
    </w:p>
    <w:p>
      <w:pPr>
        <w:numPr>
          <w:ilvl w:val="0"/>
          <w:numId w:val="1011"/>
        </w:numPr>
        <w:tabs>
          <w:tab w:val="clear" w:pos="360"/>
          <w:tab w:val="left" w:pos="1872"/>
        </w:tabs>
        <w:spacing w:before="126"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operator withdraws the application for review;</w:t>
      </w:r>
    </w:p>
    <w:p>
      <w:pPr>
        <w:numPr>
          <w:ilvl w:val="0"/>
          <w:numId w:val="1011"/>
        </w:numPr>
        <w:tabs>
          <w:tab w:val="clear" w:pos="360"/>
          <w:tab w:val="left" w:pos="1872"/>
        </w:tabs>
        <w:spacing w:before="120"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external review body] makes a decision on the review.</w:t>
      </w:r>
    </w:p>
    <w:p>
      <w:pPr>
        <w:spacing w:before="124"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8"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14" w:after="0" w:line="278"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The licence continues to have effect under this regulation even if its expiry date passes.</w:t>
      </w:r>
    </w:p>
    <w:p>
      <w:pPr>
        <w:spacing w:before="124"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8"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tabs>
          <w:tab w:val="left" w:leader="none" w:pos="1584"/>
        </w:tabs>
        <w:spacing w:before="243"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4	</w:t>
      </w:r>
      <w:r>
        <w:rPr>
          <w:rFonts w:ascii="Times New Roman" w:hAnsi="Times New Roman" w:eastAsia="Times New Roman"/>
          <w:b w:val="true"/>
          <w:color w:val="000000"/>
          <w:spacing w:val="0"/>
          <w:w w:val="100"/>
          <w:sz w:val="24"/>
          <w:vertAlign w:val="baseline"/>
          <w:lang w:val="en-US"/>
        </w:rPr>
        <w:t xml:space="preserve">Transfer of major hazard facility licence</w:t>
      </w:r>
    </w:p>
    <w:p>
      <w:pPr>
        <w:spacing w:before="120"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600 Transfer of major hazard facility licence</w:t>
      </w:r>
    </w:p>
    <w:p>
      <w:pPr>
        <w:spacing w:before="119"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regulator, on the application of the operator of a major hazard facility, may transfer a major hazard facility licence to another person who is to become the operator of the major hazard facility, if satisfied that the proposed operator will achieve a standard of health and safety in the operation of the facility that is at least equivalent to the standard that the current operator has achieved.</w:t>
      </w:r>
    </w:p>
    <w:p>
      <w:pPr>
        <w:spacing w:before="121"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An application must be:</w:t>
      </w:r>
    </w:p>
    <w:p>
      <w:pPr>
        <w:numPr>
          <w:ilvl w:val="0"/>
          <w:numId w:val="1012"/>
        </w:numPr>
        <w:tabs>
          <w:tab w:val="clear" w:pos="360"/>
          <w:tab w:val="left" w:pos="1872"/>
        </w:tabs>
        <w:spacing w:before="125"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made in the manner and form required by the regulator; and</w:t>
      </w:r>
    </w:p>
    <w:p>
      <w:pPr>
        <w:numPr>
          <w:ilvl w:val="0"/>
          <w:numId w:val="1012"/>
        </w:numPr>
        <w:tabs>
          <w:tab w:val="clear" w:pos="360"/>
          <w:tab w:val="left" w:pos="1872"/>
        </w:tabs>
        <w:spacing w:before="121"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accompanied by the relevant fee.</w:t>
      </w:r>
    </w:p>
    <w:p>
      <w:pPr>
        <w:spacing w:before="122" w:after="1502"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(3) The regulator may transfer the licence subject to any conditions that the regulator considers necessary and appropriate to ensure that the new operator will be able to achieve a standard of health and safety in the operation of the facility that is at least equivalent to the standard achieved by the existing operator.</w:t>
      </w:r>
    </w:p>
    <w:p>
      <w:pPr>
        <w:spacing w:before="122" w:after="1502"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409</w:t>
      </w:r>
    </w:p>
    <w:p>
      <w:pPr>
        <w:sectPr>
          <w:type w:val="continuous"/>
          <w:pgSz w:w="11909" w:h="16838" w:orient="portrait"/>
          <w:pgMar w:bottom="1082" w:top="1140" w:right="5812" w:left="1977" w:header="720" w:footer="720"/>
          <w:titlePg w:val="false"/>
          <w:textDirection w:val="lrTb"/>
        </w:sectPr>
      </w:pPr>
    </w:p>
    <w:p>
      <w:pPr>
        <w:spacing w:before="6"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2" w:after="223"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9.7	</w:t>
      </w:r>
      <w:r>
        <w:rPr>
          <w:rFonts w:ascii="Times New Roman" w:hAnsi="Times New Roman" w:eastAsia="Times New Roman"/>
          <w:color w:val="000000"/>
          <w:spacing w:val="0"/>
          <w:w w:val="100"/>
          <w:sz w:val="20"/>
          <w:vertAlign w:val="baseline"/>
          <w:lang w:val="en-US"/>
        </w:rPr>
        <w:t xml:space="preserve">Licensing of Major Hazard Facilities</w:t>
      </w:r>
    </w:p>
    <w:p>
      <w:pPr>
        <w:spacing w:before="248" w:after="0" w:line="276" w:lineRule="exact"/>
        <w:ind w:right="72" w:left="1368" w:hanging="36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(4) On the completion of the transfer, the person to whom the licence is transferred becomes the operator of the major hazard facility for the purposes of this Chapter.</w:t>
      </w:r>
    </w:p>
    <w:p>
      <w:pPr>
        <w:spacing w:before="124"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Notes</w:t>
      </w:r>
    </w:p>
    <w:p>
      <w:pPr>
        <w:tabs>
          <w:tab w:val="left" w:leader="none" w:pos="1296"/>
        </w:tabs>
        <w:spacing w:before="125" w:after="0" w:line="230" w:lineRule="exact"/>
        <w:ind w:right="504" w:left="1368" w:hanging="50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A decision to refuse to transfer a major hazard facility licence is a reviewable decision (see regulation 676).</w:t>
      </w:r>
    </w:p>
    <w:p>
      <w:pPr>
        <w:tabs>
          <w:tab w:val="left" w:leader="none" w:pos="1296"/>
        </w:tabs>
        <w:spacing w:before="121" w:after="0" w:line="230" w:lineRule="exact"/>
        <w:ind w:right="72" w:left="1368" w:hanging="50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See section 268 of the Act for offences relating to the giving of false or misleading information under the Act or these Regulations.</w:t>
      </w:r>
    </w:p>
    <w:p>
      <w:pPr>
        <w:tabs>
          <w:tab w:val="left" w:leader="none" w:pos="1584"/>
        </w:tabs>
        <w:spacing w:before="243" w:after="0" w:line="273"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5	</w:t>
      </w:r>
      <w:r>
        <w:rPr>
          <w:rFonts w:ascii="Times New Roman" w:hAnsi="Times New Roman" w:eastAsia="Times New Roman"/>
          <w:b w:val="true"/>
          <w:color w:val="000000"/>
          <w:spacing w:val="0"/>
          <w:w w:val="100"/>
          <w:sz w:val="24"/>
          <w:vertAlign w:val="baseline"/>
          <w:lang w:val="en-US"/>
        </w:rPr>
        <w:t xml:space="preserve">Suspension and cancellation of major hazard facility licence</w:t>
      </w:r>
    </w:p>
    <w:p>
      <w:pPr>
        <w:tabs>
          <w:tab w:val="left" w:leader="none" w:pos="936"/>
        </w:tabs>
        <w:spacing w:before="119" w:after="0" w:line="274" w:lineRule="exact"/>
        <w:ind w:right="1008"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601	</w:t>
      </w:r>
      <w:r>
        <w:rPr>
          <w:rFonts w:ascii="Times New Roman" w:hAnsi="Times New Roman" w:eastAsia="Times New Roman"/>
          <w:b w:val="true"/>
          <w:color w:val="000000"/>
          <w:spacing w:val="0"/>
          <w:w w:val="100"/>
          <w:sz w:val="24"/>
          <w:vertAlign w:val="baseline"/>
          <w:lang w:val="en-US"/>
        </w:rPr>
        <w:t xml:space="preserve">Cancellation of major hazard facility licence—on operator's application</w:t>
      </w:r>
    </w:p>
    <w:p>
      <w:pPr>
        <w:spacing w:before="124" w:after="0" w:line="274"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operator of a licensed major hazard facility may apply to the regulator to cancel the licence.</w:t>
      </w:r>
    </w:p>
    <w:p>
      <w:pPr>
        <w:spacing w:before="125"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An application must be:</w:t>
      </w:r>
    </w:p>
    <w:p>
      <w:pPr>
        <w:numPr>
          <w:ilvl w:val="0"/>
          <w:numId w:val="1013"/>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made in the manner and form required by the regulator; and</w:t>
      </w:r>
    </w:p>
    <w:p>
      <w:pPr>
        <w:numPr>
          <w:ilvl w:val="0"/>
          <w:numId w:val="1013"/>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accompanied by the relevant fee.</w:t>
      </w:r>
    </w:p>
    <w:p>
      <w:pPr>
        <w:spacing w:before="118"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regulator must conduct an inquiry into the inventory and operations of the facility before deciding on an application to cancel a licence.</w:t>
      </w:r>
    </w:p>
    <w:p>
      <w:pPr>
        <w:spacing w:before="12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The regulator must cancel a major hazard facility licence if:</w:t>
      </w:r>
    </w:p>
    <w:p>
      <w:pPr>
        <w:numPr>
          <w:ilvl w:val="0"/>
          <w:numId w:val="1014"/>
        </w:numPr>
        <w:tabs>
          <w:tab w:val="clear" w:pos="360"/>
          <w:tab w:val="left" w:pos="1872"/>
        </w:tabs>
        <w:spacing w:before="118"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quantity of Schedule 15 chemicals present or likely to be present at the facility does not exceed their threshold quantity; and</w:t>
      </w:r>
    </w:p>
    <w:p>
      <w:pPr>
        <w:numPr>
          <w:ilvl w:val="0"/>
          <w:numId w:val="1014"/>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it is unlikely that a major incident will occur at the facility.</w:t>
      </w:r>
    </w:p>
    <w:p>
      <w:pPr>
        <w:spacing w:before="118"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If the regulator, under this regulation, cancels the licence of a facility that was determined to be a major hazard facility under Part 9.2, the regulator must revoke the determination.</w:t>
      </w:r>
    </w:p>
    <w:p>
      <w:pPr>
        <w:spacing w:before="124"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Notes</w:t>
      </w:r>
    </w:p>
    <w:p>
      <w:pPr>
        <w:tabs>
          <w:tab w:val="left" w:leader="none" w:pos="1296"/>
        </w:tabs>
        <w:spacing w:before="123" w:after="0" w:line="231" w:lineRule="exact"/>
        <w:ind w:right="360" w:left="1368" w:hanging="50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A decision to refuse to cancel a licence is a reviewable decision (see regulation 676).</w:t>
      </w:r>
    </w:p>
    <w:p>
      <w:pPr>
        <w:tabs>
          <w:tab w:val="left" w:leader="none" w:pos="1296"/>
        </w:tabs>
        <w:spacing w:before="119" w:after="0" w:line="231" w:lineRule="exact"/>
        <w:ind w:right="72" w:left="1368" w:hanging="50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See section 268 of the Act for offences relating to the giving of false or misleading information under the Act or these Regulations.</w:t>
      </w:r>
    </w:p>
    <w:p>
      <w:pPr>
        <w:tabs>
          <w:tab w:val="left" w:leader="none" w:pos="936"/>
        </w:tabs>
        <w:spacing w:before="118" w:after="0" w:line="273"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602	</w:t>
      </w:r>
      <w:r>
        <w:rPr>
          <w:rFonts w:ascii="Times New Roman" w:hAnsi="Times New Roman" w:eastAsia="Times New Roman"/>
          <w:b w:val="true"/>
          <w:color w:val="000000"/>
          <w:spacing w:val="0"/>
          <w:w w:val="100"/>
          <w:sz w:val="24"/>
          <w:vertAlign w:val="baseline"/>
          <w:lang w:val="en-US"/>
        </w:rPr>
        <w:t xml:space="preserve">Suspension or cancellation of licence—on regulator's initiative</w:t>
      </w:r>
    </w:p>
    <w:p>
      <w:pPr>
        <w:spacing w:before="124" w:after="1228" w:line="274"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(1) The regulator, on its own initiative, may suspend or cancel a major hazard facility licence if satisfied about 1 or more of the following:</w:t>
      </w:r>
    </w:p>
    <w:p>
      <w:pPr>
        <w:spacing w:before="124" w:after="1228"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410</w:t>
      </w:r>
    </w:p>
    <w:p>
      <w:pPr>
        <w:sectPr>
          <w:type w:val="continuous"/>
          <w:pgSz w:w="11909" w:h="16838" w:orient="portrait"/>
          <w:pgMar w:bottom="1082" w:top="1140" w:right="5812" w:left="1977"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9.7	</w:t>
      </w:r>
      <w:r>
        <w:rPr>
          <w:rFonts w:ascii="Times New Roman" w:hAnsi="Times New Roman" w:eastAsia="Times New Roman"/>
          <w:color w:val="000000"/>
          <w:spacing w:val="0"/>
          <w:w w:val="100"/>
          <w:sz w:val="20"/>
          <w:vertAlign w:val="baseline"/>
          <w:lang w:val="en-US"/>
        </w:rPr>
        <w:t xml:space="preserve">Licensing of Major Hazard Facilities</w:t>
      </w:r>
    </w:p>
    <w:p>
      <w:pPr>
        <w:numPr>
          <w:ilvl w:val="0"/>
          <w:numId w:val="1015"/>
        </w:numPr>
        <w:tabs>
          <w:tab w:val="clear" w:pos="360"/>
          <w:tab w:val="left" w:pos="1872"/>
        </w:tabs>
        <w:spacing w:before="245" w:after="0" w:line="279"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operator has failed to ensure that the facility is operated safely and competently;</w:t>
      </w:r>
    </w:p>
    <w:p>
      <w:pPr>
        <w:numPr>
          <w:ilvl w:val="0"/>
          <w:numId w:val="1015"/>
        </w:numPr>
        <w:tabs>
          <w:tab w:val="clear" w:pos="360"/>
          <w:tab w:val="left" w:pos="1872"/>
        </w:tabs>
        <w:spacing w:before="114" w:after="0" w:line="279"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operator has failed to ensure compliance with a condition of the licence;</w:t>
      </w:r>
    </w:p>
    <w:p>
      <w:pPr>
        <w:numPr>
          <w:ilvl w:val="0"/>
          <w:numId w:val="1015"/>
        </w:numPr>
        <w:tabs>
          <w:tab w:val="clear" w:pos="360"/>
          <w:tab w:val="left" w:pos="1872"/>
        </w:tabs>
        <w:spacing w:before="117" w:after="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operator, in the application for the grant or renewal of the licence or on request by the regulator for additional information:</w:t>
      </w:r>
    </w:p>
    <w:p>
      <w:pPr>
        <w:numPr>
          <w:ilvl w:val="0"/>
          <w:numId w:val="1016"/>
        </w:numPr>
        <w:tabs>
          <w:tab w:val="clear" w:pos="360"/>
          <w:tab w:val="left" w:pos="2376"/>
        </w:tabs>
        <w:spacing w:before="126" w:after="0" w:line="273" w:lineRule="exact"/>
        <w:ind w:right="79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gave information that was false or misleading in a material particular; or</w:t>
      </w:r>
    </w:p>
    <w:p>
      <w:pPr>
        <w:numPr>
          <w:ilvl w:val="0"/>
          <w:numId w:val="1016"/>
        </w:numPr>
        <w:tabs>
          <w:tab w:val="clear" w:pos="360"/>
          <w:tab w:val="left" w:pos="2376"/>
        </w:tabs>
        <w:spacing w:before="126" w:after="0" w:line="273" w:lineRule="exact"/>
        <w:ind w:right="216"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failed to give any material information that should have been given in that application or on that request.</w:t>
      </w:r>
    </w:p>
    <w:p>
      <w:pPr>
        <w:spacing w:before="127" w:after="0" w:line="273"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If the regulator suspends or cancels a major hazard facility licence, the regulator may disqualify the operator from applying for a further major hazard facility licence.</w:t>
      </w:r>
    </w:p>
    <w:p>
      <w:pPr>
        <w:spacing w:before="129"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1" w:after="0" w:line="231" w:lineRule="exact"/>
        <w:ind w:right="288"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decision to suspend a licence, to cancel a licence or to disqualify the operator from applying for a further licence is a reviewable decision (see regulation 676).</w:t>
      </w:r>
    </w:p>
    <w:p>
      <w:pPr>
        <w:spacing w:before="120" w:after="0" w:line="273"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603 Matters to be taken into account</w:t>
      </w:r>
    </w:p>
    <w:p>
      <w:pPr>
        <w:spacing w:before="114" w:after="0" w:line="279"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In making a decision under regulation 602, the regulator must have regard to the following:</w:t>
      </w:r>
    </w:p>
    <w:p>
      <w:pPr>
        <w:numPr>
          <w:ilvl w:val="0"/>
          <w:numId w:val="1017"/>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submissions made by the operator under regulation 604;</w:t>
      </w:r>
    </w:p>
    <w:p>
      <w:pPr>
        <w:numPr>
          <w:ilvl w:val="0"/>
          <w:numId w:val="1017"/>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advice received from a corresponding regulator;</w:t>
      </w:r>
    </w:p>
    <w:p>
      <w:pPr>
        <w:numPr>
          <w:ilvl w:val="0"/>
          <w:numId w:val="1017"/>
        </w:numPr>
        <w:tabs>
          <w:tab w:val="clear" w:pos="360"/>
          <w:tab w:val="left" w:pos="1872"/>
        </w:tabs>
        <w:spacing w:before="114" w:after="0" w:line="279"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advice or recommendations received from any agency of the Crown with responsibility in relation to national security.</w:t>
      </w:r>
    </w:p>
    <w:p>
      <w:pPr>
        <w:spacing w:before="124"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7"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17"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For the purposes of regulation 602(1)(a) and (b), if the operator is an individual, the regulator must have regard to all relevant matters, including the following:</w:t>
      </w:r>
    </w:p>
    <w:p>
      <w:pPr>
        <w:numPr>
          <w:ilvl w:val="0"/>
          <w:numId w:val="1018"/>
        </w:numPr>
        <w:tabs>
          <w:tab w:val="clear" w:pos="360"/>
          <w:tab w:val="left" w:pos="1872"/>
        </w:tabs>
        <w:spacing w:before="124" w:after="0" w:line="274"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offence under the Act or these Regulations or under a corresponding WHS law, of which the operator has been convicted or found guilty;</w:t>
      </w:r>
    </w:p>
    <w:p>
      <w:pPr>
        <w:spacing w:before="128" w:after="0" w:line="22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7" w:lineRule="exact"/>
        <w:ind w:right="0" w:left="18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numPr>
          <w:ilvl w:val="0"/>
          <w:numId w:val="1018"/>
        </w:numPr>
        <w:tabs>
          <w:tab w:val="clear" w:pos="360"/>
          <w:tab w:val="left" w:pos="1872"/>
        </w:tabs>
        <w:spacing w:before="120" w:after="936" w:line="273"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any enforceable undertaking the operator has entered into under this Act or a corresponding WHS law;</w:t>
      </w:r>
    </w:p>
    <w:p>
      <w:pPr>
        <w:spacing w:before="120" w:after="936"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411</w:t>
      </w:r>
    </w:p>
    <w:p>
      <w:pPr>
        <w:sectPr>
          <w:type w:val="continuous"/>
          <w:pgSz w:w="11909" w:h="16838" w:orient="portrait"/>
          <w:pgMar w:bottom="1082" w:top="1140" w:right="5819" w:left="1970"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9.7	</w:t>
      </w:r>
      <w:r>
        <w:rPr>
          <w:rFonts w:ascii="Times New Roman" w:hAnsi="Times New Roman" w:eastAsia="Times New Roman"/>
          <w:color w:val="000000"/>
          <w:spacing w:val="0"/>
          <w:w w:val="100"/>
          <w:sz w:val="20"/>
          <w:vertAlign w:val="baseline"/>
          <w:lang w:val="en-US"/>
        </w:rPr>
        <w:t xml:space="preserve">Licensing of Major Hazard Facilities</w:t>
      </w:r>
    </w:p>
    <w:p>
      <w:pPr>
        <w:spacing w:before="247"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(c) in relation to a major hazard facility licence applied for or held by the operator under the Act or these Regulations or under a corresponding WHS law:</w:t>
      </w:r>
    </w:p>
    <w:p>
      <w:pPr>
        <w:numPr>
          <w:ilvl w:val="0"/>
          <w:numId w:val="1019"/>
        </w:numPr>
        <w:tabs>
          <w:tab w:val="clear" w:pos="504"/>
          <w:tab w:val="left" w:pos="2376"/>
        </w:tabs>
        <w:spacing w:before="127" w:after="0" w:line="272" w:lineRule="exact"/>
        <w:ind w:right="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refusal to grant the licence; and</w:t>
      </w:r>
    </w:p>
    <w:p>
      <w:pPr>
        <w:numPr>
          <w:ilvl w:val="0"/>
          <w:numId w:val="1019"/>
        </w:numPr>
        <w:tabs>
          <w:tab w:val="clear" w:pos="504"/>
          <w:tab w:val="left" w:pos="2376"/>
        </w:tabs>
        <w:spacing w:before="114" w:after="0" w:line="279" w:lineRule="exact"/>
        <w:ind w:right="144"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condition imposed on the licence, if granted, and the reason the condition was imposed; and</w:t>
      </w:r>
    </w:p>
    <w:p>
      <w:pPr>
        <w:numPr>
          <w:ilvl w:val="0"/>
          <w:numId w:val="1019"/>
        </w:numPr>
        <w:tabs>
          <w:tab w:val="clear" w:pos="504"/>
          <w:tab w:val="left" w:pos="2376"/>
        </w:tabs>
        <w:spacing w:before="117" w:after="0" w:line="276" w:lineRule="exact"/>
        <w:ind w:right="216"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suspension or cancellation of the licence, if granted, including any disqualification from applying for any licence;</w:t>
      </w:r>
    </w:p>
    <w:p>
      <w:pPr>
        <w:spacing w:before="123" w:after="0" w:line="276"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the operator's record in relation to any matters arising under the Act or these Regulations or under a corresponding WHS law.</w:t>
      </w:r>
    </w:p>
    <w:p>
      <w:pPr>
        <w:spacing w:before="119" w:after="0" w:line="275"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For the purposes of regulation 602(1)(a) and (b), if the operator is a body corporate, the regulator must have regard to all relevant matters, including the matters referred to in subregulation (2), in relation to:</w:t>
      </w:r>
    </w:p>
    <w:p>
      <w:pPr>
        <w:numPr>
          <w:ilvl w:val="0"/>
          <w:numId w:val="1020"/>
        </w:numPr>
        <w:tabs>
          <w:tab w:val="clear" w:pos="360"/>
          <w:tab w:val="left" w:pos="1872"/>
        </w:tabs>
        <w:spacing w:before="126"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body corporate; and</w:t>
      </w:r>
    </w:p>
    <w:p>
      <w:pPr>
        <w:numPr>
          <w:ilvl w:val="0"/>
          <w:numId w:val="1020"/>
        </w:numPr>
        <w:tabs>
          <w:tab w:val="clear" w:pos="360"/>
          <w:tab w:val="left" w:pos="1872"/>
        </w:tabs>
        <w:spacing w:before="122"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each officer of the body corporate.</w:t>
      </w:r>
    </w:p>
    <w:p>
      <w:pPr>
        <w:spacing w:before="126"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604 Notice to and submissions by operator</w:t>
      </w:r>
    </w:p>
    <w:p>
      <w:pPr>
        <w:spacing w:before="116" w:after="0" w:line="276" w:lineRule="exact"/>
        <w:ind w:right="432" w:left="1368"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Before suspending or cancelling a major hazard licence, the regulator must give the operator a written notice of the proposed suspension or cancellation and any proposed disqualification:</w:t>
      </w:r>
    </w:p>
    <w:p>
      <w:pPr>
        <w:numPr>
          <w:ilvl w:val="0"/>
          <w:numId w:val="1021"/>
        </w:numPr>
        <w:tabs>
          <w:tab w:val="clear" w:pos="360"/>
          <w:tab w:val="left" w:pos="1872"/>
        </w:tabs>
        <w:spacing w:before="124" w:after="0" w:line="274"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outlining all relevant allegations, facts and circumstances known to the regulator; and</w:t>
      </w:r>
    </w:p>
    <w:p>
      <w:pPr>
        <w:numPr>
          <w:ilvl w:val="0"/>
          <w:numId w:val="1021"/>
        </w:numPr>
        <w:tabs>
          <w:tab w:val="clear" w:pos="360"/>
          <w:tab w:val="left" w:pos="1872"/>
        </w:tabs>
        <w:spacing w:before="124" w:after="0" w:line="275"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advising the operator that the operator may, by a specified date (being not less than 28 days after giving the notice), make a submission in relation to the proposed suspension or cancellation and any proposed disqualification.</w:t>
      </w:r>
    </w:p>
    <w:p>
      <w:pPr>
        <w:spacing w:before="126" w:after="0" w:line="274" w:lineRule="exact"/>
        <w:ind w:right="0" w:left="288" w:firstLine="0"/>
        <w:jc w:val="left"/>
        <w:textAlignment w:val="baseline"/>
        <w:rPr>
          <w:rFonts w:ascii="Times New Roman" w:hAnsi="Times New Roman" w:eastAsia="Times New Roman"/>
          <w:b w:val="true"/>
          <w:color w:val="000000"/>
          <w:spacing w:val="6"/>
          <w:w w:val="100"/>
          <w:sz w:val="24"/>
          <w:vertAlign w:val="baseline"/>
          <w:lang w:val="en-US"/>
        </w:rPr>
      </w:pPr>
      <w:r>
        <w:rPr>
          <w:rFonts w:ascii="Times New Roman" w:hAnsi="Times New Roman" w:eastAsia="Times New Roman"/>
          <w:b w:val="true"/>
          <w:color w:val="000000"/>
          <w:spacing w:val="6"/>
          <w:w w:val="100"/>
          <w:sz w:val="24"/>
          <w:vertAlign w:val="baseline"/>
          <w:lang w:val="en-US"/>
        </w:rPr>
        <w:t xml:space="preserve">605 Notice of decision</w:t>
      </w:r>
    </w:p>
    <w:p>
      <w:pPr>
        <w:spacing w:before="118"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regulator must give the operator of a major hazard facility written notice of a decision under regulation 602 to suspend or cancel the major hazard facility licence within 14 days after making the decision.</w:t>
      </w:r>
    </w:p>
    <w:p>
      <w:pPr>
        <w:spacing w:before="122" w:after="0" w:line="272"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notice must:</w:t>
      </w:r>
    </w:p>
    <w:p>
      <w:pPr>
        <w:numPr>
          <w:ilvl w:val="0"/>
          <w:numId w:val="1022"/>
        </w:numPr>
        <w:tabs>
          <w:tab w:val="clear" w:pos="360"/>
          <w:tab w:val="left" w:pos="1872"/>
        </w:tabs>
        <w:spacing w:before="126"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state that the licence is to be suspended or cancelled; and</w:t>
      </w:r>
    </w:p>
    <w:p>
      <w:pPr>
        <w:numPr>
          <w:ilvl w:val="0"/>
          <w:numId w:val="1022"/>
        </w:numPr>
        <w:tabs>
          <w:tab w:val="clear" w:pos="360"/>
          <w:tab w:val="left" w:pos="1872"/>
        </w:tabs>
        <w:spacing w:before="122" w:after="975"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if the licence is to be suspended, state:</w:t>
      </w:r>
    </w:p>
    <w:p>
      <w:pPr>
        <w:spacing w:before="122" w:after="975" w:line="272"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412</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9.7	</w:t>
      </w:r>
      <w:r>
        <w:rPr>
          <w:rFonts w:ascii="Times New Roman" w:hAnsi="Times New Roman" w:eastAsia="Times New Roman"/>
          <w:color w:val="000000"/>
          <w:spacing w:val="0"/>
          <w:w w:val="100"/>
          <w:sz w:val="20"/>
          <w:vertAlign w:val="baseline"/>
          <w:lang w:val="en-US"/>
        </w:rPr>
        <w:t xml:space="preserve">Licensing of Major Hazard Facilities</w:t>
      </w:r>
    </w:p>
    <w:p>
      <w:pPr>
        <w:numPr>
          <w:ilvl w:val="0"/>
          <w:numId w:val="1023"/>
        </w:numPr>
        <w:tabs>
          <w:tab w:val="clear" w:pos="432"/>
          <w:tab w:val="left" w:pos="2376"/>
        </w:tabs>
        <w:spacing w:before="251" w:after="0" w:line="272"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when the suspension begins and ends; and</w:t>
      </w:r>
    </w:p>
    <w:p>
      <w:pPr>
        <w:numPr>
          <w:ilvl w:val="0"/>
          <w:numId w:val="1023"/>
        </w:numPr>
        <w:tabs>
          <w:tab w:val="clear" w:pos="432"/>
          <w:tab w:val="left" w:pos="2376"/>
        </w:tabs>
        <w:spacing w:before="127" w:after="0" w:line="272"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reasons for the suspension; and</w:t>
      </w:r>
    </w:p>
    <w:p>
      <w:pPr>
        <w:numPr>
          <w:ilvl w:val="0"/>
          <w:numId w:val="1023"/>
        </w:numPr>
        <w:tabs>
          <w:tab w:val="clear" w:pos="432"/>
          <w:tab w:val="left" w:pos="2376"/>
        </w:tabs>
        <w:spacing w:before="114" w:after="0" w:line="279" w:lineRule="exact"/>
        <w:ind w:right="144" w:left="2376" w:hanging="432"/>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whether or not the operator is required to take any action before the suspension ends; and</w:t>
      </w:r>
    </w:p>
    <w:p>
      <w:pPr>
        <w:numPr>
          <w:ilvl w:val="0"/>
          <w:numId w:val="1023"/>
        </w:numPr>
        <w:tabs>
          <w:tab w:val="clear" w:pos="432"/>
          <w:tab w:val="left" w:pos="2376"/>
        </w:tabs>
        <w:spacing w:before="117" w:after="0" w:line="276" w:lineRule="exact"/>
        <w:ind w:right="144"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whether or not the operator is disqualified from applying for a further major hazard facility licence during the suspension; and</w:t>
      </w:r>
    </w:p>
    <w:p>
      <w:pPr>
        <w:spacing w:before="127" w:after="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if the licence is to be cancelled, state:</w:t>
      </w:r>
    </w:p>
    <w:p>
      <w:pPr>
        <w:numPr>
          <w:ilvl w:val="0"/>
          <w:numId w:val="1024"/>
        </w:numPr>
        <w:tabs>
          <w:tab w:val="clear" w:pos="432"/>
          <w:tab w:val="left" w:pos="2376"/>
        </w:tabs>
        <w:spacing w:before="121" w:after="0" w:line="272"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when the cancellation takes effect; and</w:t>
      </w:r>
    </w:p>
    <w:p>
      <w:pPr>
        <w:numPr>
          <w:ilvl w:val="0"/>
          <w:numId w:val="1024"/>
        </w:numPr>
        <w:tabs>
          <w:tab w:val="clear" w:pos="432"/>
          <w:tab w:val="left" w:pos="2376"/>
        </w:tabs>
        <w:spacing w:before="127" w:after="0" w:line="272"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reasons for the cancellation; and</w:t>
      </w:r>
    </w:p>
    <w:p>
      <w:pPr>
        <w:numPr>
          <w:ilvl w:val="0"/>
          <w:numId w:val="1024"/>
        </w:numPr>
        <w:tabs>
          <w:tab w:val="clear" w:pos="432"/>
          <w:tab w:val="left" w:pos="2376"/>
        </w:tabs>
        <w:spacing w:before="114" w:after="0" w:line="279" w:lineRule="exact"/>
        <w:ind w:right="144" w:left="2376" w:hanging="432"/>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whether or not the operator is disqualified from applying for a further major hazard facility licence; and</w:t>
      </w:r>
    </w:p>
    <w:p>
      <w:pPr>
        <w:spacing w:before="119" w:after="0" w:line="274" w:lineRule="exact"/>
        <w:ind w:right="72" w:left="1944"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if the operator is disqualified from applying for a further major hazard facility licence, state:</w:t>
      </w:r>
    </w:p>
    <w:p>
      <w:pPr>
        <w:numPr>
          <w:ilvl w:val="0"/>
          <w:numId w:val="1025"/>
        </w:numPr>
        <w:tabs>
          <w:tab w:val="clear" w:pos="432"/>
          <w:tab w:val="left" w:pos="2376"/>
        </w:tabs>
        <w:spacing w:before="126" w:after="0" w:line="272"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when the disqualification begins and ends; and</w:t>
      </w:r>
    </w:p>
    <w:p>
      <w:pPr>
        <w:numPr>
          <w:ilvl w:val="0"/>
          <w:numId w:val="1025"/>
        </w:numPr>
        <w:tabs>
          <w:tab w:val="clear" w:pos="432"/>
          <w:tab w:val="left" w:pos="2376"/>
        </w:tabs>
        <w:spacing w:before="122" w:after="0" w:line="272"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reasons for the disqualification; and</w:t>
      </w:r>
    </w:p>
    <w:p>
      <w:pPr>
        <w:numPr>
          <w:ilvl w:val="0"/>
          <w:numId w:val="1025"/>
        </w:numPr>
        <w:tabs>
          <w:tab w:val="clear" w:pos="432"/>
          <w:tab w:val="left" w:pos="2376"/>
        </w:tabs>
        <w:spacing w:before="124" w:after="0" w:line="274" w:lineRule="exact"/>
        <w:ind w:right="144" w:left="2376" w:hanging="432"/>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whether or not the operator is required to take any action before the disqualification ends; and</w:t>
      </w:r>
    </w:p>
    <w:p>
      <w:pPr>
        <w:spacing w:before="124" w:after="0" w:line="274" w:lineRule="exact"/>
        <w:ind w:right="720" w:left="1944"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 state when the licence document must be returned to the regulator.</w:t>
      </w:r>
    </w:p>
    <w:p>
      <w:pPr>
        <w:spacing w:before="126" w:after="0" w:line="274" w:lineRule="exact"/>
        <w:ind w:right="0" w:left="288" w:firstLine="0"/>
        <w:jc w:val="left"/>
        <w:textAlignment w:val="baseline"/>
        <w:rPr>
          <w:rFonts w:ascii="Times New Roman" w:hAnsi="Times New Roman" w:eastAsia="Times New Roman"/>
          <w:b w:val="true"/>
          <w:color w:val="000000"/>
          <w:spacing w:val="5"/>
          <w:w w:val="100"/>
          <w:sz w:val="24"/>
          <w:vertAlign w:val="baseline"/>
          <w:lang w:val="en-US"/>
        </w:rPr>
      </w:pPr>
      <w:r>
        <w:rPr>
          <w:rFonts w:ascii="Times New Roman" w:hAnsi="Times New Roman" w:eastAsia="Times New Roman"/>
          <w:b w:val="true"/>
          <w:color w:val="000000"/>
          <w:spacing w:val="5"/>
          <w:w w:val="100"/>
          <w:sz w:val="24"/>
          <w:vertAlign w:val="baseline"/>
          <w:lang w:val="en-US"/>
        </w:rPr>
        <w:t xml:space="preserve">606 Immediate suspension</w:t>
      </w:r>
    </w:p>
    <w:p>
      <w:pPr>
        <w:spacing w:before="116" w:after="0" w:line="276"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regulator may suspend a major hazard facility licence on a ground referred to in regulation 602 without giving notice under regulation 604 if satisfied that:</w:t>
      </w:r>
    </w:p>
    <w:p>
      <w:pPr>
        <w:numPr>
          <w:ilvl w:val="0"/>
          <w:numId w:val="1026"/>
        </w:numPr>
        <w:tabs>
          <w:tab w:val="clear" w:pos="432"/>
          <w:tab w:val="left" w:pos="1944"/>
        </w:tabs>
        <w:spacing w:before="122" w:after="0" w:line="276" w:lineRule="exact"/>
        <w:ind w:right="144" w:left="1944"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may be exposed to an imminent serious risk to his or her health or safety if the work carried out under the major hazard facility licence were not suspended; or</w:t>
      </w:r>
    </w:p>
    <w:p>
      <w:pPr>
        <w:numPr>
          <w:ilvl w:val="0"/>
          <w:numId w:val="1026"/>
        </w:numPr>
        <w:tabs>
          <w:tab w:val="clear" w:pos="432"/>
          <w:tab w:val="left" w:pos="1944"/>
        </w:tabs>
        <w:spacing w:before="118" w:after="0" w:line="276" w:lineRule="exact"/>
        <w:ind w:right="432" w:left="1944"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corresponding regulator has suspended a major hazard facility licence held by the operator under this regulation as applying in the corresponding jurisdiction.</w:t>
      </w:r>
    </w:p>
    <w:p>
      <w:pPr>
        <w:spacing w:before="126" w:after="0" w:line="272" w:lineRule="exact"/>
        <w:ind w:right="252" w:left="0" w:firstLine="0"/>
        <w:jc w:val="righ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If the regulator decides to suspend a licence under this regulation:</w:t>
      </w:r>
    </w:p>
    <w:p>
      <w:pPr>
        <w:spacing w:before="118" w:after="1287" w:line="276" w:lineRule="exact"/>
        <w:ind w:right="72" w:left="1944" w:hanging="432"/>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the regulator must give the operator of the major hazard facility written notice of the suspension and the reasons for the suspension; and</w:t>
      </w:r>
    </w:p>
    <w:p>
      <w:pPr>
        <w:spacing w:before="118" w:after="1287"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413</w:t>
      </w:r>
    </w:p>
    <w:p>
      <w:pPr>
        <w:sectPr>
          <w:type w:val="continuous"/>
          <w:pgSz w:w="11909" w:h="16838" w:orient="portrait"/>
          <w:pgMar w:bottom="1082" w:top="1140" w:right="5817" w:left="1972"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9.7	</w:t>
      </w:r>
      <w:r>
        <w:rPr>
          <w:rFonts w:ascii="Times New Roman" w:hAnsi="Times New Roman" w:eastAsia="Times New Roman"/>
          <w:color w:val="000000"/>
          <w:spacing w:val="0"/>
          <w:w w:val="100"/>
          <w:sz w:val="20"/>
          <w:vertAlign w:val="baseline"/>
          <w:lang w:val="en-US"/>
        </w:rPr>
        <w:t xml:space="preserve">Licensing of Major Hazard Facilities</w:t>
      </w:r>
    </w:p>
    <w:p>
      <w:pPr>
        <w:spacing w:before="245" w:after="0" w:line="279"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(b) the suspension of the licence takes effect on the giving of the notice.</w:t>
      </w:r>
    </w:p>
    <w:p>
      <w:pPr>
        <w:spacing w:before="120"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regulator must then:</w:t>
      </w:r>
    </w:p>
    <w:p>
      <w:pPr>
        <w:numPr>
          <w:ilvl w:val="0"/>
          <w:numId w:val="1027"/>
        </w:numPr>
        <w:tabs>
          <w:tab w:val="clear" w:pos="360"/>
          <w:tab w:val="left" w:pos="1872"/>
        </w:tabs>
        <w:spacing w:before="126" w:after="0" w:line="273"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give notice under regulation 604 within 14 days after giving the notice under subregulation (2); and</w:t>
      </w:r>
    </w:p>
    <w:p>
      <w:pPr>
        <w:numPr>
          <w:ilvl w:val="0"/>
          <w:numId w:val="1027"/>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make its decision under regulation 602.</w:t>
      </w:r>
    </w:p>
    <w:p>
      <w:pPr>
        <w:spacing w:before="114" w:after="0" w:line="279" w:lineRule="exact"/>
        <w:ind w:right="432"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If the regulator does not give notice under subregulation (3), the suspension ends at the end of the 14 day period.</w:t>
      </w:r>
    </w:p>
    <w:p>
      <w:pPr>
        <w:spacing w:before="114" w:after="0" w:line="279" w:lineRule="exact"/>
        <w:ind w:right="144"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If the regulator gives notice under subregulation (3), the licence remains suspended until the decision is made under regulation 602.</w:t>
      </w:r>
    </w:p>
    <w:p>
      <w:pPr>
        <w:spacing w:before="120"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607 Operator to return licence document</w:t>
      </w:r>
    </w:p>
    <w:p>
      <w:pPr>
        <w:spacing w:before="125" w:after="0" w:line="273" w:lineRule="exact"/>
        <w:ind w:right="72" w:left="1368"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An operator, on receiving a notice under regulation 605, must return the licence document to the regulator in accordance with the notice.</w:t>
      </w:r>
    </w:p>
    <w:p>
      <w:pPr>
        <w:spacing w:before="121"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Maximum penalty:</w:t>
      </w:r>
    </w:p>
    <w:p>
      <w:pPr>
        <w:spacing w:before="12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an individual—$1 250.</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case of a body corporate—$6 000.</w:t>
      </w:r>
    </w:p>
    <w:p>
      <w:pPr>
        <w:spacing w:before="125"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608 Regulator to return licence document after suspension</w:t>
      </w:r>
    </w:p>
    <w:p>
      <w:pPr>
        <w:spacing w:before="115" w:after="5540" w:line="278" w:lineRule="exact"/>
        <w:ind w:right="576" w:left="1368" w:firstLine="0"/>
        <w:jc w:val="left"/>
        <w:textAlignment w:val="baseline"/>
        <w:rPr>
          <w:rFonts w:ascii="Times New Roman" w:hAnsi="Times New Roman" w:eastAsia="Times New Roman"/>
          <w:color w:val="000000"/>
          <w:spacing w:val="0"/>
          <w:w w:val="100"/>
          <w:sz w:val="24"/>
          <w:vertAlign w:val="baseline"/>
          <w:lang w:val="en-US"/>
        </w:rPr>
      </w:pPr>
      <w:r>
        <w:pict>
          <v:line strokeweight="0.7pt" strokecolor="#000000" from="243.6pt,469.2pt" to="352.15pt,469.2pt" style="position:absolute;mso-position-horizontal-relative:page;mso-position-vertical-relative:page;">
            <v:stroke dashstyle="solid"/>
          </v:line>
        </w:pict>
      </w: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regulator must return the licence document to the operator within 14 days after the suspension ends.</w:t>
      </w:r>
    </w:p>
    <w:p>
      <w:pPr>
        <w:spacing w:before="321" w:after="0" w:line="288" w:lineRule="exact"/>
        <w:ind w:right="0" w:left="0" w:firstLine="0"/>
        <w:jc w:val="left"/>
        <w:textAlignment w:val="baseline"/>
        <w:rPr>
          <w:rFonts w:ascii="Times New Roman" w:hAnsi="Times New Roman" w:eastAsia="Times New Roman"/>
          <w:color w:val="000000"/>
          <w:w w:val="100"/>
          <w:sz w:val="24"/>
          <w:vertAlign w:val="baseline"/>
          <w:lang w:val="en-US"/>
        </w:rPr>
      </w:pPr>
    </w:p>
    <w:p>
      <w:pPr>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414</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9.7	</w:t>
      </w:r>
      <w:r>
        <w:rPr>
          <w:rFonts w:ascii="Times New Roman" w:hAnsi="Times New Roman" w:eastAsia="Times New Roman"/>
          <w:color w:val="000000"/>
          <w:spacing w:val="0"/>
          <w:w w:val="100"/>
          <w:sz w:val="20"/>
          <w:vertAlign w:val="baseline"/>
          <w:lang w:val="en-US"/>
        </w:rPr>
        <w:t xml:space="preserve">Licensing of Major Hazard Facilities</w:t>
      </w:r>
    </w:p>
    <w:p>
      <w:pPr>
        <w:spacing w:before="269" w:after="0" w:line="287" w:lineRule="exact"/>
        <w:ind w:right="0" w:left="0" w:firstLine="0"/>
        <w:jc w:val="left"/>
        <w:textAlignment w:val="baseline"/>
        <w:rPr>
          <w:rFonts w:ascii="Times New Roman" w:hAnsi="Times New Roman" w:eastAsia="Times New Roman"/>
          <w:b w:val="true"/>
          <w:color w:val="000000"/>
          <w:spacing w:val="0"/>
          <w:w w:val="100"/>
          <w:sz w:val="25"/>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5"/>
          <w:vertAlign w:val="baseline"/>
          <w:lang w:val="en-US"/>
        </w:rPr>
        <w:t xml:space="preserve">CHAPTER 10 MINES</w:t>
      </w:r>
    </w:p>
    <w:p>
      <w:pPr>
        <w:spacing w:before="113" w:after="11529" w:line="274" w:lineRule="exact"/>
        <w:ind w:right="0" w:left="0" w:firstLine="0"/>
        <w:jc w:val="center"/>
        <w:textAlignment w:val="baseline"/>
        <w:rPr>
          <w:rFonts w:ascii="Times New Roman" w:hAnsi="Times New Roman" w:eastAsia="Times New Roman"/>
          <w:i w:val="true"/>
          <w:color w:val="000000"/>
          <w:spacing w:val="0"/>
          <w:w w:val="100"/>
          <w:sz w:val="24"/>
          <w:vertAlign w:val="baseline"/>
          <w:lang w:val="en-US"/>
        </w:rPr>
      </w:pPr>
      <w:r>
        <w:pict>
          <v:line strokeweight="0.7pt" strokecolor="#000000" from="243.6pt,169.9pt" to="352.15pt,169.9pt" style="position:absolute;mso-position-horizontal-relative:page;mso-position-vertical-relative:page;">
            <v:stroke dashstyle="solid"/>
          </v:line>
        </w:pict>
      </w: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i w:val="true"/>
          <w:color w:val="000000"/>
          <w:spacing w:val="0"/>
          <w:w w:val="100"/>
          <w:sz w:val="24"/>
          <w:vertAlign w:val="baseline"/>
          <w:lang w:val="en-US"/>
        </w:rPr>
        <w:t xml:space="preserve">(Regulations 609 to 675 to be circulated separately)</w:t>
      </w:r>
    </w:p>
    <w:p>
      <w:pPr>
        <w:spacing w:before="321" w:after="0" w:line="288" w:lineRule="exact"/>
        <w:ind w:right="0" w:left="0" w:firstLine="0"/>
        <w:jc w:val="left"/>
        <w:textAlignment w:val="baseline"/>
        <w:rPr>
          <w:rFonts w:ascii="Times New Roman" w:hAnsi="Times New Roman" w:eastAsia="Times New Roman"/>
          <w:color w:val="000000"/>
          <w:w w:val="100"/>
          <w:sz w:val="24"/>
          <w:vertAlign w:val="baseline"/>
          <w:lang w:val="en-US"/>
        </w:rPr>
      </w:pPr>
    </w:p>
    <w:p>
      <w:pPr>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415</w:t>
      </w:r>
    </w:p>
    <w:p>
      <w:pPr>
        <w:sectPr>
          <w:type w:val="continuous"/>
          <w:pgSz w:w="11909" w:h="16838" w:orient="portrait"/>
          <w:pgMar w:bottom="1082" w:top="1140" w:right="5814" w:left="1975" w:header="720" w:footer="720"/>
          <w:titlePg w:val="false"/>
          <w:textDirection w:val="lrTb"/>
        </w:sectPr>
      </w:pPr>
    </w:p>
    <w:p>
      <w:pPr>
        <w:spacing w:before="6"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5" w:after="226"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11.1	</w:t>
      </w:r>
      <w:r>
        <w:rPr>
          <w:rFonts w:ascii="Times New Roman" w:hAnsi="Times New Roman" w:eastAsia="Times New Roman"/>
          <w:color w:val="000000"/>
          <w:spacing w:val="0"/>
          <w:w w:val="100"/>
          <w:sz w:val="20"/>
          <w:vertAlign w:val="baseline"/>
          <w:lang w:val="en-US"/>
        </w:rPr>
        <w:t xml:space="preserve">Review of Decisions under these Regulations</w:t>
      </w:r>
    </w:p>
    <w:p>
      <w:pPr>
        <w:spacing w:before="269" w:after="0" w:line="287" w:lineRule="exact"/>
        <w:ind w:right="0" w:left="0" w:firstLine="0"/>
        <w:jc w:val="left"/>
        <w:textAlignment w:val="baseline"/>
        <w:rPr>
          <w:rFonts w:ascii="Times New Roman" w:hAnsi="Times New Roman" w:eastAsia="Times New Roman"/>
          <w:b w:val="true"/>
          <w:color w:val="000000"/>
          <w:spacing w:val="7"/>
          <w:w w:val="100"/>
          <w:sz w:val="25"/>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7"/>
          <w:w w:val="100"/>
          <w:sz w:val="25"/>
          <w:vertAlign w:val="baseline"/>
          <w:lang w:val="en-US"/>
        </w:rPr>
        <w:t xml:space="preserve">CHAPTER 11 GENERAL</w:t>
      </w:r>
    </w:p>
    <w:p>
      <w:pPr>
        <w:spacing w:before="239" w:after="0" w:line="318" w:lineRule="exact"/>
        <w:ind w:right="0" w:left="0" w:firstLine="0"/>
        <w:jc w:val="left"/>
        <w:textAlignment w:val="baseline"/>
        <w:rPr>
          <w:rFonts w:ascii="Times New Roman" w:hAnsi="Times New Roman" w:eastAsia="Times New Roman"/>
          <w:b w:val="true"/>
          <w:color w:val="000000"/>
          <w:spacing w:val="0"/>
          <w:w w:val="100"/>
          <w:sz w:val="28"/>
          <w:vertAlign w:val="baseline"/>
          <w:lang w:val="en-US"/>
        </w:rPr>
      </w:pPr>
      <w:r>
        <w:rPr>
          <w:rFonts w:ascii="Times New Roman" w:hAnsi="Times New Roman" w:eastAsia="Times New Roman"/>
          <w:b w:val="true"/>
          <w:color w:val="000000"/>
          <w:spacing w:val="0"/>
          <w:w w:val="100"/>
          <w:sz w:val="28"/>
          <w:vertAlign w:val="baseline"/>
          <w:lang w:val="en-US"/>
        </w:rPr>
        <w:t xml:space="preserve">Part 11.1 Review of Decisions under these Regulations</w:t>
      </w:r>
    </w:p>
    <w:p>
      <w:pPr>
        <w:tabs>
          <w:tab w:val="left" w:leader="none" w:pos="1584"/>
        </w:tabs>
        <w:spacing w:before="242"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1	</w:t>
      </w:r>
      <w:r>
        <w:rPr>
          <w:rFonts w:ascii="Times New Roman" w:hAnsi="Times New Roman" w:eastAsia="Times New Roman"/>
          <w:b w:val="true"/>
          <w:color w:val="000000"/>
          <w:spacing w:val="0"/>
          <w:w w:val="100"/>
          <w:sz w:val="24"/>
          <w:vertAlign w:val="baseline"/>
          <w:lang w:val="en-US"/>
        </w:rPr>
        <w:t xml:space="preserve">Reviewable decisions</w:t>
      </w:r>
    </w:p>
    <w:p>
      <w:pPr>
        <w:spacing w:before="120" w:after="0" w:line="274" w:lineRule="exact"/>
        <w:ind w:right="0" w:left="216"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676 Which decisions under these Regulations are reviewable</w:t>
      </w:r>
    </w:p>
    <w:p>
      <w:pPr>
        <w:spacing w:before="120" w:after="0" w:line="273" w:lineRule="exact"/>
        <w:ind w:right="0" w:left="936"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following table sets out:</w:t>
      </w:r>
    </w:p>
    <w:p>
      <w:pPr>
        <w:numPr>
          <w:ilvl w:val="0"/>
          <w:numId w:val="1028"/>
        </w:numPr>
        <w:tabs>
          <w:tab w:val="clear" w:pos="360"/>
          <w:tab w:val="left" w:pos="1872"/>
        </w:tabs>
        <w:spacing w:before="125" w:after="0" w:line="274" w:lineRule="exact"/>
        <w:ind w:right="36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decisions made under these Regulations that are reviewable under this Part (</w:t>
      </w:r>
      <w:r>
        <w:rPr>
          <w:rFonts w:ascii="Times New Roman" w:hAnsi="Times New Roman" w:eastAsia="Times New Roman"/>
          <w:b w:val="true"/>
          <w:i w:val="true"/>
          <w:color w:val="000000"/>
          <w:spacing w:val="0"/>
          <w:w w:val="100"/>
          <w:sz w:val="24"/>
          <w:vertAlign w:val="baseline"/>
          <w:lang w:val="en-US"/>
        </w:rPr>
        <w:t xml:space="preserve">reviewable decisions</w:t>
      </w:r>
      <w:r>
        <w:rPr>
          <w:rFonts w:ascii="Times New Roman" w:hAnsi="Times New Roman" w:eastAsia="Times New Roman"/>
          <w:color w:val="000000"/>
          <w:spacing w:val="0"/>
          <w:w w:val="100"/>
          <w:sz w:val="24"/>
          <w:vertAlign w:val="baseline"/>
          <w:lang w:val="en-US"/>
        </w:rPr>
        <w:t xml:space="preserve">); and</w:t>
      </w:r>
    </w:p>
    <w:p>
      <w:pPr>
        <w:numPr>
          <w:ilvl w:val="0"/>
          <w:numId w:val="1028"/>
        </w:numPr>
        <w:tabs>
          <w:tab w:val="clear" w:pos="360"/>
          <w:tab w:val="left" w:pos="1872"/>
        </w:tabs>
        <w:spacing w:before="120" w:after="95" w:line="278" w:lineRule="exact"/>
        <w:ind w:right="36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who is eligible to apply for review of a reviewable decision (the </w:t>
      </w:r>
      <w:r>
        <w:rPr>
          <w:rFonts w:ascii="Times New Roman" w:hAnsi="Times New Roman" w:eastAsia="Times New Roman"/>
          <w:b w:val="true"/>
          <w:i w:val="true"/>
          <w:color w:val="000000"/>
          <w:spacing w:val="0"/>
          <w:w w:val="100"/>
          <w:sz w:val="24"/>
          <w:vertAlign w:val="baseline"/>
          <w:lang w:val="en-US"/>
        </w:rPr>
        <w:t xml:space="preserve">eligible person</w:t>
      </w:r>
      <w:r>
        <w:rPr>
          <w:rFonts w:ascii="Times New Roman" w:hAnsi="Times New Roman" w:eastAsia="Times New Roman"/>
          <w:color w:val="000000"/>
          <w:spacing w:val="0"/>
          <w:w w:val="100"/>
          <w:sz w:val="24"/>
          <w:vertAlign w:val="baseline"/>
          <w:lang w:val="en-US"/>
        </w:rPr>
        <w:t xml:space="preserve">).</w:t>
      </w:r>
    </w:p>
    <w:p>
      <w:pPr>
        <w:tabs>
          <w:tab w:val="left" w:leader="none" w:pos="4824"/>
        </w:tabs>
        <w:spacing w:before="80" w:after="0" w:line="229" w:lineRule="exact"/>
        <w:ind w:right="0" w:left="216"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104.9pt,297.6pt" to="498.5pt,297.6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Item Regulation under which reviewable	</w:t>
      </w:r>
      <w:r>
        <w:rPr>
          <w:rFonts w:ascii="Times New Roman" w:hAnsi="Times New Roman" w:eastAsia="Times New Roman"/>
          <w:b w:val="true"/>
          <w:color w:val="000000"/>
          <w:spacing w:val="0"/>
          <w:w w:val="100"/>
          <w:sz w:val="20"/>
          <w:vertAlign w:val="baseline"/>
          <w:lang w:val="en-US"/>
        </w:rPr>
        <w:t xml:space="preserve">Eligible person in relation to</w:t>
      </w:r>
    </w:p>
    <w:p>
      <w:pPr>
        <w:tabs>
          <w:tab w:val="left" w:leader="none" w:pos="4824"/>
        </w:tabs>
        <w:spacing w:before="0" w:after="39" w:line="229" w:lineRule="exact"/>
        <w:ind w:right="0" w:left="936" w:firstLine="0"/>
        <w:jc w:val="left"/>
        <w:textAlignment w:val="baseline"/>
        <w:rPr>
          <w:rFonts w:ascii="Times New Roman" w:hAnsi="Times New Roman" w:eastAsia="Times New Roman"/>
          <w:b w:val="true"/>
          <w:color w:val="000000"/>
          <w:spacing w:val="-1"/>
          <w:w w:val="100"/>
          <w:sz w:val="20"/>
          <w:vertAlign w:val="baseline"/>
          <w:lang w:val="en-US"/>
        </w:rPr>
      </w:pPr>
      <w:r>
        <w:rPr>
          <w:rFonts w:ascii="Times New Roman" w:hAnsi="Times New Roman" w:eastAsia="Times New Roman"/>
          <w:b w:val="true"/>
          <w:color w:val="000000"/>
          <w:spacing w:val="-1"/>
          <w:w w:val="100"/>
          <w:sz w:val="20"/>
          <w:vertAlign w:val="baseline"/>
          <w:lang w:val="en-US"/>
        </w:rPr>
        <w:t xml:space="preserve">decision is made	</w:t>
      </w:r>
      <w:r>
        <w:rPr>
          <w:rFonts w:ascii="Times New Roman" w:hAnsi="Times New Roman" w:eastAsia="Times New Roman"/>
          <w:b w:val="true"/>
          <w:color w:val="000000"/>
          <w:spacing w:val="-1"/>
          <w:w w:val="100"/>
          <w:sz w:val="20"/>
          <w:vertAlign w:val="baseline"/>
          <w:lang w:val="en-US"/>
        </w:rPr>
        <w:t xml:space="preserve">reviewable decision</w:t>
      </w:r>
    </w:p>
    <w:p>
      <w:pPr>
        <w:spacing w:before="87" w:after="0" w:line="229" w:lineRule="exact"/>
        <w:ind w:right="0" w:left="1872" w:firstLine="0"/>
        <w:jc w:val="left"/>
        <w:textAlignment w:val="baseline"/>
        <w:rPr>
          <w:rFonts w:ascii="Times New Roman" w:hAnsi="Times New Roman" w:eastAsia="Times New Roman"/>
          <w:b w:val="true"/>
          <w:color w:val="000000"/>
          <w:spacing w:val="-3"/>
          <w:w w:val="100"/>
          <w:sz w:val="20"/>
          <w:vertAlign w:val="baseline"/>
          <w:lang w:val="en-US"/>
        </w:rPr>
      </w:pPr>
      <w:r>
        <w:pict>
          <v:line strokeweight="0.5pt" strokecolor="#000000" from="104.9pt,327.1pt" to="498.5pt,327.1pt" style="position:absolute;mso-position-horizontal-relative:page;mso-position-vertical-relative:page;">
            <v:stroke dashstyle="solid"/>
          </v:line>
        </w:pict>
      </w:r>
      <w:r>
        <w:rPr>
          <w:rFonts w:ascii="Times New Roman" w:hAnsi="Times New Roman" w:eastAsia="Times New Roman"/>
          <w:b w:val="true"/>
          <w:color w:val="000000"/>
          <w:spacing w:val="-3"/>
          <w:w w:val="100"/>
          <w:sz w:val="20"/>
          <w:vertAlign w:val="baseline"/>
          <w:lang w:val="en-US"/>
        </w:rPr>
        <w:t xml:space="preserve">High risk work licences</w:t>
      </w:r>
    </w:p>
    <w:p>
      <w:pPr>
        <w:tabs>
          <w:tab w:val="left" w:leader="none" w:pos="1008"/>
          <w:tab w:val="left" w:leader="none" w:pos="4824"/>
        </w:tabs>
        <w:spacing w:before="121" w:after="0" w:line="226" w:lineRule="exact"/>
        <w:ind w:right="0" w:left="216"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1	</w:t>
      </w:r>
      <w:r>
        <w:rPr>
          <w:rFonts w:ascii="Times New Roman" w:hAnsi="Times New Roman" w:eastAsia="Times New Roman"/>
          <w:color w:val="000000"/>
          <w:spacing w:val="-1"/>
          <w:w w:val="100"/>
          <w:sz w:val="20"/>
          <w:vertAlign w:val="baseline"/>
          <w:lang w:val="en-US"/>
        </w:rPr>
        <w:t xml:space="preserve">89—Refusal to grant licence	</w:t>
      </w:r>
      <w:r>
        <w:rPr>
          <w:rFonts w:ascii="Times New Roman" w:hAnsi="Times New Roman" w:eastAsia="Times New Roman"/>
          <w:color w:val="000000"/>
          <w:spacing w:val="-1"/>
          <w:w w:val="100"/>
          <w:sz w:val="20"/>
          <w:vertAlign w:val="baseline"/>
          <w:lang w:val="en-US"/>
        </w:rPr>
        <w:t xml:space="preserve">Applicant</w:t>
      </w:r>
    </w:p>
    <w:p>
      <w:pPr>
        <w:tabs>
          <w:tab w:val="left" w:leader="none" w:pos="1008"/>
          <w:tab w:val="left" w:leader="none" w:pos="4824"/>
        </w:tabs>
        <w:spacing w:before="125" w:after="110" w:line="226"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91—Refusal to grant licence	</w:t>
      </w:r>
      <w:r>
        <w:rPr>
          <w:rFonts w:ascii="Times New Roman" w:hAnsi="Times New Roman" w:eastAsia="Times New Roman"/>
          <w:color w:val="000000"/>
          <w:spacing w:val="0"/>
          <w:w w:val="100"/>
          <w:sz w:val="20"/>
          <w:vertAlign w:val="baseline"/>
          <w:lang w:val="en-US"/>
        </w:rPr>
        <w:t xml:space="preserve">Applicant</w:t>
      </w:r>
    </w:p>
    <w:tbl>
      <w:tblPr>
        <w:jc w:val="left"/>
        <w:tblLayout w:type="fixed"/>
        <w:tblCellMar>
          <w:left w:w="0" w:type="dxa"/>
          <w:right w:w="0" w:type="dxa"/>
        </w:tblCellMar>
      </w:tblPr>
      <w:tblGrid>
        <w:gridCol w:w="4560"/>
        <w:gridCol w:w="3460"/>
      </w:tblGrid>
      <w:tr>
        <w:trPr>
          <w:trHeight w:val="1599" w:hRule="exact"/>
        </w:trPr>
        <w:tc>
          <w:tcPr>
            <w:tcW w:w="4560" w:type="dxa"/>
            <w:tcBorders>
              <w:top w:val="none"/>
              <w:left w:val="none"/>
              <w:bottom w:val="none"/>
              <w:right w:val="none"/>
            </w:tcBorders>
            <w:textDirection w:val="lrTb"/>
            <w:vAlign w:val="top"/>
          </w:tcPr>
          <w:p>
            <w:pPr>
              <w:tabs>
                <w:tab w:val="left" w:leader="none" w:pos="1008"/>
              </w:tabs>
              <w:spacing w:before="0" w:after="0" w:line="230" w:lineRule="exact"/>
              <w:ind w:right="504" w:left="1008" w:hanging="72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2A	</w:t>
            </w:r>
            <w:r>
              <w:rPr>
                <w:rFonts w:ascii="Times New Roman" w:hAnsi="Times New Roman" w:eastAsia="Times New Roman"/>
                <w:color w:val="000000"/>
                <w:spacing w:val="0"/>
                <w:w w:val="100"/>
                <w:sz w:val="20"/>
                <w:vertAlign w:val="baseline"/>
                <w:lang w:val="en-US"/>
              </w:rPr>
              <w:t xml:space="preserve">91A—Imposition of a condition when granting licence</w:t>
            </w:r>
          </w:p>
          <w:p>
            <w:pPr>
              <w:tabs>
                <w:tab w:val="left" w:leader="none" w:pos="1008"/>
              </w:tabs>
              <w:spacing w:before="110" w:after="0" w:line="235" w:lineRule="exact"/>
              <w:ind w:right="504" w:left="1008" w:hanging="72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2B	</w:t>
            </w:r>
            <w:r>
              <w:rPr>
                <w:rFonts w:ascii="Times New Roman" w:hAnsi="Times New Roman" w:eastAsia="Times New Roman"/>
                <w:color w:val="000000"/>
                <w:spacing w:val="0"/>
                <w:w w:val="100"/>
                <w:sz w:val="20"/>
                <w:vertAlign w:val="baseline"/>
                <w:lang w:val="en-US"/>
              </w:rPr>
              <w:t xml:space="preserve">91A—Imposition of a condition when renewing licence</w:t>
            </w:r>
          </w:p>
          <w:p>
            <w:pPr>
              <w:tabs>
                <w:tab w:val="left" w:leader="none" w:pos="1008"/>
              </w:tabs>
              <w:spacing w:before="88" w:after="0" w:line="232" w:lineRule="exact"/>
              <w:ind w:right="252" w:left="1008" w:hanging="72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	</w:t>
            </w:r>
            <w:r>
              <w:rPr>
                <w:rFonts w:ascii="Times New Roman" w:hAnsi="Times New Roman" w:eastAsia="Times New Roman"/>
                <w:color w:val="000000"/>
                <w:spacing w:val="0"/>
                <w:w w:val="100"/>
                <w:sz w:val="20"/>
                <w:vertAlign w:val="baseline"/>
                <w:lang w:val="en-US"/>
              </w:rPr>
              <w:t xml:space="preserve">98—Refusal to issue replacement licence document</w:t>
            </w:r>
          </w:p>
        </w:tc>
        <w:tc>
          <w:tcPr>
            <w:tcW w:w="3460" w:type="dxa"/>
            <w:tcBorders>
              <w:top w:val="none"/>
              <w:left w:val="none"/>
              <w:bottom w:val="none"/>
              <w:right w:val="none"/>
            </w:tcBorders>
            <w:textDirection w:val="lrTb"/>
            <w:vAlign w:val="top"/>
          </w:tcPr>
          <w:p>
            <w:pPr>
              <w:spacing w:before="0" w:after="202" w:line="464" w:lineRule="exact"/>
              <w:ind w:right="0" w:left="25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Applicant</w:t>
              <w:br/>
            </w:r>
            <w:r>
              <w:rPr>
                <w:rFonts w:ascii="Times New Roman" w:hAnsi="Times New Roman" w:eastAsia="Times New Roman"/>
                <w:color w:val="000000"/>
                <w:spacing w:val="0"/>
                <w:w w:val="100"/>
                <w:sz w:val="20"/>
                <w:vertAlign w:val="baseline"/>
                <w:lang w:val="en-US"/>
              </w:rPr>
              <w:t xml:space="preserve">Applicant</w:t>
              <w:br/>
            </w:r>
            <w:r>
              <w:rPr>
                <w:rFonts w:ascii="Times New Roman" w:hAnsi="Times New Roman" w:eastAsia="Times New Roman"/>
                <w:color w:val="000000"/>
                <w:spacing w:val="0"/>
                <w:w w:val="100"/>
                <w:sz w:val="20"/>
                <w:vertAlign w:val="baseline"/>
                <w:lang w:val="en-US"/>
              </w:rPr>
              <w:t xml:space="preserve">Licence holder</w:t>
            </w:r>
          </w:p>
        </w:tc>
      </w:tr>
    </w:tbl>
    <w:p>
      <w:pPr>
        <w:spacing w:before="0" w:after="124" w:line="20" w:lineRule="exact"/>
      </w:pPr>
    </w:p>
    <w:p>
      <w:pPr>
        <w:tabs>
          <w:tab w:val="left" w:leader="none" w:pos="1008"/>
          <w:tab w:val="left" w:leader="none" w:pos="4824"/>
        </w:tabs>
        <w:spacing w:before="4" w:after="0" w:line="226"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	</w:t>
      </w:r>
      <w:r>
        <w:rPr>
          <w:rFonts w:ascii="Times New Roman" w:hAnsi="Times New Roman" w:eastAsia="Times New Roman"/>
          <w:color w:val="000000"/>
          <w:spacing w:val="0"/>
          <w:w w:val="100"/>
          <w:sz w:val="20"/>
          <w:vertAlign w:val="baseline"/>
          <w:lang w:val="en-US"/>
        </w:rPr>
        <w:t xml:space="preserve">104—Refusal to renew licence	</w:t>
      </w:r>
      <w:r>
        <w:rPr>
          <w:rFonts w:ascii="Times New Roman" w:hAnsi="Times New Roman" w:eastAsia="Times New Roman"/>
          <w:color w:val="000000"/>
          <w:spacing w:val="0"/>
          <w:w w:val="100"/>
          <w:sz w:val="20"/>
          <w:vertAlign w:val="baseline"/>
          <w:lang w:val="en-US"/>
        </w:rPr>
        <w:t xml:space="preserve">Applicant</w:t>
      </w:r>
    </w:p>
    <w:p>
      <w:pPr>
        <w:tabs>
          <w:tab w:val="left" w:leader="none" w:pos="1008"/>
          <w:tab w:val="left" w:leader="none" w:pos="4824"/>
        </w:tabs>
        <w:spacing w:before="124" w:after="0" w:line="226"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	</w:t>
      </w:r>
      <w:r>
        <w:rPr>
          <w:rFonts w:ascii="Times New Roman" w:hAnsi="Times New Roman" w:eastAsia="Times New Roman"/>
          <w:color w:val="000000"/>
          <w:spacing w:val="0"/>
          <w:w w:val="100"/>
          <w:sz w:val="20"/>
          <w:vertAlign w:val="baseline"/>
          <w:lang w:val="en-US"/>
        </w:rPr>
        <w:t xml:space="preserve">106—Suspension of licence	</w:t>
      </w:r>
      <w:r>
        <w:rPr>
          <w:rFonts w:ascii="Times New Roman" w:hAnsi="Times New Roman" w:eastAsia="Times New Roman"/>
          <w:color w:val="000000"/>
          <w:spacing w:val="0"/>
          <w:w w:val="100"/>
          <w:sz w:val="20"/>
          <w:vertAlign w:val="baseline"/>
          <w:lang w:val="en-US"/>
        </w:rPr>
        <w:t xml:space="preserve">Licence holder</w:t>
      </w:r>
    </w:p>
    <w:p>
      <w:pPr>
        <w:tabs>
          <w:tab w:val="left" w:leader="none" w:pos="1008"/>
          <w:tab w:val="left" w:leader="none" w:pos="4824"/>
        </w:tabs>
        <w:spacing w:before="124" w:after="0" w:line="226"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	</w:t>
      </w:r>
      <w:r>
        <w:rPr>
          <w:rFonts w:ascii="Times New Roman" w:hAnsi="Times New Roman" w:eastAsia="Times New Roman"/>
          <w:color w:val="000000"/>
          <w:spacing w:val="0"/>
          <w:w w:val="100"/>
          <w:sz w:val="20"/>
          <w:vertAlign w:val="baseline"/>
          <w:lang w:val="en-US"/>
        </w:rPr>
        <w:t xml:space="preserve">106—Cancellation of licence	</w:t>
      </w:r>
      <w:r>
        <w:rPr>
          <w:rFonts w:ascii="Times New Roman" w:hAnsi="Times New Roman" w:eastAsia="Times New Roman"/>
          <w:color w:val="000000"/>
          <w:spacing w:val="0"/>
          <w:w w:val="100"/>
          <w:sz w:val="20"/>
          <w:vertAlign w:val="baseline"/>
          <w:lang w:val="en-US"/>
        </w:rPr>
        <w:t xml:space="preserve">Licence holder</w:t>
      </w:r>
    </w:p>
    <w:p>
      <w:pPr>
        <w:tabs>
          <w:tab w:val="left" w:leader="none" w:pos="1008"/>
          <w:tab w:val="left" w:leader="none" w:pos="4824"/>
        </w:tabs>
        <w:spacing w:before="119" w:after="0" w:line="226"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7	</w:t>
      </w:r>
      <w:r>
        <w:rPr>
          <w:rFonts w:ascii="Times New Roman" w:hAnsi="Times New Roman" w:eastAsia="Times New Roman"/>
          <w:color w:val="000000"/>
          <w:spacing w:val="0"/>
          <w:w w:val="100"/>
          <w:sz w:val="20"/>
          <w:vertAlign w:val="baseline"/>
          <w:lang w:val="en-US"/>
        </w:rPr>
        <w:t xml:space="preserve">106—Disqualification of licence holder	</w:t>
      </w:r>
      <w:r>
        <w:rPr>
          <w:rFonts w:ascii="Times New Roman" w:hAnsi="Times New Roman" w:eastAsia="Times New Roman"/>
          <w:color w:val="000000"/>
          <w:spacing w:val="0"/>
          <w:w w:val="100"/>
          <w:sz w:val="20"/>
          <w:vertAlign w:val="baseline"/>
          <w:lang w:val="en-US"/>
        </w:rPr>
        <w:t xml:space="preserve">Licence holder</w:t>
      </w:r>
    </w:p>
    <w:p>
      <w:pPr>
        <w:spacing w:before="5" w:after="0" w:line="226" w:lineRule="exact"/>
        <w:ind w:right="0" w:left="93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from applying for another licence.</w:t>
      </w:r>
    </w:p>
    <w:p>
      <w:pPr>
        <w:tabs>
          <w:tab w:val="left" w:leader="none" w:pos="1008"/>
          <w:tab w:val="left" w:leader="none" w:pos="4824"/>
        </w:tabs>
        <w:spacing w:before="130" w:after="0" w:line="226"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7A	</w:t>
      </w:r>
      <w:r>
        <w:rPr>
          <w:rFonts w:ascii="Times New Roman" w:hAnsi="Times New Roman" w:eastAsia="Times New Roman"/>
          <w:color w:val="000000"/>
          <w:spacing w:val="0"/>
          <w:w w:val="100"/>
          <w:sz w:val="20"/>
          <w:vertAlign w:val="baseline"/>
          <w:lang w:val="en-US"/>
        </w:rPr>
        <w:t xml:space="preserve">106—Variation of licence conditions	</w:t>
      </w:r>
      <w:r>
        <w:rPr>
          <w:rFonts w:ascii="Times New Roman" w:hAnsi="Times New Roman" w:eastAsia="Times New Roman"/>
          <w:color w:val="000000"/>
          <w:spacing w:val="0"/>
          <w:w w:val="100"/>
          <w:sz w:val="20"/>
          <w:vertAlign w:val="baseline"/>
          <w:lang w:val="en-US"/>
        </w:rPr>
        <w:t xml:space="preserve">Licence holder</w:t>
      </w:r>
    </w:p>
    <w:p>
      <w:pPr>
        <w:spacing w:before="124" w:after="0" w:line="229" w:lineRule="exact"/>
        <w:ind w:right="0" w:left="1656"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Accreditation of assessors</w:t>
      </w:r>
    </w:p>
    <w:p>
      <w:pPr>
        <w:tabs>
          <w:tab w:val="left" w:leader="none" w:pos="1008"/>
          <w:tab w:val="left" w:leader="none" w:pos="4824"/>
        </w:tabs>
        <w:spacing w:before="117" w:after="0" w:line="226"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8	</w:t>
      </w:r>
      <w:r>
        <w:rPr>
          <w:rFonts w:ascii="Times New Roman" w:hAnsi="Times New Roman" w:eastAsia="Times New Roman"/>
          <w:color w:val="000000"/>
          <w:spacing w:val="0"/>
          <w:w w:val="100"/>
          <w:sz w:val="20"/>
          <w:vertAlign w:val="baseline"/>
          <w:lang w:val="en-US"/>
        </w:rPr>
        <w:t xml:space="preserve">118—Refusal to grant accreditation	</w:t>
      </w:r>
      <w:r>
        <w:rPr>
          <w:rFonts w:ascii="Times New Roman" w:hAnsi="Times New Roman" w:eastAsia="Times New Roman"/>
          <w:color w:val="000000"/>
          <w:spacing w:val="0"/>
          <w:w w:val="100"/>
          <w:sz w:val="20"/>
          <w:vertAlign w:val="baseline"/>
          <w:lang w:val="en-US"/>
        </w:rPr>
        <w:t xml:space="preserve">Applicant</w:t>
      </w:r>
    </w:p>
    <w:p>
      <w:pPr>
        <w:spacing w:before="62" w:after="0" w:line="226" w:lineRule="exact"/>
        <w:ind w:right="0" w:left="482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An RTO that engages the applicant</w:t>
      </w:r>
    </w:p>
    <w:p>
      <w:pPr>
        <w:tabs>
          <w:tab w:val="left" w:leader="none" w:pos="1008"/>
          <w:tab w:val="left" w:leader="none" w:pos="4824"/>
        </w:tabs>
        <w:spacing w:before="129" w:after="0" w:line="226"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9	</w:t>
      </w:r>
      <w:r>
        <w:rPr>
          <w:rFonts w:ascii="Times New Roman" w:hAnsi="Times New Roman" w:eastAsia="Times New Roman"/>
          <w:color w:val="000000"/>
          <w:spacing w:val="0"/>
          <w:w w:val="100"/>
          <w:sz w:val="20"/>
          <w:vertAlign w:val="baseline"/>
          <w:lang w:val="en-US"/>
        </w:rPr>
        <w:t xml:space="preserve">120—Refusal to grant accreditation	</w:t>
      </w:r>
      <w:r>
        <w:rPr>
          <w:rFonts w:ascii="Times New Roman" w:hAnsi="Times New Roman" w:eastAsia="Times New Roman"/>
          <w:color w:val="000000"/>
          <w:spacing w:val="0"/>
          <w:w w:val="100"/>
          <w:sz w:val="20"/>
          <w:vertAlign w:val="baseline"/>
          <w:lang w:val="en-US"/>
        </w:rPr>
        <w:t xml:space="preserve">Applicant</w:t>
      </w:r>
    </w:p>
    <w:p>
      <w:pPr>
        <w:spacing w:before="62" w:after="0" w:line="226" w:lineRule="exact"/>
        <w:ind w:right="0" w:left="482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An RTO that engages the applicant</w:t>
      </w:r>
    </w:p>
    <w:p>
      <w:pPr>
        <w:tabs>
          <w:tab w:val="left" w:leader="none" w:pos="1008"/>
          <w:tab w:val="left" w:leader="none" w:pos="4824"/>
        </w:tabs>
        <w:spacing w:before="117" w:after="0" w:line="226" w:lineRule="exact"/>
        <w:ind w:right="0" w:left="216"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10	</w:t>
      </w:r>
      <w:r>
        <w:rPr>
          <w:rFonts w:ascii="Times New Roman" w:hAnsi="Times New Roman" w:eastAsia="Times New Roman"/>
          <w:color w:val="000000"/>
          <w:spacing w:val="-1"/>
          <w:w w:val="100"/>
          <w:sz w:val="20"/>
          <w:vertAlign w:val="baseline"/>
          <w:lang w:val="en-US"/>
        </w:rPr>
        <w:t xml:space="preserve">121—Imposition of a condition when	</w:t>
      </w:r>
      <w:r>
        <w:rPr>
          <w:rFonts w:ascii="Times New Roman" w:hAnsi="Times New Roman" w:eastAsia="Times New Roman"/>
          <w:color w:val="000000"/>
          <w:spacing w:val="-1"/>
          <w:w w:val="100"/>
          <w:sz w:val="20"/>
          <w:vertAlign w:val="baseline"/>
          <w:lang w:val="en-US"/>
        </w:rPr>
        <w:t xml:space="preserve">Applicant</w:t>
      </w:r>
    </w:p>
    <w:p>
      <w:pPr>
        <w:tabs>
          <w:tab w:val="left" w:leader="none" w:pos="4824"/>
        </w:tabs>
        <w:spacing w:before="42" w:after="0" w:line="249" w:lineRule="exact"/>
        <w:ind w:right="0" w:left="93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granting accreditation	</w:t>
      </w:r>
      <w:r>
        <w:rPr>
          <w:rFonts w:ascii="Times New Roman" w:hAnsi="Times New Roman" w:eastAsia="Times New Roman"/>
          <w:color w:val="000000"/>
          <w:spacing w:val="0"/>
          <w:w w:val="100"/>
          <w:sz w:val="20"/>
          <w:vertAlign w:val="baseline"/>
          <w:lang w:val="en-US"/>
        </w:rPr>
        <w:t xml:space="preserve">An RTO that engages the applicant</w:t>
      </w:r>
    </w:p>
    <w:p>
      <w:pPr>
        <w:tabs>
          <w:tab w:val="left" w:leader="none" w:pos="1008"/>
          <w:tab w:val="left" w:leader="none" w:pos="4824"/>
        </w:tabs>
        <w:spacing w:before="122" w:after="0" w:line="226" w:lineRule="exact"/>
        <w:ind w:right="0" w:left="216"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11	</w:t>
      </w:r>
      <w:r>
        <w:rPr>
          <w:rFonts w:ascii="Times New Roman" w:hAnsi="Times New Roman" w:eastAsia="Times New Roman"/>
          <w:color w:val="000000"/>
          <w:spacing w:val="-1"/>
          <w:w w:val="100"/>
          <w:sz w:val="20"/>
          <w:vertAlign w:val="baseline"/>
          <w:lang w:val="en-US"/>
        </w:rPr>
        <w:t xml:space="preserve">121—Imposition of a condition when	</w:t>
      </w:r>
      <w:r>
        <w:rPr>
          <w:rFonts w:ascii="Times New Roman" w:hAnsi="Times New Roman" w:eastAsia="Times New Roman"/>
          <w:color w:val="000000"/>
          <w:spacing w:val="-1"/>
          <w:w w:val="100"/>
          <w:sz w:val="20"/>
          <w:vertAlign w:val="baseline"/>
          <w:lang w:val="en-US"/>
        </w:rPr>
        <w:t xml:space="preserve">Applicant</w:t>
      </w:r>
    </w:p>
    <w:p>
      <w:pPr>
        <w:tabs>
          <w:tab w:val="left" w:leader="none" w:pos="4824"/>
        </w:tabs>
        <w:spacing w:before="41" w:after="374" w:line="250" w:lineRule="exact"/>
        <w:ind w:right="0" w:left="93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renewing accreditation	</w:t>
      </w:r>
      <w:r>
        <w:rPr>
          <w:rFonts w:ascii="Times New Roman" w:hAnsi="Times New Roman" w:eastAsia="Times New Roman"/>
          <w:color w:val="000000"/>
          <w:spacing w:val="0"/>
          <w:w w:val="100"/>
          <w:sz w:val="20"/>
          <w:vertAlign w:val="baseline"/>
          <w:lang w:val="en-US"/>
        </w:rPr>
        <w:t xml:space="preserve">An RTO that engages the applicant</w:t>
      </w:r>
    </w:p>
    <w:p>
      <w:pPr>
        <w:tabs>
          <w:tab w:val="left" w:leader="none" w:pos="3888"/>
        </w:tabs>
        <w:spacing w:before="609"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416</w:t>
      </w:r>
    </w:p>
    <w:p>
      <w:pPr>
        <w:sectPr>
          <w:type w:val="nextPage"/>
          <w:pgSz w:w="11909" w:h="16838" w:orient="portrait"/>
          <w:pgMar w:bottom="1082" w:top="1140" w:right="1940" w:left="1949"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11.1	</w:t>
      </w:r>
      <w:r>
        <w:rPr>
          <w:rFonts w:ascii="Times New Roman" w:hAnsi="Times New Roman" w:eastAsia="Times New Roman"/>
          <w:color w:val="000000"/>
          <w:spacing w:val="0"/>
          <w:w w:val="100"/>
          <w:sz w:val="20"/>
          <w:vertAlign w:val="baseline"/>
          <w:lang w:val="en-US"/>
        </w:rPr>
        <w:t xml:space="preserve">Review of Decisions under these Regulations</w:t>
      </w:r>
    </w:p>
    <w:p>
      <w:pPr>
        <w:tabs>
          <w:tab w:val="left" w:leader="none" w:pos="4824"/>
        </w:tabs>
        <w:spacing w:before="314" w:after="0" w:line="235" w:lineRule="exact"/>
        <w:ind w:right="0" w:left="216"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7.45pt,103.9pt" to="498.5pt,103.9pt" style="position:absolute;mso-position-horizontal-relative:page;mso-position-vertical-relative:page;">
            <v:stroke dashstyle="solid"/>
          </v:line>
        </w:pict>
      </w:r>
      <w:r>
        <w:pict>
          <v:line strokeweight="0.5pt" strokecolor="#000000" from="104.9pt,115.9pt" to="498.5pt,115.9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Item Regulation under which reviewable	</w:t>
      </w:r>
      <w:r>
        <w:rPr>
          <w:rFonts w:ascii="Times New Roman" w:hAnsi="Times New Roman" w:eastAsia="Times New Roman"/>
          <w:b w:val="true"/>
          <w:color w:val="000000"/>
          <w:spacing w:val="0"/>
          <w:w w:val="100"/>
          <w:sz w:val="20"/>
          <w:vertAlign w:val="baseline"/>
          <w:lang w:val="en-US"/>
        </w:rPr>
        <w:t xml:space="preserve">Eligible person in relation to</w:t>
      </w:r>
    </w:p>
    <w:p>
      <w:pPr>
        <w:tabs>
          <w:tab w:val="left" w:leader="none" w:pos="4824"/>
        </w:tabs>
        <w:spacing w:before="0" w:after="39" w:line="234" w:lineRule="exact"/>
        <w:ind w:right="0" w:left="936" w:firstLine="0"/>
        <w:jc w:val="left"/>
        <w:textAlignment w:val="baseline"/>
        <w:rPr>
          <w:rFonts w:ascii="Times New Roman" w:hAnsi="Times New Roman" w:eastAsia="Times New Roman"/>
          <w:b w:val="true"/>
          <w:color w:val="000000"/>
          <w:spacing w:val="-1"/>
          <w:w w:val="100"/>
          <w:sz w:val="20"/>
          <w:vertAlign w:val="baseline"/>
          <w:lang w:val="en-US"/>
        </w:rPr>
      </w:pPr>
      <w:r>
        <w:rPr>
          <w:rFonts w:ascii="Times New Roman" w:hAnsi="Times New Roman" w:eastAsia="Times New Roman"/>
          <w:b w:val="true"/>
          <w:color w:val="000000"/>
          <w:spacing w:val="-1"/>
          <w:w w:val="100"/>
          <w:sz w:val="20"/>
          <w:vertAlign w:val="baseline"/>
          <w:lang w:val="en-US"/>
        </w:rPr>
        <w:t xml:space="preserve">decision is made	</w:t>
      </w:r>
      <w:r>
        <w:rPr>
          <w:rFonts w:ascii="Times New Roman" w:hAnsi="Times New Roman" w:eastAsia="Times New Roman"/>
          <w:b w:val="true"/>
          <w:color w:val="000000"/>
          <w:spacing w:val="-1"/>
          <w:w w:val="100"/>
          <w:sz w:val="20"/>
          <w:vertAlign w:val="baseline"/>
          <w:lang w:val="en-US"/>
        </w:rPr>
        <w:t xml:space="preserve">reviewable decision</w:t>
      </w:r>
    </w:p>
    <w:p>
      <w:pPr>
        <w:tabs>
          <w:tab w:val="left" w:leader="none" w:pos="1008"/>
          <w:tab w:val="left" w:leader="none" w:pos="4824"/>
        </w:tabs>
        <w:spacing w:before="71" w:after="0" w:line="227"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104.9pt,145.45pt" to="498.5pt,145.4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12	</w:t>
      </w:r>
      <w:r>
        <w:rPr>
          <w:rFonts w:ascii="Times New Roman" w:hAnsi="Times New Roman" w:eastAsia="Times New Roman"/>
          <w:color w:val="000000"/>
          <w:spacing w:val="0"/>
          <w:w w:val="100"/>
          <w:sz w:val="20"/>
          <w:vertAlign w:val="baseline"/>
          <w:lang w:val="en-US"/>
        </w:rPr>
        <w:t xml:space="preserve">127—Refusal to issue replacement	</w:t>
      </w:r>
      <w:r>
        <w:rPr>
          <w:rFonts w:ascii="Times New Roman" w:hAnsi="Times New Roman" w:eastAsia="Times New Roman"/>
          <w:color w:val="000000"/>
          <w:spacing w:val="0"/>
          <w:w w:val="100"/>
          <w:sz w:val="20"/>
          <w:vertAlign w:val="baseline"/>
          <w:lang w:val="en-US"/>
        </w:rPr>
        <w:t xml:space="preserve">Accredited assessor</w:t>
      </w:r>
    </w:p>
    <w:p>
      <w:pPr>
        <w:tabs>
          <w:tab w:val="left" w:leader="none" w:pos="4824"/>
        </w:tabs>
        <w:spacing w:before="34" w:after="0" w:line="255" w:lineRule="exact"/>
        <w:ind w:right="0" w:left="93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accreditation document	</w:t>
      </w:r>
      <w:r>
        <w:rPr>
          <w:rFonts w:ascii="Times New Roman" w:hAnsi="Times New Roman" w:eastAsia="Times New Roman"/>
          <w:color w:val="000000"/>
          <w:spacing w:val="0"/>
          <w:w w:val="100"/>
          <w:sz w:val="20"/>
          <w:vertAlign w:val="baseline"/>
          <w:lang w:val="en-US"/>
        </w:rPr>
        <w:t xml:space="preserve">An RTO that engages the accredited</w:t>
      </w:r>
    </w:p>
    <w:p>
      <w:pPr>
        <w:spacing w:before="8" w:after="0" w:line="227" w:lineRule="exact"/>
        <w:ind w:right="0" w:left="482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assessor</w:t>
      </w:r>
    </w:p>
    <w:p>
      <w:pPr>
        <w:tabs>
          <w:tab w:val="left" w:leader="none" w:pos="1008"/>
          <w:tab w:val="left" w:leader="none" w:pos="4824"/>
        </w:tabs>
        <w:spacing w:before="123" w:after="0" w:line="227" w:lineRule="exact"/>
        <w:ind w:right="0" w:left="216"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13	</w:t>
      </w:r>
      <w:r>
        <w:rPr>
          <w:rFonts w:ascii="Times New Roman" w:hAnsi="Times New Roman" w:eastAsia="Times New Roman"/>
          <w:color w:val="000000"/>
          <w:spacing w:val="-1"/>
          <w:w w:val="100"/>
          <w:sz w:val="20"/>
          <w:vertAlign w:val="baseline"/>
          <w:lang w:val="en-US"/>
        </w:rPr>
        <w:t xml:space="preserve">132—Refusal to renew accreditation	</w:t>
      </w:r>
      <w:r>
        <w:rPr>
          <w:rFonts w:ascii="Times New Roman" w:hAnsi="Times New Roman" w:eastAsia="Times New Roman"/>
          <w:color w:val="000000"/>
          <w:spacing w:val="-1"/>
          <w:w w:val="100"/>
          <w:sz w:val="20"/>
          <w:vertAlign w:val="baseline"/>
          <w:lang w:val="en-US"/>
        </w:rPr>
        <w:t xml:space="preserve">Applicant</w:t>
      </w:r>
    </w:p>
    <w:p>
      <w:pPr>
        <w:spacing w:before="61" w:after="0" w:line="227" w:lineRule="exact"/>
        <w:ind w:right="0" w:left="482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An RTO that engages the applicant</w:t>
      </w:r>
    </w:p>
    <w:p>
      <w:pPr>
        <w:tabs>
          <w:tab w:val="left" w:leader="none" w:pos="1008"/>
          <w:tab w:val="left" w:leader="none" w:pos="4824"/>
        </w:tabs>
        <w:spacing w:before="129" w:after="0" w:line="227"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14	</w:t>
      </w:r>
      <w:r>
        <w:rPr>
          <w:rFonts w:ascii="Times New Roman" w:hAnsi="Times New Roman" w:eastAsia="Times New Roman"/>
          <w:color w:val="000000"/>
          <w:spacing w:val="0"/>
          <w:w w:val="100"/>
          <w:sz w:val="20"/>
          <w:vertAlign w:val="baseline"/>
          <w:lang w:val="en-US"/>
        </w:rPr>
        <w:t xml:space="preserve">133—Suspension of accreditation	</w:t>
      </w:r>
      <w:r>
        <w:rPr>
          <w:rFonts w:ascii="Times New Roman" w:hAnsi="Times New Roman" w:eastAsia="Times New Roman"/>
          <w:color w:val="000000"/>
          <w:spacing w:val="0"/>
          <w:w w:val="100"/>
          <w:sz w:val="20"/>
          <w:vertAlign w:val="baseline"/>
          <w:lang w:val="en-US"/>
        </w:rPr>
        <w:t xml:space="preserve">Accredited assessor</w:t>
      </w:r>
    </w:p>
    <w:p>
      <w:pPr>
        <w:spacing w:before="53" w:after="0" w:line="230" w:lineRule="exact"/>
        <w:ind w:right="0" w:left="482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An RTO that engages the accredited assessor</w:t>
      </w:r>
    </w:p>
    <w:p>
      <w:pPr>
        <w:tabs>
          <w:tab w:val="left" w:leader="none" w:pos="1008"/>
          <w:tab w:val="left" w:leader="none" w:pos="4824"/>
        </w:tabs>
        <w:spacing w:before="128" w:after="0" w:line="227"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15	</w:t>
      </w:r>
      <w:r>
        <w:rPr>
          <w:rFonts w:ascii="Times New Roman" w:hAnsi="Times New Roman" w:eastAsia="Times New Roman"/>
          <w:color w:val="000000"/>
          <w:spacing w:val="0"/>
          <w:w w:val="100"/>
          <w:sz w:val="20"/>
          <w:vertAlign w:val="baseline"/>
          <w:lang w:val="en-US"/>
        </w:rPr>
        <w:t xml:space="preserve">133—Cancellation of accreditation	</w:t>
      </w:r>
      <w:r>
        <w:rPr>
          <w:rFonts w:ascii="Times New Roman" w:hAnsi="Times New Roman" w:eastAsia="Times New Roman"/>
          <w:color w:val="000000"/>
          <w:spacing w:val="0"/>
          <w:w w:val="100"/>
          <w:sz w:val="20"/>
          <w:vertAlign w:val="baseline"/>
          <w:lang w:val="en-US"/>
        </w:rPr>
        <w:t xml:space="preserve">Accredited assessor</w:t>
      </w:r>
    </w:p>
    <w:p>
      <w:pPr>
        <w:spacing w:before="57" w:after="0" w:line="231" w:lineRule="exact"/>
        <w:ind w:right="0" w:left="482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An RTO that engages the accredited assessor</w:t>
      </w:r>
    </w:p>
    <w:p>
      <w:pPr>
        <w:tabs>
          <w:tab w:val="left" w:leader="none" w:pos="1008"/>
          <w:tab w:val="left" w:leader="none" w:pos="4824"/>
        </w:tabs>
        <w:spacing w:before="117" w:after="0" w:line="227"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16	</w:t>
      </w:r>
      <w:r>
        <w:rPr>
          <w:rFonts w:ascii="Times New Roman" w:hAnsi="Times New Roman" w:eastAsia="Times New Roman"/>
          <w:color w:val="000000"/>
          <w:spacing w:val="0"/>
          <w:w w:val="100"/>
          <w:sz w:val="20"/>
          <w:vertAlign w:val="baseline"/>
          <w:lang w:val="en-US"/>
        </w:rPr>
        <w:t xml:space="preserve">133—Disqualification of assessor from	</w:t>
      </w:r>
      <w:r>
        <w:rPr>
          <w:rFonts w:ascii="Times New Roman" w:hAnsi="Times New Roman" w:eastAsia="Times New Roman"/>
          <w:color w:val="000000"/>
          <w:spacing w:val="0"/>
          <w:w w:val="100"/>
          <w:sz w:val="20"/>
          <w:vertAlign w:val="baseline"/>
          <w:lang w:val="en-US"/>
        </w:rPr>
        <w:t xml:space="preserve">Accredited assessor</w:t>
      </w:r>
    </w:p>
    <w:p>
      <w:pPr>
        <w:tabs>
          <w:tab w:val="left" w:leader="none" w:pos="4824"/>
        </w:tabs>
        <w:spacing w:before="32" w:after="0" w:line="257" w:lineRule="exact"/>
        <w:ind w:right="0" w:left="93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applying for a further accreditation	</w:t>
      </w:r>
      <w:r>
        <w:rPr>
          <w:rFonts w:ascii="Times New Roman" w:hAnsi="Times New Roman" w:eastAsia="Times New Roman"/>
          <w:color w:val="000000"/>
          <w:spacing w:val="0"/>
          <w:w w:val="100"/>
          <w:sz w:val="20"/>
          <w:vertAlign w:val="baseline"/>
          <w:lang w:val="en-US"/>
        </w:rPr>
        <w:t xml:space="preserve">An RTO that engages the accredited</w:t>
      </w:r>
    </w:p>
    <w:p>
      <w:pPr>
        <w:spacing w:before="9" w:after="0" w:line="227" w:lineRule="exact"/>
        <w:ind w:right="0" w:left="482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assessor</w:t>
      </w:r>
    </w:p>
    <w:p>
      <w:pPr>
        <w:spacing w:before="117" w:after="0" w:line="235" w:lineRule="exact"/>
        <w:ind w:right="0" w:left="151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Registration of Plant Designs</w:t>
      </w:r>
    </w:p>
    <w:p>
      <w:pPr>
        <w:tabs>
          <w:tab w:val="left" w:leader="none" w:pos="1008"/>
          <w:tab w:val="left" w:leader="none" w:pos="4824"/>
        </w:tabs>
        <w:spacing w:before="121" w:after="0" w:line="227" w:lineRule="exact"/>
        <w:ind w:right="0" w:left="216"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17	</w:t>
      </w:r>
      <w:r>
        <w:rPr>
          <w:rFonts w:ascii="Times New Roman" w:hAnsi="Times New Roman" w:eastAsia="Times New Roman"/>
          <w:color w:val="000000"/>
          <w:spacing w:val="-1"/>
          <w:w w:val="100"/>
          <w:sz w:val="20"/>
          <w:vertAlign w:val="baseline"/>
          <w:lang w:val="en-US"/>
        </w:rPr>
        <w:t xml:space="preserve">256—Refusal to register plant design	</w:t>
      </w:r>
      <w:r>
        <w:rPr>
          <w:rFonts w:ascii="Times New Roman" w:hAnsi="Times New Roman" w:eastAsia="Times New Roman"/>
          <w:color w:val="000000"/>
          <w:spacing w:val="-1"/>
          <w:w w:val="100"/>
          <w:sz w:val="20"/>
          <w:vertAlign w:val="baseline"/>
          <w:lang w:val="en-US"/>
        </w:rPr>
        <w:t xml:space="preserve">Applicant</w:t>
      </w:r>
    </w:p>
    <w:p>
      <w:pPr>
        <w:tabs>
          <w:tab w:val="left" w:leader="none" w:pos="1008"/>
          <w:tab w:val="left" w:leader="none" w:pos="4824"/>
        </w:tabs>
        <w:spacing w:before="124" w:after="0" w:line="227" w:lineRule="exact"/>
        <w:ind w:right="0" w:left="216"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18	</w:t>
      </w:r>
      <w:r>
        <w:rPr>
          <w:rFonts w:ascii="Times New Roman" w:hAnsi="Times New Roman" w:eastAsia="Times New Roman"/>
          <w:color w:val="000000"/>
          <w:spacing w:val="-1"/>
          <w:w w:val="100"/>
          <w:sz w:val="20"/>
          <w:vertAlign w:val="baseline"/>
          <w:lang w:val="en-US"/>
        </w:rPr>
        <w:t xml:space="preserve">257—Refusal to register plant design	</w:t>
      </w:r>
      <w:r>
        <w:rPr>
          <w:rFonts w:ascii="Times New Roman" w:hAnsi="Times New Roman" w:eastAsia="Times New Roman"/>
          <w:color w:val="000000"/>
          <w:spacing w:val="-1"/>
          <w:w w:val="100"/>
          <w:sz w:val="20"/>
          <w:vertAlign w:val="baseline"/>
          <w:lang w:val="en-US"/>
        </w:rPr>
        <w:t xml:space="preserve">Applicant</w:t>
      </w:r>
    </w:p>
    <w:p>
      <w:pPr>
        <w:tabs>
          <w:tab w:val="left" w:leader="none" w:pos="1008"/>
          <w:tab w:val="left" w:leader="none" w:pos="4824"/>
        </w:tabs>
        <w:spacing w:before="116" w:after="0" w:line="227" w:lineRule="exact"/>
        <w:ind w:right="0" w:left="216"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19	</w:t>
      </w:r>
      <w:r>
        <w:rPr>
          <w:rFonts w:ascii="Times New Roman" w:hAnsi="Times New Roman" w:eastAsia="Times New Roman"/>
          <w:color w:val="000000"/>
          <w:spacing w:val="-1"/>
          <w:w w:val="100"/>
          <w:sz w:val="20"/>
          <w:vertAlign w:val="baseline"/>
          <w:lang w:val="en-US"/>
        </w:rPr>
        <w:t xml:space="preserve">258—Imposition of a condition when	</w:t>
      </w:r>
      <w:r>
        <w:rPr>
          <w:rFonts w:ascii="Times New Roman" w:hAnsi="Times New Roman" w:eastAsia="Times New Roman"/>
          <w:color w:val="000000"/>
          <w:spacing w:val="-1"/>
          <w:w w:val="100"/>
          <w:sz w:val="20"/>
          <w:vertAlign w:val="baseline"/>
          <w:lang w:val="en-US"/>
        </w:rPr>
        <w:t xml:space="preserve">Applicant</w:t>
      </w:r>
    </w:p>
    <w:p>
      <w:pPr>
        <w:spacing w:before="6" w:after="0" w:line="227" w:lineRule="exact"/>
        <w:ind w:right="0" w:left="93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granting registration of plant design</w:t>
      </w:r>
    </w:p>
    <w:p>
      <w:pPr>
        <w:spacing w:before="122" w:after="0" w:line="235" w:lineRule="exact"/>
        <w:ind w:right="0" w:left="18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Registration of Plant</w:t>
      </w:r>
    </w:p>
    <w:p>
      <w:pPr>
        <w:tabs>
          <w:tab w:val="left" w:leader="none" w:pos="1008"/>
          <w:tab w:val="left" w:leader="none" w:pos="4824"/>
        </w:tabs>
        <w:spacing w:before="121" w:after="0" w:line="227"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	</w:t>
      </w:r>
      <w:r>
        <w:rPr>
          <w:rFonts w:ascii="Times New Roman" w:hAnsi="Times New Roman" w:eastAsia="Times New Roman"/>
          <w:color w:val="000000"/>
          <w:spacing w:val="0"/>
          <w:w w:val="100"/>
          <w:sz w:val="20"/>
          <w:vertAlign w:val="baseline"/>
          <w:lang w:val="en-US"/>
        </w:rPr>
        <w:t xml:space="preserve">269—Refusal to register item of plant	</w:t>
      </w:r>
      <w:r>
        <w:rPr>
          <w:rFonts w:ascii="Times New Roman" w:hAnsi="Times New Roman" w:eastAsia="Times New Roman"/>
          <w:color w:val="000000"/>
          <w:spacing w:val="0"/>
          <w:w w:val="100"/>
          <w:sz w:val="20"/>
          <w:vertAlign w:val="baseline"/>
          <w:lang w:val="en-US"/>
        </w:rPr>
        <w:t xml:space="preserve">Applicant</w:t>
      </w:r>
    </w:p>
    <w:p>
      <w:pPr>
        <w:spacing w:before="57" w:after="0" w:line="231" w:lineRule="exact"/>
        <w:ind w:right="576" w:left="482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The person with management or control of the item of plant</w:t>
      </w:r>
    </w:p>
    <w:p>
      <w:pPr>
        <w:tabs>
          <w:tab w:val="left" w:leader="none" w:pos="1008"/>
          <w:tab w:val="left" w:leader="none" w:pos="4824"/>
        </w:tabs>
        <w:spacing w:before="123" w:after="0" w:line="227"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21	</w:t>
      </w:r>
      <w:r>
        <w:rPr>
          <w:rFonts w:ascii="Times New Roman" w:hAnsi="Times New Roman" w:eastAsia="Times New Roman"/>
          <w:color w:val="000000"/>
          <w:spacing w:val="0"/>
          <w:w w:val="100"/>
          <w:sz w:val="20"/>
          <w:vertAlign w:val="baseline"/>
          <w:lang w:val="en-US"/>
        </w:rPr>
        <w:t xml:space="preserve">270—Refusal to register item of plant	</w:t>
      </w:r>
      <w:r>
        <w:rPr>
          <w:rFonts w:ascii="Times New Roman" w:hAnsi="Times New Roman" w:eastAsia="Times New Roman"/>
          <w:color w:val="000000"/>
          <w:spacing w:val="0"/>
          <w:w w:val="100"/>
          <w:sz w:val="20"/>
          <w:vertAlign w:val="baseline"/>
          <w:lang w:val="en-US"/>
        </w:rPr>
        <w:t xml:space="preserve">Applicant</w:t>
      </w:r>
    </w:p>
    <w:p>
      <w:pPr>
        <w:spacing w:before="57" w:after="105" w:line="231" w:lineRule="exact"/>
        <w:ind w:right="576" w:left="482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The person with management or control of the item of plant</w:t>
      </w:r>
    </w:p>
    <w:p>
      <w:pPr>
        <w:spacing w:before="57" w:after="105" w:line="231" w:lineRule="exact"/>
        <w:sectPr>
          <w:type w:val="nextPage"/>
          <w:pgSz w:w="11909" w:h="16838" w:orient="portrait"/>
          <w:pgMar w:bottom="1082" w:top="1140" w:right="1940" w:left="1949" w:header="720" w:footer="720"/>
          <w:titlePg w:val="false"/>
          <w:textDirection w:val="lrTb"/>
        </w:sectPr>
      </w:pPr>
    </w:p>
    <w:p>
      <w:pPr>
        <w:tabs>
          <w:tab w:val="left" w:leader="none" w:pos="720"/>
        </w:tabs>
        <w:spacing w:before="0" w:after="0" w:line="233" w:lineRule="exact"/>
        <w:ind w:right="432" w:left="720" w:hanging="720"/>
        <w:jc w:val="both"/>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22	</w:t>
      </w:r>
      <w:r>
        <w:rPr>
          <w:rFonts w:ascii="Times New Roman" w:hAnsi="Times New Roman" w:eastAsia="Times New Roman"/>
          <w:color w:val="000000"/>
          <w:spacing w:val="-1"/>
          <w:w w:val="100"/>
          <w:sz w:val="20"/>
          <w:vertAlign w:val="baseline"/>
          <w:lang w:val="en-US"/>
        </w:rPr>
        <w:t xml:space="preserve">271—Imposition of a condition when granting registration of item of plant</w:t>
      </w:r>
    </w:p>
    <w:p>
      <w:pPr>
        <w:tabs>
          <w:tab w:val="left" w:leader="none" w:pos="720"/>
        </w:tabs>
        <w:spacing w:before="399" w:after="0" w:line="235" w:lineRule="exact"/>
        <w:ind w:right="432" w:left="720" w:hanging="720"/>
        <w:jc w:val="both"/>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23	</w:t>
      </w:r>
      <w:r>
        <w:rPr>
          <w:rFonts w:ascii="Times New Roman" w:hAnsi="Times New Roman" w:eastAsia="Times New Roman"/>
          <w:color w:val="000000"/>
          <w:spacing w:val="-1"/>
          <w:w w:val="100"/>
          <w:sz w:val="20"/>
          <w:vertAlign w:val="baseline"/>
          <w:lang w:val="en-US"/>
        </w:rPr>
        <w:t xml:space="preserve">271—Imposition of a condition when renewing registration of item of plant</w:t>
      </w:r>
    </w:p>
    <w:p>
      <w:pPr>
        <w:tabs>
          <w:tab w:val="left" w:leader="none" w:pos="720"/>
        </w:tabs>
        <w:spacing w:before="409" w:after="0" w:line="230" w:lineRule="exact"/>
        <w:ind w:right="0" w:left="720" w:hanging="72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24	</w:t>
      </w:r>
      <w:r>
        <w:rPr>
          <w:rFonts w:ascii="Times New Roman" w:hAnsi="Times New Roman" w:eastAsia="Times New Roman"/>
          <w:color w:val="000000"/>
          <w:spacing w:val="0"/>
          <w:w w:val="100"/>
          <w:sz w:val="20"/>
          <w:vertAlign w:val="baseline"/>
          <w:lang w:val="en-US"/>
        </w:rPr>
        <w:t xml:space="preserve">279—Refusal to renew registration of item of plant</w:t>
      </w:r>
    </w:p>
    <w:p>
      <w:pPr>
        <w:tabs>
          <w:tab w:val="left" w:leader="none" w:pos="720"/>
        </w:tabs>
        <w:spacing w:before="407" w:after="0" w:line="230" w:lineRule="exact"/>
        <w:ind w:right="432" w:left="720" w:hanging="72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25	</w:t>
      </w:r>
      <w:r>
        <w:rPr>
          <w:rFonts w:ascii="Times New Roman" w:hAnsi="Times New Roman" w:eastAsia="Times New Roman"/>
          <w:color w:val="000000"/>
          <w:spacing w:val="0"/>
          <w:w w:val="100"/>
          <w:sz w:val="20"/>
          <w:vertAlign w:val="baseline"/>
          <w:lang w:val="en-US"/>
        </w:rPr>
        <w:t xml:space="preserve">283—Amendment of registration, on regulator's initiative</w:t>
      </w:r>
    </w:p>
    <w:p>
      <w:pPr>
        <w:spacing w:before="9"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br w:type="column"/>
      </w:r>
      <w:r>
        <w:rPr>
          <w:rFonts w:ascii="Times New Roman" w:hAnsi="Times New Roman" w:eastAsia="Times New Roman"/>
          <w:color w:val="000000"/>
          <w:spacing w:val="0"/>
          <w:w w:val="100"/>
          <w:sz w:val="20"/>
          <w:vertAlign w:val="baseline"/>
          <w:lang w:val="en-US"/>
        </w:rPr>
        <w:t xml:space="preserve">Applicant</w:t>
      </w:r>
    </w:p>
    <w:p>
      <w:pPr>
        <w:spacing w:before="58"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The person with management or control of the item of plant</w:t>
      </w:r>
    </w:p>
    <w:p>
      <w:pPr>
        <w:spacing w:before="124"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Registration holder</w:t>
      </w:r>
    </w:p>
    <w:p>
      <w:pPr>
        <w:spacing w:before="58"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The person with management or control of the item of plant</w:t>
      </w:r>
    </w:p>
    <w:p>
      <w:pPr>
        <w:spacing w:before="128"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Registration holder</w:t>
      </w:r>
    </w:p>
    <w:p>
      <w:pPr>
        <w:spacing w:before="54"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The person with management or control of the item of plant</w:t>
      </w:r>
    </w:p>
    <w:p>
      <w:pPr>
        <w:spacing w:before="128"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Registration holder</w:t>
      </w:r>
    </w:p>
    <w:p>
      <w:pPr>
        <w:spacing w:before="57"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The person with management or control of the item of plant</w:t>
      </w:r>
    </w:p>
    <w:p>
      <w:pPr>
        <w:sectPr>
          <w:type w:val="continuous"/>
          <w:pgSz w:w="11909" w:h="16838" w:orient="portrait"/>
          <w:pgMar w:bottom="1082" w:top="1140" w:right="2535" w:left="2203" w:header="720" w:footer="720"/>
          <w:cols w:sep="0" w:num="2" w:space="0" w:equalWidth="0">
            <w:col w:w="4176" w:space="394"/>
            <w:col w:w="2601" w:space="0"/>
          </w:cols>
          <w:titlePg w:val="false"/>
          <w:textDirection w:val="lrTb"/>
        </w:sectPr>
      </w:pPr>
    </w:p>
    <w:p>
      <w:pPr>
        <w:spacing w:before="715"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19.4pt" to="401.05pt,19.4pt" style="position:absolute;mso-position-horizontal-relative:text;mso-position-vertical-relative:text;">
            <v:stroke dashstyle="solid"/>
          </v:line>
        </w:pict>
      </w:r>
    </w:p>
    <w:p>
      <w:pPr>
        <w:sectPr>
          <w:type w:val="continuous"/>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417</w:t>
      </w:r>
    </w:p>
    <w:p>
      <w:pPr>
        <w:sectPr>
          <w:type w:val="continuous"/>
          <w:pgSz w:w="11909" w:h="16838" w:orient="portrait"/>
          <w:pgMar w:bottom="1082" w:top="1140" w:right="5811" w:left="1978" w:header="720" w:footer="720"/>
          <w:titlePg w:val="false"/>
          <w:textDirection w:val="lrTb"/>
        </w:sectPr>
      </w:pPr>
    </w:p>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pict>
          <v:shapetype id="_x0000_t1" coordsize="21600,21600" o:spt="202" path="m,l,21600r21600,l21600,xe">
            <v:stroke joinstyle="miter"/>
            <v:path gradientshapeok="t" o:connecttype="rect"/>
          </v:shapetype>
          <v:shape id="_x0000_s0" type="#_x0000_t1" filled="f" stroked="f" style="position:absolute;width:401pt;height:46.6pt;z-index:-1;margin-left:97.45pt;margin-top:57pt;mso-wrap-distance-left:0pt;mso-wrap-distance-right:0pt;mso-position-horizontal-relative:page;mso-position-vertical-relative:page">
            <w10:wrap type="square" side="both"/>
            <v:fill opacity="1" o:opacity2="1" recolor="f" rotate="f" type="solid"/>
            <v:textbox inset="0pt, 0pt, 0pt, 0pt">
              <w:txbxContent>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11.1	</w:t>
                  </w:r>
                  <w:r>
                    <w:rPr>
                      <w:rFonts w:ascii="Times New Roman" w:hAnsi="Times New Roman" w:eastAsia="Times New Roman"/>
                      <w:color w:val="000000"/>
                      <w:spacing w:val="0"/>
                      <w:w w:val="100"/>
                      <w:sz w:val="20"/>
                      <w:vertAlign w:val="baseline"/>
                      <w:lang w:val="en-US"/>
                    </w:rPr>
                    <w:t xml:space="preserve">Review of Decisions under these Regulations</w:t>
                  </w:r>
                </w:p>
              </w:txbxContent>
            </v:textbox>
          </v:shape>
        </w:pict>
      </w:r>
      <w:r>
        <w:pict>
          <v:shapetype id="_x0000_t2" coordsize="21600,21600" o:spt="202" path="m,l,21600r21600,l21600,xe">
            <v:stroke joinstyle="miter"/>
            <v:path gradientshapeok="t" o:connecttype="rect"/>
          </v:shapetype>
          <v:shape id="_x0000_s1" type="#_x0000_t2" filled="f" stroked="f" style="position:absolute;width:401pt;height:44.95pt;z-index:-1;margin-left:97.45pt;margin-top:103.6pt;mso-wrap-distance-left:0pt;mso-wrap-distance-right:0pt;mso-position-horizontal-relative:page;mso-position-vertical-relative:page">
            <w10:wrap type="square" side="both"/>
            <v:fill opacity="1" o:opacity2="1" recolor="f" rotate="f" type="solid"/>
            <v:textbox inset="0pt, 0pt, 0pt, 0pt">
              <w:txbxContent>
                <w:p>
                  <w:pPr>
                    <w:tabs>
                      <w:tab w:val="left" w:leader="none" w:pos="4824"/>
                    </w:tabs>
                    <w:spacing w:before="316" w:after="0" w:line="233" w:lineRule="exact"/>
                    <w:ind w:right="0" w:left="216"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Item Regulation under which reviewable	</w:t>
                  </w:r>
                  <w:r>
                    <w:rPr>
                      <w:rFonts w:ascii="Times New Roman" w:hAnsi="Times New Roman" w:eastAsia="Times New Roman"/>
                      <w:b w:val="true"/>
                      <w:color w:val="000000"/>
                      <w:spacing w:val="0"/>
                      <w:w w:val="100"/>
                      <w:sz w:val="20"/>
                      <w:vertAlign w:val="baseline"/>
                      <w:lang w:val="en-US"/>
                    </w:rPr>
                    <w:t xml:space="preserve">Eligible person in relation to</w:t>
                  </w:r>
                </w:p>
                <w:p>
                  <w:pPr>
                    <w:tabs>
                      <w:tab w:val="left" w:leader="none" w:pos="4824"/>
                    </w:tabs>
                    <w:spacing w:before="1" w:after="111" w:line="233" w:lineRule="exact"/>
                    <w:ind w:right="0" w:left="936" w:firstLine="0"/>
                    <w:jc w:val="left"/>
                    <w:textAlignment w:val="baseline"/>
                    <w:rPr>
                      <w:rFonts w:ascii="Times New Roman" w:hAnsi="Times New Roman" w:eastAsia="Times New Roman"/>
                      <w:b w:val="true"/>
                      <w:color w:val="000000"/>
                      <w:spacing w:val="-1"/>
                      <w:w w:val="100"/>
                      <w:sz w:val="20"/>
                      <w:vertAlign w:val="baseline"/>
                      <w:lang w:val="en-US"/>
                    </w:rPr>
                  </w:pPr>
                  <w:r>
                    <w:rPr>
                      <w:rFonts w:ascii="Times New Roman" w:hAnsi="Times New Roman" w:eastAsia="Times New Roman"/>
                      <w:b w:val="true"/>
                      <w:color w:val="000000"/>
                      <w:spacing w:val="-1"/>
                      <w:w w:val="100"/>
                      <w:sz w:val="20"/>
                      <w:vertAlign w:val="baseline"/>
                      <w:lang w:val="en-US"/>
                    </w:rPr>
                    <w:t xml:space="preserve">decision is made	</w:t>
                  </w:r>
                  <w:r>
                    <w:rPr>
                      <w:rFonts w:ascii="Times New Roman" w:hAnsi="Times New Roman" w:eastAsia="Times New Roman"/>
                      <w:b w:val="true"/>
                      <w:color w:val="000000"/>
                      <w:spacing w:val="-1"/>
                      <w:w w:val="100"/>
                      <w:sz w:val="20"/>
                      <w:vertAlign w:val="baseline"/>
                      <w:lang w:val="en-US"/>
                    </w:rPr>
                    <w:t xml:space="preserve">reviewable decision</w:t>
                  </w:r>
                </w:p>
              </w:txbxContent>
            </v:textbox>
          </v:shape>
        </w:pict>
      </w:r>
      <w:r>
        <w:pict>
          <v:shapetype id="_x0000_t3" coordsize="21600,21600" o:spt="202" path="m,l,21600r21600,l21600,xe">
            <v:stroke joinstyle="miter"/>
            <v:path gradientshapeok="t" o:connecttype="rect"/>
          </v:shapetype>
          <v:shape id="_x0000_s2" type="#_x0000_t3" filled="f" stroked="f" style="position:absolute;width:216.5pt;height:66.9pt;z-index:-1;margin-left:110.15pt;margin-top:148.55pt;mso-wrap-distance-left:0pt;mso-wrap-distance-right:0pt;mso-position-horizontal-relative:page;mso-position-vertical-relative:page">
            <w10:wrap type="square" side="both"/>
            <v:fill opacity="1" o:opacity2="1" recolor="f" rotate="f" type="solid"/>
            <v:textbox inset="0pt, 0pt, 0pt, 0pt">
              <w:txbxContent>
                <w:p>
                  <w:pPr>
                    <w:tabs>
                      <w:tab w:val="left" w:leader="none" w:pos="720"/>
                    </w:tabs>
                    <w:spacing w:before="2" w:after="0" w:line="230" w:lineRule="exact"/>
                    <w:ind w:right="0" w:left="720" w:hanging="72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26	</w:t>
                  </w:r>
                  <w:r>
                    <w:rPr>
                      <w:rFonts w:ascii="Times New Roman" w:hAnsi="Times New Roman" w:eastAsia="Times New Roman"/>
                      <w:color w:val="000000"/>
                      <w:spacing w:val="0"/>
                      <w:w w:val="100"/>
                      <w:sz w:val="20"/>
                      <w:vertAlign w:val="baseline"/>
                      <w:lang w:val="en-US"/>
                    </w:rPr>
                    <w:t xml:space="preserve">284—Refusal to amend registration on application (or a decision to make a different amendment)</w:t>
                  </w:r>
                </w:p>
                <w:p>
                  <w:pPr>
                    <w:tabs>
                      <w:tab w:val="left" w:leader="none" w:pos="720"/>
                    </w:tabs>
                    <w:spacing w:before="173" w:after="0" w:line="234" w:lineRule="exact"/>
                    <w:ind w:right="792" w:left="720" w:hanging="72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27	</w:t>
                  </w:r>
                  <w:r>
                    <w:rPr>
                      <w:rFonts w:ascii="Times New Roman" w:hAnsi="Times New Roman" w:eastAsia="Times New Roman"/>
                      <w:color w:val="000000"/>
                      <w:spacing w:val="0"/>
                      <w:w w:val="100"/>
                      <w:sz w:val="20"/>
                      <w:vertAlign w:val="baseline"/>
                      <w:lang w:val="en-US"/>
                    </w:rPr>
                    <w:t xml:space="preserve">288—Refusal to issue replacement registration document</w:t>
                  </w:r>
                </w:p>
              </w:txbxContent>
            </v:textbox>
          </v:shape>
        </w:pict>
      </w:r>
      <w:r>
        <w:pict>
          <v:shapetype id="_x0000_t4" coordsize="21600,21600" o:spt="202" path="m,l,21600r21600,l21600,xe">
            <v:stroke joinstyle="miter"/>
            <v:path gradientshapeok="t" o:connecttype="rect"/>
          </v:shapetype>
          <v:shape id="_x0000_s3" type="#_x0000_t4" filled="f" stroked="f" style="position:absolute;width:130.05pt;height:81.15pt;z-index:-1;margin-left:338.65pt;margin-top:148.55pt;mso-wrap-distance-left:0pt;mso-wrap-distance-right:0pt;mso-position-horizontal-relative:page;mso-position-vertical-relative:page">
            <w10:wrap type="square" side="both"/>
            <v:fill opacity="1" o:opacity2="1" recolor="f" rotate="f" type="solid"/>
            <v:textbox inset="0pt, 0pt, 0pt, 0pt">
              <w:txbxContent>
                <w:p>
                  <w:pPr>
                    <w:spacing w:before="9"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Registration holder</w:t>
                  </w:r>
                </w:p>
                <w:p>
                  <w:pPr>
                    <w:spacing w:before="58"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The person with management or control of the item of plant</w:t>
                  </w:r>
                </w:p>
                <w:p>
                  <w:pPr>
                    <w:spacing w:before="123"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Registration holder</w:t>
                  </w:r>
                </w:p>
                <w:p>
                  <w:pPr>
                    <w:spacing w:before="57"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The person with management or control of the item of plant</w:t>
                  </w:r>
                </w:p>
              </w:txbxContent>
            </v:textbox>
          </v:shape>
        </w:pict>
      </w:r>
      <w:r>
        <w:pict>
          <v:shapetype id="_x0000_t5" coordsize="21600,21600" o:spt="202" path="m,l,21600r21600,l21600,xe">
            <v:stroke joinstyle="miter"/>
            <v:path gradientshapeok="t" o:connecttype="rect"/>
          </v:shapetype>
          <v:shape id="_x0000_s4" type="#_x0000_t5" filled="f" stroked="f" style="position:absolute;width:401pt;height:49.65pt;z-index:-1;margin-left:88.95pt;margin-top:229.7pt;mso-wrap-distance-left:0pt;mso-wrap-distance-right:0pt;mso-position-horizontal-relative:page;mso-position-vertical-relative:page">
            <w10:wrap type="square" side="both"/>
            <v:fill opacity="1" o:opacity2="1" recolor="f" rotate="f" type="solid"/>
            <v:textbox inset="0pt, 0pt, 0pt, 0pt">
              <w:txbxContent>
                <w:p>
                  <w:pPr>
                    <w:tabs>
                      <w:tab w:val="left" w:leader="none" w:pos="1152"/>
                      <w:tab w:val="left" w:leader="none" w:pos="4968"/>
                    </w:tabs>
                    <w:spacing w:before="123" w:after="0" w:line="227" w:lineRule="exact"/>
                    <w:ind w:right="0" w:left="43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27A	</w:t>
                  </w:r>
                  <w:r>
                    <w:rPr>
                      <w:rFonts w:ascii="Times New Roman" w:hAnsi="Times New Roman" w:eastAsia="Times New Roman"/>
                      <w:color w:val="000000"/>
                      <w:spacing w:val="0"/>
                      <w:w w:val="100"/>
                      <w:sz w:val="20"/>
                      <w:vertAlign w:val="baseline"/>
                      <w:lang w:val="en-US"/>
                    </w:rPr>
                    <w:t xml:space="preserve">288B—Decision to cancel registration	</w:t>
                  </w:r>
                  <w:r>
                    <w:rPr>
                      <w:rFonts w:ascii="Times New Roman" w:hAnsi="Times New Roman" w:eastAsia="Times New Roman"/>
                      <w:color w:val="000000"/>
                      <w:spacing w:val="0"/>
                      <w:w w:val="100"/>
                      <w:sz w:val="20"/>
                      <w:vertAlign w:val="baseline"/>
                      <w:lang w:val="en-US"/>
                    </w:rPr>
                    <w:t xml:space="preserve">Registration holder</w:t>
                  </w:r>
                </w:p>
                <w:p>
                  <w:pPr>
                    <w:spacing w:before="57" w:after="109" w:line="231" w:lineRule="exact"/>
                    <w:ind w:right="0" w:left="49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The person with management or control of the item of plant</w:t>
                  </w:r>
                </w:p>
              </w:txbxContent>
            </v:textbox>
          </v:shape>
        </w:pict>
      </w:r>
      <w:r>
        <w:pict>
          <v:shapetype id="_x0000_t6" coordsize="21600,21600" o:spt="202" path="m,l,21600r21600,l21600,xe">
            <v:stroke joinstyle="miter"/>
            <v:path gradientshapeok="t" o:connecttype="rect"/>
          </v:shapetype>
          <v:shape id="_x0000_s5" type="#_x0000_t6" filled="f" stroked="f" style="position:absolute;width:217pt;height:364.8pt;z-index:-1;margin-left:110.15pt;margin-top:279.35pt;mso-wrap-distance-left:0pt;mso-wrap-distance-right:0pt;mso-position-horizontal-relative:page;mso-position-vertical-relative:page">
            <w10:wrap type="square" side="both"/>
            <v:fill opacity="1" o:opacity2="1" recolor="f" rotate="f" type="solid"/>
            <v:textbox inset="0pt, 0pt, 0pt, 0pt">
              <w:txbxContent>
                <w:p>
                  <w:pPr>
                    <w:spacing w:before="0" w:after="0" w:line="233" w:lineRule="exact"/>
                    <w:ind w:right="0" w:left="720" w:firstLine="0"/>
                    <w:jc w:val="left"/>
                    <w:textAlignment w:val="baseline"/>
                    <w:rPr>
                      <w:rFonts w:ascii="Times New Roman" w:hAnsi="Times New Roman" w:eastAsia="Times New Roman"/>
                      <w:b w:val="true"/>
                      <w:color w:val="000000"/>
                      <w:spacing w:val="-1"/>
                      <w:w w:val="100"/>
                      <w:sz w:val="20"/>
                      <w:vertAlign w:val="baseline"/>
                      <w:lang w:val="en-US"/>
                    </w:rPr>
                  </w:pPr>
                  <w:r>
                    <w:rPr>
                      <w:rFonts w:ascii="Times New Roman" w:hAnsi="Times New Roman" w:eastAsia="Times New Roman"/>
                      <w:b w:val="true"/>
                      <w:color w:val="000000"/>
                      <w:spacing w:val="-1"/>
                      <w:w w:val="100"/>
                      <w:sz w:val="20"/>
                      <w:vertAlign w:val="baseline"/>
                      <w:lang w:val="en-US"/>
                    </w:rPr>
                    <w:t xml:space="preserve">General Construction Induction Training</w:t>
                  </w:r>
                </w:p>
                <w:p>
                  <w:pPr>
                    <w:tabs>
                      <w:tab w:val="left" w:leader="none" w:pos="720"/>
                    </w:tabs>
                    <w:spacing w:before="112" w:after="0" w:line="231" w:lineRule="exact"/>
                    <w:ind w:right="144" w:left="720" w:hanging="72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28	</w:t>
                  </w:r>
                  <w:r>
                    <w:rPr>
                      <w:rFonts w:ascii="Times New Roman" w:hAnsi="Times New Roman" w:eastAsia="Times New Roman"/>
                      <w:color w:val="000000"/>
                      <w:spacing w:val="0"/>
                      <w:w w:val="100"/>
                      <w:sz w:val="20"/>
                      <w:vertAlign w:val="baseline"/>
                      <w:lang w:val="en-US"/>
                    </w:rPr>
                    <w:t xml:space="preserve">322—Refusal to issue general construction induction training card</w:t>
                  </w:r>
                </w:p>
                <w:p>
                  <w:pPr>
                    <w:tabs>
                      <w:tab w:val="left" w:leader="none" w:pos="720"/>
                    </w:tabs>
                    <w:spacing w:before="118" w:after="0" w:line="227" w:lineRule="exact"/>
                    <w:ind w:right="0" w:left="0"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29	</w:t>
                  </w:r>
                  <w:r>
                    <w:rPr>
                      <w:rFonts w:ascii="Times New Roman" w:hAnsi="Times New Roman" w:eastAsia="Times New Roman"/>
                      <w:color w:val="000000"/>
                      <w:spacing w:val="0"/>
                      <w:w w:val="100"/>
                      <w:sz w:val="20"/>
                      <w:vertAlign w:val="baseline"/>
                      <w:lang w:val="en-US"/>
                    </w:rPr>
                    <w:t xml:space="preserve">322—Refusal to issue replacement general</w:t>
                  </w:r>
                </w:p>
                <w:p>
                  <w:pPr>
                    <w:spacing w:before="9" w:after="0" w:line="227" w:lineRule="exact"/>
                    <w:ind w:right="0" w:left="7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construction induction training card</w:t>
                  </w:r>
                </w:p>
                <w:p>
                  <w:pPr>
                    <w:tabs>
                      <w:tab w:val="left" w:leader="none" w:pos="720"/>
                    </w:tabs>
                    <w:spacing w:before="110" w:after="0" w:line="235" w:lineRule="exact"/>
                    <w:ind w:right="216" w:left="720" w:hanging="72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30	</w:t>
                  </w:r>
                  <w:r>
                    <w:rPr>
                      <w:rFonts w:ascii="Times New Roman" w:hAnsi="Times New Roman" w:eastAsia="Times New Roman"/>
                      <w:color w:val="000000"/>
                      <w:spacing w:val="0"/>
                      <w:w w:val="100"/>
                      <w:sz w:val="20"/>
                      <w:vertAlign w:val="baseline"/>
                      <w:lang w:val="en-US"/>
                    </w:rPr>
                    <w:t xml:space="preserve">323—Cancellation of general construction induction training card</w:t>
                  </w:r>
                </w:p>
                <w:p>
                  <w:pPr>
                    <w:spacing w:before="120" w:after="0" w:line="233" w:lineRule="exact"/>
                    <w:ind w:right="0" w:left="122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Hazardous chemicals and lead</w:t>
                  </w:r>
                </w:p>
                <w:p>
                  <w:pPr>
                    <w:tabs>
                      <w:tab w:val="left" w:leader="none" w:pos="720"/>
                    </w:tabs>
                    <w:spacing w:before="114" w:after="0" w:line="230" w:lineRule="exact"/>
                    <w:ind w:right="144" w:left="720" w:hanging="72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31	</w:t>
                  </w:r>
                  <w:r>
                    <w:rPr>
                      <w:rFonts w:ascii="Times New Roman" w:hAnsi="Times New Roman" w:eastAsia="Times New Roman"/>
                      <w:color w:val="000000"/>
                      <w:spacing w:val="0"/>
                      <w:w w:val="100"/>
                      <w:sz w:val="20"/>
                      <w:vertAlign w:val="baseline"/>
                      <w:lang w:val="en-US"/>
                    </w:rPr>
                    <w:t xml:space="preserve">384—Refusal to grant authorisation to use, handle or store a prohibited or restricted carcinogen</w:t>
                  </w:r>
                </w:p>
                <w:p>
                  <w:pPr>
                    <w:tabs>
                      <w:tab w:val="left" w:leader="none" w:pos="720"/>
                    </w:tabs>
                    <w:spacing w:before="121" w:after="0" w:line="230" w:lineRule="exact"/>
                    <w:ind w:right="216" w:left="720" w:hanging="72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32	</w:t>
                  </w:r>
                  <w:r>
                    <w:rPr>
                      <w:rFonts w:ascii="Times New Roman" w:hAnsi="Times New Roman" w:eastAsia="Times New Roman"/>
                      <w:color w:val="000000"/>
                      <w:spacing w:val="0"/>
                      <w:w w:val="100"/>
                      <w:sz w:val="20"/>
                      <w:vertAlign w:val="baseline"/>
                      <w:lang w:val="en-US"/>
                    </w:rPr>
                    <w:t xml:space="preserve">386—Cancellation of authorisation to use, handle or store a prohibited or restricted carcinogen</w:t>
                  </w:r>
                </w:p>
                <w:p>
                  <w:pPr>
                    <w:tabs>
                      <w:tab w:val="left" w:leader="none" w:pos="720"/>
                    </w:tabs>
                    <w:spacing w:before="111" w:after="0" w:line="235" w:lineRule="exact"/>
                    <w:ind w:right="576" w:left="720" w:hanging="72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33	</w:t>
                  </w:r>
                  <w:r>
                    <w:rPr>
                      <w:rFonts w:ascii="Times New Roman" w:hAnsi="Times New Roman" w:eastAsia="Times New Roman"/>
                      <w:color w:val="000000"/>
                      <w:spacing w:val="0"/>
                      <w:w w:val="100"/>
                      <w:sz w:val="20"/>
                      <w:vertAlign w:val="baseline"/>
                      <w:lang w:val="en-US"/>
                    </w:rPr>
                    <w:t xml:space="preserve">393—Deciding a process to be a lead process</w:t>
                  </w:r>
                </w:p>
                <w:p>
                  <w:pPr>
                    <w:tabs>
                      <w:tab w:val="left" w:leader="none" w:pos="720"/>
                    </w:tabs>
                    <w:spacing w:before="871" w:after="0" w:line="230" w:lineRule="exact"/>
                    <w:ind w:right="72" w:left="720" w:hanging="72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34	</w:t>
                  </w:r>
                  <w:r>
                    <w:rPr>
                      <w:rFonts w:ascii="Times New Roman" w:hAnsi="Times New Roman" w:eastAsia="Times New Roman"/>
                      <w:color w:val="000000"/>
                      <w:spacing w:val="0"/>
                      <w:w w:val="100"/>
                      <w:sz w:val="20"/>
                      <w:vertAlign w:val="baseline"/>
                      <w:lang w:val="en-US"/>
                    </w:rPr>
                    <w:t xml:space="preserve">407—Determining a different frequency for biological monitoring of workers at a workplace, or a class of workers, carrying out lead risk work</w:t>
                  </w:r>
                </w:p>
                <w:p>
                  <w:pPr>
                    <w:spacing w:before="404" w:after="108" w:line="233" w:lineRule="exact"/>
                    <w:ind w:right="144" w:left="1800" w:hanging="936"/>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Asbestos removal licences and asbestos assessor licences</w:t>
                  </w:r>
                </w:p>
              </w:txbxContent>
            </v:textbox>
          </v:shape>
        </w:pict>
      </w:r>
      <w:r>
        <w:pict>
          <v:shapetype id="_x0000_t7" coordsize="21600,21600" o:spt="202" path="m,l,21600r21600,l21600,xe">
            <v:stroke joinstyle="miter"/>
            <v:path gradientshapeok="t" o:connecttype="rect"/>
          </v:shapetype>
          <v:shape id="_x0000_s6" type="#_x0000_t7" filled="f" stroked="f" style="position:absolute;width:48.25pt;height:69.4pt;z-index:-1;margin-left:338.65pt;margin-top:296.85pt;mso-wrap-distance-left:0pt;mso-wrap-distance-right:0pt;mso-position-horizontal-relative:page;mso-position-vertical-relative:page">
            <w10:wrap type="square" side="both"/>
            <v:fill opacity="1" o:opacity2="1" recolor="f" rotate="f" type="solid"/>
            <v:textbox inset="0pt, 0pt, 0pt, 0pt">
              <w:txbxContent>
                <w:p>
                  <w:pPr>
                    <w:spacing w:before="0" w:after="0" w:line="45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Applicant Card holder Card holder</w:t>
                  </w:r>
                </w:p>
              </w:txbxContent>
            </v:textbox>
          </v:shape>
        </w:pict>
      </w:r>
      <w:r>
        <w:pict>
          <v:shapetype id="_x0000_t8" coordsize="21600,21600" o:spt="202" path="m,l,21600r21600,l21600,xe">
            <v:stroke joinstyle="miter"/>
            <v:path gradientshapeok="t" o:connecttype="rect"/>
          </v:shapetype>
          <v:shape id="_x0000_s7" type="#_x0000_t8" filled="f" stroked="f" style="position:absolute;width:39.85pt;height:11.55pt;z-index:-1;margin-left:338.65pt;margin-top:401.25pt;mso-wrap-distance-left:0pt;mso-wrap-distance-right:0pt;mso-position-horizontal-relative:page;mso-position-vertical-relative:page">
            <w10:wrap type="square" side="both"/>
            <v:fill opacity="1" o:opacity2="1" recolor="f" rotate="f" type="solid"/>
            <v:textbox inset="0pt, 0pt, 0pt, 0pt">
              <w:txbxContent>
                <w:p>
                  <w:pPr>
                    <w:spacing w:before="4" w:after="0" w:line="222" w:lineRule="exact"/>
                    <w:ind w:right="0" w:left="0" w:firstLine="0"/>
                    <w:jc w:val="left"/>
                    <w:textAlignment w:val="baseline"/>
                    <w:rPr>
                      <w:rFonts w:ascii="Times New Roman" w:hAnsi="Times New Roman" w:eastAsia="Times New Roman"/>
                      <w:color w:val="000000"/>
                      <w:spacing w:val="-8"/>
                      <w:w w:val="100"/>
                      <w:sz w:val="20"/>
                      <w:vertAlign w:val="baseline"/>
                      <w:lang w:val="en-US"/>
                    </w:rPr>
                  </w:pPr>
                  <w:r>
                    <w:rPr>
                      <w:rFonts w:ascii="Times New Roman" w:hAnsi="Times New Roman" w:eastAsia="Times New Roman"/>
                      <w:color w:val="000000"/>
                      <w:spacing w:val="-8"/>
                      <w:w w:val="100"/>
                      <w:sz w:val="20"/>
                      <w:vertAlign w:val="baseline"/>
                      <w:lang w:val="en-US"/>
                    </w:rPr>
                    <w:t xml:space="preserve">Applicant</w:t>
                  </w:r>
                </w:p>
              </w:txbxContent>
            </v:textbox>
          </v:shape>
        </w:pict>
      </w:r>
      <w:r>
        <w:pict>
          <v:shapetype id="_x0000_t9" coordsize="21600,21600" o:spt="202" path="m,l,21600r21600,l21600,xe">
            <v:stroke joinstyle="miter"/>
            <v:path gradientshapeok="t" o:connecttype="rect"/>
          </v:shapetype>
          <v:shape id="_x0000_s8" type="#_x0000_t9" filled="f" stroked="f" style="position:absolute;width:83.75pt;height:11.55pt;z-index:-1;margin-left:338.65pt;margin-top:441.8pt;mso-wrap-distance-left:0pt;mso-wrap-distance-right:0pt;mso-position-horizontal-relative:page;mso-position-vertical-relative:page">
            <w10:wrap type="square" side="both"/>
            <v:fill opacity="1" o:opacity2="1" recolor="f" rotate="f" type="solid"/>
            <v:textbox inset="0pt, 0pt, 0pt, 0pt">
              <w:txbxContent>
                <w:p>
                  <w:pPr>
                    <w:spacing w:before="4" w:after="0" w:line="217" w:lineRule="exact"/>
                    <w:ind w:right="0" w:left="0" w:firstLine="0"/>
                    <w:jc w:val="left"/>
                    <w:textAlignment w:val="baseline"/>
                    <w:rPr>
                      <w:rFonts w:ascii="Times New Roman" w:hAnsi="Times New Roman" w:eastAsia="Times New Roman"/>
                      <w:color w:val="000000"/>
                      <w:spacing w:val="-4"/>
                      <w:w w:val="100"/>
                      <w:sz w:val="20"/>
                      <w:vertAlign w:val="baseline"/>
                      <w:lang w:val="en-US"/>
                    </w:rPr>
                  </w:pPr>
                  <w:r>
                    <w:rPr>
                      <w:rFonts w:ascii="Times New Roman" w:hAnsi="Times New Roman" w:eastAsia="Times New Roman"/>
                      <w:color w:val="000000"/>
                      <w:spacing w:val="-4"/>
                      <w:w w:val="100"/>
                      <w:sz w:val="20"/>
                      <w:vertAlign w:val="baseline"/>
                      <w:lang w:val="en-US"/>
                    </w:rPr>
                    <w:t xml:space="preserve">Authorisation holder</w:t>
                  </w:r>
                </w:p>
              </w:txbxContent>
            </v:textbox>
          </v:shape>
        </w:pict>
      </w:r>
      <w:r>
        <w:pict>
          <v:shapetype id="_x0000_t10" coordsize="21600,21600" o:spt="202" path="m,l,21600r21600,l21600,xe">
            <v:stroke joinstyle="miter"/>
            <v:path gradientshapeok="t" o:connecttype="rect"/>
          </v:shapetype>
          <v:shape id="_x0000_s9" type="#_x0000_t10" filled="f" stroked="f" style="position:absolute;width:152.15pt;height:127.4pt;z-index:-1;margin-left:338.4pt;margin-top:481.9pt;mso-wrap-distance-left:0pt;mso-wrap-distance-right:0pt;mso-position-horizontal-relative:page;mso-position-vertical-relative:page">
            <w10:wrap type="square" side="both"/>
            <v:fill opacity="1" o:opacity2="1" recolor="f" rotate="f" type="solid"/>
            <v:textbox inset="0pt, 0pt, 0pt, 0pt">
              <w:txbxContent>
                <w:p>
                  <w:pPr>
                    <w:spacing w:before="0" w:after="0" w:line="232"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person conducting a business or undertaking that carries out the lead process</w:t>
                  </w:r>
                </w:p>
                <w:p>
                  <w:pPr>
                    <w:spacing w:before="58" w:after="0" w:line="230" w:lineRule="exact"/>
                    <w:ind w:right="0" w:left="0"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worker whose interests are affected by the decision</w:t>
                  </w:r>
                </w:p>
                <w:p>
                  <w:pPr>
                    <w:spacing w:before="121"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person conducting a business or undertaking that carries out lead risk work</w:t>
                  </w:r>
                </w:p>
                <w:p>
                  <w:pPr>
                    <w:spacing w:before="57" w:after="0" w:line="230" w:lineRule="exact"/>
                    <w:ind w:right="0" w:left="0"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worker whose interests are affected by the decision</w:t>
                  </w:r>
                </w:p>
              </w:txbxContent>
            </v:textbox>
          </v:shape>
        </w:pict>
      </w:r>
      <w:r>
        <w:pict>
          <v:shapetype id="_x0000_t11" coordsize="21600,21600" o:spt="202" path="m,l,21600r21600,l21600,xe">
            <v:stroke joinstyle="miter"/>
            <v:path gradientshapeok="t" o:connecttype="rect"/>
          </v:shapetype>
          <v:shape id="_x0000_s10" type="#_x0000_t11" filled="f" stroked="f" style="position:absolute;width:401pt;height:83.7pt;z-index:-1;margin-left:97.45pt;margin-top:644.15pt;mso-wrap-distance-left:0pt;mso-wrap-distance-right:0pt;mso-position-horizontal-relative:page;mso-position-vertical-relative:page">
            <w10:wrap type="square" side="both"/>
            <v:fill opacity="1" o:opacity2="1" recolor="f" rotate="f" type="solid"/>
            <v:textbox inset="0pt, 0pt, 0pt, 0pt">
              <w:txbxContent>
                <w:p>
                  <w:pPr>
                    <w:tabs>
                      <w:tab w:val="left" w:leader="none" w:pos="1008"/>
                      <w:tab w:val="left" w:leader="none" w:pos="4824"/>
                    </w:tabs>
                    <w:spacing w:before="4" w:after="0" w:line="227"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35	</w:t>
                  </w:r>
                  <w:r>
                    <w:rPr>
                      <w:rFonts w:ascii="Times New Roman" w:hAnsi="Times New Roman" w:eastAsia="Times New Roman"/>
                      <w:color w:val="000000"/>
                      <w:spacing w:val="0"/>
                      <w:w w:val="100"/>
                      <w:sz w:val="20"/>
                      <w:vertAlign w:val="baseline"/>
                      <w:lang w:val="en-US"/>
                    </w:rPr>
                    <w:t xml:space="preserve">497—Refusal to grant licence	</w:t>
                  </w:r>
                  <w:r>
                    <w:rPr>
                      <w:rFonts w:ascii="Times New Roman" w:hAnsi="Times New Roman" w:eastAsia="Times New Roman"/>
                      <w:color w:val="000000"/>
                      <w:spacing w:val="0"/>
                      <w:w w:val="100"/>
                      <w:sz w:val="20"/>
                      <w:vertAlign w:val="baseline"/>
                      <w:lang w:val="en-US"/>
                    </w:rPr>
                    <w:t xml:space="preserve">Applicant</w:t>
                  </w:r>
                </w:p>
                <w:p>
                  <w:pPr>
                    <w:tabs>
                      <w:tab w:val="left" w:leader="none" w:pos="1008"/>
                      <w:tab w:val="left" w:leader="none" w:pos="4824"/>
                    </w:tabs>
                    <w:spacing w:before="123" w:after="0" w:line="227"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36	</w:t>
                  </w:r>
                  <w:r>
                    <w:rPr>
                      <w:rFonts w:ascii="Times New Roman" w:hAnsi="Times New Roman" w:eastAsia="Times New Roman"/>
                      <w:color w:val="000000"/>
                      <w:spacing w:val="0"/>
                      <w:w w:val="100"/>
                      <w:sz w:val="20"/>
                      <w:vertAlign w:val="baseline"/>
                      <w:lang w:val="en-US"/>
                    </w:rPr>
                    <w:t xml:space="preserve">501—Refusal to grant licence	</w:t>
                  </w:r>
                  <w:r>
                    <w:rPr>
                      <w:rFonts w:ascii="Times New Roman" w:hAnsi="Times New Roman" w:eastAsia="Times New Roman"/>
                      <w:color w:val="000000"/>
                      <w:spacing w:val="0"/>
                      <w:w w:val="100"/>
                      <w:sz w:val="20"/>
                      <w:vertAlign w:val="baseline"/>
                      <w:lang w:val="en-US"/>
                    </w:rPr>
                    <w:t xml:space="preserve">Applicant</w:t>
                  </w:r>
                </w:p>
                <w:p>
                  <w:pPr>
                    <w:tabs>
                      <w:tab w:val="left" w:leader="none" w:pos="1008"/>
                      <w:tab w:val="left" w:leader="none" w:pos="4824"/>
                    </w:tabs>
                    <w:spacing w:before="117" w:after="0" w:line="227"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37	</w:t>
                  </w:r>
                  <w:r>
                    <w:rPr>
                      <w:rFonts w:ascii="Times New Roman" w:hAnsi="Times New Roman" w:eastAsia="Times New Roman"/>
                      <w:color w:val="000000"/>
                      <w:spacing w:val="0"/>
                      <w:w w:val="100"/>
                      <w:sz w:val="20"/>
                      <w:vertAlign w:val="baseline"/>
                      <w:lang w:val="en-US"/>
                    </w:rPr>
                    <w:t xml:space="preserve">502—Imposition of a condition when	</w:t>
                  </w:r>
                  <w:r>
                    <w:rPr>
                      <w:rFonts w:ascii="Times New Roman" w:hAnsi="Times New Roman" w:eastAsia="Times New Roman"/>
                      <w:color w:val="000000"/>
                      <w:spacing w:val="0"/>
                      <w:w w:val="100"/>
                      <w:sz w:val="20"/>
                      <w:vertAlign w:val="baseline"/>
                      <w:lang w:val="en-US"/>
                    </w:rPr>
                    <w:t xml:space="preserve">Applicant</w:t>
                  </w:r>
                </w:p>
                <w:p>
                  <w:pPr>
                    <w:spacing w:before="10" w:after="499" w:line="227" w:lineRule="exact"/>
                    <w:ind w:right="0" w:left="93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granting licence</w:t>
                  </w:r>
                </w:p>
              </w:txbxContent>
            </v:textbox>
          </v:shape>
        </w:pict>
      </w:r>
      <w:r>
        <w:pict>
          <v:shapetype id="_x0000_t12" coordsize="21600,21600" o:spt="202" path="m,l,21600r21600,l21600,xe">
            <v:stroke joinstyle="miter"/>
            <v:path gradientshapeok="t" o:connecttype="rect"/>
          </v:shapetype>
          <v:shape id="_x0000_s11" type="#_x0000_t12" filled="f" stroked="f" style="position:absolute;width:401pt;height:40.15pt;z-index:-1;margin-left:97.45pt;margin-top:727.85pt;mso-wrap-distance-left:0pt;mso-wrap-distance-right:0pt;mso-position-horizontal-relative:page;mso-position-vertical-relative:page">
            <w10:wrap type="square" side="both"/>
            <v:fill opacity="1" o:opacity2="1" recolor="f" rotate="f" type="solid"/>
            <v:textbox inset="0pt, 0pt, 0pt, 0pt">
              <w:txbxContent>
                <w:p>
                  <w:pPr>
                    <w:tabs>
                      <w:tab w:val="left" w:leader="none" w:pos="3888"/>
                    </w:tabs>
                    <w:spacing w:before="609" w:after="5"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418</w:t>
                  </w:r>
                </w:p>
              </w:txbxContent>
            </v:textbox>
          </v:shape>
        </w:pict>
      </w:r>
      <w:r>
        <w:pict>
          <v:line strokeweight="0.5pt" strokecolor="#000000" from="97.45pt,103.9pt" to="498.5pt,103.9pt" style="position:absolute;mso-position-horizontal-relative:page;mso-position-vertical-relative:page;">
            <v:stroke dashstyle="solid"/>
          </v:line>
        </w:pict>
      </w:r>
      <w:r>
        <w:pict>
          <v:line strokeweight="0.5pt" strokecolor="#000000" from="104.9pt,115.9pt" to="498.5pt,115.9pt" style="position:absolute;mso-position-horizontal-relative:page;mso-position-vertical-relative:page;">
            <v:stroke dashstyle="solid"/>
          </v:line>
        </w:pict>
      </w:r>
      <w:r>
        <w:pict>
          <v:line strokeweight="0.5pt" strokecolor="#000000" from="104.9pt,145.45pt" to="498.5pt,145.45pt" style="position:absolute;mso-position-horizontal-relative:page;mso-position-vertical-relative:page;">
            <v:stroke dashstyle="solid"/>
          </v:line>
        </w:pict>
      </w:r>
      <w:r>
        <w:pict>
          <v:line strokeweight="0.5pt" strokecolor="#000000" from="97.45pt,728.15pt" to="498.5pt,728.15pt" style="position:absolute;mso-position-horizontal-relative:page;mso-position-vertical-relative:page;">
            <v:stroke dashstyle="solid"/>
          </v:line>
        </w:pict>
      </w:r>
    </w:p>
    <w:p>
      <w:pPr>
        <w:sectPr>
          <w:type w:val="nextPage"/>
          <w:pgSz w:w="11909" w:h="16838" w:orient="portrait"/>
          <w:pgMar w:bottom="1096" w:top="852" w:right="1940" w:left="1779" w:header="720" w:footer="720"/>
          <w:titlePg w:val="false"/>
          <w:textDirection w:val="lrTb"/>
        </w:sectPr>
      </w:pPr>
    </w:p>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pict>
          <v:shapetype id="_x0000_t13" coordsize="21600,21600" o:spt="202" path="m,l,21600r21600,l21600,xe">
            <v:stroke joinstyle="miter"/>
            <v:path gradientshapeok="t" o:connecttype="rect"/>
          </v:shapetype>
          <v:shape id="_x0000_s12" type="#_x0000_t13" filled="f" stroked="f" style="position:absolute;width:401pt;height:46.6pt;z-index:-1;margin-left:97.45pt;margin-top:57pt;mso-wrap-distance-left:0pt;mso-wrap-distance-right:0pt;mso-position-horizontal-relative:page;mso-position-vertical-relative:page">
            <w10:wrap type="square" side="both"/>
            <v:fill opacity="1" o:opacity2="1" recolor="f" rotate="f" type="solid"/>
            <v:textbox inset="0pt, 0pt, 0pt, 0pt">
              <w:txbxContent>
                <w:p>
                  <w:pPr>
                    <w:spacing w:before="6"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5" w:after="226"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11.1	</w:t>
                  </w:r>
                  <w:r>
                    <w:rPr>
                      <w:rFonts w:ascii="Times New Roman" w:hAnsi="Times New Roman" w:eastAsia="Times New Roman"/>
                      <w:color w:val="000000"/>
                      <w:spacing w:val="0"/>
                      <w:w w:val="100"/>
                      <w:sz w:val="20"/>
                      <w:vertAlign w:val="baseline"/>
                      <w:lang w:val="en-US"/>
                    </w:rPr>
                    <w:t xml:space="preserve">Review of Decisions under these Regulations</w:t>
                  </w:r>
                </w:p>
              </w:txbxContent>
            </v:textbox>
          </v:shape>
        </w:pict>
      </w:r>
      <w:r>
        <w:pict>
          <v:shapetype id="_x0000_t14" coordsize="21600,21600" o:spt="202" path="m,l,21600r21600,l21600,xe">
            <v:stroke joinstyle="miter"/>
            <v:path gradientshapeok="t" o:connecttype="rect"/>
          </v:shapetype>
          <v:shape id="_x0000_s13" type="#_x0000_t14" filled="f" stroked="f" style="position:absolute;width:401pt;height:44.95pt;z-index:-1;margin-left:97.45pt;margin-top:103.6pt;mso-wrap-distance-left:0pt;mso-wrap-distance-right:0pt;mso-position-horizontal-relative:page;mso-position-vertical-relative:page">
            <w10:wrap type="square" side="both"/>
            <v:fill opacity="1" o:opacity2="1" recolor="f" rotate="f" type="solid"/>
            <v:textbox inset="0pt, 0pt, 0pt, 0pt">
              <w:txbxContent>
                <w:p>
                  <w:pPr>
                    <w:tabs>
                      <w:tab w:val="left" w:leader="none" w:pos="4824"/>
                    </w:tabs>
                    <w:spacing w:before="314" w:after="0" w:line="235" w:lineRule="exact"/>
                    <w:ind w:right="0" w:left="216"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Item Regulation under which reviewable	</w:t>
                  </w:r>
                  <w:r>
                    <w:rPr>
                      <w:rFonts w:ascii="Times New Roman" w:hAnsi="Times New Roman" w:eastAsia="Times New Roman"/>
                      <w:b w:val="true"/>
                      <w:color w:val="000000"/>
                      <w:spacing w:val="0"/>
                      <w:w w:val="100"/>
                      <w:sz w:val="20"/>
                      <w:vertAlign w:val="baseline"/>
                      <w:lang w:val="en-US"/>
                    </w:rPr>
                    <w:t xml:space="preserve">Eligible person in relation to</w:t>
                  </w:r>
                </w:p>
                <w:p>
                  <w:pPr>
                    <w:tabs>
                      <w:tab w:val="left" w:leader="none" w:pos="4824"/>
                    </w:tabs>
                    <w:spacing w:before="0" w:after="111" w:line="234" w:lineRule="exact"/>
                    <w:ind w:right="0" w:left="936" w:firstLine="0"/>
                    <w:jc w:val="left"/>
                    <w:textAlignment w:val="baseline"/>
                    <w:rPr>
                      <w:rFonts w:ascii="Times New Roman" w:hAnsi="Times New Roman" w:eastAsia="Times New Roman"/>
                      <w:b w:val="true"/>
                      <w:color w:val="000000"/>
                      <w:spacing w:val="-1"/>
                      <w:w w:val="100"/>
                      <w:sz w:val="20"/>
                      <w:vertAlign w:val="baseline"/>
                      <w:lang w:val="en-US"/>
                    </w:rPr>
                  </w:pPr>
                  <w:r>
                    <w:rPr>
                      <w:rFonts w:ascii="Times New Roman" w:hAnsi="Times New Roman" w:eastAsia="Times New Roman"/>
                      <w:b w:val="true"/>
                      <w:color w:val="000000"/>
                      <w:spacing w:val="-1"/>
                      <w:w w:val="100"/>
                      <w:sz w:val="20"/>
                      <w:vertAlign w:val="baseline"/>
                      <w:lang w:val="en-US"/>
                    </w:rPr>
                    <w:t xml:space="preserve">decision is made	</w:t>
                  </w:r>
                  <w:r>
                    <w:rPr>
                      <w:rFonts w:ascii="Times New Roman" w:hAnsi="Times New Roman" w:eastAsia="Times New Roman"/>
                      <w:b w:val="true"/>
                      <w:color w:val="000000"/>
                      <w:spacing w:val="-1"/>
                      <w:w w:val="100"/>
                      <w:sz w:val="20"/>
                      <w:vertAlign w:val="baseline"/>
                      <w:lang w:val="en-US"/>
                    </w:rPr>
                    <w:t xml:space="preserve">reviewable decision</w:t>
                  </w:r>
                </w:p>
              </w:txbxContent>
            </v:textbox>
          </v:shape>
        </w:pict>
      </w:r>
      <w:r>
        <w:pict>
          <v:shapetype id="_x0000_t15" coordsize="21600,21600" o:spt="202" path="m,l,21600r21600,l21600,xe">
            <v:stroke joinstyle="miter"/>
            <v:path gradientshapeok="t" o:connecttype="rect"/>
          </v:shapetype>
          <v:shape id="_x0000_s14" type="#_x0000_t15" filled="f" stroked="f" style="position:absolute;width:217pt;height:127.65pt;z-index:-1;margin-left:110.15pt;margin-top:148.55pt;mso-wrap-distance-left:0pt;mso-wrap-distance-right:0pt;mso-position-horizontal-relative:page;mso-position-vertical-relative:page">
            <w10:wrap type="square" side="both"/>
            <v:fill opacity="1" o:opacity2="1" recolor="f" rotate="f" type="solid"/>
            <v:textbox inset="0pt, 0pt, 0pt, 0pt">
              <w:txbxContent>
                <w:p>
                  <w:pPr>
                    <w:tabs>
                      <w:tab w:val="left" w:leader="none" w:pos="720"/>
                    </w:tabs>
                    <w:spacing w:before="0" w:after="0" w:line="230" w:lineRule="exact"/>
                    <w:ind w:right="576" w:left="720" w:hanging="72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38	</w:t>
                  </w:r>
                  <w:r>
                    <w:rPr>
                      <w:rFonts w:ascii="Times New Roman" w:hAnsi="Times New Roman" w:eastAsia="Times New Roman"/>
                      <w:color w:val="000000"/>
                      <w:spacing w:val="0"/>
                      <w:w w:val="100"/>
                      <w:sz w:val="20"/>
                      <w:vertAlign w:val="baseline"/>
                      <w:lang w:val="en-US"/>
                    </w:rPr>
                    <w:t xml:space="preserve">502—Imposition of a condition when renewing licence</w:t>
                  </w:r>
                </w:p>
                <w:p>
                  <w:pPr>
                    <w:tabs>
                      <w:tab w:val="left" w:leader="none" w:pos="720"/>
                    </w:tabs>
                    <w:spacing w:before="121" w:after="0" w:line="230" w:lineRule="exact"/>
                    <w:ind w:right="72" w:left="720" w:hanging="72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39	</w:t>
                  </w:r>
                  <w:r>
                    <w:rPr>
                      <w:rFonts w:ascii="Times New Roman" w:hAnsi="Times New Roman" w:eastAsia="Times New Roman"/>
                      <w:color w:val="000000"/>
                      <w:spacing w:val="0"/>
                      <w:w w:val="100"/>
                      <w:sz w:val="20"/>
                      <w:vertAlign w:val="baseline"/>
                      <w:lang w:val="en-US"/>
                    </w:rPr>
                    <w:t xml:space="preserve">508—Amendment of licence, on regulator's initiative</w:t>
                  </w:r>
                </w:p>
                <w:p>
                  <w:pPr>
                    <w:tabs>
                      <w:tab w:val="left" w:leader="none" w:pos="720"/>
                    </w:tabs>
                    <w:spacing w:before="121" w:after="0" w:line="230" w:lineRule="exact"/>
                    <w:ind w:right="0" w:left="720" w:hanging="72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40	</w:t>
                  </w:r>
                  <w:r>
                    <w:rPr>
                      <w:rFonts w:ascii="Times New Roman" w:hAnsi="Times New Roman" w:eastAsia="Times New Roman"/>
                      <w:color w:val="000000"/>
                      <w:spacing w:val="0"/>
                      <w:w w:val="100"/>
                      <w:sz w:val="20"/>
                      <w:vertAlign w:val="baseline"/>
                      <w:lang w:val="en-US"/>
                    </w:rPr>
                    <w:t xml:space="preserve">509—Refusal to amend licence on application (or a decision to make a different amendment)</w:t>
                  </w:r>
                </w:p>
                <w:p>
                  <w:pPr>
                    <w:tabs>
                      <w:tab w:val="left" w:leader="none" w:pos="720"/>
                    </w:tabs>
                    <w:spacing w:before="111" w:after="111" w:line="235" w:lineRule="exact"/>
                    <w:ind w:right="216" w:left="720" w:hanging="72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41	</w:t>
                  </w:r>
                  <w:r>
                    <w:rPr>
                      <w:rFonts w:ascii="Times New Roman" w:hAnsi="Times New Roman" w:eastAsia="Times New Roman"/>
                      <w:color w:val="000000"/>
                      <w:spacing w:val="0"/>
                      <w:w w:val="100"/>
                      <w:sz w:val="20"/>
                      <w:vertAlign w:val="baseline"/>
                      <w:lang w:val="en-US"/>
                    </w:rPr>
                    <w:t xml:space="preserve">513—Refusal to issue replacement licence document</w:t>
                  </w:r>
                </w:p>
              </w:txbxContent>
            </v:textbox>
          </v:shape>
        </w:pict>
      </w:r>
      <w:r>
        <w:pict>
          <v:shapetype id="_x0000_t16" coordsize="21600,21600" o:spt="202" path="m,l,21600r21600,l21600,xe">
            <v:stroke joinstyle="miter"/>
            <v:path gradientshapeok="t" o:connecttype="rect"/>
          </v:shapetype>
          <v:shape id="_x0000_s15" type="#_x0000_t16" filled="f" stroked="f" style="position:absolute;width:60.45pt;height:69.55pt;z-index:-1;margin-left:338.65pt;margin-top:148.8pt;mso-wrap-distance-left:0pt;mso-wrap-distance-right:0pt;mso-position-horizontal-relative:page;mso-position-vertical-relative:page">
            <w10:wrap type="square" side="both"/>
            <v:fill opacity="1" o:opacity2="1" recolor="f" rotate="f" type="solid"/>
            <v:textbox inset="0pt, 0pt, 0pt, 0pt">
              <w:txbxContent>
                <w:p>
                  <w:pPr>
                    <w:spacing w:before="0" w:after="0" w:line="462"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Applicant Licence holder Licence holder</w:t>
                  </w:r>
                </w:p>
              </w:txbxContent>
            </v:textbox>
          </v:shape>
        </w:pict>
      </w:r>
      <w:r>
        <w:pict>
          <v:shapetype id="_x0000_t17" coordsize="21600,21600" o:spt="202" path="m,l,21600r21600,l21600,xe">
            <v:stroke joinstyle="miter"/>
            <v:path gradientshapeok="t" o:connecttype="rect"/>
          </v:shapetype>
          <v:shape id="_x0000_s16" type="#_x0000_t17" filled="f" stroked="f" style="position:absolute;width:60.45pt;height:11.5pt;z-index:-1;margin-left:338.65pt;margin-top:247.2pt;mso-wrap-distance-left:0pt;mso-wrap-distance-right:0pt;mso-position-horizontal-relative:page;mso-position-vertical-relative:page">
            <w10:wrap type="square" side="both"/>
            <v:fill opacity="1" o:opacity2="1" recolor="f" rotate="f" type="solid"/>
            <v:textbox inset="0pt, 0pt, 0pt, 0pt">
              <w:txbxContent>
                <w:p>
                  <w:pPr>
                    <w:spacing w:before="4" w:after="0" w:line="221" w:lineRule="exact"/>
                    <w:ind w:right="0" w:left="0" w:firstLine="0"/>
                    <w:jc w:val="left"/>
                    <w:textAlignment w:val="baseline"/>
                    <w:rPr>
                      <w:rFonts w:ascii="Times New Roman" w:hAnsi="Times New Roman" w:eastAsia="Times New Roman"/>
                      <w:color w:val="000000"/>
                      <w:spacing w:val="-6"/>
                      <w:w w:val="100"/>
                      <w:sz w:val="20"/>
                      <w:vertAlign w:val="baseline"/>
                      <w:lang w:val="en-US"/>
                    </w:rPr>
                  </w:pPr>
                  <w:r>
                    <w:rPr>
                      <w:rFonts w:ascii="Times New Roman" w:hAnsi="Times New Roman" w:eastAsia="Times New Roman"/>
                      <w:color w:val="000000"/>
                      <w:spacing w:val="-6"/>
                      <w:w w:val="100"/>
                      <w:sz w:val="20"/>
                      <w:vertAlign w:val="baseline"/>
                      <w:lang w:val="en-US"/>
                    </w:rPr>
                    <w:t xml:space="preserve">Licence holder</w:t>
                  </w:r>
                </w:p>
              </w:txbxContent>
            </v:textbox>
          </v:shape>
        </w:pict>
      </w:r>
      <w:r>
        <w:pict>
          <v:shapetype id="_x0000_t18" coordsize="21600,21600" o:spt="202" path="m,l,21600r21600,l21600,xe">
            <v:stroke joinstyle="miter"/>
            <v:path gradientshapeok="t" o:connecttype="rect"/>
          </v:shapetype>
          <v:shape id="_x0000_s17" type="#_x0000_t18" filled="f" stroked="f" style="position:absolute;width:289pt;height:52.35pt;z-index:-1;margin-left:110.15pt;margin-top:276.2pt;mso-wrap-distance-left:0pt;mso-wrap-distance-right:0pt;mso-position-horizontal-relative:page;mso-position-vertical-relative:page">
            <w10:wrap type="square" side="both"/>
            <v:fill opacity="1" o:opacity2="1" recolor="f" rotate="f" type="solid"/>
            <v:textbox inset="0pt, 0pt, 0pt, 0pt">
              <w:txbxContent>
                <w:p>
                  <w:pPr>
                    <w:tabs>
                      <w:tab w:val="left" w:leader="none" w:pos="720"/>
                      <w:tab w:val="left" w:leader="none" w:pos="4536"/>
                    </w:tabs>
                    <w:spacing w:before="4"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42	</w:t>
                  </w:r>
                  <w:r>
                    <w:rPr>
                      <w:rFonts w:ascii="Times New Roman" w:hAnsi="Times New Roman" w:eastAsia="Times New Roman"/>
                      <w:color w:val="000000"/>
                      <w:spacing w:val="0"/>
                      <w:w w:val="100"/>
                      <w:sz w:val="20"/>
                      <w:vertAlign w:val="baseline"/>
                      <w:lang w:val="en-US"/>
                    </w:rPr>
                    <w:t xml:space="preserve">517—Refusal to renew licence	</w:t>
                  </w:r>
                  <w:r>
                    <w:rPr>
                      <w:rFonts w:ascii="Times New Roman" w:hAnsi="Times New Roman" w:eastAsia="Times New Roman"/>
                      <w:color w:val="000000"/>
                      <w:spacing w:val="0"/>
                      <w:w w:val="100"/>
                      <w:sz w:val="20"/>
                      <w:vertAlign w:val="baseline"/>
                      <w:lang w:val="en-US"/>
                    </w:rPr>
                    <w:t xml:space="preserve">Applicant</w:t>
                  </w:r>
                </w:p>
                <w:p>
                  <w:pPr>
                    <w:tabs>
                      <w:tab w:val="left" w:leader="none" w:pos="720"/>
                      <w:tab w:val="left" w:leader="none" w:pos="4536"/>
                    </w:tabs>
                    <w:spacing w:before="125" w:after="0" w:line="226" w:lineRule="exact"/>
                    <w:ind w:right="0" w:left="0" w:firstLine="0"/>
                    <w:jc w:val="left"/>
                    <w:textAlignment w:val="baseline"/>
                    <w:rPr>
                      <w:rFonts w:ascii="Times New Roman" w:hAnsi="Times New Roman" w:eastAsia="Times New Roman"/>
                      <w:color w:val="000000"/>
                      <w:spacing w:val="-2"/>
                      <w:w w:val="100"/>
                      <w:sz w:val="20"/>
                      <w:vertAlign w:val="baseline"/>
                      <w:lang w:val="en-US"/>
                    </w:rPr>
                  </w:pPr>
                  <w:r>
                    <w:rPr>
                      <w:rFonts w:ascii="Times New Roman" w:hAnsi="Times New Roman" w:eastAsia="Times New Roman"/>
                      <w:color w:val="000000"/>
                      <w:spacing w:val="-2"/>
                      <w:w w:val="100"/>
                      <w:sz w:val="20"/>
                      <w:vertAlign w:val="baseline"/>
                      <w:lang w:val="en-US"/>
                    </w:rPr>
                    <w:t xml:space="preserve">43	</w:t>
                  </w:r>
                  <w:r>
                    <w:rPr>
                      <w:rFonts w:ascii="Times New Roman" w:hAnsi="Times New Roman" w:eastAsia="Times New Roman"/>
                      <w:color w:val="000000"/>
                      <w:spacing w:val="-2"/>
                      <w:w w:val="100"/>
                      <w:sz w:val="20"/>
                      <w:vertAlign w:val="baseline"/>
                      <w:lang w:val="en-US"/>
                    </w:rPr>
                    <w:t xml:space="preserve">520—Suspension of licence	</w:t>
                  </w:r>
                  <w:r>
                    <w:rPr>
                      <w:rFonts w:ascii="Times New Roman" w:hAnsi="Times New Roman" w:eastAsia="Times New Roman"/>
                      <w:color w:val="000000"/>
                      <w:spacing w:val="-2"/>
                      <w:w w:val="100"/>
                      <w:sz w:val="20"/>
                      <w:vertAlign w:val="baseline"/>
                      <w:lang w:val="en-US"/>
                    </w:rPr>
                    <w:t xml:space="preserve">Licence holder</w:t>
                  </w:r>
                </w:p>
                <w:p>
                  <w:pPr>
                    <w:tabs>
                      <w:tab w:val="left" w:leader="none" w:pos="720"/>
                      <w:tab w:val="left" w:leader="none" w:pos="4536"/>
                    </w:tabs>
                    <w:spacing w:before="124" w:after="111" w:line="226" w:lineRule="exact"/>
                    <w:ind w:right="0" w:left="0" w:firstLine="0"/>
                    <w:jc w:val="left"/>
                    <w:textAlignment w:val="baseline"/>
                    <w:rPr>
                      <w:rFonts w:ascii="Times New Roman" w:hAnsi="Times New Roman" w:eastAsia="Times New Roman"/>
                      <w:color w:val="000000"/>
                      <w:spacing w:val="-2"/>
                      <w:w w:val="100"/>
                      <w:sz w:val="20"/>
                      <w:vertAlign w:val="baseline"/>
                      <w:lang w:val="en-US"/>
                    </w:rPr>
                  </w:pPr>
                  <w:r>
                    <w:rPr>
                      <w:rFonts w:ascii="Times New Roman" w:hAnsi="Times New Roman" w:eastAsia="Times New Roman"/>
                      <w:color w:val="000000"/>
                      <w:spacing w:val="-2"/>
                      <w:w w:val="100"/>
                      <w:sz w:val="20"/>
                      <w:vertAlign w:val="baseline"/>
                      <w:lang w:val="en-US"/>
                    </w:rPr>
                    <w:t xml:space="preserve">44	</w:t>
                  </w:r>
                  <w:r>
                    <w:rPr>
                      <w:rFonts w:ascii="Times New Roman" w:hAnsi="Times New Roman" w:eastAsia="Times New Roman"/>
                      <w:color w:val="000000"/>
                      <w:spacing w:val="-2"/>
                      <w:w w:val="100"/>
                      <w:sz w:val="20"/>
                      <w:vertAlign w:val="baseline"/>
                      <w:lang w:val="en-US"/>
                    </w:rPr>
                    <w:t xml:space="preserve">520—Cancellation of licence	</w:t>
                  </w:r>
                  <w:r>
                    <w:rPr>
                      <w:rFonts w:ascii="Times New Roman" w:hAnsi="Times New Roman" w:eastAsia="Times New Roman"/>
                      <w:color w:val="000000"/>
                      <w:spacing w:val="-2"/>
                      <w:w w:val="100"/>
                      <w:sz w:val="20"/>
                      <w:vertAlign w:val="baseline"/>
                      <w:lang w:val="en-US"/>
                    </w:rPr>
                    <w:t xml:space="preserve">Licence holder</w:t>
                  </w:r>
                </w:p>
              </w:txbxContent>
            </v:textbox>
          </v:shape>
        </w:pict>
      </w:r>
      <w:r>
        <w:pict>
          <v:shapetype id="_x0000_t19" coordsize="21600,21600" o:spt="202" path="m,l,21600r21600,l21600,xe">
            <v:stroke joinstyle="miter"/>
            <v:path gradientshapeok="t" o:connecttype="rect"/>
          </v:shapetype>
          <v:shape id="_x0000_s18" type="#_x0000_t19" filled="f" stroked="f" style="position:absolute;width:217pt;height:133.65pt;z-index:-1;margin-left:110.15pt;margin-top:328.55pt;mso-wrap-distance-left:0pt;mso-wrap-distance-right:0pt;mso-position-horizontal-relative:page;mso-position-vertical-relative:page">
            <w10:wrap type="square" side="both"/>
            <v:fill opacity="1" o:opacity2="1" recolor="f" rotate="f" type="solid"/>
            <v:textbox inset="0pt, 0pt, 0pt, 0pt">
              <w:txbxContent>
                <w:p>
                  <w:pPr>
                    <w:tabs>
                      <w:tab w:val="left" w:leader="none" w:pos="720"/>
                    </w:tabs>
                    <w:spacing w:before="0" w:after="0" w:line="230" w:lineRule="exact"/>
                    <w:ind w:right="432" w:left="720" w:hanging="72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45	</w:t>
                  </w:r>
                  <w:r>
                    <w:rPr>
                      <w:rFonts w:ascii="Times New Roman" w:hAnsi="Times New Roman" w:eastAsia="Times New Roman"/>
                      <w:color w:val="000000"/>
                      <w:spacing w:val="-1"/>
                      <w:w w:val="100"/>
                      <w:sz w:val="20"/>
                      <w:vertAlign w:val="baseline"/>
                      <w:lang w:val="en-US"/>
                    </w:rPr>
                    <w:t xml:space="preserve">520—Disqualification of licence holder from applying for another licence</w:t>
                  </w:r>
                </w:p>
                <w:p>
                  <w:pPr>
                    <w:spacing w:before="123" w:after="0" w:line="235" w:lineRule="exact"/>
                    <w:ind w:right="0" w:left="151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Major hazard facilities</w:t>
                  </w:r>
                </w:p>
                <w:p>
                  <w:pPr>
                    <w:spacing w:before="117" w:after="0" w:line="230" w:lineRule="exact"/>
                    <w:ind w:right="0" w:left="720" w:firstLine="0"/>
                    <w:jc w:val="left"/>
                    <w:textAlignment w:val="baseline"/>
                    <w:rPr>
                      <w:rFonts w:ascii="Times New Roman" w:hAnsi="Times New Roman" w:eastAsia="Times New Roman"/>
                      <w:i w:val="true"/>
                      <w:color w:val="000000"/>
                      <w:spacing w:val="-1"/>
                      <w:w w:val="100"/>
                      <w:sz w:val="20"/>
                      <w:vertAlign w:val="baseline"/>
                      <w:lang w:val="en-US"/>
                    </w:rPr>
                  </w:pPr>
                  <w:r>
                    <w:rPr>
                      <w:rFonts w:ascii="Times New Roman" w:hAnsi="Times New Roman" w:eastAsia="Times New Roman"/>
                      <w:i w:val="true"/>
                      <w:color w:val="000000"/>
                      <w:spacing w:val="-1"/>
                      <w:w w:val="100"/>
                      <w:sz w:val="20"/>
                      <w:vertAlign w:val="baseline"/>
                      <w:lang w:val="en-US"/>
                    </w:rPr>
                    <w:t xml:space="preserve">Determination of facility to be major hazard</w:t>
                  </w:r>
                </w:p>
                <w:p>
                  <w:pPr>
                    <w:spacing w:before="0" w:after="0" w:line="230" w:lineRule="exact"/>
                    <w:ind w:right="0" w:left="2232" w:firstLine="0"/>
                    <w:jc w:val="left"/>
                    <w:textAlignment w:val="baseline"/>
                    <w:rPr>
                      <w:rFonts w:ascii="Times New Roman" w:hAnsi="Times New Roman" w:eastAsia="Times New Roman"/>
                      <w:i w:val="true"/>
                      <w:color w:val="000000"/>
                      <w:spacing w:val="0"/>
                      <w:w w:val="100"/>
                      <w:sz w:val="20"/>
                      <w:vertAlign w:val="baseline"/>
                      <w:lang w:val="en-US"/>
                    </w:rPr>
                  </w:pPr>
                  <w:r>
                    <w:rPr>
                      <w:rFonts w:ascii="Times New Roman" w:hAnsi="Times New Roman" w:eastAsia="Times New Roman"/>
                      <w:i w:val="true"/>
                      <w:color w:val="000000"/>
                      <w:spacing w:val="0"/>
                      <w:w w:val="100"/>
                      <w:sz w:val="20"/>
                      <w:vertAlign w:val="baseline"/>
                      <w:lang w:val="en-US"/>
                    </w:rPr>
                    <w:t xml:space="preserve">facility</w:t>
                  </w:r>
                </w:p>
                <w:p>
                  <w:pPr>
                    <w:tabs>
                      <w:tab w:val="left" w:leader="none" w:pos="720"/>
                    </w:tabs>
                    <w:spacing w:before="107" w:after="0" w:line="235" w:lineRule="exact"/>
                    <w:ind w:right="0" w:left="720" w:hanging="72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46	</w:t>
                  </w:r>
                  <w:r>
                    <w:rPr>
                      <w:rFonts w:ascii="Times New Roman" w:hAnsi="Times New Roman" w:eastAsia="Times New Roman"/>
                      <w:color w:val="000000"/>
                      <w:spacing w:val="0"/>
                      <w:w w:val="100"/>
                      <w:sz w:val="20"/>
                      <w:vertAlign w:val="baseline"/>
                      <w:lang w:val="en-US"/>
                    </w:rPr>
                    <w:t xml:space="preserve">541—Determination of facility to be a major hazard facility, on making inquiry</w:t>
                  </w:r>
                </w:p>
                <w:p>
                  <w:pPr>
                    <w:tabs>
                      <w:tab w:val="left" w:leader="none" w:pos="720"/>
                    </w:tabs>
                    <w:spacing w:before="120"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47	</w:t>
                  </w:r>
                  <w:r>
                    <w:rPr>
                      <w:rFonts w:ascii="Times New Roman" w:hAnsi="Times New Roman" w:eastAsia="Times New Roman"/>
                      <w:color w:val="000000"/>
                      <w:spacing w:val="0"/>
                      <w:w w:val="100"/>
                      <w:sz w:val="20"/>
                      <w:vertAlign w:val="baseline"/>
                      <w:lang w:val="en-US"/>
                    </w:rPr>
                    <w:t xml:space="preserve">541—Decision not to determine proposed</w:t>
                  </w:r>
                </w:p>
                <w:p>
                  <w:pPr>
                    <w:spacing w:before="9" w:after="106" w:line="226" w:lineRule="exact"/>
                    <w:ind w:right="0" w:left="7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facility to be a major hazard facility</w:t>
                  </w:r>
                </w:p>
              </w:txbxContent>
            </v:textbox>
          </v:shape>
        </w:pict>
      </w:r>
      <w:r>
        <w:pict>
          <v:shapetype id="_x0000_t20" coordsize="21600,21600" o:spt="202" path="m,l,21600r21600,l21600,xe">
            <v:stroke joinstyle="miter"/>
            <v:path gradientshapeok="t" o:connecttype="rect"/>
          </v:shapetype>
          <v:shape id="_x0000_s19" type="#_x0000_t20" filled="f" stroked="f" style="position:absolute;width:60.45pt;height:11.5pt;z-index:-1;margin-left:338.65pt;margin-top:328.8pt;mso-wrap-distance-left:0pt;mso-wrap-distance-right:0pt;mso-position-horizontal-relative:page;mso-position-vertical-relative:page">
            <w10:wrap type="square" side="both"/>
            <v:fill opacity="1" o:opacity2="1" recolor="f" rotate="f" type="solid"/>
            <v:textbox inset="0pt, 0pt, 0pt, 0pt">
              <w:txbxContent>
                <w:p>
                  <w:pPr>
                    <w:spacing w:before="4" w:after="0" w:line="216" w:lineRule="exact"/>
                    <w:ind w:right="0" w:left="0" w:firstLine="0"/>
                    <w:jc w:val="left"/>
                    <w:textAlignment w:val="baseline"/>
                    <w:rPr>
                      <w:rFonts w:ascii="Times New Roman" w:hAnsi="Times New Roman" w:eastAsia="Times New Roman"/>
                      <w:color w:val="000000"/>
                      <w:spacing w:val="-6"/>
                      <w:w w:val="100"/>
                      <w:sz w:val="20"/>
                      <w:vertAlign w:val="baseline"/>
                      <w:lang w:val="en-US"/>
                    </w:rPr>
                  </w:pPr>
                  <w:r>
                    <w:rPr>
                      <w:rFonts w:ascii="Times New Roman" w:hAnsi="Times New Roman" w:eastAsia="Times New Roman"/>
                      <w:color w:val="000000"/>
                      <w:spacing w:val="-6"/>
                      <w:w w:val="100"/>
                      <w:sz w:val="20"/>
                      <w:vertAlign w:val="baseline"/>
                      <w:lang w:val="en-US"/>
                    </w:rPr>
                    <w:t xml:space="preserve">Licence holder</w:t>
                  </w:r>
                </w:p>
              </w:txbxContent>
            </v:textbox>
          </v:shape>
        </w:pict>
      </w:r>
      <w:r>
        <w:pict>
          <v:shapetype id="_x0000_t21" coordsize="21600,21600" o:spt="202" path="m,l,21600r21600,l21600,xe">
            <v:stroke joinstyle="miter"/>
            <v:path gradientshapeok="t" o:connecttype="rect"/>
          </v:shapetype>
          <v:shape id="_x0000_s20" type="#_x0000_t21" filled="f" stroked="f" style="position:absolute;width:77.5pt;height:40.75pt;z-index:-1;margin-left:338.9pt;margin-top:404.15pt;mso-wrap-distance-left:0pt;mso-wrap-distance-right:0pt;mso-position-horizontal-relative:page;mso-position-vertical-relative:page">
            <w10:wrap type="square" side="both"/>
            <v:fill opacity="1" o:opacity2="1" recolor="f" rotate="f" type="solid"/>
            <v:textbox inset="0pt, 0pt, 0pt, 0pt">
              <w:txbxContent>
                <w:p>
                  <w:pPr>
                    <w:spacing w:before="0" w:after="0" w:line="400" w:lineRule="exact"/>
                    <w:ind w:right="0" w:left="0"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Operator of facility Operator of facility</w:t>
                  </w:r>
                </w:p>
              </w:txbxContent>
            </v:textbox>
          </v:shape>
        </w:pict>
      </w:r>
      <w:r>
        <w:pict>
          <v:shapetype id="_x0000_t22" coordsize="21600,21600" o:spt="202" path="m,l,21600r21600,l21600,xe">
            <v:stroke joinstyle="miter"/>
            <v:path gradientshapeok="t" o:connecttype="rect"/>
          </v:shapetype>
          <v:shape id="_x0000_s21" type="#_x0000_t22" filled="f" stroked="f" style="position:absolute;width:307pt;height:110.4pt;z-index:-1;margin-left:110.15pt;margin-top:462.2pt;mso-wrap-distance-left:0pt;mso-wrap-distance-right:0pt;mso-position-horizontal-relative:page;mso-position-vertical-relative:page">
            <w10:wrap type="square" side="both"/>
            <v:fill opacity="1" o:opacity2="1" recolor="f" rotate="f" type="solid"/>
            <v:textbox inset="0pt, 0pt, 0pt, 0pt">
              <w:txbxContent>
                <w:p>
                  <w:pPr>
                    <w:tabs>
                      <w:tab w:val="left" w:leader="none" w:pos="720"/>
                    </w:tabs>
                    <w:spacing w:before="4" w:after="0" w:line="226" w:lineRule="exact"/>
                    <w:ind w:right="0" w:left="0"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48	</w:t>
                  </w:r>
                  <w:r>
                    <w:rPr>
                      <w:rFonts w:ascii="Times New Roman" w:hAnsi="Times New Roman" w:eastAsia="Times New Roman"/>
                      <w:color w:val="000000"/>
                      <w:spacing w:val="1"/>
                      <w:w w:val="100"/>
                      <w:sz w:val="20"/>
                      <w:vertAlign w:val="baseline"/>
                      <w:lang w:val="en-US"/>
                    </w:rPr>
                    <w:t xml:space="preserve">542—Determination of major hazard facility Operator of facility</w:t>
                  </w:r>
                </w:p>
                <w:p>
                  <w:pPr>
                    <w:tabs>
                      <w:tab w:val="left" w:leader="none" w:pos="720"/>
                      <w:tab w:val="right" w:leader="none" w:pos="6120"/>
                    </w:tabs>
                    <w:spacing w:before="119"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49	</w:t>
                  </w:r>
                  <w:r>
                    <w:rPr>
                      <w:rFonts w:ascii="Times New Roman" w:hAnsi="Times New Roman" w:eastAsia="Times New Roman"/>
                      <w:color w:val="000000"/>
                      <w:spacing w:val="0"/>
                      <w:w w:val="100"/>
                      <w:sz w:val="20"/>
                      <w:vertAlign w:val="baseline"/>
                      <w:lang w:val="en-US"/>
                    </w:rPr>
                    <w:t xml:space="preserve">543—Determination of suitability of	</w:t>
                  </w:r>
                  <w:r>
                    <w:rPr>
                      <w:rFonts w:ascii="Times New Roman" w:hAnsi="Times New Roman" w:eastAsia="Times New Roman"/>
                      <w:color w:val="000000"/>
                      <w:spacing w:val="0"/>
                      <w:w w:val="100"/>
                      <w:sz w:val="20"/>
                      <w:vertAlign w:val="baseline"/>
                      <w:lang w:val="en-US"/>
                    </w:rPr>
                    <w:t xml:space="preserve">Operator of facility</w:t>
                  </w:r>
                </w:p>
                <w:p>
                  <w:pPr>
                    <w:spacing w:before="3" w:after="0" w:line="226" w:lineRule="exact"/>
                    <w:ind w:right="0" w:left="7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operator</w:t>
                  </w:r>
                </w:p>
                <w:p>
                  <w:pPr>
                    <w:tabs>
                      <w:tab w:val="left" w:leader="none" w:pos="720"/>
                      <w:tab w:val="right" w:leader="none" w:pos="6120"/>
                    </w:tabs>
                    <w:spacing w:before="124"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50	</w:t>
                  </w:r>
                  <w:r>
                    <w:rPr>
                      <w:rFonts w:ascii="Times New Roman" w:hAnsi="Times New Roman" w:eastAsia="Times New Roman"/>
                      <w:color w:val="000000"/>
                      <w:spacing w:val="0"/>
                      <w:w w:val="100"/>
                      <w:sz w:val="20"/>
                      <w:vertAlign w:val="baseline"/>
                      <w:lang w:val="en-US"/>
                    </w:rPr>
                    <w:t xml:space="preserve">544—Imposition of a condition on a	</w:t>
                  </w:r>
                  <w:r>
                    <w:rPr>
                      <w:rFonts w:ascii="Times New Roman" w:hAnsi="Times New Roman" w:eastAsia="Times New Roman"/>
                      <w:color w:val="000000"/>
                      <w:spacing w:val="0"/>
                      <w:w w:val="100"/>
                      <w:sz w:val="20"/>
                      <w:vertAlign w:val="baseline"/>
                      <w:lang w:val="en-US"/>
                    </w:rPr>
                    <w:t xml:space="preserve">Operator of facility</w:t>
                  </w:r>
                </w:p>
                <w:p>
                  <w:pPr>
                    <w:spacing w:before="3" w:after="0" w:line="226" w:lineRule="exact"/>
                    <w:ind w:right="0" w:left="7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determination of a major hazard facility</w:t>
                  </w:r>
                </w:p>
                <w:p>
                  <w:pPr>
                    <w:spacing w:before="129" w:after="0" w:line="230" w:lineRule="exact"/>
                    <w:ind w:right="0" w:left="1152" w:firstLine="0"/>
                    <w:jc w:val="left"/>
                    <w:textAlignment w:val="baseline"/>
                    <w:rPr>
                      <w:rFonts w:ascii="Times New Roman" w:hAnsi="Times New Roman" w:eastAsia="Times New Roman"/>
                      <w:i w:val="true"/>
                      <w:color w:val="000000"/>
                      <w:spacing w:val="0"/>
                      <w:w w:val="100"/>
                      <w:sz w:val="20"/>
                      <w:vertAlign w:val="baseline"/>
                      <w:lang w:val="en-US"/>
                    </w:rPr>
                  </w:pPr>
                  <w:r>
                    <w:rPr>
                      <w:rFonts w:ascii="Times New Roman" w:hAnsi="Times New Roman" w:eastAsia="Times New Roman"/>
                      <w:i w:val="true"/>
                      <w:color w:val="000000"/>
                      <w:spacing w:val="0"/>
                      <w:w w:val="100"/>
                      <w:sz w:val="20"/>
                      <w:vertAlign w:val="baseline"/>
                      <w:lang w:val="en-US"/>
                    </w:rPr>
                    <w:t xml:space="preserve">Licensing of major hazard facility</w:t>
                  </w:r>
                </w:p>
                <w:p>
                  <w:pPr>
                    <w:tabs>
                      <w:tab w:val="left" w:leader="none" w:pos="720"/>
                      <w:tab w:val="right" w:leader="none" w:pos="6120"/>
                    </w:tabs>
                    <w:spacing w:before="121" w:after="111"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51	</w:t>
                  </w:r>
                  <w:r>
                    <w:rPr>
                      <w:rFonts w:ascii="Times New Roman" w:hAnsi="Times New Roman" w:eastAsia="Times New Roman"/>
                      <w:color w:val="000000"/>
                      <w:spacing w:val="0"/>
                      <w:w w:val="100"/>
                      <w:sz w:val="20"/>
                      <w:vertAlign w:val="baseline"/>
                      <w:lang w:val="en-US"/>
                    </w:rPr>
                    <w:t xml:space="preserve">580—Refusal to grant licence	</w:t>
                  </w:r>
                  <w:r>
                    <w:rPr>
                      <w:rFonts w:ascii="Times New Roman" w:hAnsi="Times New Roman" w:eastAsia="Times New Roman"/>
                      <w:color w:val="000000"/>
                      <w:spacing w:val="0"/>
                      <w:w w:val="100"/>
                      <w:sz w:val="20"/>
                      <w:vertAlign w:val="baseline"/>
                      <w:lang w:val="en-US"/>
                    </w:rPr>
                    <w:t xml:space="preserve">Operator of facility</w:t>
                  </w:r>
                </w:p>
              </w:txbxContent>
            </v:textbox>
          </v:shape>
        </w:pict>
      </w:r>
      <w:r>
        <w:pict>
          <v:shapetype id="_x0000_t23" coordsize="21600,21600" o:spt="202" path="m,l,21600r21600,l21600,xe">
            <v:stroke joinstyle="miter"/>
            <v:path gradientshapeok="t" o:connecttype="rect"/>
          </v:shapetype>
          <v:shape id="_x0000_s22" type="#_x0000_t23" filled="f" stroked="f" style="position:absolute;width:216pt;height:155.25pt;z-index:-1;margin-left:110.65pt;margin-top:572.6pt;mso-wrap-distance-left:0pt;mso-wrap-distance-right:0pt;mso-position-horizontal-relative:page;mso-position-vertical-relative:page">
            <w10:wrap type="square" side="both"/>
            <v:fill opacity="1" o:opacity2="1" recolor="f" rotate="f" type="solid"/>
            <v:textbox inset="0pt, 0pt, 0pt, 0pt">
              <w:txbxContent>
                <w:p>
                  <w:pPr>
                    <w:tabs>
                      <w:tab w:val="left" w:leader="none" w:pos="720"/>
                    </w:tabs>
                    <w:spacing w:before="0" w:after="0" w:line="230" w:lineRule="exact"/>
                    <w:ind w:right="576" w:left="720" w:hanging="72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52	</w:t>
                  </w:r>
                  <w:r>
                    <w:rPr>
                      <w:rFonts w:ascii="Times New Roman" w:hAnsi="Times New Roman" w:eastAsia="Times New Roman"/>
                      <w:color w:val="000000"/>
                      <w:spacing w:val="0"/>
                      <w:w w:val="100"/>
                      <w:sz w:val="20"/>
                      <w:vertAlign w:val="baseline"/>
                      <w:lang w:val="en-US"/>
                    </w:rPr>
                    <w:t xml:space="preserve">584—Imposition of a condition when granting licence</w:t>
                  </w:r>
                </w:p>
                <w:p>
                  <w:pPr>
                    <w:tabs>
                      <w:tab w:val="left" w:leader="none" w:pos="720"/>
                    </w:tabs>
                    <w:spacing w:before="109" w:after="0" w:line="236" w:lineRule="exact"/>
                    <w:ind w:right="576" w:left="720" w:hanging="72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53	</w:t>
                  </w:r>
                  <w:r>
                    <w:rPr>
                      <w:rFonts w:ascii="Times New Roman" w:hAnsi="Times New Roman" w:eastAsia="Times New Roman"/>
                      <w:color w:val="000000"/>
                      <w:spacing w:val="0"/>
                      <w:w w:val="100"/>
                      <w:sz w:val="20"/>
                      <w:vertAlign w:val="baseline"/>
                      <w:lang w:val="en-US"/>
                    </w:rPr>
                    <w:t xml:space="preserve">584—Imposition of a condition when renewing licence</w:t>
                  </w:r>
                </w:p>
                <w:p>
                  <w:pPr>
                    <w:tabs>
                      <w:tab w:val="left" w:leader="none" w:pos="720"/>
                    </w:tabs>
                    <w:spacing w:before="110" w:after="0" w:line="235" w:lineRule="exact"/>
                    <w:ind w:right="72" w:left="720" w:hanging="72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54	</w:t>
                  </w:r>
                  <w:r>
                    <w:rPr>
                      <w:rFonts w:ascii="Times New Roman" w:hAnsi="Times New Roman" w:eastAsia="Times New Roman"/>
                      <w:color w:val="000000"/>
                      <w:spacing w:val="0"/>
                      <w:w w:val="100"/>
                      <w:sz w:val="20"/>
                      <w:vertAlign w:val="baseline"/>
                      <w:lang w:val="en-US"/>
                    </w:rPr>
                    <w:t xml:space="preserve">589—Amendment of licence, on regulator's initiative</w:t>
                  </w:r>
                </w:p>
                <w:p>
                  <w:pPr>
                    <w:tabs>
                      <w:tab w:val="left" w:leader="none" w:pos="720"/>
                    </w:tabs>
                    <w:spacing w:before="117" w:after="663" w:line="230" w:lineRule="exact"/>
                    <w:ind w:right="0" w:left="720" w:hanging="72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55	</w:t>
                  </w:r>
                  <w:r>
                    <w:rPr>
                      <w:rFonts w:ascii="Times New Roman" w:hAnsi="Times New Roman" w:eastAsia="Times New Roman"/>
                      <w:color w:val="000000"/>
                      <w:spacing w:val="0"/>
                      <w:w w:val="100"/>
                      <w:sz w:val="20"/>
                      <w:vertAlign w:val="baseline"/>
                      <w:lang w:val="en-US"/>
                    </w:rPr>
                    <w:t xml:space="preserve">590—Refusal to amend licence, on application (or a decision to make a different amendment)</w:t>
                  </w:r>
                </w:p>
              </w:txbxContent>
            </v:textbox>
          </v:shape>
        </w:pict>
      </w:r>
      <w:r>
        <w:pict>
          <v:shapetype id="_x0000_t24" coordsize="21600,21600" o:spt="202" path="m,l,21600r21600,l21600,xe">
            <v:stroke joinstyle="miter"/>
            <v:path gradientshapeok="t" o:connecttype="rect"/>
          </v:shapetype>
          <v:shape id="_x0000_s23" type="#_x0000_t24" filled="f" stroked="f" style="position:absolute;width:77.5pt;height:98.6pt;z-index:-1;margin-left:338.9pt;margin-top:572.85pt;mso-wrap-distance-left:0pt;mso-wrap-distance-right:0pt;mso-position-horizontal-relative:page;mso-position-vertical-relative:page">
            <w10:wrap type="square" side="both"/>
            <v:fill opacity="1" o:opacity2="1" recolor="f" rotate="f" type="solid"/>
            <v:textbox inset="0pt, 0pt, 0pt, 0pt">
              <w:txbxContent>
                <w:p>
                  <w:pPr>
                    <w:spacing w:before="0" w:after="0" w:line="490" w:lineRule="exact"/>
                    <w:ind w:right="0" w:left="0" w:firstLine="0"/>
                    <w:jc w:val="both"/>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Operator of facility Operator of facility Operator of facility Operator of facility</w:t>
                  </w:r>
                </w:p>
              </w:txbxContent>
            </v:textbox>
          </v:shape>
        </w:pict>
      </w:r>
      <w:r>
        <w:pict>
          <v:shapetype id="_x0000_t25" coordsize="21600,21600" o:spt="202" path="m,l,21600r21600,l21600,xe">
            <v:stroke joinstyle="miter"/>
            <v:path gradientshapeok="t" o:connecttype="rect"/>
          </v:shapetype>
          <v:shape id="_x0000_s24" type="#_x0000_t25" filled="f" stroked="f" style="position:absolute;width:206pt;height:10pt;z-index:-1;margin-left:98.85pt;margin-top:758pt;mso-wrap-distance-left:0pt;mso-wrap-distance-right:0pt;mso-position-horizontal-relative:page;mso-position-vertical-relative:page">
            <w10:wrap type="square" side="both"/>
            <v:fill opacity="1" o:opacity2="1" recolor="f" rotate="f" type="solid"/>
            <v:textbox inset="0pt, 0pt, 0pt, 0pt">
              <w:txbxContent>
                <w:p>
                  <w:pPr>
                    <w:tabs>
                      <w:tab w:val="right" w:leader="none" w:pos="4176"/>
                    </w:tabs>
                    <w:spacing w:before="6" w:after="5"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419</w:t>
                  </w:r>
                </w:p>
              </w:txbxContent>
            </v:textbox>
          </v:shape>
        </w:pict>
      </w:r>
      <w:r>
        <w:pict>
          <v:line strokeweight="0.5pt" strokecolor="#000000" from="97.45pt,103.9pt" to="498.5pt,103.9pt" style="position:absolute;mso-position-horizontal-relative:page;mso-position-vertical-relative:page;">
            <v:stroke dashstyle="solid"/>
          </v:line>
        </w:pict>
      </w:r>
      <w:r>
        <w:pict>
          <v:line strokeweight="0.5pt" strokecolor="#000000" from="104.9pt,115.9pt" to="498.5pt,115.9pt" style="position:absolute;mso-position-horizontal-relative:page;mso-position-vertical-relative:page;">
            <v:stroke dashstyle="solid"/>
          </v:line>
        </w:pict>
      </w:r>
      <w:r>
        <w:pict>
          <v:line strokeweight="0.5pt" strokecolor="#000000" from="104.9pt,145.45pt" to="498.5pt,145.45pt" style="position:absolute;mso-position-horizontal-relative:page;mso-position-vertical-relative:page;">
            <v:stroke dashstyle="solid"/>
          </v:line>
        </w:pict>
      </w:r>
      <w:r>
        <w:pict>
          <v:line strokeweight="0.5pt" strokecolor="#000000" from="97.45pt,728.15pt" to="498.5pt,728.15pt" style="position:absolute;mso-position-horizontal-relative:page;mso-position-vertical-relative:page;">
            <v:stroke dashstyle="solid"/>
          </v:line>
        </w:pict>
      </w:r>
    </w:p>
    <w:p>
      <w:pPr>
        <w:sectPr>
          <w:type w:val="nextPage"/>
          <w:pgSz w:w="11909" w:h="16838" w:orient="portrait"/>
          <w:pgMar w:bottom="1096" w:top="852" w:right="1940" w:left="1949" w:header="720" w:footer="720"/>
          <w:titlePg w:val="false"/>
          <w:textDirection w:val="lrTb"/>
        </w:sectPr>
      </w:pPr>
    </w:p>
    <w:p>
      <w:pPr>
        <w:spacing w:before="6"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5" w:after="226"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11.1	</w:t>
      </w:r>
      <w:r>
        <w:rPr>
          <w:rFonts w:ascii="Times New Roman" w:hAnsi="Times New Roman" w:eastAsia="Times New Roman"/>
          <w:color w:val="000000"/>
          <w:spacing w:val="0"/>
          <w:w w:val="100"/>
          <w:sz w:val="20"/>
          <w:vertAlign w:val="baseline"/>
          <w:lang w:val="en-US"/>
        </w:rPr>
        <w:t xml:space="preserve">Review of Decisions under these Regulations</w:t>
      </w:r>
    </w:p>
    <w:p>
      <w:pPr>
        <w:tabs>
          <w:tab w:val="left" w:leader="none" w:pos="4824"/>
        </w:tabs>
        <w:spacing w:before="312" w:after="0" w:line="235" w:lineRule="exact"/>
        <w:ind w:right="0" w:left="216"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7.9pt,103.9pt" to="498.95pt,103.9pt" style="position:absolute;mso-position-horizontal-relative:page;mso-position-vertical-relative:page;">
            <v:stroke dashstyle="solid"/>
          </v:line>
        </w:pict>
      </w:r>
      <w:r>
        <w:pict>
          <v:line strokeweight="0.5pt" strokecolor="#000000" from="104.9pt,115.9pt" to="498.95pt,115.9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Item Regulation under which reviewable	</w:t>
      </w:r>
      <w:r>
        <w:rPr>
          <w:rFonts w:ascii="Times New Roman" w:hAnsi="Times New Roman" w:eastAsia="Times New Roman"/>
          <w:b w:val="true"/>
          <w:color w:val="000000"/>
          <w:spacing w:val="0"/>
          <w:w w:val="100"/>
          <w:sz w:val="20"/>
          <w:vertAlign w:val="baseline"/>
          <w:lang w:val="en-US"/>
        </w:rPr>
        <w:t xml:space="preserve">Eligible person in relation to</w:t>
      </w:r>
    </w:p>
    <w:p>
      <w:pPr>
        <w:tabs>
          <w:tab w:val="left" w:leader="none" w:pos="4824"/>
        </w:tabs>
        <w:spacing w:before="0" w:after="41" w:line="234" w:lineRule="exact"/>
        <w:ind w:right="0" w:left="936"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decision is made	</w:t>
      </w:r>
      <w:r>
        <w:rPr>
          <w:rFonts w:ascii="Times New Roman" w:hAnsi="Times New Roman" w:eastAsia="Times New Roman"/>
          <w:b w:val="true"/>
          <w:color w:val="000000"/>
          <w:spacing w:val="0"/>
          <w:w w:val="100"/>
          <w:sz w:val="20"/>
          <w:vertAlign w:val="baseline"/>
          <w:lang w:val="en-US"/>
        </w:rPr>
        <w:t xml:space="preserve">reviewable decision</w:t>
      </w:r>
    </w:p>
    <w:p>
      <w:pPr>
        <w:tabs>
          <w:tab w:val="left" w:leader="none" w:pos="1008"/>
          <w:tab w:val="left" w:leader="none" w:pos="4824"/>
        </w:tabs>
        <w:spacing w:before="71" w:after="0" w:line="228"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104.9pt,145.45pt" to="498.95pt,145.4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56	</w:t>
      </w:r>
      <w:r>
        <w:rPr>
          <w:rFonts w:ascii="Times New Roman" w:hAnsi="Times New Roman" w:eastAsia="Times New Roman"/>
          <w:color w:val="000000"/>
          <w:spacing w:val="0"/>
          <w:w w:val="100"/>
          <w:sz w:val="20"/>
          <w:vertAlign w:val="baseline"/>
          <w:lang w:val="en-US"/>
        </w:rPr>
        <w:t xml:space="preserve">594—Refusal to issue replacement licence	</w:t>
      </w:r>
      <w:r>
        <w:rPr>
          <w:rFonts w:ascii="Times New Roman" w:hAnsi="Times New Roman" w:eastAsia="Times New Roman"/>
          <w:color w:val="000000"/>
          <w:spacing w:val="0"/>
          <w:w w:val="100"/>
          <w:sz w:val="20"/>
          <w:vertAlign w:val="baseline"/>
          <w:lang w:val="en-US"/>
        </w:rPr>
        <w:t xml:space="preserve">Operator of facility</w:t>
      </w:r>
    </w:p>
    <w:p>
      <w:pPr>
        <w:spacing w:before="3" w:after="0" w:line="226" w:lineRule="exact"/>
        <w:ind w:right="0" w:left="93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document</w:t>
      </w:r>
    </w:p>
    <w:p>
      <w:pPr>
        <w:tabs>
          <w:tab w:val="left" w:leader="none" w:pos="1008"/>
          <w:tab w:val="left" w:leader="none" w:pos="4824"/>
        </w:tabs>
        <w:spacing w:before="129" w:after="0" w:line="226"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57	</w:t>
      </w:r>
      <w:r>
        <w:rPr>
          <w:rFonts w:ascii="Times New Roman" w:hAnsi="Times New Roman" w:eastAsia="Times New Roman"/>
          <w:color w:val="000000"/>
          <w:spacing w:val="0"/>
          <w:w w:val="100"/>
          <w:sz w:val="20"/>
          <w:vertAlign w:val="baseline"/>
          <w:lang w:val="en-US"/>
        </w:rPr>
        <w:t xml:space="preserve">598—Refusal to renew licence	</w:t>
      </w:r>
      <w:r>
        <w:rPr>
          <w:rFonts w:ascii="Times New Roman" w:hAnsi="Times New Roman" w:eastAsia="Times New Roman"/>
          <w:color w:val="000000"/>
          <w:spacing w:val="0"/>
          <w:w w:val="100"/>
          <w:sz w:val="20"/>
          <w:vertAlign w:val="baseline"/>
          <w:lang w:val="en-US"/>
        </w:rPr>
        <w:t xml:space="preserve">Operator of facility</w:t>
      </w:r>
    </w:p>
    <w:p>
      <w:pPr>
        <w:tabs>
          <w:tab w:val="left" w:leader="none" w:pos="1008"/>
          <w:tab w:val="left" w:leader="none" w:pos="4824"/>
        </w:tabs>
        <w:spacing w:before="119" w:after="0" w:line="228"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58	</w:t>
      </w:r>
      <w:r>
        <w:rPr>
          <w:rFonts w:ascii="Times New Roman" w:hAnsi="Times New Roman" w:eastAsia="Times New Roman"/>
          <w:color w:val="000000"/>
          <w:spacing w:val="0"/>
          <w:w w:val="100"/>
          <w:sz w:val="20"/>
          <w:vertAlign w:val="baseline"/>
          <w:lang w:val="en-US"/>
        </w:rPr>
        <w:t xml:space="preserve">600—Refusal to transfer licence, on	</w:t>
      </w:r>
      <w:r>
        <w:rPr>
          <w:rFonts w:ascii="Times New Roman" w:hAnsi="Times New Roman" w:eastAsia="Times New Roman"/>
          <w:color w:val="000000"/>
          <w:spacing w:val="0"/>
          <w:w w:val="100"/>
          <w:sz w:val="20"/>
          <w:vertAlign w:val="baseline"/>
          <w:lang w:val="en-US"/>
        </w:rPr>
        <w:t xml:space="preserve">Operator of facility</w:t>
      </w:r>
    </w:p>
    <w:p>
      <w:pPr>
        <w:tabs>
          <w:tab w:val="left" w:leader="none" w:pos="4824"/>
        </w:tabs>
        <w:spacing w:before="33" w:after="0" w:line="255" w:lineRule="exact"/>
        <w:ind w:right="0" w:left="93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application	</w:t>
      </w:r>
      <w:r>
        <w:rPr>
          <w:rFonts w:ascii="Times New Roman" w:hAnsi="Times New Roman" w:eastAsia="Times New Roman"/>
          <w:color w:val="000000"/>
          <w:spacing w:val="0"/>
          <w:w w:val="100"/>
          <w:sz w:val="20"/>
          <w:vertAlign w:val="baseline"/>
          <w:lang w:val="en-US"/>
        </w:rPr>
        <w:t xml:space="preserve">Proposed operator of facility</w:t>
      </w:r>
    </w:p>
    <w:p>
      <w:pPr>
        <w:tabs>
          <w:tab w:val="left" w:leader="none" w:pos="1008"/>
          <w:tab w:val="left" w:leader="none" w:pos="4824"/>
        </w:tabs>
        <w:spacing w:before="122" w:after="0" w:line="228"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59	</w:t>
      </w:r>
      <w:r>
        <w:rPr>
          <w:rFonts w:ascii="Times New Roman" w:hAnsi="Times New Roman" w:eastAsia="Times New Roman"/>
          <w:color w:val="000000"/>
          <w:spacing w:val="0"/>
          <w:w w:val="100"/>
          <w:sz w:val="20"/>
          <w:vertAlign w:val="baseline"/>
          <w:lang w:val="en-US"/>
        </w:rPr>
        <w:t xml:space="preserve">601—Refusal to cancel licence, on	</w:t>
      </w:r>
      <w:r>
        <w:rPr>
          <w:rFonts w:ascii="Times New Roman" w:hAnsi="Times New Roman" w:eastAsia="Times New Roman"/>
          <w:color w:val="000000"/>
          <w:spacing w:val="0"/>
          <w:w w:val="100"/>
          <w:sz w:val="20"/>
          <w:vertAlign w:val="baseline"/>
          <w:lang w:val="en-US"/>
        </w:rPr>
        <w:t xml:space="preserve">Operator of facility</w:t>
      </w:r>
    </w:p>
    <w:p>
      <w:pPr>
        <w:spacing w:before="4" w:after="0" w:line="226" w:lineRule="exact"/>
        <w:ind w:right="0" w:left="93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application</w:t>
      </w:r>
    </w:p>
    <w:p>
      <w:pPr>
        <w:tabs>
          <w:tab w:val="left" w:leader="none" w:pos="1008"/>
          <w:tab w:val="left" w:leader="none" w:pos="4824"/>
        </w:tabs>
        <w:spacing w:before="129" w:after="0" w:line="226"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60	</w:t>
      </w:r>
      <w:r>
        <w:rPr>
          <w:rFonts w:ascii="Times New Roman" w:hAnsi="Times New Roman" w:eastAsia="Times New Roman"/>
          <w:color w:val="000000"/>
          <w:spacing w:val="0"/>
          <w:w w:val="100"/>
          <w:sz w:val="20"/>
          <w:vertAlign w:val="baseline"/>
          <w:lang w:val="en-US"/>
        </w:rPr>
        <w:t xml:space="preserve">602—Suspension of licence	</w:t>
      </w:r>
      <w:r>
        <w:rPr>
          <w:rFonts w:ascii="Times New Roman" w:hAnsi="Times New Roman" w:eastAsia="Times New Roman"/>
          <w:color w:val="000000"/>
          <w:spacing w:val="0"/>
          <w:w w:val="100"/>
          <w:sz w:val="20"/>
          <w:vertAlign w:val="baseline"/>
          <w:lang w:val="en-US"/>
        </w:rPr>
        <w:t xml:space="preserve">Operator of facility</w:t>
      </w:r>
    </w:p>
    <w:p>
      <w:pPr>
        <w:tabs>
          <w:tab w:val="left" w:leader="none" w:pos="1008"/>
          <w:tab w:val="left" w:leader="none" w:pos="4824"/>
        </w:tabs>
        <w:spacing w:before="124" w:after="111" w:line="226"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61	</w:t>
      </w:r>
      <w:r>
        <w:rPr>
          <w:rFonts w:ascii="Times New Roman" w:hAnsi="Times New Roman" w:eastAsia="Times New Roman"/>
          <w:color w:val="000000"/>
          <w:spacing w:val="0"/>
          <w:w w:val="100"/>
          <w:sz w:val="20"/>
          <w:vertAlign w:val="baseline"/>
          <w:lang w:val="en-US"/>
        </w:rPr>
        <w:t xml:space="preserve">602—Cancellation of licence	</w:t>
      </w:r>
      <w:r>
        <w:rPr>
          <w:rFonts w:ascii="Times New Roman" w:hAnsi="Times New Roman" w:eastAsia="Times New Roman"/>
          <w:color w:val="000000"/>
          <w:spacing w:val="0"/>
          <w:w w:val="100"/>
          <w:sz w:val="20"/>
          <w:vertAlign w:val="baseline"/>
          <w:lang w:val="en-US"/>
        </w:rPr>
        <w:t xml:space="preserve">Operator of facility</w:t>
      </w:r>
    </w:p>
    <w:p>
      <w:pPr>
        <w:tabs>
          <w:tab w:val="left" w:leader="none" w:pos="1008"/>
          <w:tab w:val="left" w:leader="none" w:pos="4824"/>
        </w:tabs>
        <w:spacing w:before="3" w:after="0" w:line="228"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62	</w:t>
      </w:r>
      <w:r>
        <w:rPr>
          <w:rFonts w:ascii="Times New Roman" w:hAnsi="Times New Roman" w:eastAsia="Times New Roman"/>
          <w:color w:val="000000"/>
          <w:spacing w:val="0"/>
          <w:w w:val="100"/>
          <w:sz w:val="20"/>
          <w:vertAlign w:val="baseline"/>
          <w:lang w:val="en-US"/>
        </w:rPr>
        <w:t xml:space="preserve">602—Disqualification of licence holder	</w:t>
      </w:r>
      <w:r>
        <w:rPr>
          <w:rFonts w:ascii="Times New Roman" w:hAnsi="Times New Roman" w:eastAsia="Times New Roman"/>
          <w:color w:val="000000"/>
          <w:spacing w:val="0"/>
          <w:w w:val="100"/>
          <w:sz w:val="20"/>
          <w:vertAlign w:val="baseline"/>
          <w:lang w:val="en-US"/>
        </w:rPr>
        <w:t xml:space="preserve">Operator of facility</w:t>
      </w:r>
    </w:p>
    <w:p>
      <w:pPr>
        <w:spacing w:before="3" w:after="0" w:line="226" w:lineRule="exact"/>
        <w:ind w:right="0" w:left="93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from applying for another licence</w:t>
      </w:r>
    </w:p>
    <w:p>
      <w:pPr>
        <w:spacing w:before="122" w:after="0" w:line="235" w:lineRule="exact"/>
        <w:ind w:right="0" w:left="223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Exemptions</w:t>
      </w:r>
    </w:p>
    <w:p>
      <w:pPr>
        <w:tabs>
          <w:tab w:val="left" w:leader="none" w:pos="1008"/>
        </w:tabs>
        <w:spacing w:before="114" w:after="0" w:line="226" w:lineRule="exact"/>
        <w:ind w:right="0" w:left="216" w:firstLine="0"/>
        <w:jc w:val="left"/>
        <w:textAlignment w:val="baseline"/>
        <w:rPr>
          <w:rFonts w:ascii="Times New Roman" w:hAnsi="Times New Roman" w:eastAsia="Times New Roman"/>
          <w:color w:val="000000"/>
          <w:spacing w:val="2"/>
          <w:w w:val="100"/>
          <w:sz w:val="20"/>
          <w:vertAlign w:val="baseline"/>
          <w:lang w:val="en-US"/>
        </w:rPr>
      </w:pPr>
      <w:r>
        <w:rPr>
          <w:rFonts w:ascii="Times New Roman" w:hAnsi="Times New Roman" w:eastAsia="Times New Roman"/>
          <w:color w:val="000000"/>
          <w:spacing w:val="2"/>
          <w:w w:val="100"/>
          <w:sz w:val="20"/>
          <w:vertAlign w:val="baseline"/>
          <w:lang w:val="en-US"/>
        </w:rPr>
        <w:t xml:space="preserve">63	</w:t>
      </w:r>
      <w:r>
        <w:rPr>
          <w:rFonts w:ascii="Times New Roman" w:hAnsi="Times New Roman" w:eastAsia="Times New Roman"/>
          <w:color w:val="000000"/>
          <w:spacing w:val="2"/>
          <w:w w:val="100"/>
          <w:sz w:val="20"/>
          <w:vertAlign w:val="baseline"/>
          <w:lang w:val="en-US"/>
        </w:rPr>
        <w:t xml:space="preserve">684—Refusal to exempt person (or a class of Applicant</w:t>
      </w:r>
    </w:p>
    <w:p>
      <w:pPr>
        <w:spacing w:before="9" w:after="0" w:line="226" w:lineRule="exact"/>
        <w:ind w:right="0" w:left="93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persons) from compliance with any of these</w:t>
      </w:r>
    </w:p>
    <w:p>
      <w:pPr>
        <w:spacing w:before="4" w:after="0" w:line="226" w:lineRule="exact"/>
        <w:ind w:right="0" w:left="93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Regulations</w:t>
      </w:r>
    </w:p>
    <w:p>
      <w:pPr>
        <w:tabs>
          <w:tab w:val="left" w:leader="none" w:pos="1008"/>
          <w:tab w:val="left" w:leader="none" w:pos="4824"/>
        </w:tabs>
        <w:spacing w:before="118" w:after="0" w:line="226"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64	</w:t>
      </w:r>
      <w:r>
        <w:rPr>
          <w:rFonts w:ascii="Times New Roman" w:hAnsi="Times New Roman" w:eastAsia="Times New Roman"/>
          <w:color w:val="000000"/>
          <w:spacing w:val="0"/>
          <w:w w:val="100"/>
          <w:sz w:val="20"/>
          <w:vertAlign w:val="baseline"/>
          <w:lang w:val="en-US"/>
        </w:rPr>
        <w:t xml:space="preserve">686—Refusal to exempt person from	</w:t>
      </w:r>
      <w:r>
        <w:rPr>
          <w:rFonts w:ascii="Times New Roman" w:hAnsi="Times New Roman" w:eastAsia="Times New Roman"/>
          <w:color w:val="000000"/>
          <w:spacing w:val="0"/>
          <w:w w:val="100"/>
          <w:sz w:val="20"/>
          <w:vertAlign w:val="baseline"/>
          <w:lang w:val="en-US"/>
        </w:rPr>
        <w:t xml:space="preserve">Applicant</w:t>
      </w:r>
    </w:p>
    <w:p>
      <w:pPr>
        <w:spacing w:before="11" w:after="0" w:line="226" w:lineRule="exact"/>
        <w:ind w:right="0" w:left="93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requirement to hold a high risk work licence</w:t>
      </w:r>
    </w:p>
    <w:p>
      <w:pPr>
        <w:tabs>
          <w:tab w:val="left" w:leader="none" w:pos="1008"/>
          <w:tab w:val="left" w:leader="none" w:pos="4824"/>
        </w:tabs>
        <w:spacing w:before="118" w:after="0" w:line="228"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65	</w:t>
      </w:r>
      <w:r>
        <w:rPr>
          <w:rFonts w:ascii="Times New Roman" w:hAnsi="Times New Roman" w:eastAsia="Times New Roman"/>
          <w:color w:val="000000"/>
          <w:spacing w:val="0"/>
          <w:w w:val="100"/>
          <w:sz w:val="20"/>
          <w:vertAlign w:val="baseline"/>
          <w:lang w:val="en-US"/>
        </w:rPr>
        <w:t xml:space="preserve">688—Refusal to exempt operator of MHF	</w:t>
      </w:r>
      <w:r>
        <w:rPr>
          <w:rFonts w:ascii="Times New Roman" w:hAnsi="Times New Roman" w:eastAsia="Times New Roman"/>
          <w:color w:val="000000"/>
          <w:spacing w:val="0"/>
          <w:w w:val="100"/>
          <w:sz w:val="20"/>
          <w:vertAlign w:val="baseline"/>
          <w:lang w:val="en-US"/>
        </w:rPr>
        <w:t xml:space="preserve">Operator of facility</w:t>
      </w:r>
    </w:p>
    <w:p>
      <w:pPr>
        <w:spacing w:before="0" w:after="0" w:line="230" w:lineRule="exact"/>
        <w:ind w:right="0" w:left="93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from compliance with any of these</w:t>
        <w:br/>
      </w:r>
      <w:r>
        <w:rPr>
          <w:rFonts w:ascii="Times New Roman" w:hAnsi="Times New Roman" w:eastAsia="Times New Roman"/>
          <w:color w:val="000000"/>
          <w:spacing w:val="0"/>
          <w:w w:val="100"/>
          <w:sz w:val="20"/>
          <w:vertAlign w:val="baseline"/>
          <w:lang w:val="en-US"/>
        </w:rPr>
        <w:t xml:space="preserve">Regulations, on application</w:t>
      </w:r>
    </w:p>
    <w:p>
      <w:pPr>
        <w:tabs>
          <w:tab w:val="left" w:leader="none" w:pos="1008"/>
          <w:tab w:val="left" w:leader="none" w:pos="4824"/>
        </w:tabs>
        <w:spacing w:before="123" w:after="0" w:line="226"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66	</w:t>
      </w:r>
      <w:r>
        <w:rPr>
          <w:rFonts w:ascii="Times New Roman" w:hAnsi="Times New Roman" w:eastAsia="Times New Roman"/>
          <w:color w:val="000000"/>
          <w:spacing w:val="0"/>
          <w:w w:val="100"/>
          <w:sz w:val="20"/>
          <w:vertAlign w:val="baseline"/>
          <w:lang w:val="en-US"/>
        </w:rPr>
        <w:t xml:space="preserve">691—Imposing condition on an exemption	</w:t>
      </w:r>
      <w:r>
        <w:rPr>
          <w:rFonts w:ascii="Times New Roman" w:hAnsi="Times New Roman" w:eastAsia="Times New Roman"/>
          <w:color w:val="000000"/>
          <w:spacing w:val="0"/>
          <w:w w:val="100"/>
          <w:sz w:val="20"/>
          <w:vertAlign w:val="baseline"/>
          <w:lang w:val="en-US"/>
        </w:rPr>
        <w:t xml:space="preserve">Applicant</w:t>
      </w:r>
    </w:p>
    <w:p>
      <w:pPr>
        <w:spacing w:before="6" w:after="120" w:line="226" w:lineRule="exact"/>
        <w:ind w:right="0" w:left="93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granted on application under Part 11.2</w:t>
      </w:r>
    </w:p>
    <w:p>
      <w:pPr>
        <w:tabs>
          <w:tab w:val="left" w:leader="none" w:pos="1008"/>
          <w:tab w:val="left" w:leader="none" w:pos="4824"/>
        </w:tabs>
        <w:spacing w:before="4" w:after="0" w:line="226"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67	</w:t>
      </w:r>
      <w:r>
        <w:rPr>
          <w:rFonts w:ascii="Times New Roman" w:hAnsi="Times New Roman" w:eastAsia="Times New Roman"/>
          <w:color w:val="000000"/>
          <w:spacing w:val="0"/>
          <w:w w:val="100"/>
          <w:sz w:val="20"/>
          <w:vertAlign w:val="baseline"/>
          <w:lang w:val="en-US"/>
        </w:rPr>
        <w:t xml:space="preserve">696—Refusal to grant exemption	</w:t>
      </w:r>
      <w:r>
        <w:rPr>
          <w:rFonts w:ascii="Times New Roman" w:hAnsi="Times New Roman" w:eastAsia="Times New Roman"/>
          <w:color w:val="000000"/>
          <w:spacing w:val="0"/>
          <w:w w:val="100"/>
          <w:sz w:val="20"/>
          <w:vertAlign w:val="baseline"/>
          <w:lang w:val="en-US"/>
        </w:rPr>
        <w:t xml:space="preserve">Applicant</w:t>
      </w:r>
    </w:p>
    <w:p>
      <w:pPr>
        <w:tabs>
          <w:tab w:val="left" w:leader="none" w:pos="1008"/>
        </w:tabs>
        <w:spacing w:before="108" w:after="0" w:line="234" w:lineRule="exact"/>
        <w:ind w:right="2376" w:left="936" w:hanging="72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68	</w:t>
      </w:r>
      <w:r>
        <w:rPr>
          <w:rFonts w:ascii="Times New Roman" w:hAnsi="Times New Roman" w:eastAsia="Times New Roman"/>
          <w:color w:val="000000"/>
          <w:spacing w:val="0"/>
          <w:w w:val="100"/>
          <w:sz w:val="20"/>
          <w:vertAlign w:val="baseline"/>
          <w:lang w:val="en-US"/>
        </w:rPr>
        <w:t xml:space="preserve">697—Amendment of an exemption granted Applicant on application under Part 11.2</w:t>
      </w:r>
    </w:p>
    <w:p>
      <w:pPr>
        <w:tabs>
          <w:tab w:val="left" w:leader="none" w:pos="1008"/>
        </w:tabs>
        <w:spacing w:before="113" w:after="34" w:line="234" w:lineRule="exact"/>
        <w:ind w:right="2376" w:left="936" w:hanging="72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69	</w:t>
      </w:r>
      <w:r>
        <w:rPr>
          <w:rFonts w:ascii="Times New Roman" w:hAnsi="Times New Roman" w:eastAsia="Times New Roman"/>
          <w:color w:val="000000"/>
          <w:spacing w:val="0"/>
          <w:w w:val="100"/>
          <w:sz w:val="20"/>
          <w:vertAlign w:val="baseline"/>
          <w:lang w:val="en-US"/>
        </w:rPr>
        <w:t xml:space="preserve">697—Cancellation of an exemption granted Applicant on application under Part 11.2</w:t>
      </w:r>
    </w:p>
    <w:p>
      <w:pPr>
        <w:spacing w:before="130" w:after="0" w:line="279" w:lineRule="exact"/>
        <w:ind w:right="360" w:left="1368" w:hanging="432"/>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104.15pt,548.9pt" to="498.95pt,548.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(2) Unless the contrary intention appears, a reference in this Part to a decision includes a reference to:</w:t>
      </w:r>
    </w:p>
    <w:p>
      <w:pPr>
        <w:numPr>
          <w:ilvl w:val="0"/>
          <w:numId w:val="1029"/>
        </w:numPr>
        <w:tabs>
          <w:tab w:val="clear" w:pos="360"/>
          <w:tab w:val="left" w:pos="1872"/>
        </w:tabs>
        <w:spacing w:before="114" w:after="0" w:line="279" w:lineRule="exact"/>
        <w:ind w:right="36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making, suspending, revoking or refusing to make an order, determination or decision; or</w:t>
      </w:r>
    </w:p>
    <w:p>
      <w:pPr>
        <w:numPr>
          <w:ilvl w:val="0"/>
          <w:numId w:val="1029"/>
        </w:numPr>
        <w:tabs>
          <w:tab w:val="clear" w:pos="360"/>
          <w:tab w:val="left" w:pos="1872"/>
        </w:tabs>
        <w:spacing w:before="114" w:after="0" w:line="279" w:lineRule="exact"/>
        <w:ind w:right="36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giving, suspending, revoking or refusing to give a direction, approval, consent or permission; or</w:t>
      </w:r>
    </w:p>
    <w:p>
      <w:pPr>
        <w:numPr>
          <w:ilvl w:val="0"/>
          <w:numId w:val="1029"/>
        </w:numPr>
        <w:tabs>
          <w:tab w:val="clear" w:pos="360"/>
          <w:tab w:val="left" w:pos="1872"/>
        </w:tabs>
        <w:spacing w:before="117"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granting, issuing, amending, renewing, suspending, cancelling, revoking or refusing to grant, issue, amend or renew an authorisation; or</w:t>
      </w:r>
    </w:p>
    <w:p>
      <w:pPr>
        <w:numPr>
          <w:ilvl w:val="0"/>
          <w:numId w:val="1029"/>
        </w:numPr>
        <w:tabs>
          <w:tab w:val="clear" w:pos="360"/>
          <w:tab w:val="left" w:pos="1872"/>
        </w:tabs>
        <w:spacing w:before="130" w:after="800" w:line="269"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9pt,728.15pt" to="498.9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imposing or varying a condition; or</w:t>
      </w:r>
    </w:p>
    <w:p>
      <w:pPr>
        <w:spacing w:before="130" w:after="800" w:line="269" w:lineRule="exact"/>
        <w:sectPr>
          <w:type w:val="nextPage"/>
          <w:pgSz w:w="11909" w:h="16838" w:orient="portrait"/>
          <w:pgMar w:bottom="1082" w:top="1140" w:right="1931" w:left="1958"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420</w:t>
      </w:r>
    </w:p>
    <w:p>
      <w:pPr>
        <w:sectPr>
          <w:type w:val="continuous"/>
          <w:pgSz w:w="11909" w:h="16838" w:orient="portrait"/>
          <w:pgMar w:bottom="1082" w:top="1140" w:right="5811" w:left="1978"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11.1	</w:t>
      </w:r>
      <w:r>
        <w:rPr>
          <w:rFonts w:ascii="Times New Roman" w:hAnsi="Times New Roman" w:eastAsia="Times New Roman"/>
          <w:color w:val="000000"/>
          <w:spacing w:val="0"/>
          <w:w w:val="100"/>
          <w:sz w:val="20"/>
          <w:vertAlign w:val="baseline"/>
          <w:lang w:val="en-US"/>
        </w:rPr>
        <w:t xml:space="preserve">Review of Decisions under these Regulations</w:t>
      </w:r>
    </w:p>
    <w:p>
      <w:pPr>
        <w:numPr>
          <w:ilvl w:val="0"/>
          <w:numId w:val="1009"/>
        </w:numPr>
        <w:tabs>
          <w:tab w:val="clear" w:pos="288"/>
          <w:tab w:val="left" w:pos="1872"/>
        </w:tabs>
        <w:spacing w:before="251"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making a declaration, demand or requirement; or</w:t>
      </w:r>
    </w:p>
    <w:p>
      <w:pPr>
        <w:numPr>
          <w:ilvl w:val="0"/>
          <w:numId w:val="1009"/>
        </w:numPr>
        <w:tabs>
          <w:tab w:val="clear" w:pos="288"/>
          <w:tab w:val="left" w:pos="1872"/>
        </w:tabs>
        <w:spacing w:before="126"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retaining, or refusing to deliver up, a thing; or</w:t>
      </w:r>
    </w:p>
    <w:p>
      <w:pPr>
        <w:numPr>
          <w:ilvl w:val="0"/>
          <w:numId w:val="1009"/>
        </w:numPr>
        <w:tabs>
          <w:tab w:val="clear" w:pos="288"/>
          <w:tab w:val="left" w:pos="1872"/>
        </w:tabs>
        <w:spacing w:before="120"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doing or refusing to do any other act or thing; or</w:t>
      </w:r>
    </w:p>
    <w:p>
      <w:pPr>
        <w:numPr>
          <w:ilvl w:val="0"/>
          <w:numId w:val="1009"/>
        </w:numPr>
        <w:tabs>
          <w:tab w:val="clear" w:pos="288"/>
          <w:tab w:val="left" w:pos="1872"/>
        </w:tabs>
        <w:spacing w:before="126"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being taken to refuse or do any act or thing.</w:t>
      </w:r>
    </w:p>
    <w:p>
      <w:pPr>
        <w:tabs>
          <w:tab w:val="left" w:leader="none" w:pos="1584"/>
        </w:tabs>
        <w:spacing w:before="245"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2	</w:t>
      </w:r>
      <w:r>
        <w:rPr>
          <w:rFonts w:ascii="Times New Roman" w:hAnsi="Times New Roman" w:eastAsia="Times New Roman"/>
          <w:b w:val="true"/>
          <w:color w:val="000000"/>
          <w:spacing w:val="0"/>
          <w:w w:val="100"/>
          <w:sz w:val="24"/>
          <w:vertAlign w:val="baseline"/>
          <w:lang w:val="en-US"/>
        </w:rPr>
        <w:t xml:space="preserve">Internal review</w:t>
      </w:r>
    </w:p>
    <w:p>
      <w:pPr>
        <w:spacing w:before="120" w:after="0" w:line="274" w:lineRule="exact"/>
        <w:ind w:right="0" w:left="288" w:firstLine="0"/>
        <w:jc w:val="left"/>
        <w:textAlignment w:val="baseline"/>
        <w:rPr>
          <w:rFonts w:ascii="Times New Roman" w:hAnsi="Times New Roman" w:eastAsia="Times New Roman"/>
          <w:b w:val="true"/>
          <w:color w:val="000000"/>
          <w:spacing w:val="9"/>
          <w:w w:val="100"/>
          <w:sz w:val="24"/>
          <w:vertAlign w:val="baseline"/>
          <w:lang w:val="en-US"/>
        </w:rPr>
      </w:pPr>
      <w:r>
        <w:rPr>
          <w:rFonts w:ascii="Times New Roman" w:hAnsi="Times New Roman" w:eastAsia="Times New Roman"/>
          <w:b w:val="true"/>
          <w:color w:val="000000"/>
          <w:spacing w:val="9"/>
          <w:w w:val="100"/>
          <w:sz w:val="24"/>
          <w:vertAlign w:val="baseline"/>
          <w:lang w:val="en-US"/>
        </w:rPr>
        <w:t xml:space="preserve">677 Application</w:t>
      </w:r>
    </w:p>
    <w:p>
      <w:pPr>
        <w:spacing w:before="119"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Division does not apply to a reviewable decision made under:</w:t>
      </w:r>
    </w:p>
    <w:p>
      <w:pPr>
        <w:numPr>
          <w:ilvl w:val="0"/>
          <w:numId w:val="1030"/>
        </w:numPr>
        <w:tabs>
          <w:tab w:val="clear" w:pos="288"/>
          <w:tab w:val="left" w:pos="1872"/>
        </w:tabs>
        <w:spacing w:before="126"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Chapter 9; or</w:t>
      </w:r>
    </w:p>
    <w:p>
      <w:pPr>
        <w:numPr>
          <w:ilvl w:val="0"/>
          <w:numId w:val="1030"/>
        </w:numPr>
        <w:tabs>
          <w:tab w:val="clear" w:pos="288"/>
          <w:tab w:val="left" w:pos="1872"/>
        </w:tabs>
        <w:spacing w:before="120"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Part 11.2.</w:t>
      </w:r>
    </w:p>
    <w:p>
      <w:pPr>
        <w:spacing w:before="126"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678 Application for internal review</w:t>
      </w:r>
    </w:p>
    <w:p>
      <w:pPr>
        <w:spacing w:before="119"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Subject to subregulation (2), an eligible person in relation to a</w:t>
      </w:r>
    </w:p>
    <w:p>
      <w:pPr>
        <w:spacing w:before="6"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reviewable decision may apply to the regulator for review</w:t>
      </w:r>
    </w:p>
    <w:p>
      <w:pPr>
        <w:spacing w:before="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w:t>
      </w:r>
      <w:r>
        <w:rPr>
          <w:rFonts w:ascii="Times New Roman" w:hAnsi="Times New Roman" w:eastAsia="Times New Roman"/>
          <w:b w:val="true"/>
          <w:i w:val="true"/>
          <w:color w:val="000000"/>
          <w:spacing w:val="0"/>
          <w:w w:val="100"/>
          <w:sz w:val="24"/>
          <w:vertAlign w:val="baseline"/>
          <w:lang w:val="en-US"/>
        </w:rPr>
        <w:t xml:space="preserve">internal review</w:t>
      </w:r>
      <w:r>
        <w:rPr>
          <w:rFonts w:ascii="Times New Roman" w:hAnsi="Times New Roman" w:eastAsia="Times New Roman"/>
          <w:color w:val="000000"/>
          <w:spacing w:val="0"/>
          <w:w w:val="100"/>
          <w:sz w:val="24"/>
          <w:vertAlign w:val="baseline"/>
          <w:lang w:val="en-US"/>
        </w:rPr>
        <w:t xml:space="preserve">) of the decision within:</w:t>
      </w:r>
    </w:p>
    <w:p>
      <w:pPr>
        <w:numPr>
          <w:ilvl w:val="0"/>
          <w:numId w:val="1031"/>
        </w:numPr>
        <w:tabs>
          <w:tab w:val="clear" w:pos="288"/>
          <w:tab w:val="left" w:pos="1872"/>
        </w:tabs>
        <w:spacing w:before="116" w:after="0" w:line="278" w:lineRule="exact"/>
        <w:ind w:right="288"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28 days after the day on which the decision first came to the eligible person's notice; or</w:t>
      </w:r>
    </w:p>
    <w:p>
      <w:pPr>
        <w:numPr>
          <w:ilvl w:val="0"/>
          <w:numId w:val="1031"/>
        </w:numPr>
        <w:tabs>
          <w:tab w:val="clear" w:pos="288"/>
          <w:tab w:val="left" w:pos="1872"/>
        </w:tabs>
        <w:spacing w:before="121"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longer time the regulator allows.</w:t>
      </w:r>
    </w:p>
    <w:p>
      <w:pPr>
        <w:spacing w:before="122" w:after="0" w:line="276" w:lineRule="exact"/>
        <w:ind w:right="144"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(2) An eligible person in relation to a reviewable decision under regulation 89(5), 118(5), 256(5), 269(5) or 497(5) may apply to the regulator for review (an </w:t>
      </w:r>
      <w:r>
        <w:rPr>
          <w:rFonts w:ascii="Times New Roman" w:hAnsi="Times New Roman" w:eastAsia="Times New Roman"/>
          <w:b w:val="true"/>
          <w:i w:val="true"/>
          <w:color w:val="000000"/>
          <w:spacing w:val="-1"/>
          <w:w w:val="100"/>
          <w:sz w:val="24"/>
          <w:vertAlign w:val="baseline"/>
          <w:lang w:val="en-US"/>
        </w:rPr>
        <w:t xml:space="preserve">internal review</w:t>
      </w:r>
      <w:r>
        <w:rPr>
          <w:rFonts w:ascii="Times New Roman" w:hAnsi="Times New Roman" w:eastAsia="Times New Roman"/>
          <w:color w:val="000000"/>
          <w:spacing w:val="-1"/>
          <w:w w:val="100"/>
          <w:sz w:val="24"/>
          <w:vertAlign w:val="baseline"/>
          <w:lang w:val="en-US"/>
        </w:rPr>
        <w:t xml:space="preserve">) of the decision within:</w:t>
      </w:r>
    </w:p>
    <w:p>
      <w:pPr>
        <w:numPr>
          <w:ilvl w:val="0"/>
          <w:numId w:val="1032"/>
        </w:numPr>
        <w:tabs>
          <w:tab w:val="clear" w:pos="288"/>
          <w:tab w:val="left" w:pos="1872"/>
        </w:tabs>
        <w:spacing w:before="116" w:after="0" w:line="278" w:lineRule="exact"/>
        <w:ind w:right="216"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28 days after the day on which the 120 day period referred to in that provision; or</w:t>
      </w:r>
    </w:p>
    <w:p>
      <w:pPr>
        <w:numPr>
          <w:ilvl w:val="0"/>
          <w:numId w:val="1032"/>
        </w:numPr>
        <w:tabs>
          <w:tab w:val="clear" w:pos="288"/>
          <w:tab w:val="left" w:pos="1872"/>
        </w:tabs>
        <w:spacing w:before="121" w:after="0" w:line="273"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longer time the regulator allows.</w:t>
      </w:r>
    </w:p>
    <w:p>
      <w:pPr>
        <w:spacing w:before="124" w:after="0" w:line="274" w:lineRule="exact"/>
        <w:ind w:right="216"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application must be made in the manner and form required by the regulator.</w:t>
      </w:r>
    </w:p>
    <w:p>
      <w:pPr>
        <w:spacing w:before="125" w:after="0" w:line="274" w:lineRule="exact"/>
        <w:ind w:right="0" w:left="288" w:firstLine="0"/>
        <w:jc w:val="left"/>
        <w:textAlignment w:val="baseline"/>
        <w:rPr>
          <w:rFonts w:ascii="Times New Roman" w:hAnsi="Times New Roman" w:eastAsia="Times New Roman"/>
          <w:b w:val="true"/>
          <w:color w:val="000000"/>
          <w:spacing w:val="6"/>
          <w:w w:val="100"/>
          <w:sz w:val="24"/>
          <w:vertAlign w:val="baseline"/>
          <w:lang w:val="en-US"/>
        </w:rPr>
      </w:pPr>
      <w:r>
        <w:rPr>
          <w:rFonts w:ascii="Times New Roman" w:hAnsi="Times New Roman" w:eastAsia="Times New Roman"/>
          <w:b w:val="true"/>
          <w:color w:val="000000"/>
          <w:spacing w:val="6"/>
          <w:w w:val="100"/>
          <w:sz w:val="24"/>
          <w:vertAlign w:val="baseline"/>
          <w:lang w:val="en-US"/>
        </w:rPr>
        <w:t xml:space="preserve">679 Internal reviewer</w:t>
      </w:r>
    </w:p>
    <w:p>
      <w:pPr>
        <w:numPr>
          <w:ilvl w:val="0"/>
          <w:numId w:val="1033"/>
        </w:numPr>
        <w:tabs>
          <w:tab w:val="clear" w:pos="360"/>
          <w:tab w:val="left" w:pos="1368"/>
        </w:tabs>
        <w:spacing w:before="115" w:after="0" w:line="278" w:lineRule="exact"/>
        <w:ind w:right="216"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may appoint a person or body to review decisions on applications under this Division.</w:t>
      </w:r>
    </w:p>
    <w:p>
      <w:pPr>
        <w:numPr>
          <w:ilvl w:val="0"/>
          <w:numId w:val="1033"/>
        </w:numPr>
        <w:tabs>
          <w:tab w:val="clear" w:pos="360"/>
          <w:tab w:val="left" w:pos="1368"/>
        </w:tabs>
        <w:spacing w:before="116" w:after="0" w:line="278"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who made the reviewable decision cannot be an internal reviewer in relation to that decision.</w:t>
      </w:r>
    </w:p>
    <w:p>
      <w:pPr>
        <w:spacing w:before="121"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680 Decision of internal reviewer</w:t>
      </w:r>
    </w:p>
    <w:p>
      <w:pPr>
        <w:spacing w:before="123" w:after="806" w:line="275"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(1) The internal reviewer must review the reviewable decision and make a decision as soon as practicable and within 14 days after the application for internal review, or the additional information requested under subregulation (3), is received.</w:t>
      </w:r>
    </w:p>
    <w:p>
      <w:pPr>
        <w:spacing w:before="123" w:after="806" w:line="275"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421</w:t>
      </w:r>
    </w:p>
    <w:p>
      <w:pPr>
        <w:sectPr>
          <w:type w:val="continuous"/>
          <w:pgSz w:w="11909" w:h="16838" w:orient="portrait"/>
          <w:pgMar w:bottom="1082" w:top="1140" w:right="5819" w:left="1970"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11.1	</w:t>
      </w:r>
      <w:r>
        <w:rPr>
          <w:rFonts w:ascii="Times New Roman" w:hAnsi="Times New Roman" w:eastAsia="Times New Roman"/>
          <w:color w:val="000000"/>
          <w:spacing w:val="0"/>
          <w:w w:val="100"/>
          <w:sz w:val="20"/>
          <w:vertAlign w:val="baseline"/>
          <w:lang w:val="en-US"/>
        </w:rPr>
        <w:t xml:space="preserve">Review of Decisions under these Regulations</w:t>
      </w:r>
    </w:p>
    <w:p>
      <w:pPr>
        <w:spacing w:before="251"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(2) The decision may be:</w:t>
      </w:r>
    </w:p>
    <w:p>
      <w:pPr>
        <w:numPr>
          <w:ilvl w:val="0"/>
          <w:numId w:val="1034"/>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to confirm or vary the reviewable decision; or</w:t>
      </w:r>
    </w:p>
    <w:p>
      <w:pPr>
        <w:numPr>
          <w:ilvl w:val="0"/>
          <w:numId w:val="1034"/>
        </w:numPr>
        <w:tabs>
          <w:tab w:val="clear" w:pos="360"/>
          <w:tab w:val="left" w:pos="1872"/>
        </w:tabs>
        <w:spacing w:before="114" w:after="0" w:line="279"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to set aside the reviewable decision and substitute another decision that the internal reviewer considers appropriate.</w:t>
      </w:r>
    </w:p>
    <w:p>
      <w:pPr>
        <w:spacing w:before="114" w:after="0" w:line="279" w:lineRule="exact"/>
        <w:ind w:right="360"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internal reviewer may ask the applicant to provide additional information in support of the application for review.</w:t>
      </w:r>
    </w:p>
    <w:p>
      <w:pPr>
        <w:spacing w:before="117"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The applicant must provide the additional information within the time (being not less than 7 days) specified by the internal reviewer in the request for information.</w:t>
      </w:r>
    </w:p>
    <w:p>
      <w:pPr>
        <w:spacing w:before="123"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If the applicant does not provide the additional information within the required time, the reviewable decision is taken to have been confirmed by the internal reviewer at the end of that time.</w:t>
      </w:r>
    </w:p>
    <w:p>
      <w:pPr>
        <w:spacing w:before="117"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(6) If the reviewable decision is not varied or set aside within the 14 day period referred to in subregulation (1), the reviewable decision is taken to have been confirmed by the internal reviewer.</w:t>
      </w:r>
    </w:p>
    <w:p>
      <w:pPr>
        <w:spacing w:before="124"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8"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19"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681 Decision on internal review</w:t>
      </w:r>
    </w:p>
    <w:p>
      <w:pPr>
        <w:spacing w:before="123" w:after="0" w:line="274" w:lineRule="exact"/>
        <w:ind w:right="360" w:left="1368" w:firstLine="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Within 14 days of making the decision on the internal review, the internal reviewer must give the applicant written notice of:</w:t>
      </w:r>
    </w:p>
    <w:p>
      <w:pPr>
        <w:numPr>
          <w:ilvl w:val="0"/>
          <w:numId w:val="1035"/>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decision on the internal review; and</w:t>
      </w:r>
    </w:p>
    <w:p>
      <w:pPr>
        <w:numPr>
          <w:ilvl w:val="0"/>
          <w:numId w:val="1035"/>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reasons for the decision.</w:t>
      </w:r>
    </w:p>
    <w:p>
      <w:pPr>
        <w:spacing w:before="129"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8"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19"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682 Internal review—reviewable decision continues</w:t>
      </w:r>
    </w:p>
    <w:p>
      <w:pPr>
        <w:spacing w:before="119" w:after="0" w:line="276" w:lineRule="exact"/>
        <w:ind w:right="360" w:left="1368" w:firstLine="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Subject to any provision to the contrary in relation to a particular decision, an application for an internal review does not affect the operation of the reviewable decision or prevent the taking of any lawful action to implement or enforce the decision.</w:t>
      </w:r>
    </w:p>
    <w:p>
      <w:pPr>
        <w:tabs>
          <w:tab w:val="left" w:leader="none" w:pos="1584"/>
        </w:tabs>
        <w:spacing w:before="245"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3	</w:t>
      </w:r>
      <w:r>
        <w:rPr>
          <w:rFonts w:ascii="Times New Roman" w:hAnsi="Times New Roman" w:eastAsia="Times New Roman"/>
          <w:b w:val="true"/>
          <w:color w:val="000000"/>
          <w:spacing w:val="0"/>
          <w:w w:val="100"/>
          <w:sz w:val="24"/>
          <w:vertAlign w:val="baseline"/>
          <w:lang w:val="en-US"/>
        </w:rPr>
        <w:t xml:space="preserve">External review</w:t>
      </w:r>
    </w:p>
    <w:p>
      <w:pPr>
        <w:spacing w:before="120"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683 Application for external review</w:t>
      </w:r>
    </w:p>
    <w:p>
      <w:pPr>
        <w:spacing w:before="115" w:after="0" w:line="278" w:lineRule="exact"/>
        <w:ind w:right="57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An eligible person may apply to [the external review body] for review (an </w:t>
      </w:r>
      <w:r>
        <w:rPr>
          <w:rFonts w:ascii="Times New Roman" w:hAnsi="Times New Roman" w:eastAsia="Times New Roman"/>
          <w:b w:val="true"/>
          <w:i w:val="true"/>
          <w:color w:val="000000"/>
          <w:spacing w:val="0"/>
          <w:w w:val="100"/>
          <w:sz w:val="24"/>
          <w:vertAlign w:val="baseline"/>
          <w:lang w:val="en-US"/>
        </w:rPr>
        <w:t xml:space="preserve">external review</w:t>
      </w:r>
      <w:r>
        <w:rPr>
          <w:rFonts w:ascii="Times New Roman" w:hAnsi="Times New Roman" w:eastAsia="Times New Roman"/>
          <w:color w:val="000000"/>
          <w:spacing w:val="0"/>
          <w:w w:val="100"/>
          <w:sz w:val="24"/>
          <w:vertAlign w:val="baseline"/>
          <w:lang w:val="en-US"/>
        </w:rPr>
        <w:t xml:space="preserve">) of:</w:t>
      </w:r>
    </w:p>
    <w:p>
      <w:pPr>
        <w:spacing w:before="0" w:after="710" w:line="396" w:lineRule="exact"/>
        <w:ind w:right="1224" w:left="2088" w:hanging="576"/>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a reviewable decision made by the regulator under: (i) Chapter 9; or</w:t>
      </w:r>
    </w:p>
    <w:p>
      <w:pPr>
        <w:spacing w:before="0" w:after="710" w:line="39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422</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11.1	</w:t>
      </w:r>
      <w:r>
        <w:rPr>
          <w:rFonts w:ascii="Times New Roman" w:hAnsi="Times New Roman" w:eastAsia="Times New Roman"/>
          <w:color w:val="000000"/>
          <w:spacing w:val="0"/>
          <w:w w:val="100"/>
          <w:sz w:val="20"/>
          <w:vertAlign w:val="baseline"/>
          <w:lang w:val="en-US"/>
        </w:rPr>
        <w:t xml:space="preserve">Review of Decisions under these Regulations</w:t>
      </w:r>
    </w:p>
    <w:p>
      <w:pPr>
        <w:spacing w:before="251" w:after="0" w:line="271" w:lineRule="exact"/>
        <w:ind w:right="0" w:left="2016"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(ii) Part 11.2; or</w:t>
      </w:r>
    </w:p>
    <w:p>
      <w:pPr>
        <w:spacing w:before="126" w:after="0" w:line="273" w:lineRule="exact"/>
        <w:ind w:right="36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a decision made, or taken to have been made, on an internal review.</w:t>
      </w:r>
    </w:p>
    <w:p>
      <w:pPr>
        <w:spacing w:before="128" w:after="0" w:line="271"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application must be made within:</w:t>
      </w:r>
    </w:p>
    <w:p>
      <w:pPr>
        <w:numPr>
          <w:ilvl w:val="0"/>
          <w:numId w:val="1036"/>
        </w:numPr>
        <w:tabs>
          <w:tab w:val="clear" w:pos="360"/>
          <w:tab w:val="left" w:pos="1872"/>
        </w:tabs>
        <w:spacing w:before="114" w:after="0" w:line="279" w:lineRule="exact"/>
        <w:ind w:right="36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28 days after the day on which the decision first came to the eligible person's notice; or</w:t>
      </w:r>
    </w:p>
    <w:p>
      <w:pPr>
        <w:numPr>
          <w:ilvl w:val="0"/>
          <w:numId w:val="1036"/>
        </w:numPr>
        <w:tabs>
          <w:tab w:val="clear" w:pos="360"/>
          <w:tab w:val="left" w:pos="1872"/>
        </w:tabs>
        <w:spacing w:before="122" w:after="0" w:line="271" w:lineRule="exact"/>
        <w:ind w:right="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longer time the [the external review body] allows.</w:t>
      </w:r>
    </w:p>
    <w:p>
      <w:pPr>
        <w:spacing w:before="126"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9109" w:line="228"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333"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1.05pt,0.3pt" style="position:absolute;mso-position-horizontal-relative:text;mso-position-vertical-relative:text;">
            <v:stroke dashstyle="solid"/>
          </v:line>
        </w:pict>
      </w:r>
    </w:p>
    <w:p>
      <w:pPr>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423</w:t>
      </w:r>
    </w:p>
    <w:p>
      <w:pPr>
        <w:sectPr>
          <w:type w:val="continuous"/>
          <w:pgSz w:w="11909" w:h="16838" w:orient="portrait"/>
          <w:pgMar w:bottom="1082" w:top="1140" w:right="5817" w:left="1972"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11.2	</w:t>
      </w:r>
      <w:r>
        <w:rPr>
          <w:rFonts w:ascii="Times New Roman" w:hAnsi="Times New Roman" w:eastAsia="Times New Roman"/>
          <w:color w:val="000000"/>
          <w:spacing w:val="0"/>
          <w:w w:val="100"/>
          <w:sz w:val="20"/>
          <w:vertAlign w:val="baseline"/>
          <w:lang w:val="en-US"/>
        </w:rPr>
        <w:t xml:space="preserve">Exemptions</w:t>
      </w:r>
    </w:p>
    <w:p>
      <w:pPr>
        <w:spacing w:before="258" w:after="0" w:line="317" w:lineRule="exact"/>
        <w:ind w:right="0" w:left="0" w:firstLine="0"/>
        <w:jc w:val="left"/>
        <w:textAlignment w:val="baseline"/>
        <w:rPr>
          <w:rFonts w:ascii="Times New Roman" w:hAnsi="Times New Roman" w:eastAsia="Times New Roman"/>
          <w:b w:val="true"/>
          <w:color w:val="000000"/>
          <w:spacing w:val="0"/>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8"/>
          <w:vertAlign w:val="baseline"/>
          <w:lang w:val="en-US"/>
        </w:rPr>
        <w:t xml:space="preserve">Part 11.2 Exemptions</w:t>
      </w:r>
    </w:p>
    <w:p>
      <w:pPr>
        <w:tabs>
          <w:tab w:val="left" w:leader="none" w:pos="1584"/>
        </w:tabs>
        <w:spacing w:before="243" w:after="0" w:line="274" w:lineRule="exact"/>
        <w:ind w:right="0" w:left="0" w:firstLine="0"/>
        <w:jc w:val="left"/>
        <w:textAlignment w:val="baseline"/>
        <w:rPr>
          <w:rFonts w:ascii="Times New Roman" w:hAnsi="Times New Roman" w:eastAsia="Times New Roman"/>
          <w:b w:val="true"/>
          <w:color w:val="000000"/>
          <w:spacing w:val="-1"/>
          <w:w w:val="100"/>
          <w:sz w:val="24"/>
          <w:vertAlign w:val="baseline"/>
          <w:lang w:val="en-US"/>
        </w:rPr>
      </w:pPr>
      <w:r>
        <w:rPr>
          <w:rFonts w:ascii="Times New Roman" w:hAnsi="Times New Roman" w:eastAsia="Times New Roman"/>
          <w:b w:val="true"/>
          <w:color w:val="000000"/>
          <w:spacing w:val="-1"/>
          <w:w w:val="100"/>
          <w:sz w:val="24"/>
          <w:vertAlign w:val="baseline"/>
          <w:lang w:val="en-US"/>
        </w:rPr>
        <w:t xml:space="preserve">Division 1	</w:t>
      </w:r>
      <w:r>
        <w:rPr>
          <w:rFonts w:ascii="Times New Roman" w:hAnsi="Times New Roman" w:eastAsia="Times New Roman"/>
          <w:b w:val="true"/>
          <w:color w:val="000000"/>
          <w:spacing w:val="-1"/>
          <w:w w:val="100"/>
          <w:sz w:val="24"/>
          <w:vertAlign w:val="baseline"/>
          <w:lang w:val="en-US"/>
        </w:rPr>
        <w:t xml:space="preserve">General</w:t>
      </w:r>
    </w:p>
    <w:p>
      <w:pPr>
        <w:spacing w:before="119"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684 General power to grant exemptions</w:t>
      </w:r>
    </w:p>
    <w:p>
      <w:pPr>
        <w:numPr>
          <w:ilvl w:val="0"/>
          <w:numId w:val="1037"/>
        </w:numPr>
        <w:tabs>
          <w:tab w:val="clear" w:pos="360"/>
          <w:tab w:val="left" w:pos="1368"/>
        </w:tabs>
        <w:spacing w:before="115" w:after="0" w:line="278" w:lineRule="exact"/>
        <w:ind w:right="79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may exempt a person or class of persons from compliance with any of these Regulations.</w:t>
      </w:r>
    </w:p>
    <w:p>
      <w:pPr>
        <w:numPr>
          <w:ilvl w:val="0"/>
          <w:numId w:val="1037"/>
        </w:numPr>
        <w:tabs>
          <w:tab w:val="clear" w:pos="360"/>
          <w:tab w:val="left" w:pos="1368"/>
        </w:tabs>
        <w:spacing w:before="116" w:after="0" w:line="278"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exemption may be granted on the regulator's own initiative or on the written application of 1 or more persons.</w:t>
      </w:r>
    </w:p>
    <w:p>
      <w:pPr>
        <w:numPr>
          <w:ilvl w:val="0"/>
          <w:numId w:val="1037"/>
        </w:numPr>
        <w:tabs>
          <w:tab w:val="clear" w:pos="360"/>
          <w:tab w:val="left" w:pos="1368"/>
        </w:tabs>
        <w:spacing w:before="121" w:after="0" w:line="273"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regulation is subject to the limitations set out in this Part.</w:t>
      </w:r>
    </w:p>
    <w:p>
      <w:pPr>
        <w:numPr>
          <w:ilvl w:val="0"/>
          <w:numId w:val="1037"/>
        </w:numPr>
        <w:tabs>
          <w:tab w:val="clear" w:pos="360"/>
          <w:tab w:val="left" w:pos="1368"/>
        </w:tabs>
        <w:spacing w:before="125" w:after="0" w:line="273"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regulation does not apply to an exemption from:</w:t>
      </w:r>
    </w:p>
    <w:p>
      <w:pPr>
        <w:numPr>
          <w:ilvl w:val="0"/>
          <w:numId w:val="1038"/>
        </w:numPr>
        <w:tabs>
          <w:tab w:val="clear" w:pos="360"/>
          <w:tab w:val="left" w:pos="1872"/>
        </w:tabs>
        <w:spacing w:before="116" w:after="0" w:line="278" w:lineRule="exact"/>
        <w:ind w:right="72"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provision requiring a person to hold a high risk work licence; or</w:t>
      </w:r>
    </w:p>
    <w:p>
      <w:pPr>
        <w:numPr>
          <w:ilvl w:val="0"/>
          <w:numId w:val="1038"/>
        </w:numPr>
        <w:tabs>
          <w:tab w:val="clear" w:pos="360"/>
          <w:tab w:val="left" w:pos="1872"/>
        </w:tabs>
        <w:spacing w:before="116" w:after="0" w:line="278"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provision of Chapter 9 relating to a major hazard facility or proposed major hazard facility.</w:t>
      </w:r>
    </w:p>
    <w:p>
      <w:pPr>
        <w:spacing w:before="124"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0" w:after="0" w:line="373" w:lineRule="exact"/>
        <w:ind w:right="72" w:left="288" w:firstLine="576"/>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decision to refuse to grant an exemption is a reviewable decision (see regulation 676). </w:t>
      </w:r>
      <w:r>
        <w:rPr>
          <w:rFonts w:ascii="Times New Roman" w:hAnsi="Times New Roman" w:eastAsia="Times New Roman"/>
          <w:b w:val="true"/>
          <w:color w:val="000000"/>
          <w:spacing w:val="0"/>
          <w:w w:val="100"/>
          <w:sz w:val="24"/>
          <w:vertAlign w:val="baseline"/>
          <w:lang w:val="en-US"/>
        </w:rPr>
        <w:t xml:space="preserve">685 Matters to be considered in granting exemptions</w:t>
      </w:r>
    </w:p>
    <w:p>
      <w:pPr>
        <w:spacing w:before="116" w:after="0" w:line="276"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deciding whether or not to grant an exemption under regulation 684 the regulator must have regard to all relevant matters, including the following:</w:t>
      </w:r>
    </w:p>
    <w:p>
      <w:pPr>
        <w:numPr>
          <w:ilvl w:val="0"/>
          <w:numId w:val="1039"/>
        </w:numPr>
        <w:tabs>
          <w:tab w:val="clear" w:pos="360"/>
          <w:tab w:val="left" w:pos="1872"/>
        </w:tabs>
        <w:spacing w:before="123"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numPr>
          <w:ilvl w:val="0"/>
          <w:numId w:val="1039"/>
        </w:numPr>
        <w:tabs>
          <w:tab w:val="clear" w:pos="360"/>
          <w:tab w:val="left" w:pos="1872"/>
        </w:tabs>
        <w:spacing w:before="117"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whether the requirements of paragraph (a) will be met if the regulator imposes certain conditions in granting the exemption and those conditions are complied with;</w:t>
      </w:r>
    </w:p>
    <w:p>
      <w:pPr>
        <w:numPr>
          <w:ilvl w:val="0"/>
          <w:numId w:val="1039"/>
        </w:numPr>
        <w:tabs>
          <w:tab w:val="clear" w:pos="360"/>
          <w:tab w:val="left" w:pos="1872"/>
        </w:tabs>
        <w:spacing w:before="126" w:after="0" w:line="273"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whether exceptional circumstances justify the grant of the exemption;</w:t>
      </w:r>
    </w:p>
    <w:p>
      <w:pPr>
        <w:numPr>
          <w:ilvl w:val="0"/>
          <w:numId w:val="1039"/>
        </w:numPr>
        <w:tabs>
          <w:tab w:val="clear" w:pos="360"/>
          <w:tab w:val="left" w:pos="1872"/>
        </w:tabs>
        <w:spacing w:before="123" w:after="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proposed exemption relates to a particular thing— whether the regulator is satisfied that the risk associated with the thing is not significant if the exemption is granted;</w:t>
      </w:r>
    </w:p>
    <w:p>
      <w:pPr>
        <w:numPr>
          <w:ilvl w:val="0"/>
          <w:numId w:val="1039"/>
        </w:numPr>
        <w:tabs>
          <w:tab w:val="clear" w:pos="360"/>
          <w:tab w:val="left" w:pos="1872"/>
        </w:tabs>
        <w:spacing w:before="117" w:after="1056"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whether the applicant has carried out consultation in relation to the proposed exemption in accordance with Divisions 1 and 2 of Part 5 of the Act.</w:t>
      </w:r>
    </w:p>
    <w:p>
      <w:pPr>
        <w:spacing w:before="117" w:after="1056"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424</w:t>
      </w:r>
    </w:p>
    <w:p>
      <w:pPr>
        <w:sectPr>
          <w:type w:val="continuous"/>
          <w:pgSz w:w="11909" w:h="16838" w:orient="portrait"/>
          <w:pgMar w:bottom="1082" w:top="1140" w:right="5812" w:left="1977"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11.2	</w:t>
      </w:r>
      <w:r>
        <w:rPr>
          <w:rFonts w:ascii="Times New Roman" w:hAnsi="Times New Roman" w:eastAsia="Times New Roman"/>
          <w:color w:val="000000"/>
          <w:spacing w:val="0"/>
          <w:w w:val="100"/>
          <w:sz w:val="20"/>
          <w:vertAlign w:val="baseline"/>
          <w:lang w:val="en-US"/>
        </w:rPr>
        <w:t xml:space="preserve">Exemptions</w:t>
      </w:r>
    </w:p>
    <w:p>
      <w:pPr>
        <w:tabs>
          <w:tab w:val="left" w:leader="none" w:pos="1584"/>
        </w:tabs>
        <w:spacing w:before="256"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4"/>
          <w:vertAlign w:val="baseline"/>
          <w:lang w:val="en-US"/>
        </w:rPr>
        <w:t xml:space="preserve">Division 2	</w:t>
      </w:r>
      <w:r>
        <w:rPr>
          <w:rFonts w:ascii="Times New Roman" w:hAnsi="Times New Roman" w:eastAsia="Times New Roman"/>
          <w:b w:val="true"/>
          <w:color w:val="000000"/>
          <w:spacing w:val="0"/>
          <w:w w:val="100"/>
          <w:sz w:val="24"/>
          <w:vertAlign w:val="baseline"/>
          <w:lang w:val="en-US"/>
        </w:rPr>
        <w:t xml:space="preserve">High risk work licences</w:t>
      </w:r>
    </w:p>
    <w:p>
      <w:pPr>
        <w:spacing w:before="120"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686 High risk work licence—exemption</w:t>
      </w:r>
    </w:p>
    <w:p>
      <w:pPr>
        <w:numPr>
          <w:ilvl w:val="0"/>
          <w:numId w:val="1040"/>
        </w:numPr>
        <w:tabs>
          <w:tab w:val="clear" w:pos="360"/>
          <w:tab w:val="left" w:pos="1368"/>
        </w:tabs>
        <w:spacing w:before="117" w:after="0" w:line="276" w:lineRule="exact"/>
        <w:ind w:right="57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may exempt a person or class of persons from compliance with a provision of these Regulations requiring the person or class of persons to hold a high risk work licence.</w:t>
      </w:r>
    </w:p>
    <w:p>
      <w:pPr>
        <w:numPr>
          <w:ilvl w:val="0"/>
          <w:numId w:val="1040"/>
        </w:numPr>
        <w:tabs>
          <w:tab w:val="clear" w:pos="360"/>
          <w:tab w:val="left" w:pos="1368"/>
        </w:tabs>
        <w:spacing w:before="126" w:after="0" w:line="273" w:lineRule="exact"/>
        <w:ind w:right="432"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exemption may be granted on the written application of any person concerned.</w:t>
      </w:r>
    </w:p>
    <w:p>
      <w:pPr>
        <w:spacing w:before="123"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7" w:lineRule="exact"/>
        <w:ind w:right="0"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decision to refuse to grant an exemption is a reviewable decision (see regulation 676).</w:t>
      </w:r>
    </w:p>
    <w:p>
      <w:pPr>
        <w:spacing w:before="116" w:after="0" w:line="278" w:lineRule="exact"/>
        <w:ind w:right="72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687 High risk work licence—regulator to be satisfied about certain matters</w:t>
      </w:r>
    </w:p>
    <w:p>
      <w:pPr>
        <w:numPr>
          <w:ilvl w:val="0"/>
          <w:numId w:val="1041"/>
        </w:numPr>
        <w:tabs>
          <w:tab w:val="clear" w:pos="360"/>
          <w:tab w:val="left" w:pos="1368"/>
        </w:tabs>
        <w:spacing w:before="120"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must not grant an exemption under regulation 686 unless satisfied that granting the exemption will result in a standard of health and safety that is at least equivalent to the standard that would have been achieved without that exemption.</w:t>
      </w:r>
    </w:p>
    <w:p>
      <w:pPr>
        <w:numPr>
          <w:ilvl w:val="0"/>
          <w:numId w:val="1041"/>
        </w:numPr>
        <w:tabs>
          <w:tab w:val="clear" w:pos="360"/>
          <w:tab w:val="left" w:pos="1368"/>
        </w:tabs>
        <w:spacing w:before="116" w:after="0" w:line="278" w:lineRule="exact"/>
        <w:ind w:right="64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the purposes of subregulation (1), the regulator must have regard to all relevant matters, including whether or not:</w:t>
      </w:r>
    </w:p>
    <w:p>
      <w:pPr>
        <w:numPr>
          <w:ilvl w:val="0"/>
          <w:numId w:val="1042"/>
        </w:numPr>
        <w:tabs>
          <w:tab w:val="clear" w:pos="288"/>
          <w:tab w:val="left" w:pos="1872"/>
        </w:tabs>
        <w:spacing w:before="116" w:after="0" w:line="278" w:lineRule="exact"/>
        <w:ind w:right="108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obtaining of the high risk work licence would be impractical; and</w:t>
      </w:r>
    </w:p>
    <w:p>
      <w:pPr>
        <w:numPr>
          <w:ilvl w:val="0"/>
          <w:numId w:val="1042"/>
        </w:numPr>
        <w:tabs>
          <w:tab w:val="clear" w:pos="288"/>
          <w:tab w:val="left" w:pos="1872"/>
        </w:tabs>
        <w:spacing w:before="116" w:after="0" w:line="278" w:lineRule="exact"/>
        <w:ind w:right="288"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competencies of the person to be exempted exceed those required for a high risk work licence; and</w:t>
      </w:r>
    </w:p>
    <w:p>
      <w:pPr>
        <w:numPr>
          <w:ilvl w:val="0"/>
          <w:numId w:val="1042"/>
        </w:numPr>
        <w:tabs>
          <w:tab w:val="clear" w:pos="288"/>
          <w:tab w:val="left" w:pos="1872"/>
        </w:tabs>
        <w:spacing w:before="116" w:after="0" w:line="278" w:lineRule="exact"/>
        <w:ind w:right="432"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plant used by the person can be modified in a way that reduces the risk associated with using that plant.</w:t>
      </w:r>
    </w:p>
    <w:p>
      <w:pPr>
        <w:tabs>
          <w:tab w:val="left" w:leader="none" w:pos="1584"/>
        </w:tabs>
        <w:spacing w:before="245"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3	</w:t>
      </w:r>
      <w:r>
        <w:rPr>
          <w:rFonts w:ascii="Times New Roman" w:hAnsi="Times New Roman" w:eastAsia="Times New Roman"/>
          <w:b w:val="true"/>
          <w:color w:val="000000"/>
          <w:spacing w:val="0"/>
          <w:w w:val="100"/>
          <w:sz w:val="24"/>
          <w:vertAlign w:val="baseline"/>
          <w:lang w:val="en-US"/>
        </w:rPr>
        <w:t xml:space="preserve">Major hazard facilities</w:t>
      </w:r>
    </w:p>
    <w:p>
      <w:pPr>
        <w:spacing w:before="119"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688 Major hazard facility—exemption</w:t>
      </w:r>
    </w:p>
    <w:p>
      <w:pPr>
        <w:numPr>
          <w:ilvl w:val="0"/>
          <w:numId w:val="1043"/>
        </w:numPr>
        <w:tabs>
          <w:tab w:val="clear" w:pos="360"/>
          <w:tab w:val="left" w:pos="1368"/>
        </w:tabs>
        <w:spacing w:before="118"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may exempt the operator of a major hazard facility or proposed major hazard facility from compliance with any provision of these Regulations relating to that facility.</w:t>
      </w:r>
    </w:p>
    <w:p>
      <w:pPr>
        <w:numPr>
          <w:ilvl w:val="0"/>
          <w:numId w:val="1043"/>
        </w:numPr>
        <w:tabs>
          <w:tab w:val="clear" w:pos="360"/>
          <w:tab w:val="left" w:pos="1368"/>
        </w:tabs>
        <w:spacing w:before="122" w:after="0" w:line="276"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exemption may be granted on the written application of the operator of the major hazard facility or proposed major hazard facility.</w:t>
      </w:r>
    </w:p>
    <w:p>
      <w:pPr>
        <w:spacing w:before="123"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1741" w:line="227" w:lineRule="exact"/>
        <w:ind w:right="0" w:left="0" w:firstLine="0"/>
        <w:jc w:val="right"/>
        <w:textAlignment w:val="baseline"/>
        <w:rPr>
          <w:rFonts w:ascii="Times New Roman" w:hAnsi="Times New Roman" w:eastAsia="Times New Roman"/>
          <w:color w:val="000000"/>
          <w:spacing w:val="0"/>
          <w:w w:val="100"/>
          <w:sz w:val="20"/>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A decision to refuse to grant an exemption is a reviewable decision (see regulation 676).</w:t>
      </w:r>
    </w:p>
    <w:p>
      <w:pPr>
        <w:spacing w:before="126" w:after="1741" w:line="227"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425</w:t>
      </w:r>
    </w:p>
    <w:p>
      <w:pPr>
        <w:sectPr>
          <w:type w:val="continuous"/>
          <w:pgSz w:w="11909" w:h="16838" w:orient="portrait"/>
          <w:pgMar w:bottom="1082" w:top="1140" w:right="5814" w:left="1975" w:header="720" w:footer="720"/>
          <w:titlePg w:val="false"/>
          <w:textDirection w:val="lrTb"/>
        </w:sectPr>
      </w:pPr>
    </w:p>
    <w:p>
      <w:pPr>
        <w:spacing w:before="6"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5" w:after="226"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11.2	</w:t>
      </w:r>
      <w:r>
        <w:rPr>
          <w:rFonts w:ascii="Times New Roman" w:hAnsi="Times New Roman" w:eastAsia="Times New Roman"/>
          <w:color w:val="000000"/>
          <w:spacing w:val="0"/>
          <w:w w:val="100"/>
          <w:sz w:val="20"/>
          <w:vertAlign w:val="baseline"/>
          <w:lang w:val="en-US"/>
        </w:rPr>
        <w:t xml:space="preserve">Exemptions</w:t>
      </w:r>
    </w:p>
    <w:p>
      <w:pPr>
        <w:spacing w:before="246" w:after="0" w:line="279" w:lineRule="exact"/>
        <w:ind w:right="864" w:left="288" w:firstLine="0"/>
        <w:jc w:val="left"/>
        <w:textAlignment w:val="baseline"/>
        <w:rPr>
          <w:rFonts w:ascii="Times New Roman" w:hAnsi="Times New Roman" w:eastAsia="Times New Roman"/>
          <w:b w:val="true"/>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4"/>
          <w:vertAlign w:val="baseline"/>
          <w:lang w:val="en-US"/>
        </w:rPr>
        <w:t xml:space="preserve">689 Major hazard facility—regulator to be satisfied about certain matters</w:t>
      </w:r>
    </w:p>
    <w:p>
      <w:pPr>
        <w:spacing w:before="113" w:after="0" w:line="279"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regulator must not grant an exemption under regulation 688 unless satisfied that:</w:t>
      </w:r>
    </w:p>
    <w:p>
      <w:pPr>
        <w:numPr>
          <w:ilvl w:val="0"/>
          <w:numId w:val="1044"/>
        </w:numPr>
        <w:tabs>
          <w:tab w:val="clear" w:pos="360"/>
          <w:tab w:val="left" w:pos="1872"/>
        </w:tabs>
        <w:spacing w:before="114" w:after="0" w:line="279"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or more Schedule 15 chemicals are present or likely to be present at the facility; and</w:t>
      </w:r>
    </w:p>
    <w:p>
      <w:pPr>
        <w:numPr>
          <w:ilvl w:val="0"/>
          <w:numId w:val="1044"/>
        </w:numPr>
        <w:tabs>
          <w:tab w:val="clear" w:pos="360"/>
          <w:tab w:val="left" w:pos="1872"/>
        </w:tabs>
        <w:spacing w:before="116" w:after="0" w:line="277"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quantity of the Schedule 15 chemicals exceeds the threshold quantity of the Schedule 15 chemicals periodically because they are solely the subject of intermediate temporary storage; and</w:t>
      </w:r>
    </w:p>
    <w:p>
      <w:pPr>
        <w:numPr>
          <w:ilvl w:val="0"/>
          <w:numId w:val="1044"/>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Schedule 15 chemicals are in 1 or more containers with the</w:t>
      </w:r>
    </w:p>
    <w:p>
      <w:pPr>
        <w:spacing w:before="6"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capacity of each container being not more than a total of</w:t>
      </w:r>
    </w:p>
    <w:p>
      <w:pPr>
        <w:spacing w:before="0"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500 kilograms; and</w:t>
      </w:r>
    </w:p>
    <w:p>
      <w:pPr>
        <w:numPr>
          <w:ilvl w:val="0"/>
          <w:numId w:val="1044"/>
        </w:numPr>
        <w:tabs>
          <w:tab w:val="clear" w:pos="360"/>
          <w:tab w:val="left" w:pos="1872"/>
        </w:tabs>
        <w:spacing w:before="120" w:after="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granting the exemption will result in a standard of health and safety in relation to the operation of the facility that is at least equivalent to the standard that would be achieved by compliance with the relevant provision or provisions.</w:t>
      </w:r>
    </w:p>
    <w:p>
      <w:pPr>
        <w:spacing w:before="121"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For the purposes of subregulation (1)(d), the regulator must have</w:t>
      </w:r>
    </w:p>
    <w:p>
      <w:pPr>
        <w:spacing w:before="5"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regard to all relevant matters, including whether or not:</w:t>
      </w:r>
    </w:p>
    <w:p>
      <w:pPr>
        <w:numPr>
          <w:ilvl w:val="0"/>
          <w:numId w:val="1045"/>
        </w:numPr>
        <w:tabs>
          <w:tab w:val="clear" w:pos="360"/>
          <w:tab w:val="left" w:pos="1872"/>
        </w:tabs>
        <w:spacing w:before="116" w:after="0" w:line="278"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applicant is complying with the Act and these Regulations; and</w:t>
      </w:r>
    </w:p>
    <w:p>
      <w:pPr>
        <w:numPr>
          <w:ilvl w:val="0"/>
          <w:numId w:val="1045"/>
        </w:numPr>
        <w:tabs>
          <w:tab w:val="clear" w:pos="360"/>
          <w:tab w:val="left" w:pos="1872"/>
        </w:tabs>
        <w:spacing w:before="118"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applicant has processes and procedures in place which will keep the quantity of the Schedule 15 chemical or chemicals present or likely to be present at or below the threshold quantity for the Schedule 15 chemical or chemicals as often as practicable; and</w:t>
      </w:r>
    </w:p>
    <w:p>
      <w:pPr>
        <w:numPr>
          <w:ilvl w:val="0"/>
          <w:numId w:val="1045"/>
        </w:numPr>
        <w:tabs>
          <w:tab w:val="clear" w:pos="360"/>
          <w:tab w:val="left" w:pos="1872"/>
        </w:tabs>
        <w:spacing w:before="124" w:after="0" w:line="274"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applicant has implemented adequate control measures to minimise the risk of a major incident occurring.</w:t>
      </w:r>
    </w:p>
    <w:p>
      <w:pPr>
        <w:tabs>
          <w:tab w:val="left" w:leader="none" w:pos="1584"/>
        </w:tabs>
        <w:spacing w:before="644" w:after="0" w:line="274" w:lineRule="exact"/>
        <w:ind w:right="0" w:left="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Division 4	</w:t>
      </w:r>
      <w:r>
        <w:rPr>
          <w:rFonts w:ascii="Times New Roman" w:hAnsi="Times New Roman" w:eastAsia="Times New Roman"/>
          <w:b w:val="true"/>
          <w:color w:val="000000"/>
          <w:spacing w:val="0"/>
          <w:w w:val="100"/>
          <w:sz w:val="24"/>
          <w:vertAlign w:val="baseline"/>
          <w:lang w:val="en-US"/>
        </w:rPr>
        <w:t xml:space="preserve">Exemption process</w:t>
      </w:r>
    </w:p>
    <w:p>
      <w:pPr>
        <w:spacing w:before="119"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690 Application for exemption</w:t>
      </w:r>
    </w:p>
    <w:p>
      <w:pPr>
        <w:spacing w:before="115" w:after="0" w:line="278" w:lineRule="exact"/>
        <w:ind w:right="288"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application for an exemption must be made in the manner and form required by the regulator.</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Notes</w:t>
      </w:r>
    </w:p>
    <w:p>
      <w:pPr>
        <w:tabs>
          <w:tab w:val="left" w:leader="none" w:pos="1800"/>
        </w:tabs>
        <w:spacing w:before="126" w:after="0" w:line="226"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The application must be in writing (see regulation 684(2)).</w:t>
      </w:r>
    </w:p>
    <w:p>
      <w:pPr>
        <w:tabs>
          <w:tab w:val="left" w:leader="none" w:pos="1800"/>
        </w:tabs>
        <w:spacing w:before="119" w:after="758" w:line="231" w:lineRule="exact"/>
        <w:ind w:right="288" w:left="1872" w:hanging="504"/>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The regulator may grant an exemption on its own initiative (see regulation 684(2)).</w:t>
      </w:r>
    </w:p>
    <w:p>
      <w:pPr>
        <w:spacing w:before="119" w:after="758" w:line="231"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426</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11.2	</w:t>
      </w:r>
      <w:r>
        <w:rPr>
          <w:rFonts w:ascii="Times New Roman" w:hAnsi="Times New Roman" w:eastAsia="Times New Roman"/>
          <w:color w:val="000000"/>
          <w:spacing w:val="0"/>
          <w:w w:val="100"/>
          <w:sz w:val="20"/>
          <w:vertAlign w:val="baseline"/>
          <w:lang w:val="en-US"/>
        </w:rPr>
        <w:t xml:space="preserve">Exemptions</w:t>
      </w:r>
    </w:p>
    <w:p>
      <w:pPr>
        <w:tabs>
          <w:tab w:val="left" w:leader="none" w:pos="1800"/>
        </w:tabs>
        <w:spacing w:before="253" w:after="0" w:line="230" w:lineRule="exact"/>
        <w:ind w:right="504" w:left="1872" w:hanging="504"/>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3	</w:t>
      </w:r>
      <w:r>
        <w:rPr>
          <w:rFonts w:ascii="Times New Roman" w:hAnsi="Times New Roman" w:eastAsia="Times New Roman"/>
          <w:color w:val="000000"/>
          <w:spacing w:val="0"/>
          <w:w w:val="100"/>
          <w:sz w:val="20"/>
          <w:vertAlign w:val="baseline"/>
          <w:lang w:val="en-US"/>
        </w:rPr>
        <w:t xml:space="preserve">See section 268 of the Act for offences relating to the giving of false or misleading information under the Act or these Regulations.</w:t>
      </w:r>
    </w:p>
    <w:p>
      <w:pPr>
        <w:tabs>
          <w:tab w:val="left" w:leader="none" w:pos="864"/>
        </w:tabs>
        <w:spacing w:before="119" w:after="0" w:line="273"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691	</w:t>
      </w:r>
      <w:r>
        <w:rPr>
          <w:rFonts w:ascii="Times New Roman" w:hAnsi="Times New Roman" w:eastAsia="Times New Roman"/>
          <w:b w:val="true"/>
          <w:color w:val="000000"/>
          <w:spacing w:val="0"/>
          <w:w w:val="100"/>
          <w:sz w:val="24"/>
          <w:vertAlign w:val="baseline"/>
          <w:lang w:val="en-US"/>
        </w:rPr>
        <w:t xml:space="preserve">Conditions of exemption</w:t>
      </w:r>
    </w:p>
    <w:p>
      <w:pPr>
        <w:numPr>
          <w:ilvl w:val="0"/>
          <w:numId w:val="1046"/>
        </w:numPr>
        <w:tabs>
          <w:tab w:val="clear" w:pos="360"/>
          <w:tab w:val="left" w:pos="1368"/>
        </w:tabs>
        <w:spacing w:before="115" w:after="0" w:line="278" w:lineRule="exact"/>
        <w:ind w:right="288"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may impose any conditions it considers appropriate on an exemption granted under this Part.</w:t>
      </w:r>
    </w:p>
    <w:p>
      <w:pPr>
        <w:numPr>
          <w:ilvl w:val="0"/>
          <w:numId w:val="1046"/>
        </w:numPr>
        <w:tabs>
          <w:tab w:val="clear" w:pos="360"/>
          <w:tab w:val="left" w:pos="1368"/>
        </w:tabs>
        <w:spacing w:before="116" w:after="0" w:line="278" w:lineRule="exact"/>
        <w:ind w:right="57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Without limiting subregulation (1), conditions may require the applicant to do 1 or more of the following:</w:t>
      </w:r>
    </w:p>
    <w:p>
      <w:pPr>
        <w:numPr>
          <w:ilvl w:val="0"/>
          <w:numId w:val="1047"/>
        </w:numPr>
        <w:tabs>
          <w:tab w:val="clear" w:pos="288"/>
          <w:tab w:val="left" w:pos="1872"/>
        </w:tabs>
        <w:spacing w:before="122" w:after="0" w:line="272"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monitor risks;</w:t>
      </w:r>
    </w:p>
    <w:p>
      <w:pPr>
        <w:numPr>
          <w:ilvl w:val="0"/>
          <w:numId w:val="1047"/>
        </w:numPr>
        <w:tabs>
          <w:tab w:val="clear" w:pos="288"/>
          <w:tab w:val="left" w:pos="1872"/>
        </w:tabs>
        <w:spacing w:before="124" w:after="0" w:line="274" w:lineRule="exact"/>
        <w:ind w:right="36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monitor the health of persons at the workplace who may be affected by the exemption;</w:t>
      </w:r>
    </w:p>
    <w:p>
      <w:pPr>
        <w:numPr>
          <w:ilvl w:val="0"/>
          <w:numId w:val="1047"/>
        </w:numPr>
        <w:tabs>
          <w:tab w:val="clear" w:pos="288"/>
          <w:tab w:val="left" w:pos="1872"/>
        </w:tabs>
        <w:spacing w:before="126" w:after="0" w:line="272"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keep certain records;</w:t>
      </w:r>
    </w:p>
    <w:p>
      <w:pPr>
        <w:numPr>
          <w:ilvl w:val="0"/>
          <w:numId w:val="1047"/>
        </w:numPr>
        <w:tabs>
          <w:tab w:val="clear" w:pos="288"/>
          <w:tab w:val="left" w:pos="1872"/>
        </w:tabs>
        <w:spacing w:before="122" w:after="0" w:line="272"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use a stated system of work;</w:t>
      </w:r>
    </w:p>
    <w:p>
      <w:pPr>
        <w:numPr>
          <w:ilvl w:val="0"/>
          <w:numId w:val="1047"/>
        </w:numPr>
        <w:tabs>
          <w:tab w:val="clear" w:pos="288"/>
          <w:tab w:val="left" w:pos="1872"/>
        </w:tabs>
        <w:spacing w:before="126" w:after="0" w:line="272"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report certain matters to the regulator;</w:t>
      </w:r>
    </w:p>
    <w:p>
      <w:pPr>
        <w:numPr>
          <w:ilvl w:val="0"/>
          <w:numId w:val="1047"/>
        </w:numPr>
        <w:tabs>
          <w:tab w:val="clear" w:pos="288"/>
          <w:tab w:val="left" w:pos="1872"/>
        </w:tabs>
        <w:spacing w:before="116" w:after="0" w:line="278" w:lineRule="exact"/>
        <w:ind w:right="288"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give notice of the exemption to persons who may be affected by the exemption.</w:t>
      </w:r>
    </w:p>
    <w:p>
      <w:pPr>
        <w:spacing w:before="125"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8"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decision to impose a condition is a reviewable decision (see regulation 676).</w:t>
      </w:r>
    </w:p>
    <w:p>
      <w:pPr>
        <w:spacing w:before="119" w:after="0" w:line="273"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692 Form of exemption document</w:t>
      </w:r>
    </w:p>
    <w:p>
      <w:pPr>
        <w:spacing w:before="123" w:after="0" w:line="274" w:lineRule="exact"/>
        <w:ind w:right="288" w:left="1368" w:firstLine="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must prepare an exemption document that states the following:</w:t>
      </w:r>
    </w:p>
    <w:p>
      <w:pPr>
        <w:numPr>
          <w:ilvl w:val="0"/>
          <w:numId w:val="1048"/>
        </w:numPr>
        <w:tabs>
          <w:tab w:val="clear" w:pos="288"/>
          <w:tab w:val="left" w:pos="1872"/>
        </w:tabs>
        <w:spacing w:before="126" w:after="0" w:line="272"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of the applicant for the exemption (if any);</w:t>
      </w:r>
    </w:p>
    <w:p>
      <w:pPr>
        <w:numPr>
          <w:ilvl w:val="0"/>
          <w:numId w:val="1048"/>
        </w:numPr>
        <w:tabs>
          <w:tab w:val="clear" w:pos="288"/>
          <w:tab w:val="left" w:pos="1872"/>
        </w:tabs>
        <w:spacing w:before="116" w:after="0" w:line="278" w:lineRule="exact"/>
        <w:ind w:right="504"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or class of persons to whom the exemption will apply;</w:t>
      </w:r>
    </w:p>
    <w:p>
      <w:pPr>
        <w:numPr>
          <w:ilvl w:val="0"/>
          <w:numId w:val="1048"/>
        </w:numPr>
        <w:tabs>
          <w:tab w:val="clear" w:pos="288"/>
          <w:tab w:val="left" w:pos="1872"/>
        </w:tabs>
        <w:spacing w:before="122" w:after="0" w:line="272"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work or thing to which the exemption relates, if applicable;</w:t>
      </w:r>
    </w:p>
    <w:p>
      <w:pPr>
        <w:numPr>
          <w:ilvl w:val="0"/>
          <w:numId w:val="1048"/>
        </w:numPr>
        <w:tabs>
          <w:tab w:val="clear" w:pos="288"/>
          <w:tab w:val="left" w:pos="1872"/>
        </w:tabs>
        <w:spacing w:before="126" w:after="0" w:line="272"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circumstances in which the exemption will apply;</w:t>
      </w:r>
    </w:p>
    <w:p>
      <w:pPr>
        <w:numPr>
          <w:ilvl w:val="0"/>
          <w:numId w:val="1048"/>
        </w:numPr>
        <w:tabs>
          <w:tab w:val="clear" w:pos="288"/>
          <w:tab w:val="left" w:pos="1872"/>
        </w:tabs>
        <w:spacing w:before="116" w:after="0" w:line="278" w:lineRule="exact"/>
        <w:ind w:right="36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provisions of these Regulations to which the exemption applies;</w:t>
      </w:r>
    </w:p>
    <w:p>
      <w:pPr>
        <w:numPr>
          <w:ilvl w:val="0"/>
          <w:numId w:val="1048"/>
        </w:numPr>
        <w:tabs>
          <w:tab w:val="clear" w:pos="288"/>
          <w:tab w:val="left" w:pos="1872"/>
        </w:tabs>
        <w:spacing w:before="122" w:after="0" w:line="272"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conditions on the exemption;</w:t>
      </w:r>
    </w:p>
    <w:p>
      <w:pPr>
        <w:numPr>
          <w:ilvl w:val="0"/>
          <w:numId w:val="1048"/>
        </w:numPr>
        <w:tabs>
          <w:tab w:val="clear" w:pos="288"/>
          <w:tab w:val="left" w:pos="1872"/>
        </w:tabs>
        <w:spacing w:before="126" w:after="0" w:line="272"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date on which the exemption takes effect;</w:t>
      </w:r>
    </w:p>
    <w:p>
      <w:pPr>
        <w:numPr>
          <w:ilvl w:val="0"/>
          <w:numId w:val="1048"/>
        </w:numPr>
        <w:tabs>
          <w:tab w:val="clear" w:pos="288"/>
          <w:tab w:val="left" w:pos="1872"/>
        </w:tabs>
        <w:spacing w:before="122" w:after="0" w:line="272"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duration of the exemption.</w:t>
      </w:r>
    </w:p>
    <w:p>
      <w:pPr>
        <w:spacing w:before="126" w:after="0" w:line="273"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693 Compliance with conditions of exemption</w:t>
      </w:r>
    </w:p>
    <w:p>
      <w:pPr>
        <w:spacing w:before="121" w:after="0" w:line="272"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to whom the exemption is granted must:</w:t>
      </w:r>
    </w:p>
    <w:p>
      <w:pPr>
        <w:spacing w:before="126" w:after="1023" w:line="272" w:lineRule="exact"/>
        <w:ind w:right="0" w:left="1584"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comply with the conditions of the exemption; and</w:t>
      </w:r>
    </w:p>
    <w:p>
      <w:pPr>
        <w:spacing w:before="126" w:after="1023" w:line="272"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427</w:t>
      </w:r>
    </w:p>
    <w:p>
      <w:pPr>
        <w:sectPr>
          <w:type w:val="continuous"/>
          <w:pgSz w:w="11909" w:h="16838" w:orient="portrait"/>
          <w:pgMar w:bottom="1082" w:top="1140" w:right="5812" w:left="1977" w:header="720" w:footer="720"/>
          <w:titlePg w:val="false"/>
          <w:textDirection w:val="lrTb"/>
        </w:sectPr>
      </w:pPr>
    </w:p>
    <w:p>
      <w:pPr>
        <w:spacing w:before="6"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5" w:after="226"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11.2	</w:t>
      </w:r>
      <w:r>
        <w:rPr>
          <w:rFonts w:ascii="Times New Roman" w:hAnsi="Times New Roman" w:eastAsia="Times New Roman"/>
          <w:color w:val="000000"/>
          <w:spacing w:val="0"/>
          <w:w w:val="100"/>
          <w:sz w:val="20"/>
          <w:vertAlign w:val="baseline"/>
          <w:lang w:val="en-US"/>
        </w:rPr>
        <w:t xml:space="preserve">Exemptions</w:t>
      </w:r>
    </w:p>
    <w:p>
      <w:pPr>
        <w:spacing w:before="245" w:after="0" w:line="279"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(b) ensure that any person under the management or control of that person complies with the conditions of the exemption.</w:t>
      </w:r>
    </w:p>
    <w:p>
      <w:pPr>
        <w:spacing w:before="120"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694 Notice of decision in relation to exemption</w:t>
      </w:r>
    </w:p>
    <w:p>
      <w:pPr>
        <w:spacing w:before="122" w:after="0" w:line="276"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must give a copy of the exemption document referred to in regulation 692, within 14 days after making the decision to grant the exemption, to:</w:t>
      </w:r>
    </w:p>
    <w:p>
      <w:pPr>
        <w:numPr>
          <w:ilvl w:val="0"/>
          <w:numId w:val="1049"/>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a person applied for the exemption—the applicant; or</w:t>
      </w:r>
    </w:p>
    <w:p>
      <w:pPr>
        <w:numPr>
          <w:ilvl w:val="0"/>
          <w:numId w:val="1049"/>
        </w:numPr>
        <w:tabs>
          <w:tab w:val="clear" w:pos="360"/>
          <w:tab w:val="left" w:pos="1872"/>
        </w:tabs>
        <w:spacing w:before="123" w:after="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regulator granted the exemption on its own initiative— each person (other than persons to whom regulation 695 applies) to whom the exemption will apply.</w:t>
      </w:r>
    </w:p>
    <w:p>
      <w:pPr>
        <w:spacing w:before="120"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695 Publication of notice of exemption</w:t>
      </w:r>
    </w:p>
    <w:p>
      <w:pPr>
        <w:numPr>
          <w:ilvl w:val="0"/>
          <w:numId w:val="1050"/>
        </w:numPr>
        <w:tabs>
          <w:tab w:val="clear" w:pos="360"/>
          <w:tab w:val="left" w:pos="1368"/>
        </w:tabs>
        <w:spacing w:before="125" w:after="0" w:line="273" w:lineRule="exact"/>
        <w:ind w:right="432"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regulation applies to an exemption that relates to a class of persons.</w:t>
      </w:r>
    </w:p>
    <w:p>
      <w:pPr>
        <w:numPr>
          <w:ilvl w:val="0"/>
          <w:numId w:val="1050"/>
        </w:numPr>
        <w:tabs>
          <w:tab w:val="clear" w:pos="360"/>
          <w:tab w:val="left" w:pos="1368"/>
        </w:tabs>
        <w:spacing w:before="116" w:after="0" w:line="278" w:lineRule="exact"/>
        <w:ind w:right="100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must publish a copy of the exemption in the [Government Gazette].</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6"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21"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696 Notice of refusal of exemption</w:t>
      </w:r>
    </w:p>
    <w:p>
      <w:pPr>
        <w:numPr>
          <w:ilvl w:val="0"/>
          <w:numId w:val="1051"/>
        </w:numPr>
        <w:tabs>
          <w:tab w:val="clear" w:pos="360"/>
          <w:tab w:val="left" w:pos="1368"/>
        </w:tabs>
        <w:spacing w:before="121" w:after="0" w:line="276" w:lineRule="exact"/>
        <w:ind w:right="432"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regulator refuses to grant an exemption, the regulator must give the applicant for the exemption written notice of the refusal within 14 days after making that decision.</w:t>
      </w:r>
    </w:p>
    <w:p>
      <w:pPr>
        <w:numPr>
          <w:ilvl w:val="0"/>
          <w:numId w:val="1051"/>
        </w:numPr>
        <w:tabs>
          <w:tab w:val="clear" w:pos="360"/>
          <w:tab w:val="left" w:pos="1368"/>
        </w:tabs>
        <w:spacing w:before="121" w:after="0" w:line="273" w:lineRule="exact"/>
        <w:ind w:right="0"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notice must state the regulator's reasons for the refusal.</w:t>
      </w:r>
    </w:p>
    <w:p>
      <w:pPr>
        <w:spacing w:before="129"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6"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refusal to grant an exemption is a reviewable decision (see regulation 676).</w:t>
      </w:r>
    </w:p>
    <w:p>
      <w:pPr>
        <w:spacing w:before="121"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697 Amendment or cancellation of exemption</w:t>
      </w:r>
    </w:p>
    <w:p>
      <w:pPr>
        <w:spacing w:before="120" w:after="0" w:line="273"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regulator may at any time amend or cancel an exemption.</w:t>
      </w:r>
    </w:p>
    <w:p>
      <w:pPr>
        <w:spacing w:before="128" w:after="0" w:line="225"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17" w:after="0" w:line="230" w:lineRule="exact"/>
        <w:ind w:right="36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decision to amend or cancel an exemption is a reviewable decision (see regulation 676).</w:t>
      </w:r>
    </w:p>
    <w:p>
      <w:pPr>
        <w:spacing w:before="121" w:after="0" w:line="274" w:lineRule="exact"/>
        <w:ind w:right="0" w:left="288" w:firstLine="0"/>
        <w:jc w:val="left"/>
        <w:textAlignment w:val="baseline"/>
        <w:rPr>
          <w:rFonts w:ascii="Times New Roman" w:hAnsi="Times New Roman" w:eastAsia="Times New Roman"/>
          <w:b w:val="true"/>
          <w:color w:val="000000"/>
          <w:spacing w:val="3"/>
          <w:w w:val="100"/>
          <w:sz w:val="24"/>
          <w:vertAlign w:val="baseline"/>
          <w:lang w:val="en-US"/>
        </w:rPr>
      </w:pPr>
      <w:r>
        <w:rPr>
          <w:rFonts w:ascii="Times New Roman" w:hAnsi="Times New Roman" w:eastAsia="Times New Roman"/>
          <w:b w:val="true"/>
          <w:color w:val="000000"/>
          <w:spacing w:val="3"/>
          <w:w w:val="100"/>
          <w:sz w:val="24"/>
          <w:vertAlign w:val="baseline"/>
          <w:lang w:val="en-US"/>
        </w:rPr>
        <w:t xml:space="preserve">698 Notice of amendment or cancellation</w:t>
      </w:r>
    </w:p>
    <w:p>
      <w:pPr>
        <w:spacing w:before="122" w:after="0" w:line="276" w:lineRule="exact"/>
        <w:ind w:right="64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regulator must give written notice of the amendment or cancellation of an exemption, within 14 days after making the decision to amend or cancel the exemption, to:</w:t>
      </w:r>
    </w:p>
    <w:p>
      <w:pPr>
        <w:spacing w:before="120" w:after="1248"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if a person applied for the exemption—the applicant; or</w:t>
      </w:r>
    </w:p>
    <w:p>
      <w:pPr>
        <w:spacing w:before="120" w:after="1248"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428</w:t>
      </w:r>
    </w:p>
    <w:p>
      <w:pPr>
        <w:sectPr>
          <w:type w:val="continuous"/>
          <w:pgSz w:w="11909" w:h="16838" w:orient="portrait"/>
          <w:pgMar w:bottom="1082" w:top="1140" w:right="5814" w:left="1975"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11.2	</w:t>
      </w:r>
      <w:r>
        <w:rPr>
          <w:rFonts w:ascii="Times New Roman" w:hAnsi="Times New Roman" w:eastAsia="Times New Roman"/>
          <w:color w:val="000000"/>
          <w:spacing w:val="0"/>
          <w:w w:val="100"/>
          <w:sz w:val="20"/>
          <w:vertAlign w:val="baseline"/>
          <w:lang w:val="en-US"/>
        </w:rPr>
        <w:t xml:space="preserve">Exemptions</w:t>
      </w:r>
    </w:p>
    <w:p>
      <w:pPr>
        <w:spacing w:before="248" w:after="0" w:line="276"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(b) if the regulator granted the exemption on its own initiative— each person (other than persons to subregulation (2) applies) to whom the exemption applies.</w:t>
      </w:r>
    </w:p>
    <w:p>
      <w:pPr>
        <w:numPr>
          <w:ilvl w:val="0"/>
          <w:numId w:val="1052"/>
        </w:numPr>
        <w:tabs>
          <w:tab w:val="clear" w:pos="360"/>
          <w:tab w:val="left" w:pos="1368"/>
        </w:tabs>
        <w:spacing w:before="123" w:after="0" w:line="276"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exemption affects a class of persons, the regulator must publish notice of the amendment or cancellation of the exemption in the [Government Gazette].</w:t>
      </w:r>
    </w:p>
    <w:p>
      <w:pPr>
        <w:numPr>
          <w:ilvl w:val="0"/>
          <w:numId w:val="1052"/>
        </w:numPr>
        <w:tabs>
          <w:tab w:val="clear" w:pos="360"/>
          <w:tab w:val="left" w:pos="1368"/>
        </w:tabs>
        <w:spacing w:before="114" w:after="0" w:line="279" w:lineRule="exact"/>
        <w:ind w:right="216"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notice must state the regulator's reasons for the amendment or cancellation.</w:t>
      </w:r>
    </w:p>
    <w:p>
      <w:pPr>
        <w:numPr>
          <w:ilvl w:val="0"/>
          <w:numId w:val="1052"/>
        </w:numPr>
        <w:tabs>
          <w:tab w:val="clear" w:pos="360"/>
          <w:tab w:val="left" w:pos="1368"/>
        </w:tabs>
        <w:spacing w:before="120" w:after="0" w:line="273" w:lineRule="exact"/>
        <w:ind w:right="0"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amendment or cancellation takes effect:</w:t>
      </w:r>
    </w:p>
    <w:p>
      <w:pPr>
        <w:numPr>
          <w:ilvl w:val="0"/>
          <w:numId w:val="1053"/>
        </w:numPr>
        <w:tabs>
          <w:tab w:val="clear" w:pos="360"/>
          <w:tab w:val="left" w:pos="1872"/>
        </w:tabs>
        <w:spacing w:before="126" w:after="0" w:line="273"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on the publication of the notice in the [Government Gazette], or on a later date specified in the notice; or</w:t>
      </w:r>
    </w:p>
    <w:p>
      <w:pPr>
        <w:numPr>
          <w:ilvl w:val="0"/>
          <w:numId w:val="1053"/>
        </w:numPr>
        <w:tabs>
          <w:tab w:val="clear" w:pos="360"/>
          <w:tab w:val="left" w:pos="1872"/>
        </w:tabs>
        <w:spacing w:before="127"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notice is not required to be published in the [Government Gazette], on the giving of the notice to the applicant under subregulation (1) or on a later date specified in the notice.</w:t>
      </w:r>
    </w:p>
    <w:p>
      <w:pPr>
        <w:spacing w:before="129"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7056" w:line="227"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333"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1.05pt,0.3pt" style="position:absolute;mso-position-horizontal-relative:text;mso-position-vertical-relative:text;">
            <v:stroke dashstyle="solid"/>
          </v:line>
        </w:pict>
      </w:r>
    </w:p>
    <w:p>
      <w:pPr>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429</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11.3	</w:t>
      </w:r>
      <w:r>
        <w:rPr>
          <w:rFonts w:ascii="Times New Roman" w:hAnsi="Times New Roman" w:eastAsia="Times New Roman"/>
          <w:color w:val="000000"/>
          <w:spacing w:val="0"/>
          <w:w w:val="100"/>
          <w:sz w:val="20"/>
          <w:vertAlign w:val="baseline"/>
          <w:lang w:val="en-US"/>
        </w:rPr>
        <w:t xml:space="preserve">Miscellaneous</w:t>
      </w:r>
    </w:p>
    <w:p>
      <w:pPr>
        <w:spacing w:before="258" w:after="0" w:line="316" w:lineRule="exact"/>
        <w:ind w:right="0" w:left="0" w:firstLine="0"/>
        <w:jc w:val="left"/>
        <w:textAlignment w:val="baseline"/>
        <w:rPr>
          <w:rFonts w:ascii="Times New Roman" w:hAnsi="Times New Roman" w:eastAsia="Times New Roman"/>
          <w:b w:val="true"/>
          <w:color w:val="000000"/>
          <w:spacing w:val="0"/>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8"/>
          <w:vertAlign w:val="baseline"/>
          <w:lang w:val="en-US"/>
        </w:rPr>
        <w:t xml:space="preserve">Part 11.3 Miscellaneous</w:t>
      </w:r>
    </w:p>
    <w:p>
      <w:pPr>
        <w:spacing w:before="119"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699 Incident notification—prescribed serious illnesses</w:t>
      </w:r>
    </w:p>
    <w:p>
      <w:pPr>
        <w:spacing w:before="121" w:after="0" w:line="274" w:lineRule="exact"/>
        <w:ind w:right="504"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the purposes of section 36 of the Act, each of the following conditions is a serious illness:</w:t>
      </w:r>
    </w:p>
    <w:p>
      <w:pPr>
        <w:spacing w:before="122" w:after="0" w:line="276" w:lineRule="exact"/>
        <w:ind w:right="72" w:left="1944"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any infection to which the carrying out of work is a significant contributing factor, including any infection that is reliably attributable to carrying out work:</w:t>
      </w:r>
    </w:p>
    <w:p>
      <w:pPr>
        <w:numPr>
          <w:ilvl w:val="0"/>
          <w:numId w:val="1054"/>
        </w:numPr>
        <w:tabs>
          <w:tab w:val="clear" w:pos="432"/>
          <w:tab w:val="left" w:pos="2376"/>
        </w:tabs>
        <w:spacing w:before="123" w:after="0" w:line="271"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with micro-organisms; or</w:t>
      </w:r>
    </w:p>
    <w:p>
      <w:pPr>
        <w:numPr>
          <w:ilvl w:val="0"/>
          <w:numId w:val="1054"/>
        </w:numPr>
        <w:tabs>
          <w:tab w:val="clear" w:pos="432"/>
          <w:tab w:val="left" w:pos="2376"/>
        </w:tabs>
        <w:spacing w:before="127" w:after="0" w:line="271"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involves providing treatment or care to a person; or</w:t>
      </w:r>
    </w:p>
    <w:p>
      <w:pPr>
        <w:numPr>
          <w:ilvl w:val="0"/>
          <w:numId w:val="1054"/>
        </w:numPr>
        <w:tabs>
          <w:tab w:val="clear" w:pos="432"/>
          <w:tab w:val="left" w:pos="2376"/>
        </w:tabs>
        <w:spacing w:before="116" w:after="0" w:line="278" w:lineRule="exact"/>
        <w:ind w:right="1008"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involves contact with human blood or body substances; or</w:t>
      </w:r>
    </w:p>
    <w:p>
      <w:pPr>
        <w:numPr>
          <w:ilvl w:val="0"/>
          <w:numId w:val="1054"/>
        </w:numPr>
        <w:tabs>
          <w:tab w:val="clear" w:pos="432"/>
          <w:tab w:val="left" w:pos="2376"/>
        </w:tabs>
        <w:spacing w:before="118" w:after="0" w:line="276" w:lineRule="exact"/>
        <w:ind w:right="36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that involves handling or contact with animals, animal hides, skins, wool or hair, animal carcasses or animal waste products;</w:t>
      </w:r>
    </w:p>
    <w:p>
      <w:pPr>
        <w:spacing w:before="126" w:after="0" w:line="225" w:lineRule="exact"/>
        <w:ind w:right="0" w:left="194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8" w:lineRule="exact"/>
        <w:ind w:right="0" w:left="19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13" w:after="0" w:line="277" w:lineRule="exact"/>
        <w:ind w:right="216" w:left="1944"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the following occupational zoonoses contracted in the course of work involving handling or contact with animals, animal hides, skins, wool or hair, animal carcasses or animal waste products:</w:t>
      </w:r>
    </w:p>
    <w:p>
      <w:pPr>
        <w:numPr>
          <w:ilvl w:val="0"/>
          <w:numId w:val="1055"/>
        </w:numPr>
        <w:tabs>
          <w:tab w:val="clear" w:pos="432"/>
          <w:tab w:val="left" w:pos="2376"/>
        </w:tabs>
        <w:spacing w:before="122" w:after="0" w:line="271"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Q fever;</w:t>
      </w:r>
    </w:p>
    <w:p>
      <w:pPr>
        <w:numPr>
          <w:ilvl w:val="0"/>
          <w:numId w:val="1055"/>
        </w:numPr>
        <w:tabs>
          <w:tab w:val="clear" w:pos="432"/>
          <w:tab w:val="left" w:pos="2376"/>
        </w:tabs>
        <w:spacing w:before="128" w:after="0" w:line="271"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Anthrax;</w:t>
      </w:r>
    </w:p>
    <w:p>
      <w:pPr>
        <w:numPr>
          <w:ilvl w:val="0"/>
          <w:numId w:val="1055"/>
        </w:numPr>
        <w:tabs>
          <w:tab w:val="clear" w:pos="432"/>
          <w:tab w:val="left" w:pos="2376"/>
        </w:tabs>
        <w:spacing w:before="122" w:after="0" w:line="271"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Leptospirosis;</w:t>
      </w:r>
    </w:p>
    <w:p>
      <w:pPr>
        <w:numPr>
          <w:ilvl w:val="0"/>
          <w:numId w:val="1055"/>
        </w:numPr>
        <w:tabs>
          <w:tab w:val="clear" w:pos="432"/>
          <w:tab w:val="left" w:pos="2376"/>
        </w:tabs>
        <w:spacing w:before="128" w:after="0" w:line="271"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Brucellosis;</w:t>
      </w:r>
    </w:p>
    <w:p>
      <w:pPr>
        <w:numPr>
          <w:ilvl w:val="0"/>
          <w:numId w:val="1055"/>
        </w:numPr>
        <w:tabs>
          <w:tab w:val="clear" w:pos="432"/>
          <w:tab w:val="left" w:pos="2376"/>
        </w:tabs>
        <w:spacing w:before="122" w:after="0" w:line="271"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Hendra Virus;</w:t>
      </w:r>
    </w:p>
    <w:p>
      <w:pPr>
        <w:numPr>
          <w:ilvl w:val="0"/>
          <w:numId w:val="1055"/>
        </w:numPr>
        <w:tabs>
          <w:tab w:val="clear" w:pos="432"/>
          <w:tab w:val="left" w:pos="2376"/>
        </w:tabs>
        <w:spacing w:before="128" w:after="0" w:line="271"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Avian Influenza;</w:t>
      </w:r>
    </w:p>
    <w:p>
      <w:pPr>
        <w:numPr>
          <w:ilvl w:val="0"/>
          <w:numId w:val="1055"/>
        </w:numPr>
        <w:tabs>
          <w:tab w:val="clear" w:pos="432"/>
          <w:tab w:val="left" w:pos="2376"/>
        </w:tabs>
        <w:spacing w:before="122" w:after="0" w:line="271"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Psittacosis.</w:t>
      </w:r>
    </w:p>
    <w:p>
      <w:pPr>
        <w:spacing w:before="128" w:after="0" w:line="274" w:lineRule="exact"/>
        <w:ind w:right="0" w:left="288" w:firstLine="0"/>
        <w:jc w:val="left"/>
        <w:textAlignment w:val="baseline"/>
        <w:rPr>
          <w:rFonts w:ascii="Times New Roman" w:hAnsi="Times New Roman" w:eastAsia="Times New Roman"/>
          <w:b w:val="true"/>
          <w:color w:val="000000"/>
          <w:spacing w:val="4"/>
          <w:w w:val="100"/>
          <w:sz w:val="24"/>
          <w:vertAlign w:val="baseline"/>
          <w:lang w:val="en-US"/>
        </w:rPr>
      </w:pPr>
      <w:r>
        <w:rPr>
          <w:rFonts w:ascii="Times New Roman" w:hAnsi="Times New Roman" w:eastAsia="Times New Roman"/>
          <w:b w:val="true"/>
          <w:color w:val="000000"/>
          <w:spacing w:val="4"/>
          <w:w w:val="100"/>
          <w:sz w:val="24"/>
          <w:vertAlign w:val="baseline"/>
          <w:lang w:val="en-US"/>
        </w:rPr>
        <w:t xml:space="preserve">700 Inspectors' identity cards</w:t>
      </w:r>
    </w:p>
    <w:p>
      <w:pPr>
        <w:spacing w:before="111" w:after="0" w:line="279"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the purposes of section 157(1) of the Act, an identity card given by the regulator to an inspector must include the following:</w:t>
      </w:r>
    </w:p>
    <w:p>
      <w:pPr>
        <w:numPr>
          <w:ilvl w:val="0"/>
          <w:numId w:val="1056"/>
        </w:numPr>
        <w:tabs>
          <w:tab w:val="clear" w:pos="432"/>
          <w:tab w:val="left" w:pos="1944"/>
        </w:tabs>
        <w:spacing w:before="114" w:after="0" w:line="279" w:lineRule="exact"/>
        <w:ind w:right="288" w:left="1944" w:hanging="432"/>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recent photograph of the inspector in the form specified by the regulator;</w:t>
      </w:r>
    </w:p>
    <w:p>
      <w:pPr>
        <w:numPr>
          <w:ilvl w:val="0"/>
          <w:numId w:val="1056"/>
        </w:numPr>
        <w:tabs>
          <w:tab w:val="clear" w:pos="432"/>
          <w:tab w:val="left" w:pos="1944"/>
        </w:tabs>
        <w:spacing w:before="122" w:after="0" w:line="271" w:lineRule="exact"/>
        <w:ind w:right="0" w:left="1944" w:hanging="432"/>
        <w:jc w:val="both"/>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the inspector's signature;</w:t>
      </w:r>
    </w:p>
    <w:p>
      <w:pPr>
        <w:numPr>
          <w:ilvl w:val="0"/>
          <w:numId w:val="1056"/>
        </w:numPr>
        <w:tabs>
          <w:tab w:val="clear" w:pos="432"/>
          <w:tab w:val="left" w:pos="1944"/>
        </w:tabs>
        <w:spacing w:before="128" w:after="851" w:line="271" w:lineRule="exact"/>
        <w:ind w:right="0" w:left="1944" w:hanging="432"/>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date (if any) on which the inspector's appointment ends;</w:t>
      </w:r>
    </w:p>
    <w:p>
      <w:pPr>
        <w:spacing w:before="128" w:after="851" w:line="271"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430</w:t>
      </w:r>
    </w:p>
    <w:p>
      <w:pPr>
        <w:sectPr>
          <w:type w:val="continuous"/>
          <w:pgSz w:w="11909" w:h="16838" w:orient="portrait"/>
          <w:pgMar w:bottom="1082" w:top="1140" w:right="5812" w:left="1977"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11.3	</w:t>
      </w:r>
      <w:r>
        <w:rPr>
          <w:rFonts w:ascii="Times New Roman" w:hAnsi="Times New Roman" w:eastAsia="Times New Roman"/>
          <w:color w:val="000000"/>
          <w:spacing w:val="0"/>
          <w:w w:val="100"/>
          <w:sz w:val="20"/>
          <w:vertAlign w:val="baseline"/>
          <w:lang w:val="en-US"/>
        </w:rPr>
        <w:t xml:space="preserve">Miscellaneous</w:t>
      </w:r>
    </w:p>
    <w:p>
      <w:pPr>
        <w:spacing w:before="248"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(d) any conditions to which the inspector's appointment is subject, including the kinds of workplaces in relation to which the inspector may exercise his or her compliance powers.</w:t>
      </w:r>
    </w:p>
    <w:p>
      <w:pPr>
        <w:spacing w:before="126" w:after="0" w:line="274" w:lineRule="exact"/>
        <w:ind w:right="0" w:left="288" w:firstLine="0"/>
        <w:jc w:val="left"/>
        <w:textAlignment w:val="baseline"/>
        <w:rPr>
          <w:rFonts w:ascii="Times New Roman" w:hAnsi="Times New Roman" w:eastAsia="Times New Roman"/>
          <w:b w:val="true"/>
          <w:color w:val="000000"/>
          <w:spacing w:val="2"/>
          <w:w w:val="100"/>
          <w:sz w:val="24"/>
          <w:vertAlign w:val="baseline"/>
          <w:lang w:val="en-US"/>
        </w:rPr>
      </w:pPr>
      <w:r>
        <w:rPr>
          <w:rFonts w:ascii="Times New Roman" w:hAnsi="Times New Roman" w:eastAsia="Times New Roman"/>
          <w:b w:val="true"/>
          <w:color w:val="000000"/>
          <w:spacing w:val="2"/>
          <w:w w:val="100"/>
          <w:sz w:val="24"/>
          <w:vertAlign w:val="baseline"/>
          <w:lang w:val="en-US"/>
        </w:rPr>
        <w:t xml:space="preserve">701 Review of decisions under the Act—stay of decision</w:t>
      </w:r>
    </w:p>
    <w:p>
      <w:pPr>
        <w:spacing w:before="116" w:after="0" w:line="276"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the purposes of section 228(6)(a) of the Act, the prescribed</w:t>
      </w:r>
    </w:p>
    <w:p>
      <w:pPr>
        <w:tabs>
          <w:tab w:val="left" w:leader="dot" w:pos="3024"/>
        </w:tabs>
        <w:spacing w:before="3" w:after="0" w:line="276"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period is [	</w:t>
      </w:r>
      <w:r>
        <w:rPr>
          <w:rFonts w:ascii="Times New Roman" w:hAnsi="Times New Roman" w:eastAsia="Times New Roman"/>
          <w:color w:val="000000"/>
          <w:spacing w:val="0"/>
          <w:w w:val="100"/>
          <w:sz w:val="24"/>
          <w:vertAlign w:val="baseline"/>
          <w:lang w:val="en-US"/>
        </w:rPr>
        <w:t xml:space="preserve">].</w:t>
      </w:r>
    </w:p>
    <w:p>
      <w:pPr>
        <w:spacing w:before="124"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0" w:line="227"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120" w:after="0" w:line="274" w:lineRule="exact"/>
        <w:ind w:right="72" w:left="288" w:firstLine="0"/>
        <w:jc w:val="both"/>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702 Confidentiality of information—exception relating to administration or enforcement of other laws</w:t>
      </w:r>
    </w:p>
    <w:p>
      <w:pPr>
        <w:spacing w:before="119" w:after="0" w:line="276" w:lineRule="exact"/>
        <w:ind w:right="72" w:left="1368" w:firstLine="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corresponding WHS law is prescribed for the purposes of section 271A(3)(b) of the Act.</w:t>
      </w:r>
    </w:p>
    <w:p>
      <w:pPr>
        <w:spacing w:before="129" w:after="0" w:line="225" w:lineRule="exact"/>
        <w:ind w:right="0" w:left="79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5" w:after="7579" w:line="227" w:lineRule="exact"/>
        <w:ind w:right="0"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 in the Appendix.</w:t>
      </w:r>
    </w:p>
    <w:p>
      <w:pPr>
        <w:spacing w:before="333"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1.05pt,0.3pt" style="position:absolute;mso-position-horizontal-relative:text;mso-position-vertical-relative:text;">
            <v:stroke dashstyle="solid"/>
          </v:line>
        </w:pict>
      </w:r>
    </w:p>
    <w:p>
      <w:pPr>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431</w:t>
      </w:r>
    </w:p>
    <w:p>
      <w:pPr>
        <w:sectPr>
          <w:type w:val="continuous"/>
          <w:pgSz w:w="11909" w:h="16838" w:orient="portrait"/>
          <w:pgMar w:bottom="1082" w:top="1140" w:right="5819" w:left="1970" w:header="720" w:footer="720"/>
          <w:titlePg w:val="false"/>
          <w:textDirection w:val="lrTb"/>
        </w:sectPr>
      </w:pPr>
    </w:p>
    <w:p>
      <w:pPr>
        <w:spacing w:before="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tabs>
          <w:tab w:val="left" w:leader="none" w:pos="1152"/>
        </w:tabs>
        <w:spacing w:before="231" w:after="222"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11.4	</w:t>
      </w:r>
      <w:r>
        <w:rPr>
          <w:rFonts w:ascii="Times New Roman" w:hAnsi="Times New Roman" w:eastAsia="Times New Roman"/>
          <w:color w:val="000000"/>
          <w:spacing w:val="0"/>
          <w:w w:val="100"/>
          <w:sz w:val="20"/>
          <w:vertAlign w:val="baseline"/>
          <w:lang w:val="en-US"/>
        </w:rPr>
        <w:t xml:space="preserve">Transitional and Saving Provisions</w:t>
      </w:r>
    </w:p>
    <w:p>
      <w:pPr>
        <w:spacing w:before="258" w:after="0" w:line="317" w:lineRule="exact"/>
        <w:ind w:right="0" w:left="0" w:firstLine="0"/>
        <w:jc w:val="left"/>
        <w:textAlignment w:val="baseline"/>
        <w:rPr>
          <w:rFonts w:ascii="Times New Roman" w:hAnsi="Times New Roman" w:eastAsia="Times New Roman"/>
          <w:b w:val="true"/>
          <w:color w:val="000000"/>
          <w:spacing w:val="0"/>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8"/>
          <w:vertAlign w:val="baseline"/>
          <w:lang w:val="en-US"/>
        </w:rPr>
        <w:t xml:space="preserve">Part 11.4 Transitional and Saving Provisions</w:t>
      </w:r>
    </w:p>
    <w:p>
      <w:pPr>
        <w:spacing w:before="118" w:after="11505" w:line="274" w:lineRule="exact"/>
        <w:ind w:right="0" w:left="0" w:firstLine="0"/>
        <w:jc w:val="center"/>
        <w:textAlignment w:val="baseline"/>
        <w:rPr>
          <w:rFonts w:ascii="Times New Roman" w:hAnsi="Times New Roman" w:eastAsia="Times New Roman"/>
          <w:color w:val="000000"/>
          <w:spacing w:val="-1"/>
          <w:w w:val="100"/>
          <w:sz w:val="24"/>
          <w:vertAlign w:val="baseline"/>
          <w:lang w:val="en-US"/>
        </w:rPr>
      </w:pPr>
      <w:r>
        <w:pict>
          <v:line strokeweight="0.7pt" strokecolor="#000000" from="243.6pt,171.1pt" to="352.15pt,171.1pt" style="position:absolute;mso-position-horizontal-relative:page;mso-position-vertical-relative:page;">
            <v:stroke dashstyle="solid"/>
          </v:line>
        </w:pict>
      </w: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1"/>
          <w:w w:val="100"/>
          <w:sz w:val="24"/>
          <w:vertAlign w:val="baseline"/>
          <w:lang w:val="en-US"/>
        </w:rPr>
        <w:t xml:space="preserve">[</w:t>
      </w:r>
      <w:r>
        <w:rPr>
          <w:rFonts w:ascii="Times New Roman" w:hAnsi="Times New Roman" w:eastAsia="Times New Roman"/>
          <w:i w:val="true"/>
          <w:color w:val="000000"/>
          <w:spacing w:val="-1"/>
          <w:w w:val="100"/>
          <w:sz w:val="24"/>
          <w:vertAlign w:val="baseline"/>
          <w:lang w:val="en-US"/>
        </w:rPr>
        <w:t xml:space="preserve">Provisions to be developed</w:t>
      </w:r>
      <w:r>
        <w:rPr>
          <w:rFonts w:ascii="Times New Roman" w:hAnsi="Times New Roman" w:eastAsia="Times New Roman"/>
          <w:color w:val="000000"/>
          <w:spacing w:val="-1"/>
          <w:w w:val="100"/>
          <w:sz w:val="24"/>
          <w:vertAlign w:val="baseline"/>
          <w:lang w:val="en-US"/>
        </w:rPr>
        <w:t xml:space="preserve">]</w:t>
      </w:r>
    </w:p>
    <w:p>
      <w:pPr>
        <w:spacing w:before="321" w:after="0" w:line="288" w:lineRule="exact"/>
        <w:ind w:right="0" w:left="0" w:firstLine="0"/>
        <w:jc w:val="left"/>
        <w:textAlignment w:val="baseline"/>
        <w:rPr>
          <w:rFonts w:ascii="Times New Roman" w:hAnsi="Times New Roman" w:eastAsia="Times New Roman"/>
          <w:color w:val="000000"/>
          <w:w w:val="100"/>
          <w:sz w:val="24"/>
          <w:vertAlign w:val="baseline"/>
          <w:lang w:val="en-US"/>
        </w:rPr>
      </w:pPr>
    </w:p>
    <w:p>
      <w:pPr>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432</w:t>
      </w:r>
    </w:p>
    <w:p>
      <w:pPr>
        <w:sectPr>
          <w:type w:val="continuous"/>
          <w:pgSz w:w="11909" w:h="16838" w:orient="portrait"/>
          <w:pgMar w:bottom="1082" w:top="1140" w:right="5812" w:left="1977" w:header="720" w:footer="720"/>
          <w:titlePg w:val="false"/>
          <w:textDirection w:val="lrTb"/>
        </w:sectPr>
      </w:pPr>
    </w:p>
    <w:p>
      <w:pPr>
        <w:spacing w:before="0" w:after="222" w:line="34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</w:t>
        <w:br/>
      </w:r>
      <w:r>
        <w:rPr>
          <w:rFonts w:ascii="Times New Roman" w:hAnsi="Times New Roman" w:eastAsia="Times New Roman"/>
          <w:color w:val="000000"/>
          <w:spacing w:val="0"/>
          <w:w w:val="100"/>
          <w:sz w:val="20"/>
          <w:vertAlign w:val="baseline"/>
          <w:lang w:val="en-US"/>
        </w:rPr>
        <w:t xml:space="preserve">Schedule 1 Revocation of regulations</w:t>
      </w:r>
    </w:p>
    <w:p>
      <w:pPr>
        <w:spacing w:before="258" w:after="0" w:line="318" w:lineRule="exact"/>
        <w:ind w:right="0" w:left="0" w:firstLine="0"/>
        <w:jc w:val="left"/>
        <w:textAlignment w:val="baseline"/>
        <w:rPr>
          <w:rFonts w:ascii="Times New Roman" w:hAnsi="Times New Roman" w:eastAsia="Times New Roman"/>
          <w:b w:val="true"/>
          <w:color w:val="000000"/>
          <w:spacing w:val="-2"/>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2"/>
          <w:w w:val="100"/>
          <w:sz w:val="28"/>
          <w:vertAlign w:val="baseline"/>
          <w:lang w:val="en-US"/>
        </w:rPr>
        <w:t xml:space="preserve">SCHEDULES</w:t>
      </w:r>
    </w:p>
    <w:p>
      <w:pPr>
        <w:spacing w:before="243" w:after="0" w:line="318" w:lineRule="exact"/>
        <w:ind w:right="0" w:left="0" w:firstLine="0"/>
        <w:jc w:val="left"/>
        <w:textAlignment w:val="baseline"/>
        <w:rPr>
          <w:rFonts w:ascii="Times New Roman" w:hAnsi="Times New Roman" w:eastAsia="Times New Roman"/>
          <w:b w:val="true"/>
          <w:color w:val="000000"/>
          <w:spacing w:val="4"/>
          <w:w w:val="100"/>
          <w:sz w:val="28"/>
          <w:vertAlign w:val="baseline"/>
          <w:lang w:val="en-US"/>
        </w:rPr>
      </w:pPr>
      <w:r>
        <w:rPr>
          <w:rFonts w:ascii="Times New Roman" w:hAnsi="Times New Roman" w:eastAsia="Times New Roman"/>
          <w:b w:val="true"/>
          <w:color w:val="000000"/>
          <w:spacing w:val="4"/>
          <w:w w:val="100"/>
          <w:sz w:val="28"/>
          <w:vertAlign w:val="baseline"/>
          <w:lang w:val="en-US"/>
        </w:rPr>
        <w:t xml:space="preserve">Schedule 1 Revocation of regulations</w:t>
      </w:r>
    </w:p>
    <w:p>
      <w:pPr>
        <w:spacing w:before="121" w:after="0" w:line="230" w:lineRule="exact"/>
        <w:ind w:right="0"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Regulation 4</w:t>
      </w:r>
    </w:p>
    <w:p>
      <w:pPr>
        <w:spacing w:before="120" w:after="10612" w:line="252" w:lineRule="exact"/>
        <w:ind w:right="0" w:left="0" w:firstLine="0"/>
        <w:jc w:val="center"/>
        <w:textAlignment w:val="baseline"/>
        <w:rPr>
          <w:rFonts w:ascii="Times New Roman" w:hAnsi="Times New Roman" w:eastAsia="Times New Roman"/>
          <w:color w:val="000000"/>
          <w:spacing w:val="0"/>
          <w:w w:val="100"/>
          <w:sz w:val="23"/>
          <w:vertAlign w:val="baseline"/>
          <w:lang w:val="en-US"/>
        </w:rPr>
      </w:pPr>
      <w:r>
        <w:rPr>
          <w:rFonts w:ascii="Times New Roman" w:hAnsi="Times New Roman" w:eastAsia="Times New Roman"/>
          <w:color w:val="000000"/>
          <w:spacing w:val="0"/>
          <w:w w:val="100"/>
          <w:sz w:val="23"/>
          <w:vertAlign w:val="baseline"/>
          <w:lang w:val="en-US"/>
        </w:rPr>
        <w:t xml:space="preserve">[</w:t>
      </w:r>
      <w:r>
        <w:rPr>
          <w:rFonts w:ascii="Times New Roman" w:hAnsi="Times New Roman" w:eastAsia="Times New Roman"/>
          <w:i w:val="true"/>
          <w:color w:val="000000"/>
          <w:spacing w:val="0"/>
          <w:w w:val="100"/>
          <w:sz w:val="22"/>
          <w:vertAlign w:val="baseline"/>
          <w:lang w:val="en-US"/>
        </w:rPr>
        <w:t xml:space="preserve">Existing regulations to be revoked or repealed can be listed here</w:t>
      </w:r>
      <w:r>
        <w:rPr>
          <w:rFonts w:ascii="Times New Roman" w:hAnsi="Times New Roman" w:eastAsia="Times New Roman"/>
          <w:color w:val="000000"/>
          <w:spacing w:val="0"/>
          <w:w w:val="100"/>
          <w:sz w:val="23"/>
          <w:vertAlign w:val="baseline"/>
          <w:lang w:val="en-US"/>
        </w:rPr>
        <w:t xml:space="preserve">]</w:t>
      </w:r>
    </w:p>
    <w:p>
      <w:pPr>
        <w:spacing w:before="333"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1.05pt,0.3pt" style="position:absolute;mso-position-horizontal-relative:text;mso-position-vertical-relative:text;">
            <v:stroke dashstyle="solid"/>
          </v:line>
        </w:pict>
      </w:r>
    </w:p>
    <w:p>
      <w:pPr>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433</w:t>
      </w:r>
    </w:p>
    <w:p>
      <w:pPr>
        <w:sectPr>
          <w:type w:val="continuous"/>
          <w:pgSz w:w="11909" w:h="16838" w:orient="portrait"/>
          <w:pgMar w:bottom="1082" w:top="1140" w:right="5817" w:left="1972" w:header="720" w:footer="720"/>
          <w:titlePg w:val="false"/>
          <w:textDirection w:val="lrTb"/>
        </w:sectPr>
      </w:pPr>
    </w:p>
    <w:p>
      <w:pPr>
        <w:spacing w:before="0" w:after="224" w:line="34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</w:t>
        <w:br/>
      </w:r>
      <w:r>
        <w:rPr>
          <w:rFonts w:ascii="Times New Roman" w:hAnsi="Times New Roman" w:eastAsia="Times New Roman"/>
          <w:color w:val="000000"/>
          <w:spacing w:val="0"/>
          <w:w w:val="100"/>
          <w:sz w:val="20"/>
          <w:vertAlign w:val="baseline"/>
          <w:lang w:val="en-US"/>
        </w:rPr>
        <w:t xml:space="preserve">Schedule 2 Fees</w:t>
      </w:r>
    </w:p>
    <w:p>
      <w:pPr>
        <w:spacing w:before="258" w:after="0" w:line="316" w:lineRule="exact"/>
        <w:ind w:right="0" w:left="0" w:firstLine="0"/>
        <w:jc w:val="left"/>
        <w:textAlignment w:val="baseline"/>
        <w:rPr>
          <w:rFonts w:ascii="Times New Roman" w:hAnsi="Times New Roman" w:eastAsia="Times New Roman"/>
          <w:b w:val="true"/>
          <w:color w:val="000000"/>
          <w:spacing w:val="11"/>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11"/>
          <w:w w:val="100"/>
          <w:sz w:val="28"/>
          <w:vertAlign w:val="baseline"/>
          <w:lang w:val="en-US"/>
        </w:rPr>
        <w:t xml:space="preserve">Schedule 2 Fees</w:t>
      </w:r>
    </w:p>
    <w:p>
      <w:pPr>
        <w:spacing w:before="119"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 Purpose of this Schedule</w:t>
      </w:r>
    </w:p>
    <w:p>
      <w:pPr>
        <w:spacing w:before="124" w:after="0"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Schedule specifies fees to be paid under these Regulations.</w:t>
      </w:r>
    </w:p>
    <w:p>
      <w:pPr>
        <w:spacing w:before="123" w:after="0" w:line="227"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2" w:after="0" w:line="233" w:lineRule="exact"/>
        <w:ind w:right="0" w:left="1368"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See the definition of </w:t>
      </w:r>
      <w:r>
        <w:rPr>
          <w:rFonts w:ascii="Times New Roman" w:hAnsi="Times New Roman" w:eastAsia="Times New Roman"/>
          <w:b w:val="true"/>
          <w:i w:val="true"/>
          <w:color w:val="000000"/>
          <w:spacing w:val="-1"/>
          <w:w w:val="100"/>
          <w:sz w:val="21"/>
          <w:vertAlign w:val="baseline"/>
          <w:lang w:val="en-US"/>
        </w:rPr>
        <w:t xml:space="preserve">relevant fee </w:t>
      </w:r>
      <w:r>
        <w:rPr>
          <w:rFonts w:ascii="Times New Roman" w:hAnsi="Times New Roman" w:eastAsia="Times New Roman"/>
          <w:color w:val="000000"/>
          <w:spacing w:val="-1"/>
          <w:w w:val="100"/>
          <w:sz w:val="20"/>
          <w:vertAlign w:val="baseline"/>
          <w:lang w:val="en-US"/>
        </w:rPr>
        <w:t xml:space="preserve">in regulation 5(1).</w:t>
      </w:r>
    </w:p>
    <w:p>
      <w:pPr>
        <w:spacing w:before="119" w:after="33" w:line="227" w:lineRule="exact"/>
        <w:ind w:right="0" w:left="0" w:firstLine="0"/>
        <w:jc w:val="left"/>
        <w:textAlignment w:val="baseline"/>
        <w:rPr>
          <w:rFonts w:ascii="Times New Roman" w:hAnsi="Times New Roman" w:eastAsia="Times New Roman"/>
          <w:b w:val="true"/>
          <w:color w:val="000000"/>
          <w:spacing w:val="-1"/>
          <w:w w:val="100"/>
          <w:sz w:val="20"/>
          <w:vertAlign w:val="baseline"/>
          <w:lang w:val="en-US"/>
        </w:rPr>
      </w:pPr>
      <w:r>
        <w:rPr>
          <w:rFonts w:ascii="Times New Roman" w:hAnsi="Times New Roman" w:eastAsia="Times New Roman"/>
          <w:b w:val="true"/>
          <w:color w:val="000000"/>
          <w:spacing w:val="-1"/>
          <w:w w:val="100"/>
          <w:sz w:val="20"/>
          <w:vertAlign w:val="baseline"/>
          <w:lang w:val="en-US"/>
        </w:rPr>
        <w:t xml:space="preserve">Table 2.1</w:t>
      </w:r>
    </w:p>
    <w:p>
      <w:pPr>
        <w:tabs>
          <w:tab w:val="left" w:leader="none" w:pos="2520"/>
          <w:tab w:val="left" w:leader="none" w:pos="4392"/>
          <w:tab w:val="left" w:leader="none" w:pos="5688"/>
        </w:tabs>
        <w:spacing w:before="86" w:after="33" w:line="227" w:lineRule="exact"/>
        <w:ind w:right="0" w:left="144"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7.45pt,227.05pt" to="498.5pt,227.05pt" style="position:absolute;mso-position-horizontal-relative:page;mso-position-vertical-relative:page;">
            <v:stroke dashstyle="solid"/>
          </v:line>
        </w:pict>
      </w:r>
      <w:r>
        <w:pict>
          <v:line strokeweight="0.5pt" strokecolor="#000000" from="99.35pt,245.05pt" to="496.6pt,245.05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Regulation No.	</w:t>
      </w:r>
      <w:r>
        <w:rPr>
          <w:rFonts w:ascii="Times New Roman" w:hAnsi="Times New Roman" w:eastAsia="Times New Roman"/>
          <w:b w:val="true"/>
          <w:color w:val="000000"/>
          <w:spacing w:val="0"/>
          <w:w w:val="100"/>
          <w:sz w:val="20"/>
          <w:vertAlign w:val="baseline"/>
          <w:lang w:val="en-US"/>
        </w:rPr>
        <w:t xml:space="preserve">Nature of fee	</w:t>
      </w:r>
      <w:r>
        <w:rPr>
          <w:rFonts w:ascii="Times New Roman" w:hAnsi="Times New Roman" w:eastAsia="Times New Roman"/>
          <w:b w:val="true"/>
          <w:color w:val="000000"/>
          <w:spacing w:val="0"/>
          <w:w w:val="100"/>
          <w:sz w:val="20"/>
          <w:vertAlign w:val="baseline"/>
          <w:lang w:val="en-US"/>
        </w:rPr>
        <w:t xml:space="preserve">Fee	</w:t>
      </w:r>
      <w:r>
        <w:rPr>
          <w:rFonts w:ascii="Times New Roman" w:hAnsi="Times New Roman" w:eastAsia="Times New Roman"/>
          <w:b w:val="true"/>
          <w:color w:val="000000"/>
          <w:spacing w:val="0"/>
          <w:w w:val="100"/>
          <w:sz w:val="20"/>
          <w:vertAlign w:val="baseline"/>
          <w:lang w:val="en-US"/>
        </w:rPr>
        <w:t xml:space="preserve">When fee to be paid</w:t>
      </w:r>
    </w:p>
    <w:p>
      <w:pPr>
        <w:spacing w:before="0" w:after="0"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0" w:after="0" w:line="231" w:lineRule="exact"/>
        <w:ind w:right="216"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jurisdictional notes in the Appendix relating to the definition of </w:t>
      </w:r>
      <w:r>
        <w:rPr>
          <w:rFonts w:ascii="Times New Roman" w:hAnsi="Times New Roman" w:eastAsia="Times New Roman"/>
          <w:b w:val="true"/>
          <w:i w:val="true"/>
          <w:color w:val="000000"/>
          <w:spacing w:val="0"/>
          <w:w w:val="100"/>
          <w:sz w:val="21"/>
          <w:vertAlign w:val="baseline"/>
          <w:lang w:val="en-US"/>
        </w:rPr>
        <w:t xml:space="preserve">relevant fee </w:t>
      </w:r>
      <w:r>
        <w:rPr>
          <w:rFonts w:ascii="Times New Roman" w:hAnsi="Times New Roman" w:eastAsia="Times New Roman"/>
          <w:color w:val="000000"/>
          <w:spacing w:val="0"/>
          <w:w w:val="100"/>
          <w:sz w:val="20"/>
          <w:vertAlign w:val="baseline"/>
          <w:lang w:val="en-US"/>
        </w:rPr>
        <w:t xml:space="preserve">in regulation 5(1).</w:t>
      </w:r>
    </w:p>
    <w:p>
      <w:pPr>
        <w:tabs>
          <w:tab w:val="left" w:leader="none" w:pos="3888"/>
        </w:tabs>
        <w:spacing w:before="7907"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pict>
          <v:line strokeweight="0.5pt" strokecolor="#000000" from="97.45pt,315.6pt" to="498.5pt,315.6pt" style="position:absolute;mso-position-horizontal-relative:page;mso-position-vertical-relative:page;">
            <v:stroke dashstyle="solid"/>
          </v:line>
        </w:pict>
      </w: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434</w:t>
      </w:r>
    </w:p>
    <w:p>
      <w:pPr>
        <w:sectPr>
          <w:type w:val="nextPage"/>
          <w:pgSz w:w="11909" w:h="16838" w:orient="portrait"/>
          <w:pgMar w:bottom="1082" w:top="1140" w:right="1940" w:left="1949" w:header="720" w:footer="720"/>
          <w:titlePg w:val="false"/>
          <w:textDirection w:val="lrTb"/>
        </w:sectPr>
      </w:pPr>
    </w:p>
    <w:p>
      <w:pPr>
        <w:spacing w:before="6" w:after="0" w:line="225"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spacing w:before="236" w:after="227" w:line="225" w:lineRule="exact"/>
        <w:ind w:right="0" w:left="0" w:firstLine="0"/>
        <w:jc w:val="left"/>
        <w:textAlignment w:val="baseline"/>
        <w:rPr>
          <w:rFonts w:ascii="Times New Roman" w:hAnsi="Times New Roman" w:eastAsia="Times New Roman"/>
          <w:color w:val="000000"/>
          <w:spacing w:val="3"/>
          <w:w w:val="100"/>
          <w:sz w:val="20"/>
          <w:vertAlign w:val="baseline"/>
          <w:lang w:val="en-US"/>
        </w:rPr>
      </w:pPr>
      <w:r>
        <w:rPr>
          <w:rFonts w:ascii="Times New Roman" w:hAnsi="Times New Roman" w:eastAsia="Times New Roman"/>
          <w:color w:val="000000"/>
          <w:spacing w:val="3"/>
          <w:w w:val="100"/>
          <w:sz w:val="20"/>
          <w:vertAlign w:val="baseline"/>
          <w:lang w:val="en-US"/>
        </w:rPr>
        <w:t xml:space="preserve">Schedule 3 High risk work licences and classes of high risk work</w:t>
      </w:r>
    </w:p>
    <w:p>
      <w:pPr>
        <w:spacing w:before="258" w:after="0" w:line="317" w:lineRule="exact"/>
        <w:ind w:right="0" w:left="0" w:firstLine="0"/>
        <w:jc w:val="left"/>
        <w:textAlignment w:val="baseline"/>
        <w:rPr>
          <w:rFonts w:ascii="Times New Roman" w:hAnsi="Times New Roman" w:eastAsia="Times New Roman"/>
          <w:b w:val="true"/>
          <w:color w:val="000000"/>
          <w:spacing w:val="3"/>
          <w:w w:val="100"/>
          <w:sz w:val="28"/>
          <w:vertAlign w:val="baseline"/>
          <w:lang w:val="en-US"/>
        </w:rPr>
      </w:pPr>
      <w:r>
        <w:pict>
          <v:line strokeweight="0.5pt" strokecolor="#000000" from="97.9pt,103.9pt" to="498.05pt,103.9pt" style="position:absolute;mso-position-horizontal-relative:page;mso-position-vertical-relative:page;">
            <v:stroke dashstyle="solid"/>
          </v:line>
        </w:pict>
      </w:r>
      <w:r>
        <w:rPr>
          <w:rFonts w:ascii="Times New Roman" w:hAnsi="Times New Roman" w:eastAsia="Times New Roman"/>
          <w:b w:val="true"/>
          <w:color w:val="000000"/>
          <w:spacing w:val="3"/>
          <w:w w:val="100"/>
          <w:sz w:val="28"/>
          <w:vertAlign w:val="baseline"/>
          <w:lang w:val="en-US"/>
        </w:rPr>
        <w:t xml:space="preserve">Schedule 3 High risk work licences and classes of high risk work</w:t>
      </w:r>
    </w:p>
    <w:p>
      <w:pPr>
        <w:spacing w:before="121" w:after="0" w:line="225" w:lineRule="exact"/>
        <w:ind w:right="72" w:left="0" w:firstLine="0"/>
        <w:jc w:val="righ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Regulation 81</w:t>
      </w:r>
    </w:p>
    <w:p>
      <w:pPr>
        <w:spacing w:before="126" w:after="37" w:line="228" w:lineRule="exact"/>
        <w:ind w:right="0" w:left="0" w:firstLine="0"/>
        <w:jc w:val="left"/>
        <w:textAlignment w:val="baseline"/>
        <w:rPr>
          <w:rFonts w:ascii="Times New Roman" w:hAnsi="Times New Roman" w:eastAsia="Times New Roman"/>
          <w:b w:val="true"/>
          <w:color w:val="000000"/>
          <w:spacing w:val="-1"/>
          <w:w w:val="100"/>
          <w:sz w:val="20"/>
          <w:vertAlign w:val="baseline"/>
          <w:lang w:val="en-US"/>
        </w:rPr>
      </w:pPr>
      <w:r>
        <w:rPr>
          <w:rFonts w:ascii="Times New Roman" w:hAnsi="Times New Roman" w:eastAsia="Times New Roman"/>
          <w:b w:val="true"/>
          <w:color w:val="000000"/>
          <w:spacing w:val="-1"/>
          <w:w w:val="100"/>
          <w:sz w:val="20"/>
          <w:vertAlign w:val="baseline"/>
          <w:lang w:val="en-US"/>
        </w:rPr>
        <w:t xml:space="preserve">Table 3.1</w:t>
      </w:r>
    </w:p>
    <w:p>
      <w:pPr>
        <w:tabs>
          <w:tab w:val="left" w:leader="none" w:pos="1080"/>
          <w:tab w:val="left" w:leader="none" w:pos="3240"/>
        </w:tabs>
        <w:spacing w:before="88" w:after="0" w:line="228" w:lineRule="exact"/>
        <w:ind w:right="0" w:left="216"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104.9pt,169.9pt" to="501.95pt,169.9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Item	</w:t>
      </w:r>
      <w:r>
        <w:rPr>
          <w:rFonts w:ascii="Times New Roman" w:hAnsi="Times New Roman" w:eastAsia="Times New Roman"/>
          <w:b w:val="true"/>
          <w:color w:val="000000"/>
          <w:spacing w:val="0"/>
          <w:w w:val="100"/>
          <w:sz w:val="20"/>
          <w:vertAlign w:val="baseline"/>
          <w:lang w:val="en-US"/>
        </w:rPr>
        <w:t xml:space="preserve">High risk work	</w:t>
      </w:r>
      <w:r>
        <w:rPr>
          <w:rFonts w:ascii="Times New Roman" w:hAnsi="Times New Roman" w:eastAsia="Times New Roman"/>
          <w:b w:val="true"/>
          <w:color w:val="000000"/>
          <w:spacing w:val="0"/>
          <w:w w:val="100"/>
          <w:sz w:val="20"/>
          <w:vertAlign w:val="baseline"/>
          <w:lang w:val="en-US"/>
        </w:rPr>
        <w:t xml:space="preserve">Description of class of high risk work</w:t>
      </w:r>
    </w:p>
    <w:p>
      <w:pPr>
        <w:spacing w:before="1" w:after="37" w:line="228" w:lineRule="exact"/>
        <w:ind w:right="0" w:left="108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licence</w:t>
      </w:r>
    </w:p>
    <w:p>
      <w:pPr>
        <w:spacing w:before="86" w:after="0" w:line="230" w:lineRule="exact"/>
        <w:ind w:right="0" w:left="216" w:firstLine="0"/>
        <w:jc w:val="left"/>
        <w:textAlignment w:val="baseline"/>
        <w:rPr>
          <w:rFonts w:ascii="Times New Roman" w:hAnsi="Times New Roman" w:eastAsia="Times New Roman"/>
          <w:b w:val="true"/>
          <w:i w:val="true"/>
          <w:color w:val="000000"/>
          <w:spacing w:val="0"/>
          <w:w w:val="100"/>
          <w:sz w:val="20"/>
          <w:vertAlign w:val="baseline"/>
          <w:lang w:val="en-US"/>
        </w:rPr>
      </w:pPr>
      <w:r>
        <w:pict>
          <v:line strokeweight="0.5pt" strokecolor="#000000" from="104.9pt,199.45pt" to="501.95pt,199.45pt" style="position:absolute;mso-position-horizontal-relative:page;mso-position-vertical-relative:page;">
            <v:stroke dashstyle="solid"/>
          </v:line>
        </w:pict>
      </w:r>
      <w:r>
        <w:rPr>
          <w:rFonts w:ascii="Times New Roman" w:hAnsi="Times New Roman" w:eastAsia="Times New Roman"/>
          <w:b w:val="true"/>
          <w:i w:val="true"/>
          <w:color w:val="000000"/>
          <w:spacing w:val="0"/>
          <w:w w:val="100"/>
          <w:sz w:val="20"/>
          <w:vertAlign w:val="baseline"/>
          <w:lang w:val="en-US"/>
        </w:rPr>
        <w:t xml:space="preserve">Scaffolding work</w:t>
      </w:r>
    </w:p>
    <w:p>
      <w:pPr>
        <w:tabs>
          <w:tab w:val="left" w:leader="none" w:pos="1080"/>
          <w:tab w:val="left" w:leader="none" w:pos="3240"/>
        </w:tabs>
        <w:spacing w:before="121" w:after="0" w:line="225"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Basic scaffolding	</w:t>
      </w:r>
      <w:r>
        <w:rPr>
          <w:rFonts w:ascii="Times New Roman" w:hAnsi="Times New Roman" w:eastAsia="Times New Roman"/>
          <w:color w:val="000000"/>
          <w:spacing w:val="0"/>
          <w:w w:val="100"/>
          <w:sz w:val="20"/>
          <w:vertAlign w:val="baseline"/>
          <w:lang w:val="en-US"/>
        </w:rPr>
        <w:t xml:space="preserve">Scaffolding work involving any of the following:</w:t>
      </w:r>
    </w:p>
    <w:p>
      <w:pPr>
        <w:numPr>
          <w:ilvl w:val="0"/>
          <w:numId w:val="1057"/>
        </w:numPr>
        <w:tabs>
          <w:tab w:val="clear" w:pos="360"/>
          <w:tab w:val="left" w:pos="3672"/>
        </w:tabs>
        <w:spacing w:before="63" w:after="0" w:line="225" w:lineRule="exact"/>
        <w:ind w:right="0" w:left="3672" w:hanging="36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modular or pre-fabricated scaffolds;</w:t>
      </w:r>
    </w:p>
    <w:p>
      <w:pPr>
        <w:numPr>
          <w:ilvl w:val="0"/>
          <w:numId w:val="1057"/>
        </w:numPr>
        <w:tabs>
          <w:tab w:val="clear" w:pos="360"/>
          <w:tab w:val="left" w:pos="3672"/>
        </w:tabs>
        <w:spacing w:before="120" w:after="0" w:line="230" w:lineRule="exact"/>
        <w:ind w:right="720" w:left="3672" w:hanging="36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cantilevered materials hoists with a maximum working load of 500 kilograms;</w:t>
      </w:r>
    </w:p>
    <w:p>
      <w:pPr>
        <w:numPr>
          <w:ilvl w:val="0"/>
          <w:numId w:val="1057"/>
        </w:numPr>
        <w:tabs>
          <w:tab w:val="clear" w:pos="360"/>
          <w:tab w:val="left" w:pos="3672"/>
        </w:tabs>
        <w:spacing w:before="131" w:after="0" w:line="225" w:lineRule="exact"/>
        <w:ind w:right="0" w:left="3672" w:hanging="360"/>
        <w:jc w:val="left"/>
        <w:textAlignment w:val="baseline"/>
        <w:rPr>
          <w:rFonts w:ascii="Times New Roman" w:hAnsi="Times New Roman" w:eastAsia="Times New Roman"/>
          <w:color w:val="000000"/>
          <w:spacing w:val="-3"/>
          <w:w w:val="100"/>
          <w:sz w:val="20"/>
          <w:vertAlign w:val="baseline"/>
          <w:lang w:val="en-US"/>
        </w:rPr>
      </w:pPr>
      <w:r>
        <w:rPr>
          <w:rFonts w:ascii="Times New Roman" w:hAnsi="Times New Roman" w:eastAsia="Times New Roman"/>
          <w:color w:val="000000"/>
          <w:spacing w:val="-3"/>
          <w:w w:val="100"/>
          <w:sz w:val="20"/>
          <w:vertAlign w:val="baseline"/>
          <w:lang w:val="en-US"/>
        </w:rPr>
        <w:t xml:space="preserve">ropes;</w:t>
      </w:r>
    </w:p>
    <w:p>
      <w:pPr>
        <w:numPr>
          <w:ilvl w:val="0"/>
          <w:numId w:val="1057"/>
        </w:numPr>
        <w:tabs>
          <w:tab w:val="clear" w:pos="360"/>
          <w:tab w:val="left" w:pos="3672"/>
        </w:tabs>
        <w:spacing w:before="120" w:after="0" w:line="225" w:lineRule="exact"/>
        <w:ind w:right="0" w:left="3672" w:hanging="360"/>
        <w:jc w:val="left"/>
        <w:textAlignment w:val="baseline"/>
        <w:rPr>
          <w:rFonts w:ascii="Times New Roman" w:hAnsi="Times New Roman" w:eastAsia="Times New Roman"/>
          <w:color w:val="000000"/>
          <w:spacing w:val="-2"/>
          <w:w w:val="100"/>
          <w:sz w:val="20"/>
          <w:vertAlign w:val="baseline"/>
          <w:lang w:val="en-US"/>
        </w:rPr>
      </w:pPr>
      <w:r>
        <w:rPr>
          <w:rFonts w:ascii="Times New Roman" w:hAnsi="Times New Roman" w:eastAsia="Times New Roman"/>
          <w:color w:val="000000"/>
          <w:spacing w:val="-2"/>
          <w:w w:val="100"/>
          <w:sz w:val="20"/>
          <w:vertAlign w:val="baseline"/>
          <w:lang w:val="en-US"/>
        </w:rPr>
        <w:t xml:space="preserve">gin wheels;</w:t>
      </w:r>
    </w:p>
    <w:p>
      <w:pPr>
        <w:numPr>
          <w:ilvl w:val="0"/>
          <w:numId w:val="1057"/>
        </w:numPr>
        <w:tabs>
          <w:tab w:val="clear" w:pos="360"/>
          <w:tab w:val="left" w:pos="3672"/>
        </w:tabs>
        <w:spacing w:before="126" w:after="0" w:line="225" w:lineRule="exact"/>
        <w:ind w:right="0" w:left="3672" w:hanging="36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safety nets and static lines;</w:t>
      </w:r>
    </w:p>
    <w:p>
      <w:pPr>
        <w:numPr>
          <w:ilvl w:val="0"/>
          <w:numId w:val="1057"/>
        </w:numPr>
        <w:tabs>
          <w:tab w:val="clear" w:pos="360"/>
          <w:tab w:val="left" w:pos="3672"/>
        </w:tabs>
        <w:spacing w:before="125" w:after="0" w:line="225" w:lineRule="exact"/>
        <w:ind w:right="0" w:left="3672" w:hanging="36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bracket scaffolds (tank and formwork),</w:t>
      </w:r>
    </w:p>
    <w:p>
      <w:pPr>
        <w:spacing w:before="58" w:after="0" w:line="230" w:lineRule="exact"/>
        <w:ind w:right="0" w:left="3168"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but excluding scaffolding work involving equipment, loads or tasks listed in item 2(2)(a) to (g) and item 3(2)(a) to (c)</w:t>
      </w:r>
    </w:p>
    <w:p>
      <w:pPr>
        <w:tabs>
          <w:tab w:val="left" w:leader="none" w:pos="1080"/>
          <w:tab w:val="left" w:leader="none" w:pos="3312"/>
        </w:tabs>
        <w:spacing w:before="119" w:after="0" w:line="225"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Intermediate	</w:t>
      </w:r>
      <w:r>
        <w:rPr>
          <w:rFonts w:ascii="Times New Roman" w:hAnsi="Times New Roman" w:eastAsia="Times New Roman"/>
          <w:color w:val="000000"/>
          <w:spacing w:val="0"/>
          <w:w w:val="100"/>
          <w:sz w:val="20"/>
          <w:vertAlign w:val="baseline"/>
          <w:lang w:val="en-US"/>
        </w:rPr>
        <w:t xml:space="preserve">(1) Scaffolding work included in the class of Basic</w:t>
      </w:r>
    </w:p>
    <w:p>
      <w:pPr>
        <w:tabs>
          <w:tab w:val="left" w:leader="none" w:pos="3672"/>
        </w:tabs>
        <w:spacing w:before="8" w:after="0" w:line="226" w:lineRule="exact"/>
        <w:ind w:right="0" w:left="108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scaffolding	</w:t>
      </w:r>
      <w:r>
        <w:rPr>
          <w:rFonts w:ascii="Times New Roman" w:hAnsi="Times New Roman" w:eastAsia="Times New Roman"/>
          <w:color w:val="000000"/>
          <w:spacing w:val="0"/>
          <w:w w:val="100"/>
          <w:sz w:val="20"/>
          <w:vertAlign w:val="baseline"/>
          <w:lang w:val="en-US"/>
        </w:rPr>
        <w:t xml:space="preserve">scaffolding; and</w:t>
      </w:r>
    </w:p>
    <w:p>
      <w:pPr>
        <w:spacing w:before="129" w:after="0" w:line="225" w:lineRule="exact"/>
        <w:ind w:right="0" w:left="331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Scaffolding work involving any of the following:</w:t>
      </w:r>
    </w:p>
    <w:p>
      <w:pPr>
        <w:numPr>
          <w:ilvl w:val="0"/>
          <w:numId w:val="1058"/>
        </w:numPr>
        <w:tabs>
          <w:tab w:val="clear" w:pos="360"/>
          <w:tab w:val="left" w:pos="4032"/>
        </w:tabs>
        <w:spacing w:before="63" w:after="0" w:line="225" w:lineRule="exact"/>
        <w:ind w:right="0" w:left="4032" w:hanging="36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cantilevered crane loading platforms;</w:t>
      </w:r>
    </w:p>
    <w:p>
      <w:pPr>
        <w:numPr>
          <w:ilvl w:val="0"/>
          <w:numId w:val="1058"/>
        </w:numPr>
        <w:tabs>
          <w:tab w:val="clear" w:pos="360"/>
          <w:tab w:val="left" w:pos="4032"/>
        </w:tabs>
        <w:spacing w:before="130" w:after="0" w:line="225" w:lineRule="exact"/>
        <w:ind w:right="0" w:left="4032" w:hanging="36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cantilevered scaffolds;</w:t>
      </w:r>
    </w:p>
    <w:p>
      <w:pPr>
        <w:numPr>
          <w:ilvl w:val="0"/>
          <w:numId w:val="1058"/>
        </w:numPr>
        <w:tabs>
          <w:tab w:val="clear" w:pos="360"/>
          <w:tab w:val="left" w:pos="4032"/>
        </w:tabs>
        <w:spacing w:before="125" w:after="0" w:line="225" w:lineRule="exact"/>
        <w:ind w:right="0" w:left="4032" w:hanging="36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spur scaffolds;</w:t>
      </w:r>
    </w:p>
    <w:p>
      <w:pPr>
        <w:numPr>
          <w:ilvl w:val="0"/>
          <w:numId w:val="1058"/>
        </w:numPr>
        <w:tabs>
          <w:tab w:val="clear" w:pos="360"/>
          <w:tab w:val="left" w:pos="4032"/>
        </w:tabs>
        <w:spacing w:before="121" w:after="0" w:line="225" w:lineRule="exact"/>
        <w:ind w:right="0" w:left="4032" w:hanging="36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barrow ramps and sloping platforms;</w:t>
      </w:r>
    </w:p>
    <w:p>
      <w:pPr>
        <w:numPr>
          <w:ilvl w:val="0"/>
          <w:numId w:val="1058"/>
        </w:numPr>
        <w:tabs>
          <w:tab w:val="clear" w:pos="360"/>
          <w:tab w:val="left" w:pos="4032"/>
        </w:tabs>
        <w:spacing w:before="109" w:after="0" w:line="236" w:lineRule="exact"/>
        <w:ind w:right="504" w:left="4032" w:hanging="36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scaffolding associated with perimeter safety screens and shutters;</w:t>
      </w:r>
    </w:p>
    <w:p>
      <w:pPr>
        <w:numPr>
          <w:ilvl w:val="0"/>
          <w:numId w:val="1058"/>
        </w:numPr>
        <w:tabs>
          <w:tab w:val="clear" w:pos="360"/>
          <w:tab w:val="left" w:pos="4032"/>
        </w:tabs>
        <w:spacing w:before="125" w:after="0" w:line="225" w:lineRule="exact"/>
        <w:ind w:right="0" w:left="4032" w:hanging="36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mast climbing work platforms;</w:t>
      </w:r>
    </w:p>
    <w:p>
      <w:pPr>
        <w:numPr>
          <w:ilvl w:val="0"/>
          <w:numId w:val="1058"/>
        </w:numPr>
        <w:tabs>
          <w:tab w:val="clear" w:pos="360"/>
          <w:tab w:val="left" w:pos="4032"/>
        </w:tabs>
        <w:spacing w:before="111" w:after="0" w:line="235" w:lineRule="exact"/>
        <w:ind w:right="288" w:left="4032" w:hanging="36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tube and coupler scaffolds (including tube and coupler covered ways and gantries),</w:t>
      </w:r>
    </w:p>
    <w:p>
      <w:pPr>
        <w:spacing w:before="58" w:after="0" w:line="230" w:lineRule="exact"/>
        <w:ind w:right="144" w:left="36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but excluding scaffolding work involving equipment, loads or tasks listed in item 3(2)(a) to (c)</w:t>
      </w:r>
    </w:p>
    <w:p>
      <w:pPr>
        <w:tabs>
          <w:tab w:val="left" w:leader="none" w:pos="1080"/>
          <w:tab w:val="left" w:leader="none" w:pos="3312"/>
        </w:tabs>
        <w:spacing w:before="122" w:after="0" w:line="226"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	</w:t>
      </w:r>
      <w:r>
        <w:rPr>
          <w:rFonts w:ascii="Times New Roman" w:hAnsi="Times New Roman" w:eastAsia="Times New Roman"/>
          <w:color w:val="000000"/>
          <w:spacing w:val="0"/>
          <w:w w:val="100"/>
          <w:sz w:val="20"/>
          <w:vertAlign w:val="baseline"/>
          <w:lang w:val="en-US"/>
        </w:rPr>
        <w:t xml:space="preserve">Advanced scaffolding	</w:t>
      </w:r>
      <w:r>
        <w:rPr>
          <w:rFonts w:ascii="Times New Roman" w:hAnsi="Times New Roman" w:eastAsia="Times New Roman"/>
          <w:color w:val="000000"/>
          <w:spacing w:val="0"/>
          <w:w w:val="100"/>
          <w:sz w:val="20"/>
          <w:vertAlign w:val="baseline"/>
          <w:lang w:val="en-US"/>
        </w:rPr>
        <w:t xml:space="preserve">(1) Scaffolding work included in the class of</w:t>
      </w:r>
    </w:p>
    <w:p>
      <w:pPr>
        <w:spacing w:before="8" w:after="0" w:line="225" w:lineRule="exact"/>
        <w:ind w:right="0" w:left="36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Intermediate scaffolding; and</w:t>
      </w:r>
    </w:p>
    <w:p>
      <w:pPr>
        <w:spacing w:before="125" w:after="0" w:line="225" w:lineRule="exact"/>
        <w:ind w:right="0" w:left="331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Scaffolding work involving any of the following:</w:t>
      </w:r>
    </w:p>
    <w:p>
      <w:pPr>
        <w:numPr>
          <w:ilvl w:val="0"/>
          <w:numId w:val="1059"/>
        </w:numPr>
        <w:tabs>
          <w:tab w:val="clear" w:pos="360"/>
          <w:tab w:val="left" w:pos="4032"/>
        </w:tabs>
        <w:spacing w:before="63" w:after="0" w:line="225" w:lineRule="exact"/>
        <w:ind w:right="0" w:left="4032" w:hanging="36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cantilevered hoists;</w:t>
      </w:r>
    </w:p>
    <w:p>
      <w:pPr>
        <w:numPr>
          <w:ilvl w:val="0"/>
          <w:numId w:val="1059"/>
        </w:numPr>
        <w:tabs>
          <w:tab w:val="clear" w:pos="360"/>
          <w:tab w:val="left" w:pos="4032"/>
        </w:tabs>
        <w:spacing w:before="57" w:after="0" w:line="231" w:lineRule="exact"/>
        <w:ind w:right="288" w:left="4032" w:hanging="36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hung scaffolds, including scaffolds hung from tubes, wire ropes or chains;</w:t>
      </w:r>
    </w:p>
    <w:p>
      <w:pPr>
        <w:numPr>
          <w:ilvl w:val="0"/>
          <w:numId w:val="1059"/>
        </w:numPr>
        <w:tabs>
          <w:tab w:val="clear" w:pos="360"/>
          <w:tab w:val="left" w:pos="4032"/>
        </w:tabs>
        <w:spacing w:before="68" w:after="1383" w:line="225" w:lineRule="exact"/>
        <w:ind w:right="0" w:left="4032" w:hanging="36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9pt,728.15pt" to="498.0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suspended scaffolds</w:t>
      </w:r>
    </w:p>
    <w:p>
      <w:pPr>
        <w:spacing w:before="68" w:after="1383" w:line="225" w:lineRule="exact"/>
        <w:sectPr>
          <w:type w:val="nextPage"/>
          <w:pgSz w:w="11909" w:h="16838" w:orient="portrait"/>
          <w:pgMar w:bottom="1082" w:top="1140" w:right="1871" w:left="1958"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435</w:t>
      </w:r>
    </w:p>
    <w:p>
      <w:pPr>
        <w:sectPr>
          <w:type w:val="continuous"/>
          <w:pgSz w:w="11909" w:h="16838" w:orient="portrait"/>
          <w:pgMar w:bottom="1082" w:top="1140" w:right="5811" w:left="1978" w:header="720" w:footer="720"/>
          <w:titlePg w:val="false"/>
          <w:textDirection w:val="lrTb"/>
        </w:sectPr>
      </w:pPr>
    </w:p>
    <w:p>
      <w:pPr>
        <w:spacing w:before="6"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spacing w:before="235" w:after="226" w:line="226" w:lineRule="exact"/>
        <w:ind w:right="0" w:left="0" w:firstLine="0"/>
        <w:jc w:val="left"/>
        <w:textAlignment w:val="baseline"/>
        <w:rPr>
          <w:rFonts w:ascii="Times New Roman" w:hAnsi="Times New Roman" w:eastAsia="Times New Roman"/>
          <w:color w:val="000000"/>
          <w:spacing w:val="3"/>
          <w:w w:val="100"/>
          <w:sz w:val="20"/>
          <w:vertAlign w:val="baseline"/>
          <w:lang w:val="en-US"/>
        </w:rPr>
      </w:pPr>
      <w:r>
        <w:rPr>
          <w:rFonts w:ascii="Times New Roman" w:hAnsi="Times New Roman" w:eastAsia="Times New Roman"/>
          <w:color w:val="000000"/>
          <w:spacing w:val="3"/>
          <w:w w:val="100"/>
          <w:sz w:val="20"/>
          <w:vertAlign w:val="baseline"/>
          <w:lang w:val="en-US"/>
        </w:rPr>
        <w:t xml:space="preserve">Schedule 3 High risk work licences and classes of high risk work</w:t>
      </w:r>
    </w:p>
    <w:p>
      <w:pPr>
        <w:tabs>
          <w:tab w:val="left" w:leader="none" w:pos="1080"/>
          <w:tab w:val="left" w:leader="none" w:pos="3240"/>
        </w:tabs>
        <w:spacing w:before="323" w:after="0" w:line="228" w:lineRule="exact"/>
        <w:ind w:right="0" w:left="216"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7.9pt,103.9pt" to="498.05pt,103.9pt" style="position:absolute;mso-position-horizontal-relative:page;mso-position-vertical-relative:page;">
            <v:stroke dashstyle="solid"/>
          </v:line>
        </w:pict>
      </w:r>
      <w:r>
        <w:pict>
          <v:line strokeweight="0.5pt" strokecolor="#000000" from="104.9pt,115.9pt" to="501.95pt,115.9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Item	</w:t>
      </w:r>
      <w:r>
        <w:rPr>
          <w:rFonts w:ascii="Times New Roman" w:hAnsi="Times New Roman" w:eastAsia="Times New Roman"/>
          <w:b w:val="true"/>
          <w:color w:val="000000"/>
          <w:spacing w:val="0"/>
          <w:w w:val="100"/>
          <w:sz w:val="20"/>
          <w:vertAlign w:val="baseline"/>
          <w:lang w:val="en-US"/>
        </w:rPr>
        <w:t xml:space="preserve">High risk work	</w:t>
      </w:r>
      <w:r>
        <w:rPr>
          <w:rFonts w:ascii="Times New Roman" w:hAnsi="Times New Roman" w:eastAsia="Times New Roman"/>
          <w:b w:val="true"/>
          <w:color w:val="000000"/>
          <w:spacing w:val="0"/>
          <w:w w:val="100"/>
          <w:sz w:val="20"/>
          <w:vertAlign w:val="baseline"/>
          <w:lang w:val="en-US"/>
        </w:rPr>
        <w:t xml:space="preserve">Description of class of high risk work</w:t>
      </w:r>
    </w:p>
    <w:p>
      <w:pPr>
        <w:spacing w:before="6" w:after="37" w:line="228" w:lineRule="exact"/>
        <w:ind w:right="0" w:left="108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licence</w:t>
      </w:r>
    </w:p>
    <w:p>
      <w:pPr>
        <w:spacing w:before="75" w:after="0" w:line="230" w:lineRule="exact"/>
        <w:ind w:right="0" w:left="216" w:firstLine="0"/>
        <w:jc w:val="left"/>
        <w:textAlignment w:val="baseline"/>
        <w:rPr>
          <w:rFonts w:ascii="Times New Roman" w:hAnsi="Times New Roman" w:eastAsia="Times New Roman"/>
          <w:b w:val="true"/>
          <w:i w:val="true"/>
          <w:color w:val="000000"/>
          <w:spacing w:val="-3"/>
          <w:w w:val="100"/>
          <w:sz w:val="21"/>
          <w:vertAlign w:val="baseline"/>
          <w:lang w:val="en-US"/>
        </w:rPr>
      </w:pPr>
      <w:r>
        <w:pict>
          <v:line strokeweight="0.5pt" strokecolor="#000000" from="104.9pt,145.45pt" to="501.95pt,145.45pt" style="position:absolute;mso-position-horizontal-relative:page;mso-position-vertical-relative:page;">
            <v:stroke dashstyle="solid"/>
          </v:line>
        </w:pict>
      </w:r>
      <w:r>
        <w:rPr>
          <w:rFonts w:ascii="Times New Roman" w:hAnsi="Times New Roman" w:eastAsia="Times New Roman"/>
          <w:b w:val="true"/>
          <w:i w:val="true"/>
          <w:color w:val="000000"/>
          <w:spacing w:val="-3"/>
          <w:w w:val="100"/>
          <w:sz w:val="21"/>
          <w:vertAlign w:val="baseline"/>
          <w:lang w:val="en-US"/>
        </w:rPr>
        <w:t xml:space="preserve">Dogging and rigging work</w:t>
      </w:r>
    </w:p>
    <w:p>
      <w:pPr>
        <w:tabs>
          <w:tab w:val="left" w:leader="none" w:pos="1080"/>
          <w:tab w:val="left" w:leader="none" w:pos="3240"/>
        </w:tabs>
        <w:spacing w:before="122" w:after="0" w:line="226"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	</w:t>
      </w:r>
      <w:r>
        <w:rPr>
          <w:rFonts w:ascii="Times New Roman" w:hAnsi="Times New Roman" w:eastAsia="Times New Roman"/>
          <w:color w:val="000000"/>
          <w:spacing w:val="0"/>
          <w:w w:val="100"/>
          <w:sz w:val="20"/>
          <w:vertAlign w:val="baseline"/>
          <w:lang w:val="en-US"/>
        </w:rPr>
        <w:t xml:space="preserve">Dogging	</w:t>
      </w:r>
      <w:r>
        <w:rPr>
          <w:rFonts w:ascii="Times New Roman" w:hAnsi="Times New Roman" w:eastAsia="Times New Roman"/>
          <w:color w:val="000000"/>
          <w:spacing w:val="0"/>
          <w:w w:val="100"/>
          <w:sz w:val="20"/>
          <w:vertAlign w:val="baseline"/>
          <w:lang w:val="en-US"/>
        </w:rPr>
        <w:t xml:space="preserve">Dogging work</w:t>
      </w:r>
    </w:p>
    <w:p>
      <w:pPr>
        <w:tabs>
          <w:tab w:val="left" w:leader="none" w:pos="1080"/>
          <w:tab w:val="left" w:leader="none" w:pos="3312"/>
        </w:tabs>
        <w:spacing w:before="124" w:after="0" w:line="226"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	</w:t>
      </w:r>
      <w:r>
        <w:rPr>
          <w:rFonts w:ascii="Times New Roman" w:hAnsi="Times New Roman" w:eastAsia="Times New Roman"/>
          <w:color w:val="000000"/>
          <w:spacing w:val="0"/>
          <w:w w:val="100"/>
          <w:sz w:val="20"/>
          <w:vertAlign w:val="baseline"/>
          <w:lang w:val="en-US"/>
        </w:rPr>
        <w:t xml:space="preserve">Basic rigging	</w:t>
      </w:r>
      <w:r>
        <w:rPr>
          <w:rFonts w:ascii="Times New Roman" w:hAnsi="Times New Roman" w:eastAsia="Times New Roman"/>
          <w:color w:val="000000"/>
          <w:spacing w:val="0"/>
          <w:w w:val="100"/>
          <w:sz w:val="20"/>
          <w:vertAlign w:val="baseline"/>
          <w:lang w:val="en-US"/>
        </w:rPr>
        <w:t xml:space="preserve">(1) Dogging work</w:t>
      </w:r>
    </w:p>
    <w:p>
      <w:pPr>
        <w:spacing w:before="125" w:after="0" w:line="226" w:lineRule="exact"/>
        <w:ind w:right="0" w:left="331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Rigging work involving any of the following:</w:t>
      </w:r>
    </w:p>
    <w:p>
      <w:pPr>
        <w:numPr>
          <w:ilvl w:val="0"/>
          <w:numId w:val="1060"/>
        </w:numPr>
        <w:tabs>
          <w:tab w:val="clear" w:pos="360"/>
          <w:tab w:val="left" w:pos="4032"/>
        </w:tabs>
        <w:spacing w:before="62" w:after="0" w:line="226" w:lineRule="exact"/>
        <w:ind w:right="0" w:left="36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structural steel erection;</w:t>
      </w:r>
    </w:p>
    <w:p>
      <w:pPr>
        <w:numPr>
          <w:ilvl w:val="0"/>
          <w:numId w:val="1060"/>
        </w:numPr>
        <w:tabs>
          <w:tab w:val="clear" w:pos="360"/>
          <w:tab w:val="left" w:pos="4032"/>
        </w:tabs>
        <w:spacing w:before="124" w:after="0" w:line="226" w:lineRule="exact"/>
        <w:ind w:right="0" w:left="36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hoists;</w:t>
      </w:r>
    </w:p>
    <w:p>
      <w:pPr>
        <w:numPr>
          <w:ilvl w:val="0"/>
          <w:numId w:val="1060"/>
        </w:numPr>
        <w:tabs>
          <w:tab w:val="clear" w:pos="360"/>
          <w:tab w:val="left" w:pos="4032"/>
        </w:tabs>
        <w:spacing w:before="125" w:after="0" w:line="226" w:lineRule="exact"/>
        <w:ind w:right="0" w:left="36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pre-cast concrete members of a structure;</w:t>
      </w:r>
    </w:p>
    <w:p>
      <w:pPr>
        <w:numPr>
          <w:ilvl w:val="0"/>
          <w:numId w:val="1060"/>
        </w:numPr>
        <w:tabs>
          <w:tab w:val="clear" w:pos="360"/>
          <w:tab w:val="left" w:pos="4032"/>
        </w:tabs>
        <w:spacing w:before="124" w:after="0" w:line="226" w:lineRule="exact"/>
        <w:ind w:right="0" w:left="36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safety nets and static lines;</w:t>
      </w:r>
    </w:p>
    <w:p>
      <w:pPr>
        <w:numPr>
          <w:ilvl w:val="0"/>
          <w:numId w:val="1060"/>
        </w:numPr>
        <w:tabs>
          <w:tab w:val="clear" w:pos="360"/>
          <w:tab w:val="left" w:pos="4032"/>
        </w:tabs>
        <w:spacing w:before="124" w:after="0" w:line="226" w:lineRule="exact"/>
        <w:ind w:right="0" w:left="36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mast climbing work platforms;</w:t>
      </w:r>
    </w:p>
    <w:p>
      <w:pPr>
        <w:numPr>
          <w:ilvl w:val="0"/>
          <w:numId w:val="1060"/>
        </w:numPr>
        <w:tabs>
          <w:tab w:val="clear" w:pos="360"/>
          <w:tab w:val="left" w:pos="4032"/>
        </w:tabs>
        <w:spacing w:before="125" w:after="0" w:line="226" w:lineRule="exact"/>
        <w:ind w:right="0" w:left="36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perimeter safety screens and shutters;</w:t>
      </w:r>
    </w:p>
    <w:p>
      <w:pPr>
        <w:numPr>
          <w:ilvl w:val="0"/>
          <w:numId w:val="1060"/>
        </w:numPr>
        <w:tabs>
          <w:tab w:val="clear" w:pos="360"/>
          <w:tab w:val="left" w:pos="4032"/>
        </w:tabs>
        <w:spacing w:before="124" w:after="0" w:line="226" w:lineRule="exact"/>
        <w:ind w:right="0" w:left="36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cantilevered crane loading platforms,</w:t>
      </w:r>
    </w:p>
    <w:p>
      <w:pPr>
        <w:spacing w:before="54" w:after="0" w:line="230" w:lineRule="exact"/>
        <w:ind w:right="216" w:left="36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but excluding rigging work involving equipment, loads or tasks listed in item 6(b) to (f) and item 7(b) to (e)</w:t>
      </w:r>
    </w:p>
    <w:p>
      <w:pPr>
        <w:tabs>
          <w:tab w:val="left" w:leader="none" w:pos="1080"/>
          <w:tab w:val="left" w:leader="none" w:pos="3240"/>
        </w:tabs>
        <w:spacing w:before="129" w:after="0" w:line="226"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	</w:t>
      </w:r>
      <w:r>
        <w:rPr>
          <w:rFonts w:ascii="Times New Roman" w:hAnsi="Times New Roman" w:eastAsia="Times New Roman"/>
          <w:color w:val="000000"/>
          <w:spacing w:val="0"/>
          <w:w w:val="100"/>
          <w:sz w:val="20"/>
          <w:vertAlign w:val="baseline"/>
          <w:lang w:val="en-US"/>
        </w:rPr>
        <w:t xml:space="preserve">Intermediate rigging	</w:t>
      </w:r>
      <w:r>
        <w:rPr>
          <w:rFonts w:ascii="Times New Roman" w:hAnsi="Times New Roman" w:eastAsia="Times New Roman"/>
          <w:color w:val="000000"/>
          <w:spacing w:val="0"/>
          <w:w w:val="100"/>
          <w:sz w:val="20"/>
          <w:vertAlign w:val="baseline"/>
          <w:lang w:val="en-US"/>
        </w:rPr>
        <w:t xml:space="preserve">Rigging work involving any of the following:</w:t>
      </w:r>
    </w:p>
    <w:p>
      <w:pPr>
        <w:numPr>
          <w:ilvl w:val="0"/>
          <w:numId w:val="1061"/>
        </w:numPr>
        <w:tabs>
          <w:tab w:val="clear" w:pos="360"/>
          <w:tab w:val="left" w:pos="3672"/>
        </w:tabs>
        <w:spacing w:before="62" w:after="0" w:line="226" w:lineRule="exact"/>
        <w:ind w:right="0" w:left="216" w:firstLine="3096"/>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rigging work in the class Basic Rigging;</w:t>
      </w:r>
    </w:p>
    <w:p>
      <w:pPr>
        <w:numPr>
          <w:ilvl w:val="0"/>
          <w:numId w:val="1061"/>
        </w:numPr>
        <w:tabs>
          <w:tab w:val="clear" w:pos="360"/>
          <w:tab w:val="left" w:pos="3672"/>
        </w:tabs>
        <w:spacing w:before="62" w:after="0" w:line="226" w:lineRule="exact"/>
        <w:ind w:right="0" w:left="216" w:firstLine="3096"/>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hoists with jibs and self-climbing hoists;</w:t>
      </w:r>
    </w:p>
    <w:p>
      <w:pPr>
        <w:numPr>
          <w:ilvl w:val="0"/>
          <w:numId w:val="1061"/>
        </w:numPr>
        <w:tabs>
          <w:tab w:val="clear" w:pos="360"/>
          <w:tab w:val="left" w:pos="3672"/>
        </w:tabs>
        <w:spacing w:before="125" w:after="0" w:line="226" w:lineRule="exact"/>
        <w:ind w:right="0" w:left="216" w:firstLine="3096"/>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cranes, conveyors, dredges and excavators;</w:t>
      </w:r>
    </w:p>
    <w:p>
      <w:pPr>
        <w:numPr>
          <w:ilvl w:val="0"/>
          <w:numId w:val="1061"/>
        </w:numPr>
        <w:tabs>
          <w:tab w:val="clear" w:pos="360"/>
          <w:tab w:val="left" w:pos="3672"/>
        </w:tabs>
        <w:spacing w:before="124" w:after="0" w:line="226" w:lineRule="exact"/>
        <w:ind w:right="0" w:left="216" w:firstLine="3096"/>
        <w:jc w:val="left"/>
        <w:textAlignment w:val="baseline"/>
        <w:rPr>
          <w:rFonts w:ascii="Times New Roman" w:hAnsi="Times New Roman" w:eastAsia="Times New Roman"/>
          <w:color w:val="000000"/>
          <w:spacing w:val="-2"/>
          <w:w w:val="100"/>
          <w:sz w:val="20"/>
          <w:vertAlign w:val="baseline"/>
          <w:lang w:val="en-US"/>
        </w:rPr>
      </w:pPr>
      <w:r>
        <w:rPr>
          <w:rFonts w:ascii="Times New Roman" w:hAnsi="Times New Roman" w:eastAsia="Times New Roman"/>
          <w:color w:val="000000"/>
          <w:spacing w:val="-2"/>
          <w:w w:val="100"/>
          <w:sz w:val="20"/>
          <w:vertAlign w:val="baseline"/>
          <w:lang w:val="en-US"/>
        </w:rPr>
        <w:t xml:space="preserve">tilt slabs;</w:t>
      </w:r>
    </w:p>
    <w:p>
      <w:pPr>
        <w:numPr>
          <w:ilvl w:val="0"/>
          <w:numId w:val="1061"/>
        </w:numPr>
        <w:tabs>
          <w:tab w:val="clear" w:pos="360"/>
          <w:tab w:val="left" w:pos="3672"/>
        </w:tabs>
        <w:spacing w:before="125" w:after="0" w:line="226" w:lineRule="exact"/>
        <w:ind w:right="0" w:left="216" w:firstLine="3096"/>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demolition of structures or plant;</w:t>
      </w:r>
    </w:p>
    <w:p>
      <w:pPr>
        <w:numPr>
          <w:ilvl w:val="0"/>
          <w:numId w:val="1061"/>
        </w:numPr>
        <w:tabs>
          <w:tab w:val="clear" w:pos="360"/>
          <w:tab w:val="left" w:pos="3672"/>
        </w:tabs>
        <w:spacing w:before="124" w:after="0" w:line="226" w:lineRule="exact"/>
        <w:ind w:right="0" w:left="216" w:firstLine="3096"/>
        <w:jc w:val="left"/>
        <w:textAlignment w:val="baseline"/>
        <w:rPr>
          <w:rFonts w:ascii="Times New Roman" w:hAnsi="Times New Roman" w:eastAsia="Times New Roman"/>
          <w:color w:val="000000"/>
          <w:spacing w:val="-2"/>
          <w:w w:val="100"/>
          <w:sz w:val="20"/>
          <w:vertAlign w:val="baseline"/>
          <w:lang w:val="en-US"/>
        </w:rPr>
      </w:pPr>
      <w:r>
        <w:rPr>
          <w:rFonts w:ascii="Times New Roman" w:hAnsi="Times New Roman" w:eastAsia="Times New Roman"/>
          <w:color w:val="000000"/>
          <w:spacing w:val="-2"/>
          <w:w w:val="100"/>
          <w:sz w:val="20"/>
          <w:vertAlign w:val="baseline"/>
          <w:lang w:val="en-US"/>
        </w:rPr>
        <w:t xml:space="preserve">dual lifts,</w:t>
      </w:r>
    </w:p>
    <w:p>
      <w:pPr>
        <w:spacing w:before="58" w:after="0" w:line="230" w:lineRule="exact"/>
        <w:ind w:right="216" w:left="331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but excluding rigging work involving equipment listed in item 7(b) to (e)</w:t>
      </w:r>
    </w:p>
    <w:p>
      <w:pPr>
        <w:tabs>
          <w:tab w:val="left" w:leader="none" w:pos="1080"/>
          <w:tab w:val="left" w:leader="none" w:pos="3240"/>
        </w:tabs>
        <w:spacing w:before="125" w:after="0" w:line="226"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7	</w:t>
      </w:r>
      <w:r>
        <w:rPr>
          <w:rFonts w:ascii="Times New Roman" w:hAnsi="Times New Roman" w:eastAsia="Times New Roman"/>
          <w:color w:val="000000"/>
          <w:spacing w:val="0"/>
          <w:w w:val="100"/>
          <w:sz w:val="20"/>
          <w:vertAlign w:val="baseline"/>
          <w:lang w:val="en-US"/>
        </w:rPr>
        <w:t xml:space="preserve">Advanced rigging	</w:t>
      </w:r>
      <w:r>
        <w:rPr>
          <w:rFonts w:ascii="Times New Roman" w:hAnsi="Times New Roman" w:eastAsia="Times New Roman"/>
          <w:color w:val="000000"/>
          <w:spacing w:val="0"/>
          <w:w w:val="100"/>
          <w:sz w:val="20"/>
          <w:vertAlign w:val="baseline"/>
          <w:lang w:val="en-US"/>
        </w:rPr>
        <w:t xml:space="preserve">Rigging work involving any of the following:</w:t>
      </w:r>
    </w:p>
    <w:p>
      <w:pPr>
        <w:numPr>
          <w:ilvl w:val="0"/>
          <w:numId w:val="1062"/>
        </w:numPr>
        <w:tabs>
          <w:tab w:val="clear" w:pos="360"/>
          <w:tab w:val="left" w:pos="3672"/>
        </w:tabs>
        <w:spacing w:before="62" w:after="0" w:line="226" w:lineRule="exact"/>
        <w:ind w:right="0" w:left="216" w:firstLine="3096"/>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rigging work in the class Intermediate Rigging;</w:t>
      </w:r>
    </w:p>
    <w:p>
      <w:pPr>
        <w:numPr>
          <w:ilvl w:val="0"/>
          <w:numId w:val="1062"/>
        </w:numPr>
        <w:tabs>
          <w:tab w:val="clear" w:pos="360"/>
          <w:tab w:val="left" w:pos="3672"/>
        </w:tabs>
        <w:spacing w:before="67" w:after="0" w:line="226" w:lineRule="exact"/>
        <w:ind w:right="0" w:left="216" w:firstLine="3096"/>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gin poles and shear legs;</w:t>
      </w:r>
    </w:p>
    <w:p>
      <w:pPr>
        <w:numPr>
          <w:ilvl w:val="0"/>
          <w:numId w:val="1062"/>
        </w:numPr>
        <w:tabs>
          <w:tab w:val="clear" w:pos="360"/>
          <w:tab w:val="left" w:pos="3672"/>
        </w:tabs>
        <w:spacing w:before="124" w:after="0" w:line="226" w:lineRule="exact"/>
        <w:ind w:right="0" w:left="216" w:firstLine="3096"/>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flying foxes and cable ways;</w:t>
      </w:r>
    </w:p>
    <w:p>
      <w:pPr>
        <w:numPr>
          <w:ilvl w:val="0"/>
          <w:numId w:val="1062"/>
        </w:numPr>
        <w:tabs>
          <w:tab w:val="clear" w:pos="360"/>
          <w:tab w:val="left" w:pos="3672"/>
        </w:tabs>
        <w:spacing w:before="124" w:after="0" w:line="226" w:lineRule="exact"/>
        <w:ind w:right="0" w:left="216" w:firstLine="3096"/>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guyed derricks and structures;</w:t>
      </w:r>
    </w:p>
    <w:p>
      <w:pPr>
        <w:numPr>
          <w:ilvl w:val="0"/>
          <w:numId w:val="1062"/>
        </w:numPr>
        <w:tabs>
          <w:tab w:val="clear" w:pos="360"/>
          <w:tab w:val="left" w:pos="3672"/>
        </w:tabs>
        <w:spacing w:before="3" w:after="66" w:line="350" w:lineRule="exact"/>
        <w:ind w:right="432" w:left="216" w:firstLine="3096"/>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suspended scaffolds and fabricated hung scaffolds </w:t>
      </w:r>
      <w:r>
        <w:rPr>
          <w:rFonts w:ascii="Times New Roman" w:hAnsi="Times New Roman" w:eastAsia="Times New Roman"/>
          <w:b w:val="true"/>
          <w:i w:val="true"/>
          <w:color w:val="000000"/>
          <w:spacing w:val="0"/>
          <w:w w:val="100"/>
          <w:sz w:val="21"/>
          <w:vertAlign w:val="baseline"/>
          <w:lang w:val="en-US"/>
        </w:rPr>
        <w:t xml:space="preserve">Crane and hoist operation</w:t>
      </w:r>
    </w:p>
    <w:p>
      <w:pPr>
        <w:rPr>
          <w:sz w:val="2"/>
        </w:rPr>
      </w:pPr>
      <w:r>
        <w:pict>
          <v:line strokeweight="0.5pt" strokecolor="#000000" from="97.9pt,728.15pt" to="498.05pt,728.15pt" style="position:absolute;mso-position-horizontal-relative:page;mso-position-vertical-relative:page;">
            <v:stroke dashstyle="solid"/>
          </v:line>
        </w:pict>
      </w:r>
    </w:p>
    <w:tbl>
      <w:tblPr>
        <w:jc w:val="left"/>
        <w:tblLayout w:type="fixed"/>
        <w:tblCellMar>
          <w:left w:w="0" w:type="dxa"/>
          <w:right w:w="0" w:type="dxa"/>
        </w:tblCellMar>
      </w:tblPr>
      <w:tblGrid>
        <w:gridCol w:w="768"/>
        <w:gridCol w:w="2160"/>
        <w:gridCol w:w="5152"/>
      </w:tblGrid>
      <w:tr>
        <w:trPr>
          <w:trHeight w:val="331" w:hRule="exact"/>
        </w:trPr>
        <w:tc>
          <w:tcPr>
            <w:tcW w:w="768" w:type="dxa"/>
            <w:tcBorders>
              <w:top w:val="none"/>
              <w:left w:val="none"/>
              <w:bottom w:val="none"/>
              <w:right w:val="none"/>
            </w:tcBorders>
            <w:textDirection w:val="lrTb"/>
            <w:vAlign w:val="center"/>
          </w:tcPr>
          <w:p>
            <w:pPr>
              <w:spacing w:before="52" w:after="48" w:line="226"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8</w:t>
            </w:r>
          </w:p>
        </w:tc>
        <w:tc>
          <w:tcPr>
            <w:tcW w:w="2160" w:type="dxa"/>
            <w:tcBorders>
              <w:top w:val="none"/>
              <w:left w:val="none"/>
              <w:bottom w:val="none"/>
              <w:right w:val="none"/>
            </w:tcBorders>
            <w:textDirection w:val="lrTb"/>
            <w:vAlign w:val="center"/>
          </w:tcPr>
          <w:p>
            <w:pPr>
              <w:spacing w:before="52" w:after="48" w:line="226" w:lineRule="exact"/>
              <w:ind w:right="0" w:left="32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Tower crane</w:t>
            </w:r>
          </w:p>
        </w:tc>
        <w:tc>
          <w:tcPr>
            <w:tcW w:w="5152" w:type="dxa"/>
            <w:tcBorders>
              <w:top w:val="none"/>
              <w:left w:val="none"/>
              <w:bottom w:val="none"/>
              <w:right w:val="none"/>
            </w:tcBorders>
            <w:textDirection w:val="lrTb"/>
            <w:vAlign w:val="center"/>
          </w:tcPr>
          <w:p>
            <w:pPr>
              <w:spacing w:before="52" w:after="48" w:line="226" w:lineRule="exact"/>
              <w:ind w:right="0" w:left="293"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Use of a tower crane</w:t>
            </w:r>
          </w:p>
        </w:tc>
      </w:tr>
      <w:tr>
        <w:trPr>
          <w:trHeight w:val="576" w:hRule="exact"/>
        </w:trPr>
        <w:tc>
          <w:tcPr>
            <w:tcW w:w="768" w:type="dxa"/>
            <w:tcBorders>
              <w:top w:val="none"/>
              <w:left w:val="none"/>
              <w:bottom w:val="none"/>
              <w:right w:val="none"/>
            </w:tcBorders>
            <w:textDirection w:val="lrTb"/>
            <w:vAlign w:val="top"/>
          </w:tcPr>
          <w:p>
            <w:pPr>
              <w:spacing w:before="71" w:after="274" w:line="226"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9</w:t>
            </w:r>
          </w:p>
        </w:tc>
        <w:tc>
          <w:tcPr>
            <w:tcW w:w="2160" w:type="dxa"/>
            <w:tcBorders>
              <w:top w:val="none"/>
              <w:left w:val="none"/>
              <w:bottom w:val="none"/>
              <w:right w:val="none"/>
            </w:tcBorders>
            <w:textDirection w:val="lrTb"/>
            <w:vAlign w:val="top"/>
          </w:tcPr>
          <w:p>
            <w:pPr>
              <w:spacing w:before="61" w:after="48" w:line="231" w:lineRule="exact"/>
              <w:ind w:right="0" w:left="32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Self-erecting tower crane</w:t>
            </w:r>
          </w:p>
        </w:tc>
        <w:tc>
          <w:tcPr>
            <w:tcW w:w="5152" w:type="dxa"/>
            <w:tcBorders>
              <w:top w:val="none"/>
              <w:left w:val="none"/>
              <w:bottom w:val="none"/>
              <w:right w:val="none"/>
            </w:tcBorders>
            <w:textDirection w:val="lrTb"/>
            <w:vAlign w:val="top"/>
          </w:tcPr>
          <w:p>
            <w:pPr>
              <w:spacing w:before="71" w:after="274" w:line="226" w:lineRule="exact"/>
              <w:ind w:right="0" w:left="293"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Use of a self-erecting tower crane</w:t>
            </w:r>
          </w:p>
        </w:tc>
      </w:tr>
      <w:tr>
        <w:trPr>
          <w:trHeight w:val="351" w:hRule="exact"/>
        </w:trPr>
        <w:tc>
          <w:tcPr>
            <w:tcW w:w="768" w:type="dxa"/>
            <w:tcBorders>
              <w:top w:val="none"/>
              <w:left w:val="none"/>
              <w:bottom w:val="none"/>
              <w:right w:val="none"/>
            </w:tcBorders>
            <w:textDirection w:val="lrTb"/>
            <w:vAlign w:val="center"/>
          </w:tcPr>
          <w:p>
            <w:pPr>
              <w:spacing w:before="76" w:after="39" w:line="226"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w:t>
            </w:r>
          </w:p>
        </w:tc>
        <w:tc>
          <w:tcPr>
            <w:tcW w:w="2160" w:type="dxa"/>
            <w:tcBorders>
              <w:top w:val="none"/>
              <w:left w:val="none"/>
              <w:bottom w:val="none"/>
              <w:right w:val="none"/>
            </w:tcBorders>
            <w:textDirection w:val="lrTb"/>
            <w:vAlign w:val="center"/>
          </w:tcPr>
          <w:p>
            <w:pPr>
              <w:spacing w:before="76" w:after="39" w:line="226" w:lineRule="exact"/>
              <w:ind w:right="0" w:left="32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Derrick crane</w:t>
            </w:r>
          </w:p>
        </w:tc>
        <w:tc>
          <w:tcPr>
            <w:tcW w:w="5152" w:type="dxa"/>
            <w:tcBorders>
              <w:top w:val="none"/>
              <w:left w:val="none"/>
              <w:bottom w:val="none"/>
              <w:right w:val="none"/>
            </w:tcBorders>
            <w:textDirection w:val="lrTb"/>
            <w:vAlign w:val="center"/>
          </w:tcPr>
          <w:p>
            <w:pPr>
              <w:spacing w:before="76" w:after="39" w:line="226" w:lineRule="exact"/>
              <w:ind w:right="0" w:left="293"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Use of a derrick crane</w:t>
            </w:r>
          </w:p>
        </w:tc>
      </w:tr>
      <w:tr>
        <w:trPr>
          <w:trHeight w:val="354" w:hRule="exact"/>
        </w:trPr>
        <w:tc>
          <w:tcPr>
            <w:tcW w:w="768" w:type="dxa"/>
            <w:tcBorders>
              <w:top w:val="none"/>
              <w:left w:val="none"/>
              <w:bottom w:val="none"/>
              <w:right w:val="none"/>
            </w:tcBorders>
            <w:textDirection w:val="lrTb"/>
            <w:vAlign w:val="center"/>
          </w:tcPr>
          <w:p>
            <w:pPr>
              <w:spacing w:before="70" w:after="54" w:line="226"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11</w:t>
            </w:r>
          </w:p>
        </w:tc>
        <w:tc>
          <w:tcPr>
            <w:tcW w:w="2160" w:type="dxa"/>
            <w:tcBorders>
              <w:top w:val="none"/>
              <w:left w:val="none"/>
              <w:bottom w:val="none"/>
              <w:right w:val="none"/>
            </w:tcBorders>
            <w:textDirection w:val="lrTb"/>
            <w:vAlign w:val="center"/>
          </w:tcPr>
          <w:p>
            <w:pPr>
              <w:spacing w:before="70" w:after="54" w:line="226" w:lineRule="exact"/>
              <w:ind w:right="0" w:left="32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Portal boom crane</w:t>
            </w:r>
          </w:p>
        </w:tc>
        <w:tc>
          <w:tcPr>
            <w:tcW w:w="5152" w:type="dxa"/>
            <w:tcBorders>
              <w:top w:val="none"/>
              <w:left w:val="none"/>
              <w:bottom w:val="none"/>
              <w:right w:val="none"/>
            </w:tcBorders>
            <w:textDirection w:val="lrTb"/>
            <w:vAlign w:val="center"/>
          </w:tcPr>
          <w:p>
            <w:pPr>
              <w:spacing w:before="70" w:after="54" w:line="226" w:lineRule="exact"/>
              <w:ind w:right="0" w:left="293"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Use of a portal boom crane</w:t>
            </w:r>
          </w:p>
        </w:tc>
      </w:tr>
    </w:tbl>
    <w:p>
      <w:pPr>
        <w:spacing w:before="0" w:after="880" w:line="20" w:lineRule="exact"/>
      </w:pPr>
    </w:p>
    <w:p>
      <w:pPr>
        <w:spacing w:before="0" w:after="880" w:line="20" w:lineRule="exact"/>
        <w:sectPr>
          <w:type w:val="nextPage"/>
          <w:pgSz w:w="11909" w:h="16838" w:orient="portrait"/>
          <w:pgMar w:bottom="1082" w:top="1140" w:right="1871" w:left="1958"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436</w:t>
      </w:r>
    </w:p>
    <w:p>
      <w:pPr>
        <w:sectPr>
          <w:type w:val="continuous"/>
          <w:pgSz w:w="11909" w:h="16838" w:orient="portrait"/>
          <w:pgMar w:bottom="1082" w:top="1140" w:right="5812" w:left="1977" w:header="720" w:footer="720"/>
          <w:titlePg w:val="false"/>
          <w:textDirection w:val="lrTb"/>
        </w:sectPr>
      </w:pPr>
    </w:p>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pict>
          <v:shapetype id="_x0000_t26" coordsize="21600,21600" o:spt="202" path="m,l,21600r21600,l21600,xe">
            <v:stroke joinstyle="miter"/>
            <v:path gradientshapeok="t" o:connecttype="rect"/>
          </v:shapetype>
          <v:shape id="_x0000_s25" type="#_x0000_t26" filled="f" stroked="f" style="position:absolute;width:405.95pt;height:46.6pt;z-index:-1;margin-left:95.95pt;margin-top:57pt;mso-wrap-distance-left:0pt;mso-wrap-distance-right:0pt;mso-position-horizontal-relative:page;mso-position-vertical-relative:page">
            <w10:wrap type="square" side="both"/>
            <v:fill opacity="1" o:opacity2="1" recolor="f" rotate="f" type="solid"/>
            <v:textbox inset="0pt, 0pt, 0pt, 0pt">
              <w:txbxContent>
                <w:p>
                  <w:pPr>
                    <w:spacing w:before="6" w:after="0" w:line="228"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spacing w:before="233" w:after="224" w:line="228" w:lineRule="exact"/>
                    <w:ind w:right="0" w:left="72" w:firstLine="0"/>
                    <w:jc w:val="left"/>
                    <w:textAlignment w:val="baseline"/>
                    <w:rPr>
                      <w:rFonts w:ascii="Times New Roman" w:hAnsi="Times New Roman" w:eastAsia="Times New Roman"/>
                      <w:color w:val="000000"/>
                      <w:spacing w:val="3"/>
                      <w:w w:val="100"/>
                      <w:sz w:val="20"/>
                      <w:vertAlign w:val="baseline"/>
                      <w:lang w:val="en-US"/>
                    </w:rPr>
                  </w:pPr>
                  <w:r>
                    <w:rPr>
                      <w:rFonts w:ascii="Times New Roman" w:hAnsi="Times New Roman" w:eastAsia="Times New Roman"/>
                      <w:color w:val="000000"/>
                      <w:spacing w:val="3"/>
                      <w:w w:val="100"/>
                      <w:sz w:val="20"/>
                      <w:vertAlign w:val="baseline"/>
                      <w:lang w:val="en-US"/>
                    </w:rPr>
                    <w:t xml:space="preserve">Schedule 3 High risk work licences and classes of high risk work</w:t>
                  </w:r>
                </w:p>
              </w:txbxContent>
            </v:textbox>
          </v:shape>
        </w:pict>
      </w:r>
      <w:r>
        <w:pict>
          <v:shapetype id="_x0000_t27" coordsize="21600,21600" o:spt="202" path="m,l,21600r21600,l21600,xe">
            <v:stroke joinstyle="miter"/>
            <v:path gradientshapeok="t" o:connecttype="rect"/>
          </v:shapetype>
          <v:shape id="_x0000_s26" type="#_x0000_t27" filled="f" stroked="f" style="position:absolute;width:405.95pt;height:41.55pt;z-index:-1;margin-left:95.95pt;margin-top:103.6pt;mso-wrap-distance-left:0pt;mso-wrap-distance-right:0pt;mso-position-horizontal-relative:page;mso-position-vertical-relative:page">
            <w10:wrap type="square" side="both"/>
            <v:fill opacity="1" o:opacity2="1" recolor="f" rotate="f" type="solid"/>
            <v:textbox inset="0pt, 0pt, 0pt, 0pt">
              <w:txbxContent>
                <w:p>
                  <w:pPr>
                    <w:tabs>
                      <w:tab w:val="left" w:leader="none" w:pos="1152"/>
                      <w:tab w:val="left" w:leader="none" w:pos="3240"/>
                    </w:tabs>
                    <w:spacing w:before="323" w:after="0" w:line="228" w:lineRule="exact"/>
                    <w:ind w:right="0" w:left="28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Item	</w:t>
                  </w:r>
                  <w:r>
                    <w:rPr>
                      <w:rFonts w:ascii="Times New Roman" w:hAnsi="Times New Roman" w:eastAsia="Times New Roman"/>
                      <w:b w:val="true"/>
                      <w:color w:val="000000"/>
                      <w:spacing w:val="0"/>
                      <w:w w:val="100"/>
                      <w:sz w:val="20"/>
                      <w:vertAlign w:val="baseline"/>
                      <w:lang w:val="en-US"/>
                    </w:rPr>
                    <w:t xml:space="preserve">High risk work	</w:t>
                  </w:r>
                  <w:r>
                    <w:rPr>
                      <w:rFonts w:ascii="Times New Roman" w:hAnsi="Times New Roman" w:eastAsia="Times New Roman"/>
                      <w:b w:val="true"/>
                      <w:color w:val="000000"/>
                      <w:spacing w:val="0"/>
                      <w:w w:val="100"/>
                      <w:sz w:val="20"/>
                      <w:vertAlign w:val="baseline"/>
                      <w:lang w:val="en-US"/>
                    </w:rPr>
                    <w:t xml:space="preserve">Description of class of high risk work</w:t>
                  </w:r>
                </w:p>
                <w:p>
                  <w:pPr>
                    <w:spacing w:before="6" w:after="37" w:line="228" w:lineRule="exact"/>
                    <w:ind w:right="0" w:left="1152" w:firstLine="0"/>
                    <w:jc w:val="left"/>
                    <w:textAlignment w:val="baseline"/>
                    <w:rPr>
                      <w:rFonts w:ascii="Times New Roman" w:hAnsi="Times New Roman" w:eastAsia="Times New Roman"/>
                      <w:b w:val="true"/>
                      <w:color w:val="000000"/>
                      <w:spacing w:val="-2"/>
                      <w:w w:val="100"/>
                      <w:sz w:val="20"/>
                      <w:vertAlign w:val="baseline"/>
                      <w:lang w:val="en-US"/>
                    </w:rPr>
                  </w:pPr>
                  <w:r>
                    <w:rPr>
                      <w:rFonts w:ascii="Times New Roman" w:hAnsi="Times New Roman" w:eastAsia="Times New Roman"/>
                      <w:b w:val="true"/>
                      <w:color w:val="000000"/>
                      <w:spacing w:val="-2"/>
                      <w:w w:val="100"/>
                      <w:sz w:val="20"/>
                      <w:vertAlign w:val="baseline"/>
                      <w:lang w:val="en-US"/>
                    </w:rPr>
                    <w:t xml:space="preserve">licence</w:t>
                  </w:r>
                </w:p>
              </w:txbxContent>
            </v:textbox>
          </v:shape>
        </w:pict>
      </w:r>
      <w:r>
        <w:pict>
          <v:shapetype id="_x0000_t28" coordsize="21600,21600" o:spt="202" path="m,l,21600r21600,l21600,xe">
            <v:stroke joinstyle="miter"/>
            <v:path gradientshapeok="t" o:connecttype="rect"/>
          </v:shapetype>
          <v:shape id="_x0000_s27" type="#_x0000_t28" filled="f" stroked="f" style="position:absolute;width:405.95pt;height:142.35pt;z-index:-1;margin-left:95.95pt;margin-top:145.15pt;mso-wrap-distance-left:0pt;mso-wrap-distance-right:0pt;mso-position-horizontal-relative:page;mso-position-vertical-relative:page">
            <w10:wrap type="square" side="both"/>
            <v:fill opacity="1" o:opacity2="1" recolor="f" rotate="f" type="solid"/>
            <v:textbox inset="0pt, 0pt, 0pt, 0pt">
              <w:txbxContent>
                <w:p>
                  <w:pPr>
                    <w:tabs>
                      <w:tab w:val="left" w:leader="none" w:pos="1152"/>
                      <w:tab w:val="left" w:leader="none" w:pos="3240"/>
                    </w:tabs>
                    <w:spacing w:before="73" w:after="0" w:line="228" w:lineRule="exact"/>
                    <w:ind w:right="0" w:left="28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12	</w:t>
                  </w:r>
                  <w:r>
                    <w:rPr>
                      <w:rFonts w:ascii="Times New Roman" w:hAnsi="Times New Roman" w:eastAsia="Times New Roman"/>
                      <w:color w:val="000000"/>
                      <w:spacing w:val="0"/>
                      <w:w w:val="100"/>
                      <w:sz w:val="20"/>
                      <w:vertAlign w:val="baseline"/>
                      <w:lang w:val="en-US"/>
                    </w:rPr>
                    <w:t xml:space="preserve">Bridge and gantry	</w:t>
                  </w:r>
                  <w:r>
                    <w:rPr>
                      <w:rFonts w:ascii="Times New Roman" w:hAnsi="Times New Roman" w:eastAsia="Times New Roman"/>
                      <w:color w:val="000000"/>
                      <w:spacing w:val="0"/>
                      <w:w w:val="100"/>
                      <w:sz w:val="20"/>
                      <w:vertAlign w:val="baseline"/>
                      <w:lang w:val="en-US"/>
                    </w:rPr>
                    <w:t xml:space="preserve">Use of a bridge crane or gantry crane that is:</w:t>
                  </w:r>
                </w:p>
                <w:p>
                  <w:pPr>
                    <w:tabs>
                      <w:tab w:val="left" w:leader="none" w:pos="3384"/>
                    </w:tabs>
                    <w:spacing w:before="44" w:after="0" w:line="239" w:lineRule="exact"/>
                    <w:ind w:right="216" w:left="3672" w:hanging="252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crane	</w:t>
                  </w:r>
                  <w:r>
                    <w:rPr>
                      <w:rFonts w:ascii="Times New Roman" w:hAnsi="Times New Roman" w:eastAsia="Times New Roman"/>
                      <w:color w:val="000000"/>
                      <w:spacing w:val="0"/>
                      <w:w w:val="100"/>
                      <w:sz w:val="20"/>
                      <w:vertAlign w:val="baseline"/>
                      <w:lang w:val="en-US"/>
                    </w:rPr>
                    <w:t xml:space="preserve">(a) controlled from a permanent cabin or control station on the crane; or</w:t>
                  </w:r>
                </w:p>
                <w:p>
                  <w:pPr>
                    <w:spacing w:before="111" w:after="0" w:line="235" w:lineRule="exact"/>
                    <w:ind w:right="144" w:left="3672" w:hanging="432"/>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(b) remotely controlled and having more than 3 powered operations,</w:t>
                  </w:r>
                </w:p>
                <w:p>
                  <w:pPr>
                    <w:spacing w:before="58" w:after="0" w:line="230" w:lineRule="exact"/>
                    <w:ind w:right="288" w:left="324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including the application of load estimation and slinging techniques to move a load</w:t>
                  </w:r>
                </w:p>
                <w:p>
                  <w:pPr>
                    <w:tabs>
                      <w:tab w:val="left" w:leader="none" w:pos="1152"/>
                      <w:tab w:val="left" w:leader="none" w:pos="3240"/>
                    </w:tabs>
                    <w:spacing w:before="119" w:after="0" w:line="228" w:lineRule="exact"/>
                    <w:ind w:right="0" w:left="28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13	</w:t>
                  </w:r>
                  <w:r>
                    <w:rPr>
                      <w:rFonts w:ascii="Times New Roman" w:hAnsi="Times New Roman" w:eastAsia="Times New Roman"/>
                      <w:color w:val="000000"/>
                      <w:spacing w:val="0"/>
                      <w:w w:val="100"/>
                      <w:sz w:val="20"/>
                      <w:vertAlign w:val="baseline"/>
                      <w:lang w:val="en-US"/>
                    </w:rPr>
                    <w:t xml:space="preserve">Vehicle loading crane	</w:t>
                  </w:r>
                  <w:r>
                    <w:rPr>
                      <w:rFonts w:ascii="Times New Roman" w:hAnsi="Times New Roman" w:eastAsia="Times New Roman"/>
                      <w:color w:val="000000"/>
                      <w:spacing w:val="0"/>
                      <w:w w:val="100"/>
                      <w:sz w:val="20"/>
                      <w:vertAlign w:val="baseline"/>
                      <w:lang w:val="en-US"/>
                    </w:rPr>
                    <w:t xml:space="preserve">Use of a vehicle loading crane with a capacity of 10 metre</w:t>
                  </w:r>
                </w:p>
                <w:p>
                  <w:pPr>
                    <w:spacing w:before="4" w:after="109" w:line="230" w:lineRule="exact"/>
                    <w:ind w:right="864" w:left="3240"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tonnes or more, including the application of load estimation and slinging techniques to move a load</w:t>
                  </w:r>
                </w:p>
              </w:txbxContent>
            </v:textbox>
          </v:shape>
        </w:pict>
      </w:r>
      <w:r>
        <w:pict>
          <v:shapetype id="_x0000_t29" coordsize="21600,21600" o:spt="202" path="m,l,21600r21600,l21600,xe">
            <v:stroke joinstyle="miter"/>
            <v:path gradientshapeok="t" o:connecttype="rect"/>
          </v:shapetype>
          <v:shape id="_x0000_s28" type="#_x0000_t29" filled="f" stroked="f" style="position:absolute;width:237pt;height:440.35pt;z-index:-1;margin-left:258.95pt;margin-top:287.5pt;mso-wrap-distance-left:0pt;mso-wrap-distance-right:0pt;mso-position-horizontal-relative:page;mso-position-vertical-relative:page">
            <w10:wrap type="square" side="both"/>
            <v:fill opacity="1" o:opacity2="1" recolor="f" rotate="f" type="solid"/>
            <v:textbox inset="0pt, 0pt, 0pt, 0pt">
              <w:txbxContent>
                <w:p>
                  <w:pPr>
                    <w:spacing w:before="0" w:after="0" w:line="233" w:lineRule="exact"/>
                    <w:ind w:right="72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Use of a non-slewing mobile crane with a capacity exceeding 3 tonnes</w:t>
                  </w:r>
                </w:p>
                <w:p>
                  <w:pPr>
                    <w:spacing w:before="116"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Use of a slewing mobile crane with a capacity of 20 tonnes or less</w:t>
                  </w:r>
                </w:p>
                <w:p>
                  <w:pPr>
                    <w:spacing w:before="64" w:after="0" w:line="230" w:lineRule="exact"/>
                    <w:ind w:right="72"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Use of a vehicle loading crane with a capacity of 10 metre tonnes or more, excluding the application of load estimation and slinging techniques to move a load</w:t>
                  </w:r>
                </w:p>
                <w:p>
                  <w:pPr>
                    <w:spacing w:before="58" w:after="0" w:line="230" w:lineRule="exact"/>
                    <w:ind w:right="72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Use of a non-slewing mobile crane with a capacity exceeding 3 tonnes</w:t>
                  </w:r>
                </w:p>
                <w:p>
                  <w:pPr>
                    <w:spacing w:before="60"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Use of a reach stacker</w:t>
                  </w:r>
                </w:p>
                <w:p>
                  <w:pPr>
                    <w:spacing w:before="121"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Use of a slewing mobile crane with a capacity of 60 tonnes or less</w:t>
                  </w:r>
                </w:p>
                <w:p>
                  <w:pPr>
                    <w:spacing w:before="59" w:after="0" w:line="230" w:lineRule="exact"/>
                    <w:ind w:right="72"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Use of a vehicle loading crane with a capacity of 10 metre tonnes or more, excluding the application of load estimation and slinging techniques to move a load</w:t>
                  </w:r>
                </w:p>
                <w:p>
                  <w:pPr>
                    <w:spacing w:before="63" w:after="0" w:line="230" w:lineRule="exact"/>
                    <w:ind w:right="72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Use of a non-slewing mobile crane with a capacity exceeding 3 tonnes</w:t>
                  </w:r>
                </w:p>
                <w:p>
                  <w:pPr>
                    <w:spacing w:before="60"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Use of a reach stacker</w:t>
                  </w:r>
                </w:p>
                <w:p>
                  <w:pPr>
                    <w:spacing w:before="119" w:after="0" w:line="231" w:lineRule="exact"/>
                    <w:ind w:right="504"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Use of a slewing mobile crane with a capacity of 100 tonnes or less</w:t>
                  </w:r>
                </w:p>
                <w:p>
                  <w:pPr>
                    <w:spacing w:before="59" w:after="0" w:line="230" w:lineRule="exact"/>
                    <w:ind w:right="72"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Use of a vehicle loading crane with a capacity of 10 metre tonnes or more, excluding the application of load estimation and slinging techniques to move a load</w:t>
                  </w:r>
                </w:p>
                <w:p>
                  <w:pPr>
                    <w:spacing w:before="58" w:after="0" w:line="230" w:lineRule="exact"/>
                    <w:ind w:right="72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Use of a non-slewing mobile crane with a capacity exceeding 3 tonnes</w:t>
                  </w:r>
                </w:p>
                <w:p>
                  <w:pPr>
                    <w:spacing w:before="65" w:after="1909"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Use of a reach stacker</w:t>
                  </w:r>
                </w:p>
              </w:txbxContent>
            </v:textbox>
          </v:shape>
        </w:pict>
      </w:r>
      <w:r>
        <w:pict>
          <v:shapetype id="_x0000_t30" coordsize="21600,21600" o:spt="202" path="m,l,21600r21600,l21600,xe">
            <v:stroke joinstyle="miter"/>
            <v:path gradientshapeok="t" o:connecttype="rect"/>
          </v:shapetype>
          <v:shape id="_x0000_s29" type="#_x0000_t30" filled="f" stroked="f" style="position:absolute;width:134.2pt;height:63.7pt;z-index:-1;margin-left:111.1pt;margin-top:287.5pt;mso-wrap-distance-left:0pt;mso-wrap-distance-right:0pt;mso-position-horizontal-relative:page;mso-position-vertical-relative:page">
            <w10:wrap type="square" side="both"/>
            <v:fill opacity="1" o:opacity2="1" recolor="f" rotate="f" type="solid"/>
            <v:textbox inset="0pt, 0pt, 0pt, 0pt">
              <w:txbxContent>
                <w:p>
                  <w:pPr>
                    <w:tabs>
                      <w:tab w:val="left" w:leader="none" w:pos="792"/>
                    </w:tabs>
                    <w:spacing w:before="0" w:after="0" w:line="233" w:lineRule="exact"/>
                    <w:ind w:right="0" w:left="792" w:hanging="792"/>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14	</w:t>
                  </w:r>
                  <w:r>
                    <w:rPr>
                      <w:rFonts w:ascii="Times New Roman" w:hAnsi="Times New Roman" w:eastAsia="Times New Roman"/>
                      <w:color w:val="000000"/>
                      <w:spacing w:val="0"/>
                      <w:w w:val="100"/>
                      <w:sz w:val="20"/>
                      <w:vertAlign w:val="baseline"/>
                      <w:lang w:val="en-US"/>
                    </w:rPr>
                    <w:t xml:space="preserve">Non-slewing mobile crane</w:t>
                  </w:r>
                </w:p>
                <w:p>
                  <w:pPr>
                    <w:tabs>
                      <w:tab w:val="left" w:leader="none" w:pos="792"/>
                    </w:tabs>
                    <w:spacing w:before="117" w:after="0" w:line="226" w:lineRule="exact"/>
                    <w:ind w:right="0" w:left="792" w:hanging="792"/>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15	</w:t>
                  </w:r>
                  <w:r>
                    <w:rPr>
                      <w:rFonts w:ascii="Times New Roman" w:hAnsi="Times New Roman" w:eastAsia="Times New Roman"/>
                      <w:color w:val="000000"/>
                      <w:spacing w:val="0"/>
                      <w:w w:val="100"/>
                      <w:sz w:val="20"/>
                      <w:vertAlign w:val="baseline"/>
                      <w:lang w:val="en-US"/>
                    </w:rPr>
                    <w:t xml:space="preserve">Slewing mobile crane—with a capacity up to 20 tonnes</w:t>
                  </w:r>
                </w:p>
              </w:txbxContent>
            </v:textbox>
          </v:shape>
        </w:pict>
      </w:r>
      <w:r>
        <w:pict>
          <v:shapetype id="_x0000_t31" coordsize="21600,21600" o:spt="202" path="m,l,21600r21600,l21600,xe">
            <v:stroke joinstyle="miter"/>
            <v:path gradientshapeok="t" o:connecttype="rect"/>
          </v:shapetype>
          <v:shape id="_x0000_s30" type="#_x0000_t31" filled="f" stroked="f" style="position:absolute;width:134.2pt;height:34.6pt;z-index:-1;margin-left:111.1pt;margin-top:423.6pt;mso-wrap-distance-left:0pt;mso-wrap-distance-right:0pt;mso-position-horizontal-relative:page;mso-position-vertical-relative:page">
            <w10:wrap type="square" side="both"/>
            <v:fill opacity="1" o:opacity2="1" recolor="f" rotate="f" type="solid"/>
            <v:textbox inset="0pt, 0pt, 0pt, 0pt">
              <w:txbxContent>
                <w:p>
                  <w:pPr>
                    <w:tabs>
                      <w:tab w:val="left" w:leader="none" w:pos="864"/>
                    </w:tabs>
                    <w:spacing w:before="2" w:after="0" w:line="228" w:lineRule="exact"/>
                    <w:ind w:right="0" w:left="792" w:hanging="792"/>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16	</w:t>
                  </w:r>
                  <w:r>
                    <w:rPr>
                      <w:rFonts w:ascii="Times New Roman" w:hAnsi="Times New Roman" w:eastAsia="Times New Roman"/>
                      <w:color w:val="000000"/>
                      <w:spacing w:val="0"/>
                      <w:w w:val="100"/>
                      <w:sz w:val="20"/>
                      <w:vertAlign w:val="baseline"/>
                      <w:lang w:val="en-US"/>
                    </w:rPr>
                    <w:t xml:space="preserve">Slewing mobile crane—with a capacity up to 60 tonnes</w:t>
                  </w:r>
                </w:p>
              </w:txbxContent>
            </v:textbox>
          </v:shape>
        </w:pict>
      </w:r>
      <w:r>
        <w:pict>
          <v:shapetype id="_x0000_t32" coordsize="21600,21600" o:spt="202" path="m,l,21600r21600,l21600,xe">
            <v:stroke joinstyle="miter"/>
            <v:path gradientshapeok="t" o:connecttype="rect"/>
          </v:shapetype>
          <v:shape id="_x0000_s31" type="#_x0000_t32" filled="f" stroked="f" style="position:absolute;width:134.2pt;height:34.65pt;z-index:-1;margin-left:111.1pt;margin-top:530.6pt;mso-wrap-distance-left:0pt;mso-wrap-distance-right:0pt;mso-position-horizontal-relative:page;mso-position-vertical-relative:page">
            <w10:wrap type="square" side="both"/>
            <v:fill opacity="1" o:opacity2="1" recolor="f" rotate="f" type="solid"/>
            <v:textbox inset="0pt, 0pt, 0pt, 0pt">
              <w:txbxContent>
                <w:p>
                  <w:pPr>
                    <w:tabs>
                      <w:tab w:val="left" w:leader="none" w:pos="864"/>
                    </w:tabs>
                    <w:spacing w:before="3" w:after="0" w:line="229" w:lineRule="exact"/>
                    <w:ind w:right="0" w:left="792" w:hanging="792"/>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17	</w:t>
                  </w:r>
                  <w:r>
                    <w:rPr>
                      <w:rFonts w:ascii="Times New Roman" w:hAnsi="Times New Roman" w:eastAsia="Times New Roman"/>
                      <w:color w:val="000000"/>
                      <w:spacing w:val="0"/>
                      <w:w w:val="100"/>
                      <w:sz w:val="20"/>
                      <w:vertAlign w:val="baseline"/>
                      <w:lang w:val="en-US"/>
                    </w:rPr>
                    <w:t xml:space="preserve">Slewing mobile crane—with a capacity up to 100 tonnes</w:t>
                  </w:r>
                </w:p>
              </w:txbxContent>
            </v:textbox>
          </v:shape>
        </w:pict>
      </w:r>
      <w:r>
        <w:pict>
          <v:shapetype id="_x0000_t33" coordsize="21600,21600" o:spt="202" path="m,l,21600r21600,l21600,xe">
            <v:stroke joinstyle="miter"/>
            <v:path gradientshapeok="t" o:connecttype="rect"/>
          </v:shapetype>
          <v:shape id="_x0000_s32" type="#_x0000_t33" filled="f" stroked="f" style="position:absolute;width:206pt;height:10pt;z-index:-1;margin-left:98.85pt;margin-top:758pt;mso-wrap-distance-left:0pt;mso-wrap-distance-right:0pt;mso-position-horizontal-relative:page;mso-position-vertical-relative:page">
            <w10:wrap type="square" side="both"/>
            <v:fill opacity="1" o:opacity2="1" recolor="f" rotate="f" type="solid"/>
            <v:textbox inset="0pt, 0pt, 0pt, 0pt">
              <w:txbxContent>
                <w:p>
                  <w:pPr>
                    <w:tabs>
                      <w:tab w:val="right" w:leader="none" w:pos="4176"/>
                    </w:tabs>
                    <w:spacing w:before="6" w:after="5"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437</w:t>
                  </w:r>
                </w:p>
              </w:txbxContent>
            </v:textbox>
          </v:shape>
        </w:pict>
      </w:r>
      <w:r>
        <w:pict>
          <v:line strokeweight="0.5pt" strokecolor="#000000" from="95.95pt,103.9pt" to="498.05pt,103.9pt" style="position:absolute;mso-position-horizontal-relative:page;mso-position-vertical-relative:page;">
            <v:stroke dashstyle="solid"/>
          </v:line>
        </w:pict>
      </w:r>
      <w:r>
        <w:pict>
          <v:line strokeweight="0.5pt" strokecolor="#000000" from="104.9pt,115.9pt" to="501.95pt,115.9pt" style="position:absolute;mso-position-horizontal-relative:page;mso-position-vertical-relative:page;">
            <v:stroke dashstyle="solid"/>
          </v:line>
        </w:pict>
      </w:r>
      <w:r>
        <w:pict>
          <v:line strokeweight="0.5pt" strokecolor="#000000" from="104.9pt,145.45pt" to="501.95pt,145.45pt" style="position:absolute;mso-position-horizontal-relative:page;mso-position-vertical-relative:page;">
            <v:stroke dashstyle="solid"/>
          </v:line>
        </w:pict>
      </w:r>
      <w:r>
        <w:pict>
          <v:line strokeweight="0.5pt" strokecolor="#000000" from="95.95pt,728.15pt" to="500pt,728.15pt" style="position:absolute;mso-position-horizontal-relative:page;mso-position-vertical-relative:page;">
            <v:stroke dashstyle="solid"/>
          </v:line>
        </w:pict>
      </w:r>
    </w:p>
    <w:p>
      <w:pPr>
        <w:sectPr>
          <w:type w:val="nextPage"/>
          <w:pgSz w:w="11909" w:h="16838" w:orient="portrait"/>
          <w:pgMar w:bottom="1096" w:top="852" w:right="1871" w:left="1919"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spacing w:before="234" w:after="225" w:line="227" w:lineRule="exact"/>
        <w:ind w:right="0" w:left="0" w:firstLine="0"/>
        <w:jc w:val="left"/>
        <w:textAlignment w:val="baseline"/>
        <w:rPr>
          <w:rFonts w:ascii="Times New Roman" w:hAnsi="Times New Roman" w:eastAsia="Times New Roman"/>
          <w:color w:val="000000"/>
          <w:spacing w:val="3"/>
          <w:w w:val="100"/>
          <w:sz w:val="20"/>
          <w:vertAlign w:val="baseline"/>
          <w:lang w:val="en-US"/>
        </w:rPr>
      </w:pPr>
      <w:r>
        <w:rPr>
          <w:rFonts w:ascii="Times New Roman" w:hAnsi="Times New Roman" w:eastAsia="Times New Roman"/>
          <w:color w:val="000000"/>
          <w:spacing w:val="3"/>
          <w:w w:val="100"/>
          <w:sz w:val="20"/>
          <w:vertAlign w:val="baseline"/>
          <w:lang w:val="en-US"/>
        </w:rPr>
        <w:t xml:space="preserve">Schedule 3 High risk work licences and classes of high risk work</w:t>
      </w:r>
    </w:p>
    <w:p>
      <w:pPr>
        <w:tabs>
          <w:tab w:val="left" w:leader="none" w:pos="1080"/>
          <w:tab w:val="left" w:leader="none" w:pos="3240"/>
        </w:tabs>
        <w:spacing w:before="323" w:after="0" w:line="228" w:lineRule="exact"/>
        <w:ind w:right="0" w:left="216"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7.9pt,103.9pt" to="498.05pt,103.9pt" style="position:absolute;mso-position-horizontal-relative:page;mso-position-vertical-relative:page;">
            <v:stroke dashstyle="solid"/>
          </v:line>
        </w:pict>
      </w:r>
      <w:r>
        <w:pict>
          <v:line strokeweight="0.5pt" strokecolor="#000000" from="104.9pt,115.9pt" to="501.95pt,115.9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Item	</w:t>
      </w:r>
      <w:r>
        <w:rPr>
          <w:rFonts w:ascii="Times New Roman" w:hAnsi="Times New Roman" w:eastAsia="Times New Roman"/>
          <w:b w:val="true"/>
          <w:color w:val="000000"/>
          <w:spacing w:val="0"/>
          <w:w w:val="100"/>
          <w:sz w:val="20"/>
          <w:vertAlign w:val="baseline"/>
          <w:lang w:val="en-US"/>
        </w:rPr>
        <w:t xml:space="preserve">High risk work	</w:t>
      </w:r>
      <w:r>
        <w:rPr>
          <w:rFonts w:ascii="Times New Roman" w:hAnsi="Times New Roman" w:eastAsia="Times New Roman"/>
          <w:b w:val="true"/>
          <w:color w:val="000000"/>
          <w:spacing w:val="0"/>
          <w:w w:val="100"/>
          <w:sz w:val="20"/>
          <w:vertAlign w:val="baseline"/>
          <w:lang w:val="en-US"/>
        </w:rPr>
        <w:t xml:space="preserve">Description of class of high risk work</w:t>
      </w:r>
    </w:p>
    <w:p>
      <w:pPr>
        <w:spacing w:before="6" w:after="37" w:line="228" w:lineRule="exact"/>
        <w:ind w:right="0" w:left="108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licence</w:t>
      </w:r>
    </w:p>
    <w:p>
      <w:pPr>
        <w:spacing w:before="52" w:after="0" w:line="20" w:lineRule="exact"/>
      </w:pPr>
      <w:r>
        <w:pict>
          <v:line strokeweight="0.5pt" strokecolor="#000000" from="104.9pt,145.45pt" to="501.95pt,145.45pt" style="position:absolute;mso-position-horizontal-relative:page;mso-position-vertical-relative:page;">
            <v:stroke dashstyle="solid"/>
          </v:line>
        </w:pict>
      </w:r>
    </w:p>
    <w:tbl>
      <w:tblPr>
        <w:jc w:val="left"/>
        <w:tblLayout w:type="fixed"/>
        <w:tblCellMar>
          <w:left w:w="0" w:type="dxa"/>
          <w:right w:w="0" w:type="dxa"/>
        </w:tblCellMar>
      </w:tblPr>
      <w:tblGrid>
        <w:gridCol w:w="3084"/>
        <w:gridCol w:w="4996"/>
      </w:tblGrid>
      <w:tr>
        <w:trPr>
          <w:trHeight w:val="1997" w:hRule="exact"/>
        </w:trPr>
        <w:tc>
          <w:tcPr>
            <w:tcW w:w="3084" w:type="dxa"/>
            <w:tcBorders>
              <w:top w:val="none"/>
              <w:left w:val="none"/>
              <w:bottom w:val="none"/>
              <w:right w:val="none"/>
            </w:tcBorders>
            <w:textDirection w:val="lrTb"/>
            <w:vAlign w:val="top"/>
          </w:tcPr>
          <w:p>
            <w:pPr>
              <w:tabs>
                <w:tab w:val="left" w:leader="none" w:pos="1080"/>
              </w:tabs>
              <w:spacing w:before="0" w:after="1305" w:line="229" w:lineRule="exact"/>
              <w:ind w:right="0" w:left="1080" w:hanging="792"/>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18	</w:t>
            </w:r>
            <w:r>
              <w:rPr>
                <w:rFonts w:ascii="Times New Roman" w:hAnsi="Times New Roman" w:eastAsia="Times New Roman"/>
                <w:color w:val="000000"/>
                <w:spacing w:val="0"/>
                <w:w w:val="100"/>
                <w:sz w:val="20"/>
                <w:vertAlign w:val="baseline"/>
                <w:lang w:val="en-US"/>
              </w:rPr>
              <w:t xml:space="preserve">Slewing mobile crane—with a capacity over 100 tonnes</w:t>
            </w:r>
          </w:p>
        </w:tc>
        <w:tc>
          <w:tcPr>
            <w:tcW w:w="4996" w:type="dxa"/>
            <w:tcBorders>
              <w:top w:val="none"/>
              <w:left w:val="none"/>
              <w:bottom w:val="none"/>
              <w:right w:val="none"/>
            </w:tcBorders>
            <w:textDirection w:val="lrTb"/>
            <w:vAlign w:val="top"/>
          </w:tcPr>
          <w:p>
            <w:pPr>
              <w:spacing w:before="0" w:after="0" w:line="228" w:lineRule="exact"/>
              <w:ind w:right="324"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Use of a slewing mobile crane with a capacity exceeding 100 tonnes</w:t>
            </w:r>
          </w:p>
          <w:p>
            <w:pPr>
              <w:spacing w:before="64" w:after="0" w:line="230" w:lineRule="exact"/>
              <w:ind w:right="216"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Use of a vehicle loading crane with a capacity of 10 metre tonnes or more, excluding the application of load estimation and slinging techniques to move a load</w:t>
            </w:r>
          </w:p>
          <w:p>
            <w:pPr>
              <w:spacing w:before="58" w:after="0" w:line="230" w:lineRule="exact"/>
              <w:ind w:right="828" w:left="144"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Use of a non-slewing mobile crane with a capacity exceeding 3 tonnes</w:t>
            </w:r>
          </w:p>
          <w:p>
            <w:pPr>
              <w:spacing w:before="61" w:after="0" w:line="203"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Use of a reach stacker</w:t>
            </w:r>
          </w:p>
        </w:tc>
      </w:tr>
    </w:tbl>
    <w:p>
      <w:pPr>
        <w:spacing w:before="0" w:after="124" w:line="20" w:lineRule="exact"/>
      </w:pPr>
    </w:p>
    <w:p>
      <w:pPr>
        <w:tabs>
          <w:tab w:val="left" w:leader="none" w:pos="1080"/>
          <w:tab w:val="left" w:leader="none" w:pos="3240"/>
        </w:tabs>
        <w:spacing w:before="4" w:after="0" w:line="227"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19	</w:t>
      </w:r>
      <w:r>
        <w:rPr>
          <w:rFonts w:ascii="Times New Roman" w:hAnsi="Times New Roman" w:eastAsia="Times New Roman"/>
          <w:color w:val="000000"/>
          <w:spacing w:val="0"/>
          <w:w w:val="100"/>
          <w:sz w:val="20"/>
          <w:vertAlign w:val="baseline"/>
          <w:lang w:val="en-US"/>
        </w:rPr>
        <w:t xml:space="preserve">Materials hoist	</w:t>
      </w:r>
      <w:r>
        <w:rPr>
          <w:rFonts w:ascii="Times New Roman" w:hAnsi="Times New Roman" w:eastAsia="Times New Roman"/>
          <w:color w:val="000000"/>
          <w:spacing w:val="0"/>
          <w:w w:val="100"/>
          <w:sz w:val="20"/>
          <w:vertAlign w:val="baseline"/>
          <w:lang w:val="en-US"/>
        </w:rPr>
        <w:t xml:space="preserve">Use of a materials hoist</w:t>
      </w:r>
    </w:p>
    <w:p>
      <w:pPr>
        <w:tabs>
          <w:tab w:val="left" w:leader="none" w:pos="1080"/>
          <w:tab w:val="left" w:leader="none" w:pos="3240"/>
        </w:tabs>
        <w:spacing w:before="119" w:after="0" w:line="227"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	</w:t>
      </w:r>
      <w:r>
        <w:rPr>
          <w:rFonts w:ascii="Times New Roman" w:hAnsi="Times New Roman" w:eastAsia="Times New Roman"/>
          <w:color w:val="000000"/>
          <w:spacing w:val="0"/>
          <w:w w:val="100"/>
          <w:sz w:val="20"/>
          <w:vertAlign w:val="baseline"/>
          <w:lang w:val="en-US"/>
        </w:rPr>
        <w:t xml:space="preserve">Personnel and	</w:t>
      </w:r>
      <w:r>
        <w:rPr>
          <w:rFonts w:ascii="Times New Roman" w:hAnsi="Times New Roman" w:eastAsia="Times New Roman"/>
          <w:color w:val="000000"/>
          <w:spacing w:val="0"/>
          <w:w w:val="100"/>
          <w:sz w:val="20"/>
          <w:vertAlign w:val="baseline"/>
          <w:lang w:val="en-US"/>
        </w:rPr>
        <w:t xml:space="preserve">Use of a personnel and materials hoist</w:t>
      </w:r>
    </w:p>
    <w:p>
      <w:pPr>
        <w:tabs>
          <w:tab w:val="left" w:leader="none" w:pos="3240"/>
        </w:tabs>
        <w:spacing w:before="33" w:after="0" w:line="230" w:lineRule="exact"/>
        <w:ind w:right="0" w:left="108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materials hoist	</w:t>
      </w:r>
      <w:r>
        <w:rPr>
          <w:rFonts w:ascii="Times New Roman" w:hAnsi="Times New Roman" w:eastAsia="Times New Roman"/>
          <w:color w:val="000000"/>
          <w:spacing w:val="0"/>
          <w:w w:val="100"/>
          <w:sz w:val="20"/>
          <w:vertAlign w:val="baseline"/>
          <w:lang w:val="en-US"/>
        </w:rPr>
        <w:t xml:space="preserve">Use of a materials hoist</w:t>
      </w:r>
    </w:p>
    <w:p>
      <w:pPr>
        <w:tabs>
          <w:tab w:val="left" w:leader="none" w:pos="1080"/>
          <w:tab w:val="left" w:leader="none" w:pos="3240"/>
        </w:tabs>
        <w:spacing w:before="146" w:after="0" w:line="227"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21	</w:t>
      </w:r>
      <w:r>
        <w:rPr>
          <w:rFonts w:ascii="Times New Roman" w:hAnsi="Times New Roman" w:eastAsia="Times New Roman"/>
          <w:color w:val="000000"/>
          <w:spacing w:val="0"/>
          <w:w w:val="100"/>
          <w:sz w:val="20"/>
          <w:vertAlign w:val="baseline"/>
          <w:lang w:val="en-US"/>
        </w:rPr>
        <w:t xml:space="preserve">Boom-type elevating	</w:t>
      </w:r>
      <w:r>
        <w:rPr>
          <w:rFonts w:ascii="Times New Roman" w:hAnsi="Times New Roman" w:eastAsia="Times New Roman"/>
          <w:color w:val="000000"/>
          <w:spacing w:val="0"/>
          <w:w w:val="100"/>
          <w:sz w:val="20"/>
          <w:vertAlign w:val="baseline"/>
          <w:lang w:val="en-US"/>
        </w:rPr>
        <w:t xml:space="preserve">Use of a boom-type elevating work platform where the</w:t>
      </w:r>
    </w:p>
    <w:p>
      <w:pPr>
        <w:tabs>
          <w:tab w:val="left" w:leader="none" w:pos="3240"/>
        </w:tabs>
        <w:spacing w:before="3" w:after="0" w:line="227" w:lineRule="exact"/>
        <w:ind w:right="0" w:left="108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work platform	</w:t>
      </w:r>
      <w:r>
        <w:rPr>
          <w:rFonts w:ascii="Times New Roman" w:hAnsi="Times New Roman" w:eastAsia="Times New Roman"/>
          <w:color w:val="000000"/>
          <w:spacing w:val="0"/>
          <w:w w:val="100"/>
          <w:sz w:val="20"/>
          <w:vertAlign w:val="baseline"/>
          <w:lang w:val="en-US"/>
        </w:rPr>
        <w:t xml:space="preserve">length of the boom is 11 metres or more</w:t>
      </w:r>
    </w:p>
    <w:p>
      <w:pPr>
        <w:tabs>
          <w:tab w:val="left" w:leader="none" w:pos="1080"/>
        </w:tabs>
        <w:spacing w:before="8" w:after="0" w:line="35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22	</w:t>
      </w:r>
      <w:r>
        <w:rPr>
          <w:rFonts w:ascii="Times New Roman" w:hAnsi="Times New Roman" w:eastAsia="Times New Roman"/>
          <w:color w:val="000000"/>
          <w:spacing w:val="0"/>
          <w:w w:val="100"/>
          <w:sz w:val="20"/>
          <w:vertAlign w:val="baseline"/>
          <w:lang w:val="en-US"/>
        </w:rPr>
        <w:t xml:space="preserve">Concrete placing boom Use of a concrete placing boom</w:t>
        <w:br/>
      </w:r>
      <w:r>
        <w:rPr>
          <w:rFonts w:ascii="Times New Roman" w:hAnsi="Times New Roman" w:eastAsia="Times New Roman"/>
          <w:b w:val="true"/>
          <w:i w:val="true"/>
          <w:color w:val="000000"/>
          <w:spacing w:val="0"/>
          <w:w w:val="100"/>
          <w:sz w:val="21"/>
          <w:vertAlign w:val="baseline"/>
          <w:lang w:val="en-US"/>
        </w:rPr>
        <w:t xml:space="preserve">Reach stackers</w:t>
      </w:r>
    </w:p>
    <w:p>
      <w:pPr>
        <w:tabs>
          <w:tab w:val="left" w:leader="none" w:pos="1080"/>
          <w:tab w:val="left" w:leader="none" w:pos="3240"/>
        </w:tabs>
        <w:spacing w:before="120" w:after="0" w:line="227"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23	</w:t>
      </w:r>
      <w:r>
        <w:rPr>
          <w:rFonts w:ascii="Times New Roman" w:hAnsi="Times New Roman" w:eastAsia="Times New Roman"/>
          <w:color w:val="000000"/>
          <w:spacing w:val="0"/>
          <w:w w:val="100"/>
          <w:sz w:val="20"/>
          <w:vertAlign w:val="baseline"/>
          <w:lang w:val="en-US"/>
        </w:rPr>
        <w:t xml:space="preserve">Reach stacker	</w:t>
      </w:r>
      <w:r>
        <w:rPr>
          <w:rFonts w:ascii="Times New Roman" w:hAnsi="Times New Roman" w:eastAsia="Times New Roman"/>
          <w:color w:val="000000"/>
          <w:spacing w:val="0"/>
          <w:w w:val="100"/>
          <w:sz w:val="20"/>
          <w:vertAlign w:val="baseline"/>
          <w:lang w:val="en-US"/>
        </w:rPr>
        <w:t xml:space="preserve">Operation of a reach stacker of greater than 3 tonnes</w:t>
      </w:r>
    </w:p>
    <w:p>
      <w:pPr>
        <w:spacing w:before="0" w:after="0" w:line="230" w:lineRule="exact"/>
        <w:ind w:right="216" w:left="31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capacity that incorporates an attachment for lifting, moving and travelling with a shipping container, but does not include a portainer crane</w:t>
      </w:r>
    </w:p>
    <w:p>
      <w:pPr>
        <w:spacing w:before="122" w:after="0" w:line="229" w:lineRule="exact"/>
        <w:ind w:right="0" w:left="216" w:firstLine="0"/>
        <w:jc w:val="left"/>
        <w:textAlignment w:val="baseline"/>
        <w:rPr>
          <w:rFonts w:ascii="Times New Roman" w:hAnsi="Times New Roman" w:eastAsia="Times New Roman"/>
          <w:b w:val="true"/>
          <w:i w:val="true"/>
          <w:color w:val="000000"/>
          <w:spacing w:val="-3"/>
          <w:w w:val="100"/>
          <w:sz w:val="21"/>
          <w:vertAlign w:val="baseline"/>
          <w:lang w:val="en-US"/>
        </w:rPr>
      </w:pPr>
      <w:r>
        <w:rPr>
          <w:rFonts w:ascii="Times New Roman" w:hAnsi="Times New Roman" w:eastAsia="Times New Roman"/>
          <w:b w:val="true"/>
          <w:i w:val="true"/>
          <w:color w:val="000000"/>
          <w:spacing w:val="-3"/>
          <w:w w:val="100"/>
          <w:sz w:val="21"/>
          <w:vertAlign w:val="baseline"/>
          <w:lang w:val="en-US"/>
        </w:rPr>
        <w:t xml:space="preserve">Forklift operation</w:t>
      </w:r>
    </w:p>
    <w:p>
      <w:pPr>
        <w:tabs>
          <w:tab w:val="left" w:leader="none" w:pos="1080"/>
          <w:tab w:val="left" w:leader="none" w:pos="3240"/>
        </w:tabs>
        <w:spacing w:before="119" w:after="0" w:line="227"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24	</w:t>
      </w:r>
      <w:r>
        <w:rPr>
          <w:rFonts w:ascii="Times New Roman" w:hAnsi="Times New Roman" w:eastAsia="Times New Roman"/>
          <w:color w:val="000000"/>
          <w:spacing w:val="0"/>
          <w:w w:val="100"/>
          <w:sz w:val="20"/>
          <w:vertAlign w:val="baseline"/>
          <w:lang w:val="en-US"/>
        </w:rPr>
        <w:t xml:space="preserve">Forklift truck	</w:t>
      </w:r>
      <w:r>
        <w:rPr>
          <w:rFonts w:ascii="Times New Roman" w:hAnsi="Times New Roman" w:eastAsia="Times New Roman"/>
          <w:color w:val="000000"/>
          <w:spacing w:val="0"/>
          <w:w w:val="100"/>
          <w:sz w:val="20"/>
          <w:vertAlign w:val="baseline"/>
          <w:lang w:val="en-US"/>
        </w:rPr>
        <w:t xml:space="preserve">Use of a forklift truck other than an order-picking forklift</w:t>
      </w:r>
    </w:p>
    <w:p>
      <w:pPr>
        <w:spacing w:before="7" w:after="110" w:line="227" w:lineRule="exact"/>
        <w:ind w:right="0" w:left="31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truck</w:t>
      </w:r>
    </w:p>
    <w:tbl>
      <w:tblPr>
        <w:jc w:val="left"/>
        <w:tblLayout w:type="fixed"/>
        <w:tblCellMar>
          <w:left w:w="0" w:type="dxa"/>
          <w:right w:w="0" w:type="dxa"/>
        </w:tblCellMar>
      </w:tblPr>
      <w:tblGrid>
        <w:gridCol w:w="3036"/>
        <w:gridCol w:w="5044"/>
      </w:tblGrid>
      <w:tr>
        <w:trPr>
          <w:trHeight w:val="3155" w:hRule="exact"/>
        </w:trPr>
        <w:tc>
          <w:tcPr>
            <w:tcW w:w="3036" w:type="dxa"/>
            <w:tcBorders>
              <w:top w:val="none"/>
              <w:left w:val="none"/>
              <w:bottom w:val="none"/>
              <w:right w:val="none"/>
            </w:tcBorders>
            <w:textDirection w:val="lrTb"/>
            <w:vAlign w:val="top"/>
          </w:tcPr>
          <w:p>
            <w:pPr>
              <w:tabs>
                <w:tab w:val="left" w:leader="none" w:pos="1080"/>
              </w:tabs>
              <w:spacing w:before="0" w:after="0" w:line="230" w:lineRule="exact"/>
              <w:ind w:right="0" w:left="1080" w:hanging="86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25	</w:t>
            </w:r>
            <w:r>
              <w:rPr>
                <w:rFonts w:ascii="Times New Roman" w:hAnsi="Times New Roman" w:eastAsia="Times New Roman"/>
                <w:color w:val="000000"/>
                <w:spacing w:val="0"/>
                <w:w w:val="100"/>
                <w:sz w:val="20"/>
                <w:vertAlign w:val="baseline"/>
                <w:lang w:val="en-US"/>
              </w:rPr>
              <w:t xml:space="preserve">Order-picking forklift truck</w:t>
            </w:r>
          </w:p>
          <w:p>
            <w:pPr>
              <w:spacing w:before="127" w:after="0" w:line="229" w:lineRule="exact"/>
              <w:ind w:right="0" w:left="216" w:firstLine="0"/>
              <w:jc w:val="left"/>
              <w:textAlignment w:val="baseline"/>
              <w:rPr>
                <w:rFonts w:ascii="Times New Roman" w:hAnsi="Times New Roman" w:eastAsia="Times New Roman"/>
                <w:b w:val="true"/>
                <w:i w:val="true"/>
                <w:color w:val="000000"/>
                <w:spacing w:val="0"/>
                <w:w w:val="100"/>
                <w:sz w:val="21"/>
                <w:vertAlign w:val="baseline"/>
                <w:lang w:val="en-US"/>
              </w:rPr>
            </w:pPr>
            <w:r>
              <w:rPr>
                <w:rFonts w:ascii="Times New Roman" w:hAnsi="Times New Roman" w:eastAsia="Times New Roman"/>
                <w:b w:val="true"/>
                <w:i w:val="true"/>
                <w:color w:val="000000"/>
                <w:spacing w:val="0"/>
                <w:w w:val="100"/>
                <w:sz w:val="21"/>
                <w:vertAlign w:val="baseline"/>
                <w:lang w:val="en-US"/>
              </w:rPr>
              <w:t xml:space="preserve">Pressure equipment operation</w:t>
            </w:r>
          </w:p>
          <w:p>
            <w:pPr>
              <w:tabs>
                <w:tab w:val="left" w:leader="none" w:pos="1080"/>
              </w:tabs>
              <w:spacing w:before="118" w:after="0" w:line="227"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26	</w:t>
            </w:r>
            <w:r>
              <w:rPr>
                <w:rFonts w:ascii="Times New Roman" w:hAnsi="Times New Roman" w:eastAsia="Times New Roman"/>
                <w:color w:val="000000"/>
                <w:spacing w:val="0"/>
                <w:w w:val="100"/>
                <w:sz w:val="20"/>
                <w:vertAlign w:val="baseline"/>
                <w:lang w:val="en-US"/>
              </w:rPr>
              <w:t xml:space="preserve">Standard boiler</w:t>
            </w:r>
          </w:p>
          <w:p>
            <w:pPr>
              <w:spacing w:before="4" w:after="0" w:line="227" w:lineRule="exact"/>
              <w:ind w:right="1179"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operation</w:t>
            </w:r>
          </w:p>
          <w:p>
            <w:pPr>
              <w:tabs>
                <w:tab w:val="left" w:leader="none" w:pos="1080"/>
              </w:tabs>
              <w:spacing w:before="123" w:after="0" w:line="227"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27	</w:t>
            </w:r>
            <w:r>
              <w:rPr>
                <w:rFonts w:ascii="Times New Roman" w:hAnsi="Times New Roman" w:eastAsia="Times New Roman"/>
                <w:color w:val="000000"/>
                <w:spacing w:val="0"/>
                <w:w w:val="100"/>
                <w:sz w:val="20"/>
                <w:vertAlign w:val="baseline"/>
                <w:lang w:val="en-US"/>
              </w:rPr>
              <w:t xml:space="preserve">Advanced boiler</w:t>
            </w:r>
          </w:p>
          <w:p>
            <w:pPr>
              <w:spacing w:before="3" w:after="1176" w:line="227" w:lineRule="exact"/>
              <w:ind w:right="1179"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operation</w:t>
            </w:r>
          </w:p>
        </w:tc>
        <w:tc>
          <w:tcPr>
            <w:tcW w:w="5044" w:type="dxa"/>
            <w:tcBorders>
              <w:top w:val="none"/>
              <w:left w:val="none"/>
              <w:bottom w:val="none"/>
              <w:right w:val="none"/>
            </w:tcBorders>
            <w:textDirection w:val="lrTb"/>
            <w:vAlign w:val="top"/>
          </w:tcPr>
          <w:p>
            <w:pPr>
              <w:spacing w:before="0" w:after="0" w:line="227" w:lineRule="exact"/>
              <w:ind w:right="0" w:left="28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Use of an order-picking forklift truck</w:t>
            </w:r>
          </w:p>
          <w:p>
            <w:pPr>
              <w:spacing w:before="695" w:after="0" w:line="231"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Operation of a boiler with a single fuel source that does</w:t>
              <w:br/>
            </w:r>
            <w:r>
              <w:rPr>
                <w:rFonts w:ascii="Times New Roman" w:hAnsi="Times New Roman" w:eastAsia="Times New Roman"/>
                <w:color w:val="000000"/>
                <w:spacing w:val="0"/>
                <w:w w:val="100"/>
                <w:sz w:val="20"/>
                <w:vertAlign w:val="baseline"/>
                <w:lang w:val="en-US"/>
              </w:rPr>
              <w:t xml:space="preserve">not have a pre-heater, superheater or economiser attached</w:t>
            </w:r>
          </w:p>
          <w:p>
            <w:pPr>
              <w:spacing w:before="120" w:after="0" w:line="230" w:lineRule="exact"/>
              <w:ind w:right="360" w:left="28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Operation of a boiler, including a standard boiler, which may have one or more of the following:</w:t>
            </w:r>
          </w:p>
          <w:p>
            <w:pPr>
              <w:numPr>
                <w:ilvl w:val="0"/>
                <w:numId w:val="1063"/>
              </w:numPr>
              <w:tabs>
                <w:tab w:val="clear" w:pos="288"/>
                <w:tab w:val="left" w:pos="576"/>
              </w:tabs>
              <w:spacing w:before="61" w:after="0" w:line="227" w:lineRule="exact"/>
              <w:ind w:right="0" w:left="28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multiple fuel sources;</w:t>
            </w:r>
          </w:p>
          <w:p>
            <w:pPr>
              <w:numPr>
                <w:ilvl w:val="0"/>
                <w:numId w:val="1063"/>
              </w:numPr>
              <w:tabs>
                <w:tab w:val="clear" w:pos="288"/>
                <w:tab w:val="left" w:pos="576"/>
              </w:tabs>
              <w:spacing w:before="66" w:after="0" w:line="227" w:lineRule="exact"/>
              <w:ind w:right="0" w:left="28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pre-heater;</w:t>
            </w:r>
          </w:p>
          <w:p>
            <w:pPr>
              <w:numPr>
                <w:ilvl w:val="0"/>
                <w:numId w:val="1063"/>
              </w:numPr>
              <w:tabs>
                <w:tab w:val="clear" w:pos="288"/>
                <w:tab w:val="left" w:pos="576"/>
              </w:tabs>
              <w:spacing w:before="61" w:after="0" w:line="227" w:lineRule="exact"/>
              <w:ind w:right="0" w:left="28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superheater;</w:t>
            </w:r>
          </w:p>
          <w:p>
            <w:pPr>
              <w:numPr>
                <w:ilvl w:val="0"/>
                <w:numId w:val="1063"/>
              </w:numPr>
              <w:tabs>
                <w:tab w:val="clear" w:pos="288"/>
                <w:tab w:val="left" w:pos="576"/>
              </w:tabs>
              <w:spacing w:before="66" w:after="14" w:line="227" w:lineRule="exact"/>
              <w:ind w:right="0" w:left="28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economiser</w:t>
            </w:r>
          </w:p>
        </w:tc>
      </w:tr>
    </w:tbl>
    <w:p>
      <w:pPr>
        <w:spacing w:before="0" w:after="2032" w:line="20" w:lineRule="exact"/>
      </w:pPr>
    </w:p>
    <w:p>
      <w:pPr>
        <w:tabs>
          <w:tab w:val="left" w:leader="none" w:pos="3888"/>
        </w:tabs>
        <w:spacing w:before="609"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pict>
          <v:line strokeweight="0.5pt" strokecolor="#000000" from="97.9pt,728.15pt" to="498.05pt,728.15pt" style="position:absolute;mso-position-horizontal-relative:page;mso-position-vertical-relative:page;">
            <v:stroke dashstyle="solid"/>
          </v:line>
        </w:pict>
      </w: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438</w:t>
      </w:r>
    </w:p>
    <w:p>
      <w:pPr>
        <w:sectPr>
          <w:type w:val="nextPage"/>
          <w:pgSz w:w="11909" w:h="16838" w:orient="portrait"/>
          <w:pgMar w:bottom="1082" w:top="1140" w:right="1871" w:left="1958" w:header="720" w:footer="720"/>
          <w:titlePg w:val="false"/>
          <w:textDirection w:val="lrTb"/>
        </w:sectPr>
      </w:pPr>
    </w:p>
    <w:p>
      <w:pPr>
        <w:spacing w:before="6" w:after="0" w:line="226"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spacing w:before="235" w:after="226" w:line="226" w:lineRule="exact"/>
        <w:ind w:right="0" w:left="72" w:firstLine="0"/>
        <w:jc w:val="left"/>
        <w:textAlignment w:val="baseline"/>
        <w:rPr>
          <w:rFonts w:ascii="Times New Roman" w:hAnsi="Times New Roman" w:eastAsia="Times New Roman"/>
          <w:color w:val="000000"/>
          <w:spacing w:val="3"/>
          <w:w w:val="100"/>
          <w:sz w:val="20"/>
          <w:vertAlign w:val="baseline"/>
          <w:lang w:val="en-US"/>
        </w:rPr>
      </w:pPr>
      <w:r>
        <w:rPr>
          <w:rFonts w:ascii="Times New Roman" w:hAnsi="Times New Roman" w:eastAsia="Times New Roman"/>
          <w:color w:val="000000"/>
          <w:spacing w:val="3"/>
          <w:w w:val="100"/>
          <w:sz w:val="20"/>
          <w:vertAlign w:val="baseline"/>
          <w:lang w:val="en-US"/>
        </w:rPr>
        <w:t xml:space="preserve">Schedule 3 High risk work licences and classes of high risk work</w:t>
      </w:r>
    </w:p>
    <w:p>
      <w:pPr>
        <w:tabs>
          <w:tab w:val="left" w:leader="none" w:pos="1152"/>
          <w:tab w:val="left" w:leader="none" w:pos="3240"/>
        </w:tabs>
        <w:spacing w:before="323" w:after="0" w:line="228" w:lineRule="exact"/>
        <w:ind w:right="0" w:left="288"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5.95pt,103.9pt" to="498.05pt,103.9pt" style="position:absolute;mso-position-horizontal-relative:page;mso-position-vertical-relative:page;">
            <v:stroke dashstyle="solid"/>
          </v:line>
        </w:pict>
      </w:r>
      <w:r>
        <w:pict>
          <v:line strokeweight="0.5pt" strokecolor="#000000" from="104.9pt,115.9pt" to="501.95pt,115.9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Item	</w:t>
      </w:r>
      <w:r>
        <w:rPr>
          <w:rFonts w:ascii="Times New Roman" w:hAnsi="Times New Roman" w:eastAsia="Times New Roman"/>
          <w:b w:val="true"/>
          <w:color w:val="000000"/>
          <w:spacing w:val="0"/>
          <w:w w:val="100"/>
          <w:sz w:val="20"/>
          <w:vertAlign w:val="baseline"/>
          <w:lang w:val="en-US"/>
        </w:rPr>
        <w:t xml:space="preserve">High risk work	</w:t>
      </w:r>
      <w:r>
        <w:rPr>
          <w:rFonts w:ascii="Times New Roman" w:hAnsi="Times New Roman" w:eastAsia="Times New Roman"/>
          <w:b w:val="true"/>
          <w:color w:val="000000"/>
          <w:spacing w:val="0"/>
          <w:w w:val="100"/>
          <w:sz w:val="20"/>
          <w:vertAlign w:val="baseline"/>
          <w:lang w:val="en-US"/>
        </w:rPr>
        <w:t xml:space="preserve">Description of class of high risk work</w:t>
      </w:r>
    </w:p>
    <w:p>
      <w:pPr>
        <w:spacing w:before="6" w:after="37" w:line="228" w:lineRule="exact"/>
        <w:ind w:right="0" w:left="1152" w:firstLine="0"/>
        <w:jc w:val="left"/>
        <w:textAlignment w:val="baseline"/>
        <w:rPr>
          <w:rFonts w:ascii="Times New Roman" w:hAnsi="Times New Roman" w:eastAsia="Times New Roman"/>
          <w:b w:val="true"/>
          <w:color w:val="000000"/>
          <w:spacing w:val="-2"/>
          <w:w w:val="100"/>
          <w:sz w:val="20"/>
          <w:vertAlign w:val="baseline"/>
          <w:lang w:val="en-US"/>
        </w:rPr>
      </w:pPr>
      <w:r>
        <w:rPr>
          <w:rFonts w:ascii="Times New Roman" w:hAnsi="Times New Roman" w:eastAsia="Times New Roman"/>
          <w:b w:val="true"/>
          <w:color w:val="000000"/>
          <w:spacing w:val="-2"/>
          <w:w w:val="100"/>
          <w:sz w:val="20"/>
          <w:vertAlign w:val="baseline"/>
          <w:lang w:val="en-US"/>
        </w:rPr>
        <w:t xml:space="preserve">licence</w:t>
      </w:r>
    </w:p>
    <w:p>
      <w:pPr>
        <w:spacing w:before="52" w:after="0" w:line="20" w:lineRule="exact"/>
      </w:pPr>
      <w:r>
        <w:pict>
          <v:line strokeweight="0.5pt" strokecolor="#000000" from="104.9pt,145.45pt" to="501.95pt,145.45pt" style="position:absolute;mso-position-horizontal-relative:page;mso-position-vertical-relative:page;">
            <v:stroke dashstyle="solid"/>
          </v:line>
        </w:pict>
      </w:r>
      <w:r>
        <w:pict>
          <v:line strokeweight="0.5pt" strokecolor="#000000" from="104.15pt,272.9pt" to="501.95pt,272.9pt" style="position:absolute;mso-position-horizontal-relative:page;mso-position-vertical-relative:page;">
            <v:stroke dashstyle="solid"/>
          </v:line>
        </w:pict>
      </w:r>
    </w:p>
    <w:tbl>
      <w:tblPr>
        <w:jc w:val="left"/>
        <w:tblLayout w:type="fixed"/>
        <w:tblCellMar>
          <w:left w:w="0" w:type="dxa"/>
          <w:right w:w="0" w:type="dxa"/>
        </w:tblCellMar>
      </w:tblPr>
      <w:tblGrid>
        <w:gridCol w:w="3020"/>
        <w:gridCol w:w="5099"/>
      </w:tblGrid>
      <w:tr>
        <w:trPr>
          <w:trHeight w:val="2477" w:hRule="exact"/>
        </w:trPr>
        <w:tc>
          <w:tcPr>
            <w:tcW w:w="3020" w:type="dxa"/>
            <w:tcBorders>
              <w:top w:val="none"/>
              <w:left w:val="none"/>
              <w:bottom w:val="none"/>
              <w:right w:val="none"/>
            </w:tcBorders>
            <w:textDirection w:val="lrTb"/>
            <w:vAlign w:val="top"/>
          </w:tcPr>
          <w:p>
            <w:pPr>
              <w:tabs>
                <w:tab w:val="left" w:leader="none" w:pos="1152"/>
              </w:tabs>
              <w:spacing w:before="0" w:after="0" w:line="226" w:lineRule="exact"/>
              <w:ind w:right="0" w:left="28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28	</w:t>
            </w:r>
            <w:r>
              <w:rPr>
                <w:rFonts w:ascii="Times New Roman" w:hAnsi="Times New Roman" w:eastAsia="Times New Roman"/>
                <w:color w:val="000000"/>
                <w:spacing w:val="0"/>
                <w:w w:val="100"/>
                <w:sz w:val="20"/>
                <w:vertAlign w:val="baseline"/>
                <w:lang w:val="en-US"/>
              </w:rPr>
              <w:t xml:space="preserve">Steam turbine</w:t>
            </w:r>
          </w:p>
          <w:p>
            <w:pPr>
              <w:spacing w:before="3" w:after="0" w:line="226"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operation</w:t>
            </w:r>
          </w:p>
          <w:p>
            <w:pPr>
              <w:tabs>
                <w:tab w:val="left" w:leader="none" w:pos="1152"/>
              </w:tabs>
              <w:spacing w:before="1503" w:after="39" w:line="235" w:lineRule="exact"/>
              <w:ind w:right="0" w:left="1152" w:hanging="86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29	</w:t>
            </w:r>
            <w:r>
              <w:rPr>
                <w:rFonts w:ascii="Times New Roman" w:hAnsi="Times New Roman" w:eastAsia="Times New Roman"/>
                <w:color w:val="000000"/>
                <w:spacing w:val="0"/>
                <w:w w:val="100"/>
                <w:sz w:val="20"/>
                <w:vertAlign w:val="baseline"/>
                <w:lang w:val="en-US"/>
              </w:rPr>
              <w:t xml:space="preserve">Reciprocating steam engine</w:t>
            </w:r>
          </w:p>
        </w:tc>
        <w:tc>
          <w:tcPr>
            <w:tcW w:w="5099" w:type="dxa"/>
            <w:tcBorders>
              <w:top w:val="none"/>
              <w:left w:val="none"/>
              <w:bottom w:val="none"/>
              <w:right w:val="none"/>
            </w:tcBorders>
            <w:textDirection w:val="lrTb"/>
            <w:vAlign w:val="top"/>
          </w:tcPr>
          <w:p>
            <w:pPr>
              <w:spacing w:before="0" w:after="0" w:line="228" w:lineRule="exact"/>
              <w:ind w:right="54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Operation of a steam turbine that has an output of 500 kilowatts or more and:</w:t>
            </w:r>
          </w:p>
          <w:p>
            <w:pPr>
              <w:numPr>
                <w:ilvl w:val="0"/>
                <w:numId w:val="1064"/>
              </w:numPr>
              <w:tabs>
                <w:tab w:val="clear" w:pos="288"/>
                <w:tab w:val="left" w:pos="648"/>
              </w:tabs>
              <w:spacing w:before="67" w:after="0" w:line="226" w:lineRule="exact"/>
              <w:ind w:right="0" w:left="648" w:hanging="288"/>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is multi-wheeled; or</w:t>
            </w:r>
          </w:p>
          <w:p>
            <w:pPr>
              <w:numPr>
                <w:ilvl w:val="0"/>
                <w:numId w:val="1064"/>
              </w:numPr>
              <w:tabs>
                <w:tab w:val="clear" w:pos="288"/>
                <w:tab w:val="left" w:pos="648"/>
              </w:tabs>
              <w:spacing w:before="58" w:after="0" w:line="230" w:lineRule="exact"/>
              <w:ind w:right="396" w:left="648" w:hanging="288"/>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is capable of a speed greater than 3600 revolutions per minute; or</w:t>
            </w:r>
          </w:p>
          <w:p>
            <w:pPr>
              <w:numPr>
                <w:ilvl w:val="0"/>
                <w:numId w:val="1064"/>
              </w:numPr>
              <w:tabs>
                <w:tab w:val="clear" w:pos="288"/>
                <w:tab w:val="left" w:pos="648"/>
              </w:tabs>
              <w:spacing w:before="67" w:after="0" w:line="226" w:lineRule="exact"/>
              <w:ind w:right="0" w:left="648" w:hanging="288"/>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has attached condensers; or</w:t>
            </w:r>
          </w:p>
          <w:p>
            <w:pPr>
              <w:numPr>
                <w:ilvl w:val="0"/>
                <w:numId w:val="1064"/>
              </w:numPr>
              <w:tabs>
                <w:tab w:val="clear" w:pos="288"/>
                <w:tab w:val="left" w:pos="648"/>
              </w:tabs>
              <w:spacing w:before="62" w:after="0" w:line="226" w:lineRule="exact"/>
              <w:ind w:right="0" w:left="648" w:hanging="288"/>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has a multi-staged heat exchange extraction process</w:t>
            </w:r>
          </w:p>
          <w:p>
            <w:pPr>
              <w:spacing w:before="111" w:after="39" w:line="235" w:lineRule="exact"/>
              <w:ind w:right="684"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Operation of a reciprocating steam engine where the diameter of any piston exceeds 250 millimetres</w:t>
            </w:r>
          </w:p>
        </w:tc>
      </w:tr>
    </w:tbl>
    <w:p>
      <w:pPr>
        <w:spacing w:before="769" w:after="0" w:line="274" w:lineRule="exact"/>
        <w:ind w:right="0" w:left="360" w:firstLine="0"/>
        <w:jc w:val="left"/>
        <w:textAlignment w:val="baseline"/>
        <w:rPr>
          <w:rFonts w:ascii="Times New Roman" w:hAnsi="Times New Roman" w:eastAsia="Times New Roman"/>
          <w:b w:val="true"/>
          <w:color w:val="000000"/>
          <w:spacing w:val="0"/>
          <w:w w:val="100"/>
          <w:sz w:val="22"/>
          <w:vertAlign w:val="baseline"/>
          <w:lang w:val="en-US"/>
        </w:rPr>
      </w:pPr>
      <w:r>
        <w:rPr>
          <w:rFonts w:ascii="Times New Roman" w:hAnsi="Times New Roman" w:eastAsia="Times New Roman"/>
          <w:b w:val="true"/>
          <w:color w:val="000000"/>
          <w:spacing w:val="0"/>
          <w:w w:val="100"/>
          <w:sz w:val="22"/>
          <w:vertAlign w:val="baseline"/>
          <w:lang w:val="en-US"/>
        </w:rPr>
        <w:t xml:space="preserve">1 </w:t>
      </w:r>
      <w:r>
        <w:rPr>
          <w:rFonts w:ascii="Times New Roman" w:hAnsi="Times New Roman" w:eastAsia="Times New Roman"/>
          <w:b w:val="true"/>
          <w:color w:val="000000"/>
          <w:spacing w:val="0"/>
          <w:w w:val="100"/>
          <w:sz w:val="24"/>
          <w:vertAlign w:val="baseline"/>
          <w:lang w:val="en-US"/>
        </w:rPr>
        <w:t xml:space="preserve">Boom-type elevating work platform</w:t>
      </w:r>
    </w:p>
    <w:p>
      <w:pPr>
        <w:spacing w:before="114" w:after="0" w:line="278" w:lineRule="exact"/>
        <w:ind w:right="432" w:left="1368" w:firstLine="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the purposes of table 3.1 item 21, the length of a boom is the greater of the following:</w:t>
      </w:r>
    </w:p>
    <w:p>
      <w:pPr>
        <w:numPr>
          <w:ilvl w:val="0"/>
          <w:numId w:val="1065"/>
        </w:numPr>
        <w:tabs>
          <w:tab w:val="clear" w:pos="360"/>
          <w:tab w:val="left" w:pos="1944"/>
        </w:tabs>
        <w:spacing w:before="118" w:after="0" w:line="276" w:lineRule="exact"/>
        <w:ind w:right="360"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vertical distance from the surface supporting the boom-type elevating work platform to the floor of the platform, with the platform extended to its maximum height;</w:t>
      </w:r>
    </w:p>
    <w:p>
      <w:pPr>
        <w:numPr>
          <w:ilvl w:val="0"/>
          <w:numId w:val="1065"/>
        </w:numPr>
        <w:tabs>
          <w:tab w:val="clear" w:pos="360"/>
          <w:tab w:val="left" w:pos="1944"/>
        </w:tabs>
        <w:spacing w:before="122" w:after="5483" w:line="276" w:lineRule="exact"/>
        <w:ind w:right="432"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horizontal distance from the centre point of the boom's rotation to the outer edge of the platform, with the platform extended to its maximum distance.</w:t>
      </w:r>
    </w:p>
    <w:p>
      <w:pPr>
        <w:spacing w:before="333"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4.05pt,0.3pt" style="position:absolute;mso-position-horizontal-relative:text;mso-position-vertical-relative:text;">
            <v:stroke dashstyle="solid"/>
          </v:line>
        </w:pict>
      </w:r>
    </w:p>
    <w:p>
      <w:pPr>
        <w:sectPr>
          <w:type w:val="nextPage"/>
          <w:pgSz w:w="11909" w:h="16838" w:orient="portrait"/>
          <w:pgMar w:bottom="1082" w:top="1140" w:right="1871" w:left="191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439</w:t>
      </w:r>
    </w:p>
    <w:p>
      <w:pPr>
        <w:sectPr>
          <w:type w:val="continuous"/>
          <w:pgSz w:w="11909" w:h="16838" w:orient="portrait"/>
          <w:pgMar w:bottom="1082" w:top="1140" w:right="5811" w:left="1978"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spacing w:before="234" w:after="225" w:line="227" w:lineRule="exact"/>
        <w:ind w:right="0" w:left="0" w:firstLine="0"/>
        <w:jc w:val="left"/>
        <w:textAlignment w:val="baseline"/>
        <w:rPr>
          <w:rFonts w:ascii="Times New Roman" w:hAnsi="Times New Roman" w:eastAsia="Times New Roman"/>
          <w:color w:val="000000"/>
          <w:spacing w:val="3"/>
          <w:w w:val="100"/>
          <w:sz w:val="20"/>
          <w:vertAlign w:val="baseline"/>
          <w:lang w:val="en-US"/>
        </w:rPr>
      </w:pPr>
      <w:r>
        <w:rPr>
          <w:rFonts w:ascii="Times New Roman" w:hAnsi="Times New Roman" w:eastAsia="Times New Roman"/>
          <w:color w:val="000000"/>
          <w:spacing w:val="3"/>
          <w:w w:val="100"/>
          <w:sz w:val="20"/>
          <w:vertAlign w:val="baseline"/>
          <w:lang w:val="en-US"/>
        </w:rPr>
        <w:t xml:space="preserve">Schedule 4 High risk work licences—competency requirements</w:t>
      </w:r>
    </w:p>
    <w:p>
      <w:pPr>
        <w:spacing w:before="258" w:after="0" w:line="317" w:lineRule="exact"/>
        <w:ind w:right="0" w:left="0" w:firstLine="0"/>
        <w:jc w:val="center"/>
        <w:textAlignment w:val="baseline"/>
        <w:rPr>
          <w:rFonts w:ascii="Times New Roman" w:hAnsi="Times New Roman" w:eastAsia="Times New Roman"/>
          <w:b w:val="true"/>
          <w:color w:val="000000"/>
          <w:spacing w:val="3"/>
          <w:w w:val="100"/>
          <w:sz w:val="28"/>
          <w:vertAlign w:val="baseline"/>
          <w:lang w:val="en-US"/>
        </w:rPr>
      </w:pPr>
      <w:r>
        <w:pict>
          <v:line strokeweight="0.5pt" strokecolor="#000000" from="97.9pt,103.9pt" to="498.05pt,103.9pt" style="position:absolute;mso-position-horizontal-relative:page;mso-position-vertical-relative:page;">
            <v:stroke dashstyle="solid"/>
          </v:line>
        </w:pict>
      </w:r>
      <w:r>
        <w:rPr>
          <w:rFonts w:ascii="Times New Roman" w:hAnsi="Times New Roman" w:eastAsia="Times New Roman"/>
          <w:b w:val="true"/>
          <w:color w:val="000000"/>
          <w:spacing w:val="3"/>
          <w:w w:val="100"/>
          <w:sz w:val="28"/>
          <w:vertAlign w:val="baseline"/>
          <w:lang w:val="en-US"/>
        </w:rPr>
        <w:t xml:space="preserve">Schedule 4 High risk work licences—competency requirements</w:t>
      </w:r>
    </w:p>
    <w:p>
      <w:pPr>
        <w:spacing w:before="121" w:after="57" w:line="227" w:lineRule="exact"/>
        <w:ind w:right="72" w:left="0" w:firstLine="0"/>
        <w:jc w:val="righ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Regulation 81</w:t>
      </w:r>
    </w:p>
    <w:p>
      <w:pPr>
        <w:rPr>
          <w:sz w:val="2"/>
        </w:rPr>
      </w:pPr>
      <w:r>
        <w:pict>
          <v:line strokeweight="0.5pt" strokecolor="#000000" from="97.9pt,728.15pt" to="498.05pt,728.15pt" style="position:absolute;mso-position-horizontal-relative:page;mso-position-vertical-relative:page;">
            <v:stroke dashstyle="solid"/>
          </v:line>
        </w:pict>
      </w:r>
    </w:p>
    <w:tbl>
      <w:tblPr>
        <w:jc w:val="left"/>
        <w:tblLayout w:type="fixed"/>
        <w:tblCellMar>
          <w:left w:w="0" w:type="dxa"/>
          <w:right w:w="0" w:type="dxa"/>
        </w:tblCellMar>
      </w:tblPr>
      <w:tblGrid>
        <w:gridCol w:w="830"/>
        <w:gridCol w:w="2165"/>
        <w:gridCol w:w="5085"/>
      </w:tblGrid>
      <w:tr>
        <w:trPr>
          <w:trHeight w:val="1124" w:hRule="exact"/>
        </w:trPr>
        <w:tc>
          <w:tcPr>
            <w:tcW w:w="8080" w:type="dxa"/>
            <w:gridSpan w:val="3"/>
            <w:tcBorders>
              <w:top w:val="none"/>
              <w:left w:val="none"/>
              <w:bottom w:val="single" w:sz="4" w:color="000000"/>
              <w:right w:val="none"/>
            </w:tcBorders>
            <w:textDirection w:val="lrTb"/>
            <w:vAlign w:val="top"/>
          </w:tcPr>
          <w:p>
            <w:pPr>
              <w:spacing w:before="48" w:after="0" w:line="274" w:lineRule="exact"/>
              <w:ind w:right="4910" w:left="0" w:firstLine="0"/>
              <w:jc w:val="righ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 Purpose of this Schedule</w:t>
            </w:r>
          </w:p>
          <w:p>
            <w:pPr>
              <w:spacing w:before="125" w:after="0" w:line="274" w:lineRule="exact"/>
              <w:ind w:right="140" w:left="0" w:firstLine="0"/>
              <w:jc w:val="righ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Schedule sets out the qualifications for high risk work licences.</w:t>
            </w:r>
          </w:p>
          <w:p>
            <w:pPr>
              <w:spacing w:before="123" w:after="54" w:line="225" w:lineRule="exact"/>
              <w:ind w:right="7250" w:left="0" w:firstLine="0"/>
              <w:jc w:val="righ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Table 4.1</w:t>
            </w:r>
          </w:p>
        </w:tc>
      </w:tr>
      <w:tr>
        <w:trPr>
          <w:trHeight w:val="360" w:hRule="exact"/>
        </w:trPr>
        <w:tc>
          <w:tcPr>
            <w:tcW w:w="830" w:type="dxa"/>
            <w:tcBorders>
              <w:top w:val="single" w:sz="4" w:color="000000"/>
              <w:left w:val="none"/>
              <w:bottom w:val="single" w:sz="4" w:color="000000"/>
              <w:right w:val="none"/>
            </w:tcBorders>
            <w:textDirection w:val="lrTb"/>
            <w:vAlign w:val="center"/>
          </w:tcPr>
          <w:p>
            <w:pPr>
              <w:spacing w:before="85" w:after="49" w:line="225" w:lineRule="exact"/>
              <w:ind w:right="0" w:left="21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Item</w:t>
            </w:r>
          </w:p>
        </w:tc>
        <w:tc>
          <w:tcPr>
            <w:tcW w:w="2165" w:type="dxa"/>
            <w:tcBorders>
              <w:top w:val="single" w:sz="4" w:color="000000"/>
              <w:left w:val="none"/>
              <w:bottom w:val="single" w:sz="4" w:color="000000"/>
              <w:right w:val="none"/>
            </w:tcBorders>
            <w:textDirection w:val="lrTb"/>
            <w:vAlign w:val="center"/>
          </w:tcPr>
          <w:p>
            <w:pPr>
              <w:spacing w:before="85" w:after="49" w:line="225" w:lineRule="exact"/>
              <w:ind w:right="0" w:left="25"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Licence Class</w:t>
            </w:r>
          </w:p>
        </w:tc>
        <w:tc>
          <w:tcPr>
            <w:tcW w:w="5085" w:type="dxa"/>
            <w:tcBorders>
              <w:top w:val="single" w:sz="4" w:color="000000"/>
              <w:left w:val="none"/>
              <w:bottom w:val="single" w:sz="4" w:color="000000"/>
              <w:right w:val="none"/>
            </w:tcBorders>
            <w:textDirection w:val="lrTb"/>
            <w:vAlign w:val="center"/>
          </w:tcPr>
          <w:p>
            <w:pPr>
              <w:spacing w:before="85" w:after="49" w:line="225" w:lineRule="exact"/>
              <w:ind w:right="0" w:left="116"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VET course</w:t>
            </w:r>
          </w:p>
        </w:tc>
      </w:tr>
      <w:tr>
        <w:trPr>
          <w:trHeight w:val="360" w:hRule="exact"/>
        </w:trPr>
        <w:tc>
          <w:tcPr>
            <w:tcW w:w="830" w:type="dxa"/>
            <w:tcBorders>
              <w:top w:val="single" w:sz="4" w:color="000000"/>
              <w:left w:val="none"/>
              <w:bottom w:val="none"/>
              <w:right w:val="none"/>
            </w:tcBorders>
            <w:textDirection w:val="lrTb"/>
            <w:vAlign w:val="center"/>
          </w:tcPr>
          <w:p>
            <w:pPr>
              <w:spacing w:before="85" w:after="47" w:line="227" w:lineRule="exact"/>
              <w:ind w:right="0" w:left="21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w:t>
            </w:r>
          </w:p>
        </w:tc>
        <w:tc>
          <w:tcPr>
            <w:tcW w:w="2165" w:type="dxa"/>
            <w:tcBorders>
              <w:top w:val="single" w:sz="4" w:color="000000"/>
              <w:left w:val="none"/>
              <w:bottom w:val="none"/>
              <w:right w:val="none"/>
            </w:tcBorders>
            <w:textDirection w:val="lrTb"/>
            <w:vAlign w:val="center"/>
          </w:tcPr>
          <w:p>
            <w:pPr>
              <w:spacing w:before="85" w:after="47" w:line="227" w:lineRule="exact"/>
              <w:ind w:right="0" w:left="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Basic scaffolding</w:t>
            </w:r>
          </w:p>
        </w:tc>
        <w:tc>
          <w:tcPr>
            <w:tcW w:w="5085" w:type="dxa"/>
            <w:tcBorders>
              <w:top w:val="single" w:sz="4" w:color="000000"/>
              <w:left w:val="none"/>
              <w:bottom w:val="none"/>
              <w:right w:val="none"/>
            </w:tcBorders>
            <w:textDirection w:val="lrTb"/>
            <w:vAlign w:val="center"/>
          </w:tcPr>
          <w:p>
            <w:pPr>
              <w:spacing w:before="85" w:after="47" w:line="227" w:lineRule="exact"/>
              <w:ind w:right="0" w:left="1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Licence to erect, alter and dismantle scaffolding basic level</w:t>
            </w:r>
          </w:p>
        </w:tc>
      </w:tr>
      <w:tr>
        <w:trPr>
          <w:trHeight w:val="547" w:hRule="exact"/>
        </w:trPr>
        <w:tc>
          <w:tcPr>
            <w:tcW w:w="830" w:type="dxa"/>
            <w:tcBorders>
              <w:top w:val="none"/>
              <w:left w:val="none"/>
              <w:bottom w:val="none"/>
              <w:right w:val="none"/>
            </w:tcBorders>
            <w:textDirection w:val="lrTb"/>
            <w:vAlign w:val="top"/>
          </w:tcPr>
          <w:p>
            <w:pPr>
              <w:spacing w:before="70" w:after="249" w:line="227" w:lineRule="exact"/>
              <w:ind w:right="0" w:left="21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w:t>
            </w:r>
          </w:p>
        </w:tc>
        <w:tc>
          <w:tcPr>
            <w:tcW w:w="2165" w:type="dxa"/>
            <w:tcBorders>
              <w:top w:val="none"/>
              <w:left w:val="none"/>
              <w:bottom w:val="none"/>
              <w:right w:val="none"/>
            </w:tcBorders>
            <w:textDirection w:val="lrTb"/>
            <w:vAlign w:val="top"/>
          </w:tcPr>
          <w:p>
            <w:pPr>
              <w:spacing w:before="70" w:after="249" w:line="227" w:lineRule="exact"/>
              <w:ind w:right="0" w:left="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Intermediate scaffolding</w:t>
            </w:r>
          </w:p>
        </w:tc>
        <w:tc>
          <w:tcPr>
            <w:tcW w:w="5085" w:type="dxa"/>
            <w:tcBorders>
              <w:top w:val="none"/>
              <w:left w:val="none"/>
              <w:bottom w:val="none"/>
              <w:right w:val="none"/>
            </w:tcBorders>
            <w:textDirection w:val="lrTb"/>
            <w:vAlign w:val="top"/>
          </w:tcPr>
          <w:p>
            <w:pPr>
              <w:spacing w:before="56" w:after="18" w:line="236" w:lineRule="exact"/>
              <w:ind w:right="180" w:left="108"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Licence to erect, alter and dismantle scaffolding basic level; and</w:t>
            </w:r>
          </w:p>
        </w:tc>
      </w:tr>
      <w:tr>
        <w:trPr>
          <w:trHeight w:val="552" w:hRule="exact"/>
        </w:trPr>
        <w:tc>
          <w:tcPr>
            <w:tcW w:w="830"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165"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5085" w:type="dxa"/>
            <w:tcBorders>
              <w:top w:val="none"/>
              <w:left w:val="none"/>
              <w:bottom w:val="none"/>
              <w:right w:val="none"/>
            </w:tcBorders>
            <w:textDirection w:val="lrTb"/>
            <w:vAlign w:val="top"/>
          </w:tcPr>
          <w:p>
            <w:pPr>
              <w:spacing w:before="39" w:after="47" w:line="230" w:lineRule="exact"/>
              <w:ind w:right="1116" w:left="10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Licence to erect, alter and dismantle scaffolding intermediate level</w:t>
            </w:r>
          </w:p>
        </w:tc>
      </w:tr>
      <w:tr>
        <w:trPr>
          <w:trHeight w:val="547" w:hRule="exact"/>
        </w:trPr>
        <w:tc>
          <w:tcPr>
            <w:tcW w:w="830" w:type="dxa"/>
            <w:tcBorders>
              <w:top w:val="none"/>
              <w:left w:val="none"/>
              <w:bottom w:val="none"/>
              <w:right w:val="none"/>
            </w:tcBorders>
            <w:textDirection w:val="lrTb"/>
            <w:vAlign w:val="top"/>
          </w:tcPr>
          <w:p>
            <w:pPr>
              <w:spacing w:before="75" w:after="240" w:line="227" w:lineRule="exact"/>
              <w:ind w:right="0" w:left="21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w:t>
            </w:r>
          </w:p>
        </w:tc>
        <w:tc>
          <w:tcPr>
            <w:tcW w:w="2165" w:type="dxa"/>
            <w:tcBorders>
              <w:top w:val="none"/>
              <w:left w:val="none"/>
              <w:bottom w:val="none"/>
              <w:right w:val="none"/>
            </w:tcBorders>
            <w:textDirection w:val="lrTb"/>
            <w:vAlign w:val="top"/>
          </w:tcPr>
          <w:p>
            <w:pPr>
              <w:spacing w:before="75" w:after="240" w:line="227" w:lineRule="exact"/>
              <w:ind w:right="0" w:left="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Advanced scaffolding</w:t>
            </w:r>
          </w:p>
        </w:tc>
        <w:tc>
          <w:tcPr>
            <w:tcW w:w="5085" w:type="dxa"/>
            <w:tcBorders>
              <w:top w:val="none"/>
              <w:left w:val="none"/>
              <w:bottom w:val="none"/>
              <w:right w:val="none"/>
            </w:tcBorders>
            <w:textDirection w:val="lrTb"/>
            <w:vAlign w:val="center"/>
          </w:tcPr>
          <w:p>
            <w:pPr>
              <w:spacing w:before="66" w:after="14" w:line="231" w:lineRule="exact"/>
              <w:ind w:right="180" w:left="108"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Licence to erect, alter and dismantle scaffolding basic level; and</w:t>
            </w:r>
          </w:p>
        </w:tc>
      </w:tr>
      <w:tr>
        <w:trPr>
          <w:trHeight w:val="1075" w:hRule="exact"/>
        </w:trPr>
        <w:tc>
          <w:tcPr>
            <w:tcW w:w="830"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165"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5085" w:type="dxa"/>
            <w:tcBorders>
              <w:top w:val="none"/>
              <w:left w:val="none"/>
              <w:bottom w:val="none"/>
              <w:right w:val="none"/>
            </w:tcBorders>
            <w:textDirection w:val="lrTb"/>
            <w:vAlign w:val="top"/>
          </w:tcPr>
          <w:p>
            <w:pPr>
              <w:spacing w:before="39" w:after="0" w:line="230" w:lineRule="exact"/>
              <w:ind w:right="1116" w:left="144" w:firstLine="0"/>
              <w:jc w:val="left"/>
              <w:textAlignment w:val="baseline"/>
              <w:rPr>
                <w:rFonts w:ascii="Times New Roman" w:hAnsi="Times New Roman" w:eastAsia="Times New Roman"/>
                <w:color w:val="000000"/>
                <w:spacing w:val="-2"/>
                <w:w w:val="100"/>
                <w:sz w:val="20"/>
                <w:vertAlign w:val="baseline"/>
                <w:lang w:val="en-US"/>
              </w:rPr>
            </w:pPr>
            <w:r>
              <w:rPr>
                <w:rFonts w:ascii="Times New Roman" w:hAnsi="Times New Roman" w:eastAsia="Times New Roman"/>
                <w:color w:val="000000"/>
                <w:spacing w:val="-2"/>
                <w:w w:val="100"/>
                <w:sz w:val="20"/>
                <w:vertAlign w:val="baseline"/>
                <w:lang w:val="en-US"/>
              </w:rPr>
              <w:t xml:space="preserve">Licence to erect, alter and dismantle scaffolding intermediate level; and</w:t>
            </w:r>
          </w:p>
          <w:p>
            <w:pPr>
              <w:spacing w:before="63" w:after="53" w:line="230" w:lineRule="exact"/>
              <w:ind w:right="324"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Licence to erect, alter and dismantle scaffolding advanced level</w:t>
            </w:r>
          </w:p>
        </w:tc>
      </w:tr>
      <w:tr>
        <w:trPr>
          <w:trHeight w:val="346" w:hRule="exact"/>
        </w:trPr>
        <w:tc>
          <w:tcPr>
            <w:tcW w:w="830" w:type="dxa"/>
            <w:tcBorders>
              <w:top w:val="none"/>
              <w:left w:val="none"/>
              <w:bottom w:val="none"/>
              <w:right w:val="none"/>
            </w:tcBorders>
            <w:textDirection w:val="lrTb"/>
            <w:vAlign w:val="center"/>
          </w:tcPr>
          <w:p>
            <w:pPr>
              <w:spacing w:before="71" w:after="47" w:line="227" w:lineRule="exact"/>
              <w:ind w:right="0" w:left="21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w:t>
            </w:r>
          </w:p>
        </w:tc>
        <w:tc>
          <w:tcPr>
            <w:tcW w:w="2165" w:type="dxa"/>
            <w:tcBorders>
              <w:top w:val="none"/>
              <w:left w:val="none"/>
              <w:bottom w:val="none"/>
              <w:right w:val="none"/>
            </w:tcBorders>
            <w:textDirection w:val="lrTb"/>
            <w:vAlign w:val="center"/>
          </w:tcPr>
          <w:p>
            <w:pPr>
              <w:spacing w:before="71" w:after="47" w:line="227" w:lineRule="exact"/>
              <w:ind w:right="0" w:left="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Dogging</w:t>
            </w:r>
          </w:p>
        </w:tc>
        <w:tc>
          <w:tcPr>
            <w:tcW w:w="5085" w:type="dxa"/>
            <w:tcBorders>
              <w:top w:val="none"/>
              <w:left w:val="none"/>
              <w:bottom w:val="none"/>
              <w:right w:val="none"/>
            </w:tcBorders>
            <w:textDirection w:val="lrTb"/>
            <w:vAlign w:val="center"/>
          </w:tcPr>
          <w:p>
            <w:pPr>
              <w:spacing w:before="71" w:after="47" w:line="227" w:lineRule="exact"/>
              <w:ind w:right="0" w:left="1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Licence to perform dogging</w:t>
            </w:r>
          </w:p>
        </w:tc>
      </w:tr>
      <w:tr>
        <w:trPr>
          <w:trHeight w:val="321" w:hRule="exact"/>
        </w:trPr>
        <w:tc>
          <w:tcPr>
            <w:tcW w:w="830" w:type="dxa"/>
            <w:tcBorders>
              <w:top w:val="none"/>
              <w:left w:val="none"/>
              <w:bottom w:val="none"/>
              <w:right w:val="none"/>
            </w:tcBorders>
            <w:textDirection w:val="lrTb"/>
            <w:vAlign w:val="center"/>
          </w:tcPr>
          <w:p>
            <w:pPr>
              <w:spacing w:before="75" w:after="14" w:line="227" w:lineRule="exact"/>
              <w:ind w:right="0" w:left="21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w:t>
            </w:r>
          </w:p>
        </w:tc>
        <w:tc>
          <w:tcPr>
            <w:tcW w:w="2165" w:type="dxa"/>
            <w:tcBorders>
              <w:top w:val="none"/>
              <w:left w:val="none"/>
              <w:bottom w:val="none"/>
              <w:right w:val="none"/>
            </w:tcBorders>
            <w:textDirection w:val="lrTb"/>
            <w:vAlign w:val="center"/>
          </w:tcPr>
          <w:p>
            <w:pPr>
              <w:spacing w:before="75" w:after="14" w:line="227" w:lineRule="exact"/>
              <w:ind w:right="0" w:left="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Basic rigging</w:t>
            </w:r>
          </w:p>
        </w:tc>
        <w:tc>
          <w:tcPr>
            <w:tcW w:w="5085" w:type="dxa"/>
            <w:tcBorders>
              <w:top w:val="none"/>
              <w:left w:val="none"/>
              <w:bottom w:val="none"/>
              <w:right w:val="none"/>
            </w:tcBorders>
            <w:textDirection w:val="lrTb"/>
            <w:vAlign w:val="center"/>
          </w:tcPr>
          <w:p>
            <w:pPr>
              <w:spacing w:before="75" w:after="14" w:line="227" w:lineRule="exact"/>
              <w:ind w:right="0" w:left="1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Licence to perform dogging; and</w:t>
            </w:r>
          </w:p>
        </w:tc>
      </w:tr>
      <w:tr>
        <w:trPr>
          <w:trHeight w:val="322" w:hRule="exact"/>
        </w:trPr>
        <w:tc>
          <w:tcPr>
            <w:tcW w:w="830"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165"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5085" w:type="dxa"/>
            <w:tcBorders>
              <w:top w:val="none"/>
              <w:left w:val="none"/>
              <w:bottom w:val="none"/>
              <w:right w:val="none"/>
            </w:tcBorders>
            <w:textDirection w:val="lrTb"/>
            <w:vAlign w:val="center"/>
          </w:tcPr>
          <w:p>
            <w:pPr>
              <w:spacing w:before="42" w:after="43" w:line="227" w:lineRule="exact"/>
              <w:ind w:right="0" w:left="1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Licence to perform rigging basic level</w:t>
            </w:r>
          </w:p>
        </w:tc>
      </w:tr>
      <w:tr>
        <w:trPr>
          <w:trHeight w:val="317" w:hRule="exact"/>
        </w:trPr>
        <w:tc>
          <w:tcPr>
            <w:tcW w:w="830" w:type="dxa"/>
            <w:tcBorders>
              <w:top w:val="none"/>
              <w:left w:val="none"/>
              <w:bottom w:val="none"/>
              <w:right w:val="none"/>
            </w:tcBorders>
            <w:textDirection w:val="lrTb"/>
            <w:vAlign w:val="center"/>
          </w:tcPr>
          <w:p>
            <w:pPr>
              <w:spacing w:before="71" w:after="9" w:line="227" w:lineRule="exact"/>
              <w:ind w:right="0" w:left="21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w:t>
            </w:r>
          </w:p>
        </w:tc>
        <w:tc>
          <w:tcPr>
            <w:tcW w:w="2165" w:type="dxa"/>
            <w:tcBorders>
              <w:top w:val="none"/>
              <w:left w:val="none"/>
              <w:bottom w:val="none"/>
              <w:right w:val="none"/>
            </w:tcBorders>
            <w:textDirection w:val="lrTb"/>
            <w:vAlign w:val="center"/>
          </w:tcPr>
          <w:p>
            <w:pPr>
              <w:spacing w:before="71" w:after="9" w:line="227" w:lineRule="exact"/>
              <w:ind w:right="0" w:left="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Intermediate rigging</w:t>
            </w:r>
          </w:p>
        </w:tc>
        <w:tc>
          <w:tcPr>
            <w:tcW w:w="5085" w:type="dxa"/>
            <w:tcBorders>
              <w:top w:val="none"/>
              <w:left w:val="none"/>
              <w:bottom w:val="none"/>
              <w:right w:val="none"/>
            </w:tcBorders>
            <w:textDirection w:val="lrTb"/>
            <w:vAlign w:val="center"/>
          </w:tcPr>
          <w:p>
            <w:pPr>
              <w:spacing w:before="71" w:after="0" w:line="236" w:lineRule="exact"/>
              <w:ind w:right="0" w:left="1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Licence to perform dogging; and</w:t>
            </w:r>
          </w:p>
        </w:tc>
      </w:tr>
      <w:tr>
        <w:trPr>
          <w:trHeight w:val="614" w:hRule="exact"/>
        </w:trPr>
        <w:tc>
          <w:tcPr>
            <w:tcW w:w="830"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165"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5085" w:type="dxa"/>
            <w:tcBorders>
              <w:top w:val="none"/>
              <w:left w:val="none"/>
              <w:bottom w:val="none"/>
              <w:right w:val="none"/>
            </w:tcBorders>
            <w:textDirection w:val="lrTb"/>
            <w:vAlign w:val="top"/>
          </w:tcPr>
          <w:p>
            <w:pPr>
              <w:spacing w:before="0" w:after="48" w:line="280" w:lineRule="exact"/>
              <w:ind w:right="0" w:left="10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Licence to perform rigging basic level; and</w:t>
              <w:br/>
            </w:r>
            <w:r>
              <w:rPr>
                <w:rFonts w:ascii="Times New Roman" w:hAnsi="Times New Roman" w:eastAsia="Times New Roman"/>
                <w:color w:val="000000"/>
                <w:spacing w:val="0"/>
                <w:w w:val="100"/>
                <w:sz w:val="20"/>
                <w:vertAlign w:val="baseline"/>
                <w:lang w:val="en-US"/>
              </w:rPr>
              <w:t xml:space="preserve">Licence to perform rigging intermediate level</w:t>
            </w:r>
          </w:p>
        </w:tc>
      </w:tr>
      <w:tr>
        <w:trPr>
          <w:trHeight w:val="317" w:hRule="exact"/>
        </w:trPr>
        <w:tc>
          <w:tcPr>
            <w:tcW w:w="830" w:type="dxa"/>
            <w:tcBorders>
              <w:top w:val="none"/>
              <w:left w:val="none"/>
              <w:bottom w:val="none"/>
              <w:right w:val="none"/>
            </w:tcBorders>
            <w:textDirection w:val="lrTb"/>
            <w:vAlign w:val="center"/>
          </w:tcPr>
          <w:p>
            <w:pPr>
              <w:spacing w:before="71" w:after="14" w:line="227" w:lineRule="exact"/>
              <w:ind w:right="0" w:left="21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7</w:t>
            </w:r>
          </w:p>
        </w:tc>
        <w:tc>
          <w:tcPr>
            <w:tcW w:w="2165" w:type="dxa"/>
            <w:tcBorders>
              <w:top w:val="none"/>
              <w:left w:val="none"/>
              <w:bottom w:val="none"/>
              <w:right w:val="none"/>
            </w:tcBorders>
            <w:textDirection w:val="lrTb"/>
            <w:vAlign w:val="center"/>
          </w:tcPr>
          <w:p>
            <w:pPr>
              <w:spacing w:before="71" w:after="14" w:line="227" w:lineRule="exact"/>
              <w:ind w:right="0" w:left="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Advanced rigging</w:t>
            </w:r>
          </w:p>
        </w:tc>
        <w:tc>
          <w:tcPr>
            <w:tcW w:w="5085" w:type="dxa"/>
            <w:tcBorders>
              <w:top w:val="none"/>
              <w:left w:val="none"/>
              <w:bottom w:val="none"/>
              <w:right w:val="none"/>
            </w:tcBorders>
            <w:textDirection w:val="lrTb"/>
            <w:vAlign w:val="center"/>
          </w:tcPr>
          <w:p>
            <w:pPr>
              <w:spacing w:before="71" w:after="0" w:line="241" w:lineRule="exact"/>
              <w:ind w:right="0" w:left="1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Licence to perform dogging; and</w:t>
            </w:r>
          </w:p>
        </w:tc>
      </w:tr>
      <w:tr>
        <w:trPr>
          <w:trHeight w:val="902" w:hRule="exact"/>
        </w:trPr>
        <w:tc>
          <w:tcPr>
            <w:tcW w:w="830"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165"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5085" w:type="dxa"/>
            <w:tcBorders>
              <w:top w:val="none"/>
              <w:left w:val="none"/>
              <w:bottom w:val="none"/>
              <w:right w:val="none"/>
            </w:tcBorders>
            <w:textDirection w:val="lrTb"/>
            <w:vAlign w:val="top"/>
          </w:tcPr>
          <w:p>
            <w:pPr>
              <w:spacing w:before="0" w:after="37" w:line="283" w:lineRule="exact"/>
              <w:ind w:right="936" w:left="10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Licence to perform rigging basic level; and Licence to perform rigging intermediate level; and Licence to perform rigging advanced level</w:t>
            </w:r>
          </w:p>
        </w:tc>
      </w:tr>
      <w:tr>
        <w:trPr>
          <w:trHeight w:val="351" w:hRule="exact"/>
        </w:trPr>
        <w:tc>
          <w:tcPr>
            <w:tcW w:w="830" w:type="dxa"/>
            <w:tcBorders>
              <w:top w:val="none"/>
              <w:left w:val="none"/>
              <w:bottom w:val="none"/>
              <w:right w:val="none"/>
            </w:tcBorders>
            <w:textDirection w:val="lrTb"/>
            <w:vAlign w:val="center"/>
          </w:tcPr>
          <w:p>
            <w:pPr>
              <w:spacing w:before="71" w:after="47" w:line="227" w:lineRule="exact"/>
              <w:ind w:right="0" w:left="21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8</w:t>
            </w:r>
          </w:p>
        </w:tc>
        <w:tc>
          <w:tcPr>
            <w:tcW w:w="2165" w:type="dxa"/>
            <w:tcBorders>
              <w:top w:val="none"/>
              <w:left w:val="none"/>
              <w:bottom w:val="none"/>
              <w:right w:val="none"/>
            </w:tcBorders>
            <w:textDirection w:val="lrTb"/>
            <w:vAlign w:val="center"/>
          </w:tcPr>
          <w:p>
            <w:pPr>
              <w:spacing w:before="71" w:after="47" w:line="227" w:lineRule="exact"/>
              <w:ind w:right="0" w:left="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Tower crane</w:t>
            </w:r>
          </w:p>
        </w:tc>
        <w:tc>
          <w:tcPr>
            <w:tcW w:w="5085" w:type="dxa"/>
            <w:tcBorders>
              <w:top w:val="none"/>
              <w:left w:val="none"/>
              <w:bottom w:val="none"/>
              <w:right w:val="none"/>
            </w:tcBorders>
            <w:textDirection w:val="lrTb"/>
            <w:vAlign w:val="center"/>
          </w:tcPr>
          <w:p>
            <w:pPr>
              <w:spacing w:before="71" w:after="47" w:line="227" w:lineRule="exact"/>
              <w:ind w:right="0" w:left="1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Licence to operate a tower crane</w:t>
            </w:r>
          </w:p>
        </w:tc>
      </w:tr>
      <w:tr>
        <w:trPr>
          <w:trHeight w:val="350" w:hRule="exact"/>
        </w:trPr>
        <w:tc>
          <w:tcPr>
            <w:tcW w:w="830" w:type="dxa"/>
            <w:tcBorders>
              <w:top w:val="none"/>
              <w:left w:val="none"/>
              <w:bottom w:val="none"/>
              <w:right w:val="none"/>
            </w:tcBorders>
            <w:textDirection w:val="lrTb"/>
            <w:vAlign w:val="center"/>
          </w:tcPr>
          <w:p>
            <w:pPr>
              <w:spacing w:before="70" w:after="43" w:line="227" w:lineRule="exact"/>
              <w:ind w:right="0" w:left="21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9</w:t>
            </w:r>
          </w:p>
        </w:tc>
        <w:tc>
          <w:tcPr>
            <w:tcW w:w="2165" w:type="dxa"/>
            <w:tcBorders>
              <w:top w:val="none"/>
              <w:left w:val="none"/>
              <w:bottom w:val="none"/>
              <w:right w:val="none"/>
            </w:tcBorders>
            <w:textDirection w:val="lrTb"/>
            <w:vAlign w:val="center"/>
          </w:tcPr>
          <w:p>
            <w:pPr>
              <w:spacing w:before="70" w:after="43" w:line="227" w:lineRule="exact"/>
              <w:ind w:right="0" w:left="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Self-erecting tower crane</w:t>
            </w:r>
          </w:p>
        </w:tc>
        <w:tc>
          <w:tcPr>
            <w:tcW w:w="5085" w:type="dxa"/>
            <w:tcBorders>
              <w:top w:val="none"/>
              <w:left w:val="none"/>
              <w:bottom w:val="none"/>
              <w:right w:val="none"/>
            </w:tcBorders>
            <w:textDirection w:val="lrTb"/>
            <w:vAlign w:val="center"/>
          </w:tcPr>
          <w:p>
            <w:pPr>
              <w:spacing w:before="70" w:after="43" w:line="227" w:lineRule="exact"/>
              <w:ind w:right="0" w:left="1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Licence to operate a self-erecting tower crane</w:t>
            </w:r>
          </w:p>
        </w:tc>
      </w:tr>
      <w:tr>
        <w:trPr>
          <w:trHeight w:val="351" w:hRule="exact"/>
        </w:trPr>
        <w:tc>
          <w:tcPr>
            <w:tcW w:w="830" w:type="dxa"/>
            <w:tcBorders>
              <w:top w:val="none"/>
              <w:left w:val="none"/>
              <w:bottom w:val="none"/>
              <w:right w:val="none"/>
            </w:tcBorders>
            <w:textDirection w:val="lrTb"/>
            <w:vAlign w:val="center"/>
          </w:tcPr>
          <w:p>
            <w:pPr>
              <w:spacing w:before="71" w:after="52" w:line="227" w:lineRule="exact"/>
              <w:ind w:right="0" w:left="21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w:t>
            </w:r>
          </w:p>
        </w:tc>
        <w:tc>
          <w:tcPr>
            <w:tcW w:w="2165" w:type="dxa"/>
            <w:tcBorders>
              <w:top w:val="none"/>
              <w:left w:val="none"/>
              <w:bottom w:val="none"/>
              <w:right w:val="none"/>
            </w:tcBorders>
            <w:textDirection w:val="lrTb"/>
            <w:vAlign w:val="center"/>
          </w:tcPr>
          <w:p>
            <w:pPr>
              <w:spacing w:before="71" w:after="52" w:line="227" w:lineRule="exact"/>
              <w:ind w:right="0" w:left="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Derrick crane</w:t>
            </w:r>
          </w:p>
        </w:tc>
        <w:tc>
          <w:tcPr>
            <w:tcW w:w="5085" w:type="dxa"/>
            <w:tcBorders>
              <w:top w:val="none"/>
              <w:left w:val="none"/>
              <w:bottom w:val="none"/>
              <w:right w:val="none"/>
            </w:tcBorders>
            <w:textDirection w:val="lrTb"/>
            <w:vAlign w:val="center"/>
          </w:tcPr>
          <w:p>
            <w:pPr>
              <w:spacing w:before="71" w:after="52" w:line="227" w:lineRule="exact"/>
              <w:ind w:right="0" w:left="1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Licence to operate a derrick crane</w:t>
            </w:r>
          </w:p>
        </w:tc>
      </w:tr>
      <w:tr>
        <w:trPr>
          <w:trHeight w:val="350" w:hRule="exact"/>
        </w:trPr>
        <w:tc>
          <w:tcPr>
            <w:tcW w:w="830" w:type="dxa"/>
            <w:tcBorders>
              <w:top w:val="none"/>
              <w:left w:val="none"/>
              <w:bottom w:val="none"/>
              <w:right w:val="none"/>
            </w:tcBorders>
            <w:textDirection w:val="lrTb"/>
            <w:vAlign w:val="center"/>
          </w:tcPr>
          <w:p>
            <w:pPr>
              <w:spacing w:before="70" w:after="48" w:line="227" w:lineRule="exact"/>
              <w:ind w:right="0" w:left="21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11</w:t>
            </w:r>
          </w:p>
        </w:tc>
        <w:tc>
          <w:tcPr>
            <w:tcW w:w="2165" w:type="dxa"/>
            <w:tcBorders>
              <w:top w:val="none"/>
              <w:left w:val="none"/>
              <w:bottom w:val="none"/>
              <w:right w:val="none"/>
            </w:tcBorders>
            <w:textDirection w:val="lrTb"/>
            <w:vAlign w:val="center"/>
          </w:tcPr>
          <w:p>
            <w:pPr>
              <w:spacing w:before="70" w:after="48" w:line="227" w:lineRule="exact"/>
              <w:ind w:right="0" w:left="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Portal boom crane</w:t>
            </w:r>
          </w:p>
        </w:tc>
        <w:tc>
          <w:tcPr>
            <w:tcW w:w="5085" w:type="dxa"/>
            <w:tcBorders>
              <w:top w:val="none"/>
              <w:left w:val="none"/>
              <w:bottom w:val="none"/>
              <w:right w:val="none"/>
            </w:tcBorders>
            <w:textDirection w:val="lrTb"/>
            <w:vAlign w:val="center"/>
          </w:tcPr>
          <w:p>
            <w:pPr>
              <w:spacing w:before="70" w:after="48" w:line="227" w:lineRule="exact"/>
              <w:ind w:right="0" w:left="1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Licence to operate a portal boom crane</w:t>
            </w:r>
          </w:p>
        </w:tc>
      </w:tr>
      <w:tr>
        <w:trPr>
          <w:trHeight w:val="350" w:hRule="exact"/>
        </w:trPr>
        <w:tc>
          <w:tcPr>
            <w:tcW w:w="830" w:type="dxa"/>
            <w:tcBorders>
              <w:top w:val="none"/>
              <w:left w:val="none"/>
              <w:bottom w:val="none"/>
              <w:right w:val="none"/>
            </w:tcBorders>
            <w:textDirection w:val="lrTb"/>
            <w:vAlign w:val="center"/>
          </w:tcPr>
          <w:p>
            <w:pPr>
              <w:spacing w:before="71" w:after="42" w:line="227" w:lineRule="exact"/>
              <w:ind w:right="0" w:left="21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12</w:t>
            </w:r>
          </w:p>
        </w:tc>
        <w:tc>
          <w:tcPr>
            <w:tcW w:w="2165" w:type="dxa"/>
            <w:tcBorders>
              <w:top w:val="none"/>
              <w:left w:val="none"/>
              <w:bottom w:val="none"/>
              <w:right w:val="none"/>
            </w:tcBorders>
            <w:textDirection w:val="lrTb"/>
            <w:vAlign w:val="center"/>
          </w:tcPr>
          <w:p>
            <w:pPr>
              <w:spacing w:before="71" w:after="42" w:line="227" w:lineRule="exact"/>
              <w:ind w:right="0" w:left="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Bridge and gantry crane</w:t>
            </w:r>
          </w:p>
        </w:tc>
        <w:tc>
          <w:tcPr>
            <w:tcW w:w="5085" w:type="dxa"/>
            <w:tcBorders>
              <w:top w:val="none"/>
              <w:left w:val="none"/>
              <w:bottom w:val="none"/>
              <w:right w:val="none"/>
            </w:tcBorders>
            <w:textDirection w:val="lrTb"/>
            <w:vAlign w:val="center"/>
          </w:tcPr>
          <w:p>
            <w:pPr>
              <w:spacing w:before="71" w:after="42" w:line="227" w:lineRule="exact"/>
              <w:ind w:right="0" w:left="1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Licence to operate a bridge and gantry crane</w:t>
            </w:r>
          </w:p>
        </w:tc>
      </w:tr>
      <w:tr>
        <w:trPr>
          <w:trHeight w:val="284" w:hRule="exact"/>
        </w:trPr>
        <w:tc>
          <w:tcPr>
            <w:tcW w:w="830" w:type="dxa"/>
            <w:tcBorders>
              <w:top w:val="none"/>
              <w:left w:val="none"/>
              <w:bottom w:val="none"/>
              <w:right w:val="none"/>
            </w:tcBorders>
            <w:textDirection w:val="lrTb"/>
            <w:vAlign w:val="center"/>
          </w:tcPr>
          <w:p>
            <w:pPr>
              <w:spacing w:before="71" w:after="0" w:line="207" w:lineRule="exact"/>
              <w:ind w:right="0" w:left="21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13</w:t>
            </w:r>
          </w:p>
        </w:tc>
        <w:tc>
          <w:tcPr>
            <w:tcW w:w="2165" w:type="dxa"/>
            <w:tcBorders>
              <w:top w:val="none"/>
              <w:left w:val="none"/>
              <w:bottom w:val="none"/>
              <w:right w:val="none"/>
            </w:tcBorders>
            <w:textDirection w:val="lrTb"/>
            <w:vAlign w:val="center"/>
          </w:tcPr>
          <w:p>
            <w:pPr>
              <w:spacing w:before="71" w:after="0" w:line="207" w:lineRule="exact"/>
              <w:ind w:right="0" w:left="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Vehicle loading crane</w:t>
            </w:r>
          </w:p>
        </w:tc>
        <w:tc>
          <w:tcPr>
            <w:tcW w:w="5085" w:type="dxa"/>
            <w:tcBorders>
              <w:top w:val="none"/>
              <w:left w:val="none"/>
              <w:bottom w:val="none"/>
              <w:right w:val="none"/>
            </w:tcBorders>
            <w:textDirection w:val="lrTb"/>
            <w:vAlign w:val="center"/>
          </w:tcPr>
          <w:p>
            <w:pPr>
              <w:spacing w:before="66" w:after="0" w:line="212" w:lineRule="exact"/>
              <w:ind w:right="0" w:left="1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Licence to operate a vehicle loading crane (capacity</w:t>
            </w:r>
          </w:p>
        </w:tc>
      </w:tr>
      <w:tr>
        <w:trPr>
          <w:trHeight w:val="292" w:hRule="exact"/>
        </w:trPr>
        <w:tc>
          <w:tcPr>
            <w:tcW w:w="830"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165"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5085" w:type="dxa"/>
            <w:tcBorders>
              <w:top w:val="none"/>
              <w:left w:val="none"/>
              <w:bottom w:val="none"/>
              <w:right w:val="none"/>
            </w:tcBorders>
            <w:textDirection w:val="lrTb"/>
            <w:vAlign w:val="center"/>
          </w:tcPr>
          <w:p>
            <w:pPr>
              <w:spacing w:before="0" w:after="42" w:line="227" w:lineRule="exact"/>
              <w:ind w:right="0" w:left="1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 metre tonnes and above)</w:t>
            </w:r>
          </w:p>
        </w:tc>
      </w:tr>
      <w:tr>
        <w:trPr>
          <w:trHeight w:val="293" w:hRule="exact"/>
        </w:trPr>
        <w:tc>
          <w:tcPr>
            <w:tcW w:w="830" w:type="dxa"/>
            <w:tcBorders>
              <w:top w:val="none"/>
              <w:left w:val="none"/>
              <w:bottom w:val="none"/>
              <w:right w:val="none"/>
            </w:tcBorders>
            <w:textDirection w:val="lrTb"/>
            <w:vAlign w:val="center"/>
          </w:tcPr>
          <w:p>
            <w:pPr>
              <w:spacing w:before="76" w:after="0" w:line="217" w:lineRule="exact"/>
              <w:ind w:right="0" w:left="21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14</w:t>
            </w:r>
          </w:p>
        </w:tc>
        <w:tc>
          <w:tcPr>
            <w:tcW w:w="2165" w:type="dxa"/>
            <w:tcBorders>
              <w:top w:val="none"/>
              <w:left w:val="none"/>
              <w:bottom w:val="none"/>
              <w:right w:val="none"/>
            </w:tcBorders>
            <w:textDirection w:val="lrTb"/>
            <w:vAlign w:val="center"/>
          </w:tcPr>
          <w:p>
            <w:pPr>
              <w:spacing w:before="71" w:after="0" w:line="222" w:lineRule="exact"/>
              <w:ind w:right="0" w:left="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Non-slewing mobile</w:t>
            </w:r>
          </w:p>
        </w:tc>
        <w:tc>
          <w:tcPr>
            <w:tcW w:w="5085" w:type="dxa"/>
            <w:tcBorders>
              <w:top w:val="none"/>
              <w:left w:val="none"/>
              <w:bottom w:val="none"/>
              <w:right w:val="none"/>
            </w:tcBorders>
            <w:textDirection w:val="lrTb"/>
            <w:vAlign w:val="center"/>
          </w:tcPr>
          <w:p>
            <w:pPr>
              <w:spacing w:before="71" w:after="0" w:line="222" w:lineRule="exact"/>
              <w:ind w:right="0" w:left="1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Licence to operate a non-slewing mobile crane (greater than</w:t>
            </w:r>
          </w:p>
        </w:tc>
      </w:tr>
      <w:tr>
        <w:trPr>
          <w:trHeight w:val="292" w:hRule="exact"/>
        </w:trPr>
        <w:tc>
          <w:tcPr>
            <w:tcW w:w="830"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165" w:type="dxa"/>
            <w:tcBorders>
              <w:top w:val="none"/>
              <w:left w:val="none"/>
              <w:bottom w:val="none"/>
              <w:right w:val="none"/>
            </w:tcBorders>
            <w:textDirection w:val="lrTb"/>
            <w:vAlign w:val="center"/>
          </w:tcPr>
          <w:p>
            <w:pPr>
              <w:spacing w:before="0" w:after="53" w:line="227" w:lineRule="exact"/>
              <w:ind w:right="0" w:left="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crane</w:t>
            </w:r>
          </w:p>
        </w:tc>
        <w:tc>
          <w:tcPr>
            <w:tcW w:w="5085" w:type="dxa"/>
            <w:tcBorders>
              <w:top w:val="none"/>
              <w:left w:val="none"/>
              <w:bottom w:val="none"/>
              <w:right w:val="none"/>
            </w:tcBorders>
            <w:textDirection w:val="lrTb"/>
            <w:vAlign w:val="center"/>
          </w:tcPr>
          <w:p>
            <w:pPr>
              <w:spacing w:before="0" w:after="53" w:line="227" w:lineRule="exact"/>
              <w:ind w:right="0" w:left="1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 tonnes capacity)</w:t>
            </w:r>
          </w:p>
        </w:tc>
      </w:tr>
    </w:tbl>
    <w:p>
      <w:pPr>
        <w:spacing w:before="0" w:after="1456" w:line="20" w:lineRule="exact"/>
      </w:pPr>
    </w:p>
    <w:p>
      <w:pPr>
        <w:spacing w:before="0" w:after="1456" w:line="20" w:lineRule="exact"/>
        <w:sectPr>
          <w:type w:val="nextPage"/>
          <w:pgSz w:w="11909" w:h="16838" w:orient="portrait"/>
          <w:pgMar w:bottom="1082" w:top="1140" w:right="1871" w:left="1958"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440</w:t>
      </w:r>
    </w:p>
    <w:p>
      <w:pPr>
        <w:sectPr>
          <w:type w:val="continuous"/>
          <w:pgSz w:w="11909" w:h="16838" w:orient="portrait"/>
          <w:pgMar w:bottom="1082" w:top="1140" w:right="5812" w:left="1977" w:header="720" w:footer="720"/>
          <w:titlePg w:val="false"/>
          <w:textDirection w:val="lrTb"/>
        </w:sectPr>
      </w:pPr>
    </w:p>
    <w:p>
      <w:pPr>
        <w:spacing w:before="6" w:after="0" w:line="226"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spacing w:before="235" w:after="226" w:line="226" w:lineRule="exact"/>
        <w:ind w:right="0" w:left="72" w:firstLine="0"/>
        <w:jc w:val="left"/>
        <w:textAlignment w:val="baseline"/>
        <w:rPr>
          <w:rFonts w:ascii="Times New Roman" w:hAnsi="Times New Roman" w:eastAsia="Times New Roman"/>
          <w:color w:val="000000"/>
          <w:spacing w:val="3"/>
          <w:w w:val="100"/>
          <w:sz w:val="20"/>
          <w:vertAlign w:val="baseline"/>
          <w:lang w:val="en-US"/>
        </w:rPr>
      </w:pPr>
      <w:r>
        <w:rPr>
          <w:rFonts w:ascii="Times New Roman" w:hAnsi="Times New Roman" w:eastAsia="Times New Roman"/>
          <w:color w:val="000000"/>
          <w:spacing w:val="3"/>
          <w:w w:val="100"/>
          <w:sz w:val="20"/>
          <w:vertAlign w:val="baseline"/>
          <w:lang w:val="en-US"/>
        </w:rPr>
        <w:t xml:space="preserve">Schedule 4 High risk work licences—competency requirements</w:t>
      </w:r>
    </w:p>
    <w:p>
      <w:pPr>
        <w:spacing w:before="268" w:after="0" w:line="20" w:lineRule="exact"/>
      </w:pPr>
      <w:r>
        <w:pict>
          <v:line strokeweight="0.5pt" strokecolor="#000000" from="95.95pt,103.9pt" to="498.05pt,103.9pt" style="position:absolute;mso-position-horizontal-relative:page;mso-position-vertical-relative:page;">
            <v:stroke dashstyle="solid"/>
          </v:line>
        </w:pict>
      </w:r>
      <w:r>
        <w:pict>
          <v:line strokeweight="0.5pt" strokecolor="#000000" from="104.9pt,115.9pt" to="501.95pt,115.9pt" style="position:absolute;mso-position-horizontal-relative:page;mso-position-vertical-relative:page;">
            <v:stroke dashstyle="solid"/>
          </v:line>
        </w:pict>
      </w:r>
    </w:p>
    <w:tbl>
      <w:tblPr>
        <w:jc w:val="left"/>
        <w:tblLayout w:type="fixed"/>
        <w:tblCellMar>
          <w:left w:w="0" w:type="dxa"/>
          <w:right w:w="0" w:type="dxa"/>
        </w:tblCellMar>
      </w:tblPr>
      <w:tblGrid>
        <w:gridCol w:w="788"/>
        <w:gridCol w:w="2251"/>
        <w:gridCol w:w="5080"/>
      </w:tblGrid>
      <w:tr>
        <w:trPr>
          <w:trHeight w:val="318" w:hRule="exact"/>
        </w:trPr>
        <w:tc>
          <w:tcPr>
            <w:tcW w:w="788" w:type="dxa"/>
            <w:tcBorders>
              <w:top w:val="none"/>
              <w:left w:val="none"/>
              <w:bottom w:val="single" w:sz="4" w:color="000000"/>
              <w:right w:val="none"/>
            </w:tcBorders>
            <w:textDirection w:val="lrTb"/>
            <w:vAlign w:val="center"/>
          </w:tcPr>
          <w:p>
            <w:pPr>
              <w:spacing w:before="39" w:after="40" w:line="225" w:lineRule="exact"/>
              <w:ind w:right="0" w:left="28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Item</w:t>
            </w:r>
          </w:p>
        </w:tc>
        <w:tc>
          <w:tcPr>
            <w:tcW w:w="2251" w:type="dxa"/>
            <w:tcBorders>
              <w:top w:val="none"/>
              <w:left w:val="none"/>
              <w:bottom w:val="single" w:sz="4" w:color="000000"/>
              <w:right w:val="none"/>
            </w:tcBorders>
            <w:textDirection w:val="lrTb"/>
            <w:vAlign w:val="center"/>
          </w:tcPr>
          <w:p>
            <w:pPr>
              <w:spacing w:before="39" w:after="40" w:line="225" w:lineRule="exact"/>
              <w:ind w:right="0" w:left="111"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Licence Class</w:t>
            </w:r>
          </w:p>
        </w:tc>
        <w:tc>
          <w:tcPr>
            <w:tcW w:w="5080" w:type="dxa"/>
            <w:tcBorders>
              <w:top w:val="none"/>
              <w:left w:val="none"/>
              <w:bottom w:val="single" w:sz="4" w:color="000000"/>
              <w:right w:val="none"/>
            </w:tcBorders>
            <w:textDirection w:val="lrTb"/>
            <w:vAlign w:val="center"/>
          </w:tcPr>
          <w:p>
            <w:pPr>
              <w:spacing w:before="39" w:after="40" w:line="225" w:lineRule="exact"/>
              <w:ind w:right="0" w:left="111"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VET course</w:t>
            </w:r>
          </w:p>
        </w:tc>
      </w:tr>
      <w:tr>
        <w:trPr>
          <w:trHeight w:val="514" w:hRule="exact"/>
        </w:trPr>
        <w:tc>
          <w:tcPr>
            <w:tcW w:w="788" w:type="dxa"/>
            <w:tcBorders>
              <w:top w:val="single" w:sz="4" w:color="000000"/>
              <w:left w:val="none"/>
              <w:bottom w:val="none"/>
              <w:right w:val="none"/>
            </w:tcBorders>
            <w:textDirection w:val="lrTb"/>
            <w:vAlign w:val="top"/>
          </w:tcPr>
          <w:p>
            <w:pPr>
              <w:spacing w:before="71" w:after="207" w:line="226" w:lineRule="exact"/>
              <w:ind w:right="0" w:left="28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15</w:t>
            </w:r>
          </w:p>
        </w:tc>
        <w:tc>
          <w:tcPr>
            <w:tcW w:w="2251" w:type="dxa"/>
            <w:tcBorders>
              <w:top w:val="single" w:sz="4" w:color="000000"/>
              <w:left w:val="none"/>
              <w:bottom w:val="none"/>
              <w:right w:val="none"/>
            </w:tcBorders>
            <w:textDirection w:val="lrTb"/>
            <w:vAlign w:val="top"/>
          </w:tcPr>
          <w:p>
            <w:pPr>
              <w:spacing w:before="52" w:after="0" w:line="226" w:lineRule="exact"/>
              <w:ind w:right="0" w:left="10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Slewing mobile crane— with a capacity up to</w:t>
            </w:r>
          </w:p>
        </w:tc>
        <w:tc>
          <w:tcPr>
            <w:tcW w:w="5080" w:type="dxa"/>
            <w:tcBorders>
              <w:top w:val="single" w:sz="4" w:color="000000"/>
              <w:left w:val="none"/>
              <w:bottom w:val="none"/>
              <w:right w:val="none"/>
            </w:tcBorders>
            <w:textDirection w:val="lrTb"/>
            <w:vAlign w:val="top"/>
          </w:tcPr>
          <w:p>
            <w:pPr>
              <w:spacing w:before="71" w:after="207" w:line="226"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Licence to operate a slewing mobile crane (up to 20 tonnes)</w:t>
            </w:r>
          </w:p>
        </w:tc>
      </w:tr>
      <w:tr>
        <w:trPr>
          <w:trHeight w:val="293" w:hRule="exact"/>
        </w:trPr>
        <w:tc>
          <w:tcPr>
            <w:tcW w:w="788"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251" w:type="dxa"/>
            <w:tcBorders>
              <w:top w:val="none"/>
              <w:left w:val="none"/>
              <w:bottom w:val="none"/>
              <w:right w:val="none"/>
            </w:tcBorders>
            <w:textDirection w:val="lrTb"/>
            <w:vAlign w:val="center"/>
          </w:tcPr>
          <w:p>
            <w:pPr>
              <w:spacing w:before="0" w:after="53" w:line="226"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 tonnes</w:t>
            </w:r>
          </w:p>
        </w:tc>
        <w:tc>
          <w:tcPr>
            <w:tcW w:w="5080"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r>
      <w:tr>
        <w:trPr>
          <w:trHeight w:val="523" w:hRule="exact"/>
        </w:trPr>
        <w:tc>
          <w:tcPr>
            <w:tcW w:w="788" w:type="dxa"/>
            <w:tcBorders>
              <w:top w:val="none"/>
              <w:left w:val="none"/>
              <w:bottom w:val="none"/>
              <w:right w:val="none"/>
            </w:tcBorders>
            <w:textDirection w:val="lrTb"/>
            <w:vAlign w:val="top"/>
          </w:tcPr>
          <w:p>
            <w:pPr>
              <w:spacing w:before="75" w:after="217" w:line="226" w:lineRule="exact"/>
              <w:ind w:right="0" w:left="28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16</w:t>
            </w:r>
          </w:p>
        </w:tc>
        <w:tc>
          <w:tcPr>
            <w:tcW w:w="2251" w:type="dxa"/>
            <w:tcBorders>
              <w:top w:val="none"/>
              <w:left w:val="none"/>
              <w:bottom w:val="none"/>
              <w:right w:val="none"/>
            </w:tcBorders>
            <w:textDirection w:val="lrTb"/>
            <w:vAlign w:val="center"/>
          </w:tcPr>
          <w:p>
            <w:pPr>
              <w:spacing w:before="63" w:after="0" w:line="227" w:lineRule="exact"/>
              <w:ind w:right="0" w:left="10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Slewing mobile crane— with a capacity up to</w:t>
            </w:r>
          </w:p>
        </w:tc>
        <w:tc>
          <w:tcPr>
            <w:tcW w:w="5080" w:type="dxa"/>
            <w:tcBorders>
              <w:top w:val="none"/>
              <w:left w:val="none"/>
              <w:bottom w:val="none"/>
              <w:right w:val="none"/>
            </w:tcBorders>
            <w:textDirection w:val="lrTb"/>
            <w:vAlign w:val="top"/>
          </w:tcPr>
          <w:p>
            <w:pPr>
              <w:spacing w:before="75" w:after="217" w:line="226"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Licence to operate a slewing mobile crane (up to 60 tonnes)</w:t>
            </w:r>
          </w:p>
        </w:tc>
      </w:tr>
      <w:tr>
        <w:trPr>
          <w:trHeight w:val="288" w:hRule="exact"/>
        </w:trPr>
        <w:tc>
          <w:tcPr>
            <w:tcW w:w="788"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251" w:type="dxa"/>
            <w:tcBorders>
              <w:top w:val="none"/>
              <w:left w:val="none"/>
              <w:bottom w:val="none"/>
              <w:right w:val="none"/>
            </w:tcBorders>
            <w:textDirection w:val="lrTb"/>
            <w:vAlign w:val="center"/>
          </w:tcPr>
          <w:p>
            <w:pPr>
              <w:spacing w:before="0" w:after="49" w:line="226"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60 tonnes</w:t>
            </w:r>
          </w:p>
        </w:tc>
        <w:tc>
          <w:tcPr>
            <w:tcW w:w="5080"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r>
      <w:tr>
        <w:trPr>
          <w:trHeight w:val="293" w:hRule="exact"/>
        </w:trPr>
        <w:tc>
          <w:tcPr>
            <w:tcW w:w="788" w:type="dxa"/>
            <w:tcBorders>
              <w:top w:val="none"/>
              <w:left w:val="none"/>
              <w:bottom w:val="none"/>
              <w:right w:val="none"/>
            </w:tcBorders>
            <w:textDirection w:val="lrTb"/>
            <w:vAlign w:val="center"/>
          </w:tcPr>
          <w:p>
            <w:pPr>
              <w:spacing w:before="76" w:after="0" w:line="207" w:lineRule="exact"/>
              <w:ind w:right="0" w:left="28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17</w:t>
            </w:r>
          </w:p>
        </w:tc>
        <w:tc>
          <w:tcPr>
            <w:tcW w:w="2251" w:type="dxa"/>
            <w:tcBorders>
              <w:top w:val="none"/>
              <w:left w:val="none"/>
              <w:bottom w:val="none"/>
              <w:right w:val="none"/>
            </w:tcBorders>
            <w:textDirection w:val="lrTb"/>
            <w:vAlign w:val="center"/>
          </w:tcPr>
          <w:p>
            <w:pPr>
              <w:spacing w:before="71" w:after="0" w:line="212"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Slewing mobile crane—</w:t>
            </w:r>
          </w:p>
        </w:tc>
        <w:tc>
          <w:tcPr>
            <w:tcW w:w="5080" w:type="dxa"/>
            <w:tcBorders>
              <w:top w:val="none"/>
              <w:left w:val="none"/>
              <w:bottom w:val="none"/>
              <w:right w:val="none"/>
            </w:tcBorders>
            <w:textDirection w:val="lrTb"/>
            <w:vAlign w:val="center"/>
          </w:tcPr>
          <w:p>
            <w:pPr>
              <w:spacing w:before="71" w:after="0" w:line="212"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Licence to operate a slewing mobile crane (up to</w:t>
            </w:r>
          </w:p>
        </w:tc>
      </w:tr>
      <w:tr>
        <w:trPr>
          <w:trHeight w:val="513" w:hRule="exact"/>
        </w:trPr>
        <w:tc>
          <w:tcPr>
            <w:tcW w:w="788"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251" w:type="dxa"/>
            <w:tcBorders>
              <w:top w:val="none"/>
              <w:left w:val="none"/>
              <w:bottom w:val="none"/>
              <w:right w:val="none"/>
            </w:tcBorders>
            <w:textDirection w:val="lrTb"/>
            <w:vAlign w:val="top"/>
          </w:tcPr>
          <w:p>
            <w:pPr>
              <w:spacing w:before="0" w:after="43" w:line="231" w:lineRule="exact"/>
              <w:ind w:right="468" w:left="10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with a capacity up to 100 tonnes</w:t>
            </w:r>
          </w:p>
        </w:tc>
        <w:tc>
          <w:tcPr>
            <w:tcW w:w="5080" w:type="dxa"/>
            <w:tcBorders>
              <w:top w:val="none"/>
              <w:left w:val="none"/>
              <w:bottom w:val="none"/>
              <w:right w:val="none"/>
            </w:tcBorders>
            <w:textDirection w:val="lrTb"/>
            <w:vAlign w:val="top"/>
          </w:tcPr>
          <w:p>
            <w:pPr>
              <w:spacing w:before="0" w:after="274" w:line="226"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100 tonnes)</w:t>
            </w:r>
          </w:p>
        </w:tc>
      </w:tr>
      <w:tr>
        <w:trPr>
          <w:trHeight w:val="528" w:hRule="exact"/>
        </w:trPr>
        <w:tc>
          <w:tcPr>
            <w:tcW w:w="788" w:type="dxa"/>
            <w:tcBorders>
              <w:top w:val="none"/>
              <w:left w:val="none"/>
              <w:bottom w:val="none"/>
              <w:right w:val="none"/>
            </w:tcBorders>
            <w:textDirection w:val="lrTb"/>
            <w:vAlign w:val="top"/>
          </w:tcPr>
          <w:p>
            <w:pPr>
              <w:spacing w:before="76" w:after="212" w:line="226" w:lineRule="exact"/>
              <w:ind w:right="0" w:left="28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18</w:t>
            </w:r>
          </w:p>
        </w:tc>
        <w:tc>
          <w:tcPr>
            <w:tcW w:w="2251" w:type="dxa"/>
            <w:tcBorders>
              <w:top w:val="none"/>
              <w:left w:val="none"/>
              <w:bottom w:val="none"/>
              <w:right w:val="none"/>
            </w:tcBorders>
            <w:textDirection w:val="lrTb"/>
            <w:vAlign w:val="center"/>
          </w:tcPr>
          <w:p>
            <w:pPr>
              <w:spacing w:before="58" w:after="0" w:line="228" w:lineRule="exact"/>
              <w:ind w:right="0" w:left="10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Slewing mobile crane— with a capacity over</w:t>
            </w:r>
          </w:p>
        </w:tc>
        <w:tc>
          <w:tcPr>
            <w:tcW w:w="5080" w:type="dxa"/>
            <w:tcBorders>
              <w:top w:val="none"/>
              <w:left w:val="none"/>
              <w:bottom w:val="none"/>
              <w:right w:val="none"/>
            </w:tcBorders>
            <w:textDirection w:val="lrTb"/>
            <w:vAlign w:val="top"/>
          </w:tcPr>
          <w:p>
            <w:pPr>
              <w:spacing w:before="76" w:after="212" w:line="226"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Licence to operate a slewing mobile crane (over 100 tonnes)</w:t>
            </w:r>
          </w:p>
        </w:tc>
      </w:tr>
      <w:tr>
        <w:trPr>
          <w:trHeight w:val="288" w:hRule="exact"/>
        </w:trPr>
        <w:tc>
          <w:tcPr>
            <w:tcW w:w="788"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251" w:type="dxa"/>
            <w:tcBorders>
              <w:top w:val="none"/>
              <w:left w:val="none"/>
              <w:bottom w:val="none"/>
              <w:right w:val="none"/>
            </w:tcBorders>
            <w:textDirection w:val="lrTb"/>
            <w:vAlign w:val="center"/>
          </w:tcPr>
          <w:p>
            <w:pPr>
              <w:spacing w:before="0" w:after="39" w:line="226"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100 tonnes</w:t>
            </w:r>
          </w:p>
        </w:tc>
        <w:tc>
          <w:tcPr>
            <w:tcW w:w="5080"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r>
      <w:tr>
        <w:trPr>
          <w:trHeight w:val="351" w:hRule="exact"/>
        </w:trPr>
        <w:tc>
          <w:tcPr>
            <w:tcW w:w="788" w:type="dxa"/>
            <w:tcBorders>
              <w:top w:val="none"/>
              <w:left w:val="none"/>
              <w:bottom w:val="none"/>
              <w:right w:val="none"/>
            </w:tcBorders>
            <w:textDirection w:val="lrTb"/>
            <w:vAlign w:val="center"/>
          </w:tcPr>
          <w:p>
            <w:pPr>
              <w:spacing w:before="71" w:after="49" w:line="226" w:lineRule="exact"/>
              <w:ind w:right="0" w:left="28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19</w:t>
            </w:r>
          </w:p>
        </w:tc>
        <w:tc>
          <w:tcPr>
            <w:tcW w:w="2251" w:type="dxa"/>
            <w:tcBorders>
              <w:top w:val="none"/>
              <w:left w:val="none"/>
              <w:bottom w:val="none"/>
              <w:right w:val="none"/>
            </w:tcBorders>
            <w:textDirection w:val="lrTb"/>
            <w:vAlign w:val="center"/>
          </w:tcPr>
          <w:p>
            <w:pPr>
              <w:spacing w:before="71" w:after="49" w:line="226"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Materials hoist</w:t>
            </w:r>
          </w:p>
        </w:tc>
        <w:tc>
          <w:tcPr>
            <w:tcW w:w="5080" w:type="dxa"/>
            <w:tcBorders>
              <w:top w:val="none"/>
              <w:left w:val="none"/>
              <w:bottom w:val="none"/>
              <w:right w:val="none"/>
            </w:tcBorders>
            <w:textDirection w:val="lrTb"/>
            <w:vAlign w:val="center"/>
          </w:tcPr>
          <w:p>
            <w:pPr>
              <w:spacing w:before="71" w:after="49" w:line="226"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Licence to operate a materials hoist</w:t>
            </w:r>
          </w:p>
        </w:tc>
      </w:tr>
      <w:tr>
        <w:trPr>
          <w:trHeight w:val="576" w:hRule="exact"/>
        </w:trPr>
        <w:tc>
          <w:tcPr>
            <w:tcW w:w="788" w:type="dxa"/>
            <w:tcBorders>
              <w:top w:val="none"/>
              <w:left w:val="none"/>
              <w:bottom w:val="none"/>
              <w:right w:val="none"/>
            </w:tcBorders>
            <w:textDirection w:val="lrTb"/>
            <w:vAlign w:val="top"/>
          </w:tcPr>
          <w:p>
            <w:pPr>
              <w:spacing w:before="71" w:after="274" w:line="226" w:lineRule="exact"/>
              <w:ind w:right="0" w:left="28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w:t>
            </w:r>
          </w:p>
        </w:tc>
        <w:tc>
          <w:tcPr>
            <w:tcW w:w="2251" w:type="dxa"/>
            <w:tcBorders>
              <w:top w:val="none"/>
              <w:left w:val="none"/>
              <w:bottom w:val="none"/>
              <w:right w:val="none"/>
            </w:tcBorders>
            <w:textDirection w:val="lrTb"/>
            <w:vAlign w:val="top"/>
          </w:tcPr>
          <w:p>
            <w:pPr>
              <w:spacing w:before="62" w:after="49" w:line="230" w:lineRule="exact"/>
              <w:ind w:right="0" w:left="10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Personnel and materials hoist</w:t>
            </w:r>
          </w:p>
        </w:tc>
        <w:tc>
          <w:tcPr>
            <w:tcW w:w="5080" w:type="dxa"/>
            <w:tcBorders>
              <w:top w:val="none"/>
              <w:left w:val="none"/>
              <w:bottom w:val="none"/>
              <w:right w:val="none"/>
            </w:tcBorders>
            <w:textDirection w:val="lrTb"/>
            <w:vAlign w:val="top"/>
          </w:tcPr>
          <w:p>
            <w:pPr>
              <w:spacing w:before="71" w:after="274" w:line="226"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Licence to operate a personnel and materials hoist</w:t>
            </w:r>
          </w:p>
        </w:tc>
      </w:tr>
      <w:tr>
        <w:trPr>
          <w:trHeight w:val="288" w:hRule="exact"/>
        </w:trPr>
        <w:tc>
          <w:tcPr>
            <w:tcW w:w="788" w:type="dxa"/>
            <w:tcBorders>
              <w:top w:val="none"/>
              <w:left w:val="none"/>
              <w:bottom w:val="none"/>
              <w:right w:val="none"/>
            </w:tcBorders>
            <w:textDirection w:val="lrTb"/>
            <w:vAlign w:val="center"/>
          </w:tcPr>
          <w:p>
            <w:pPr>
              <w:spacing w:before="75" w:after="0" w:line="208" w:lineRule="exact"/>
              <w:ind w:right="0" w:left="28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21</w:t>
            </w:r>
          </w:p>
        </w:tc>
        <w:tc>
          <w:tcPr>
            <w:tcW w:w="2251" w:type="dxa"/>
            <w:tcBorders>
              <w:top w:val="none"/>
              <w:left w:val="none"/>
              <w:bottom w:val="none"/>
              <w:right w:val="none"/>
            </w:tcBorders>
            <w:textDirection w:val="lrTb"/>
            <w:vAlign w:val="center"/>
          </w:tcPr>
          <w:p>
            <w:pPr>
              <w:spacing w:before="71" w:after="0" w:line="212"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Boom-type elevating</w:t>
            </w:r>
          </w:p>
        </w:tc>
        <w:tc>
          <w:tcPr>
            <w:tcW w:w="5080" w:type="dxa"/>
            <w:tcBorders>
              <w:top w:val="none"/>
              <w:left w:val="none"/>
              <w:bottom w:val="none"/>
              <w:right w:val="none"/>
            </w:tcBorders>
            <w:textDirection w:val="lrTb"/>
            <w:vAlign w:val="center"/>
          </w:tcPr>
          <w:p>
            <w:pPr>
              <w:spacing w:before="71" w:after="0" w:line="212"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Licence to operate a boom-type elevating work platform</w:t>
            </w:r>
          </w:p>
        </w:tc>
      </w:tr>
      <w:tr>
        <w:trPr>
          <w:trHeight w:val="293" w:hRule="exact"/>
        </w:trPr>
        <w:tc>
          <w:tcPr>
            <w:tcW w:w="788"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251" w:type="dxa"/>
            <w:tcBorders>
              <w:top w:val="none"/>
              <w:left w:val="none"/>
              <w:bottom w:val="none"/>
              <w:right w:val="none"/>
            </w:tcBorders>
            <w:textDirection w:val="lrTb"/>
            <w:vAlign w:val="center"/>
          </w:tcPr>
          <w:p>
            <w:pPr>
              <w:spacing w:before="0" w:after="44" w:line="226"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work platform</w:t>
            </w:r>
          </w:p>
        </w:tc>
        <w:tc>
          <w:tcPr>
            <w:tcW w:w="5080" w:type="dxa"/>
            <w:tcBorders>
              <w:top w:val="none"/>
              <w:left w:val="none"/>
              <w:bottom w:val="none"/>
              <w:right w:val="none"/>
            </w:tcBorders>
            <w:textDirection w:val="lrTb"/>
            <w:vAlign w:val="center"/>
          </w:tcPr>
          <w:p>
            <w:pPr>
              <w:spacing w:before="0" w:after="44" w:line="226"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(boom length 11 metres or more)</w:t>
            </w:r>
          </w:p>
        </w:tc>
      </w:tr>
      <w:tr>
        <w:trPr>
          <w:trHeight w:val="350" w:hRule="exact"/>
        </w:trPr>
        <w:tc>
          <w:tcPr>
            <w:tcW w:w="788" w:type="dxa"/>
            <w:tcBorders>
              <w:top w:val="none"/>
              <w:left w:val="none"/>
              <w:bottom w:val="none"/>
              <w:right w:val="none"/>
            </w:tcBorders>
            <w:textDirection w:val="lrTb"/>
            <w:vAlign w:val="center"/>
          </w:tcPr>
          <w:p>
            <w:pPr>
              <w:spacing w:before="75" w:after="49" w:line="226" w:lineRule="exact"/>
              <w:ind w:right="0" w:left="28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22</w:t>
            </w:r>
          </w:p>
        </w:tc>
        <w:tc>
          <w:tcPr>
            <w:tcW w:w="2251" w:type="dxa"/>
            <w:tcBorders>
              <w:top w:val="none"/>
              <w:left w:val="none"/>
              <w:bottom w:val="none"/>
              <w:right w:val="none"/>
            </w:tcBorders>
            <w:textDirection w:val="lrTb"/>
            <w:vAlign w:val="center"/>
          </w:tcPr>
          <w:p>
            <w:pPr>
              <w:spacing w:before="75" w:after="49" w:line="226"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Concrete placing boom</w:t>
            </w:r>
          </w:p>
        </w:tc>
        <w:tc>
          <w:tcPr>
            <w:tcW w:w="5080" w:type="dxa"/>
            <w:tcBorders>
              <w:top w:val="none"/>
              <w:left w:val="none"/>
              <w:bottom w:val="none"/>
              <w:right w:val="none"/>
            </w:tcBorders>
            <w:textDirection w:val="lrTb"/>
            <w:vAlign w:val="center"/>
          </w:tcPr>
          <w:p>
            <w:pPr>
              <w:spacing w:before="75" w:after="49" w:line="226"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Licence to operate a concrete placing boom</w:t>
            </w:r>
          </w:p>
        </w:tc>
      </w:tr>
      <w:tr>
        <w:trPr>
          <w:trHeight w:val="581" w:hRule="exact"/>
        </w:trPr>
        <w:tc>
          <w:tcPr>
            <w:tcW w:w="788" w:type="dxa"/>
            <w:tcBorders>
              <w:top w:val="none"/>
              <w:left w:val="none"/>
              <w:bottom w:val="none"/>
              <w:right w:val="none"/>
            </w:tcBorders>
            <w:textDirection w:val="lrTb"/>
            <w:vAlign w:val="top"/>
          </w:tcPr>
          <w:p>
            <w:pPr>
              <w:spacing w:before="71" w:after="279" w:line="226" w:lineRule="exact"/>
              <w:ind w:right="0" w:left="28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23</w:t>
            </w:r>
          </w:p>
        </w:tc>
        <w:tc>
          <w:tcPr>
            <w:tcW w:w="2251" w:type="dxa"/>
            <w:tcBorders>
              <w:top w:val="none"/>
              <w:left w:val="none"/>
              <w:bottom w:val="none"/>
              <w:right w:val="none"/>
            </w:tcBorders>
            <w:textDirection w:val="lrTb"/>
            <w:vAlign w:val="top"/>
          </w:tcPr>
          <w:p>
            <w:pPr>
              <w:spacing w:before="71" w:after="279" w:line="226"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Reach stacker</w:t>
            </w:r>
          </w:p>
        </w:tc>
        <w:tc>
          <w:tcPr>
            <w:tcW w:w="5080" w:type="dxa"/>
            <w:tcBorders>
              <w:top w:val="none"/>
              <w:left w:val="none"/>
              <w:bottom w:val="none"/>
              <w:right w:val="none"/>
            </w:tcBorders>
            <w:textDirection w:val="lrTb"/>
            <w:vAlign w:val="top"/>
          </w:tcPr>
          <w:p>
            <w:pPr>
              <w:spacing w:before="57" w:after="49" w:line="235" w:lineRule="exact"/>
              <w:ind w:right="324" w:left="10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Licence to operate a reach stacker of greater than 3 tonnes capacity</w:t>
            </w:r>
          </w:p>
        </w:tc>
      </w:tr>
      <w:tr>
        <w:trPr>
          <w:trHeight w:val="345" w:hRule="exact"/>
        </w:trPr>
        <w:tc>
          <w:tcPr>
            <w:tcW w:w="788" w:type="dxa"/>
            <w:tcBorders>
              <w:top w:val="none"/>
              <w:left w:val="none"/>
              <w:bottom w:val="none"/>
              <w:right w:val="none"/>
            </w:tcBorders>
            <w:textDirection w:val="lrTb"/>
            <w:vAlign w:val="center"/>
          </w:tcPr>
          <w:p>
            <w:pPr>
              <w:spacing w:before="71" w:after="43" w:line="226" w:lineRule="exact"/>
              <w:ind w:right="0" w:left="28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24</w:t>
            </w:r>
          </w:p>
        </w:tc>
        <w:tc>
          <w:tcPr>
            <w:tcW w:w="2251" w:type="dxa"/>
            <w:tcBorders>
              <w:top w:val="none"/>
              <w:left w:val="none"/>
              <w:bottom w:val="none"/>
              <w:right w:val="none"/>
            </w:tcBorders>
            <w:textDirection w:val="lrTb"/>
            <w:vAlign w:val="center"/>
          </w:tcPr>
          <w:p>
            <w:pPr>
              <w:spacing w:before="71" w:after="43" w:line="226"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Forklift truck</w:t>
            </w:r>
          </w:p>
        </w:tc>
        <w:tc>
          <w:tcPr>
            <w:tcW w:w="5080" w:type="dxa"/>
            <w:tcBorders>
              <w:top w:val="none"/>
              <w:left w:val="none"/>
              <w:bottom w:val="none"/>
              <w:right w:val="none"/>
            </w:tcBorders>
            <w:textDirection w:val="lrTb"/>
            <w:vAlign w:val="center"/>
          </w:tcPr>
          <w:p>
            <w:pPr>
              <w:spacing w:before="71" w:after="43" w:line="226"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Licence to operate a forklift truck</w:t>
            </w:r>
          </w:p>
        </w:tc>
      </w:tr>
      <w:tr>
        <w:trPr>
          <w:trHeight w:val="586" w:hRule="exact"/>
        </w:trPr>
        <w:tc>
          <w:tcPr>
            <w:tcW w:w="788" w:type="dxa"/>
            <w:tcBorders>
              <w:top w:val="none"/>
              <w:left w:val="none"/>
              <w:bottom w:val="none"/>
              <w:right w:val="none"/>
            </w:tcBorders>
            <w:textDirection w:val="lrTb"/>
            <w:vAlign w:val="top"/>
          </w:tcPr>
          <w:p>
            <w:pPr>
              <w:spacing w:before="76" w:after="284" w:line="226" w:lineRule="exact"/>
              <w:ind w:right="0" w:left="28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25</w:t>
            </w:r>
          </w:p>
        </w:tc>
        <w:tc>
          <w:tcPr>
            <w:tcW w:w="2251" w:type="dxa"/>
            <w:tcBorders>
              <w:top w:val="none"/>
              <w:left w:val="none"/>
              <w:bottom w:val="none"/>
              <w:right w:val="none"/>
            </w:tcBorders>
            <w:textDirection w:val="lrTb"/>
            <w:vAlign w:val="top"/>
          </w:tcPr>
          <w:p>
            <w:pPr>
              <w:spacing w:before="62" w:after="54" w:line="235" w:lineRule="exact"/>
              <w:ind w:right="0" w:left="10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Order-picking forklift truck</w:t>
            </w:r>
          </w:p>
        </w:tc>
        <w:tc>
          <w:tcPr>
            <w:tcW w:w="5080" w:type="dxa"/>
            <w:tcBorders>
              <w:top w:val="none"/>
              <w:left w:val="none"/>
              <w:bottom w:val="none"/>
              <w:right w:val="none"/>
            </w:tcBorders>
            <w:textDirection w:val="lrTb"/>
            <w:vAlign w:val="top"/>
          </w:tcPr>
          <w:p>
            <w:pPr>
              <w:spacing w:before="76" w:after="284" w:line="226"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Licence to operate an order picking forklift truck</w:t>
            </w:r>
          </w:p>
        </w:tc>
      </w:tr>
      <w:tr>
        <w:trPr>
          <w:trHeight w:val="346" w:hRule="exact"/>
        </w:trPr>
        <w:tc>
          <w:tcPr>
            <w:tcW w:w="788" w:type="dxa"/>
            <w:tcBorders>
              <w:top w:val="none"/>
              <w:left w:val="none"/>
              <w:bottom w:val="none"/>
              <w:right w:val="none"/>
            </w:tcBorders>
            <w:textDirection w:val="lrTb"/>
            <w:vAlign w:val="center"/>
          </w:tcPr>
          <w:p>
            <w:pPr>
              <w:spacing w:before="71" w:after="48" w:line="226" w:lineRule="exact"/>
              <w:ind w:right="0" w:left="28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26</w:t>
            </w:r>
          </w:p>
        </w:tc>
        <w:tc>
          <w:tcPr>
            <w:tcW w:w="2251" w:type="dxa"/>
            <w:tcBorders>
              <w:top w:val="none"/>
              <w:left w:val="none"/>
              <w:bottom w:val="none"/>
              <w:right w:val="none"/>
            </w:tcBorders>
            <w:textDirection w:val="lrTb"/>
            <w:vAlign w:val="center"/>
          </w:tcPr>
          <w:p>
            <w:pPr>
              <w:spacing w:before="71" w:after="48" w:line="226"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Standard boiler operation</w:t>
            </w:r>
          </w:p>
        </w:tc>
        <w:tc>
          <w:tcPr>
            <w:tcW w:w="5080" w:type="dxa"/>
            <w:tcBorders>
              <w:top w:val="none"/>
              <w:left w:val="none"/>
              <w:bottom w:val="none"/>
              <w:right w:val="none"/>
            </w:tcBorders>
            <w:textDirection w:val="lrTb"/>
            <w:vAlign w:val="center"/>
          </w:tcPr>
          <w:p>
            <w:pPr>
              <w:spacing w:before="71" w:after="48" w:line="226"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Licence to operate a standard boiler</w:t>
            </w:r>
          </w:p>
        </w:tc>
      </w:tr>
      <w:tr>
        <w:trPr>
          <w:trHeight w:val="292" w:hRule="exact"/>
        </w:trPr>
        <w:tc>
          <w:tcPr>
            <w:tcW w:w="788" w:type="dxa"/>
            <w:tcBorders>
              <w:top w:val="none"/>
              <w:left w:val="none"/>
              <w:bottom w:val="none"/>
              <w:right w:val="none"/>
            </w:tcBorders>
            <w:textDirection w:val="lrTb"/>
            <w:vAlign w:val="center"/>
          </w:tcPr>
          <w:p>
            <w:pPr>
              <w:spacing w:before="75" w:after="0" w:line="212" w:lineRule="exact"/>
              <w:ind w:right="0" w:left="28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27</w:t>
            </w:r>
          </w:p>
        </w:tc>
        <w:tc>
          <w:tcPr>
            <w:tcW w:w="2251" w:type="dxa"/>
            <w:tcBorders>
              <w:top w:val="none"/>
              <w:left w:val="none"/>
              <w:bottom w:val="none"/>
              <w:right w:val="none"/>
            </w:tcBorders>
            <w:textDirection w:val="lrTb"/>
            <w:vAlign w:val="center"/>
          </w:tcPr>
          <w:p>
            <w:pPr>
              <w:spacing w:before="70" w:after="0" w:line="217"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Advanced boiler</w:t>
            </w:r>
          </w:p>
        </w:tc>
        <w:tc>
          <w:tcPr>
            <w:tcW w:w="5080" w:type="dxa"/>
            <w:tcBorders>
              <w:top w:val="none"/>
              <w:left w:val="none"/>
              <w:bottom w:val="none"/>
              <w:right w:val="none"/>
            </w:tcBorders>
            <w:textDirection w:val="lrTb"/>
            <w:vAlign w:val="center"/>
          </w:tcPr>
          <w:p>
            <w:pPr>
              <w:spacing w:before="75" w:after="0" w:line="212"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Licence to operate a standard boiler; and</w:t>
            </w:r>
          </w:p>
        </w:tc>
      </w:tr>
      <w:tr>
        <w:trPr>
          <w:trHeight w:val="346" w:hRule="exact"/>
        </w:trPr>
        <w:tc>
          <w:tcPr>
            <w:tcW w:w="788"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251" w:type="dxa"/>
            <w:tcBorders>
              <w:top w:val="none"/>
              <w:left w:val="none"/>
              <w:bottom w:val="none"/>
              <w:right w:val="none"/>
            </w:tcBorders>
            <w:textDirection w:val="lrTb"/>
            <w:vAlign w:val="top"/>
          </w:tcPr>
          <w:p>
            <w:pPr>
              <w:spacing w:before="0" w:after="106" w:line="226"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operation</w:t>
            </w:r>
          </w:p>
        </w:tc>
        <w:tc>
          <w:tcPr>
            <w:tcW w:w="5080" w:type="dxa"/>
            <w:tcBorders>
              <w:top w:val="none"/>
              <w:left w:val="none"/>
              <w:bottom w:val="none"/>
              <w:right w:val="none"/>
            </w:tcBorders>
            <w:textDirection w:val="lrTb"/>
            <w:vAlign w:val="center"/>
          </w:tcPr>
          <w:p>
            <w:pPr>
              <w:spacing w:before="71" w:after="44" w:line="226"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Licence to operate an advanced boiler</w:t>
            </w:r>
          </w:p>
        </w:tc>
      </w:tr>
      <w:tr>
        <w:trPr>
          <w:trHeight w:val="350" w:hRule="exact"/>
        </w:trPr>
        <w:tc>
          <w:tcPr>
            <w:tcW w:w="788" w:type="dxa"/>
            <w:tcBorders>
              <w:top w:val="none"/>
              <w:left w:val="none"/>
              <w:bottom w:val="none"/>
              <w:right w:val="none"/>
            </w:tcBorders>
            <w:textDirection w:val="lrTb"/>
            <w:vAlign w:val="center"/>
          </w:tcPr>
          <w:p>
            <w:pPr>
              <w:spacing w:before="76" w:after="38" w:line="226" w:lineRule="exact"/>
              <w:ind w:right="0" w:left="28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28</w:t>
            </w:r>
          </w:p>
        </w:tc>
        <w:tc>
          <w:tcPr>
            <w:tcW w:w="2251" w:type="dxa"/>
            <w:tcBorders>
              <w:top w:val="none"/>
              <w:left w:val="none"/>
              <w:bottom w:val="none"/>
              <w:right w:val="none"/>
            </w:tcBorders>
            <w:textDirection w:val="lrTb"/>
            <w:vAlign w:val="center"/>
          </w:tcPr>
          <w:p>
            <w:pPr>
              <w:spacing w:before="76" w:after="38" w:line="226"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Steam turbine operation</w:t>
            </w:r>
          </w:p>
        </w:tc>
        <w:tc>
          <w:tcPr>
            <w:tcW w:w="5080" w:type="dxa"/>
            <w:tcBorders>
              <w:top w:val="none"/>
              <w:left w:val="none"/>
              <w:bottom w:val="none"/>
              <w:right w:val="none"/>
            </w:tcBorders>
            <w:textDirection w:val="lrTb"/>
            <w:vAlign w:val="center"/>
          </w:tcPr>
          <w:p>
            <w:pPr>
              <w:spacing w:before="76" w:after="38" w:line="226"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Licence to operate a steam turbine</w:t>
            </w:r>
          </w:p>
        </w:tc>
      </w:tr>
      <w:tr>
        <w:trPr>
          <w:trHeight w:val="586" w:hRule="exact"/>
        </w:trPr>
        <w:tc>
          <w:tcPr>
            <w:tcW w:w="788" w:type="dxa"/>
            <w:tcBorders>
              <w:top w:val="none"/>
              <w:left w:val="none"/>
              <w:bottom w:val="single" w:sz="4" w:color="000000"/>
              <w:right w:val="none"/>
            </w:tcBorders>
            <w:textDirection w:val="lrTb"/>
            <w:vAlign w:val="top"/>
          </w:tcPr>
          <w:p>
            <w:pPr>
              <w:spacing w:before="76" w:after="279" w:line="226" w:lineRule="exact"/>
              <w:ind w:right="0" w:left="28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29</w:t>
            </w:r>
          </w:p>
        </w:tc>
        <w:tc>
          <w:tcPr>
            <w:tcW w:w="2251" w:type="dxa"/>
            <w:tcBorders>
              <w:top w:val="none"/>
              <w:left w:val="none"/>
              <w:bottom w:val="single" w:sz="4" w:color="000000"/>
              <w:right w:val="none"/>
            </w:tcBorders>
            <w:textDirection w:val="lrTb"/>
            <w:vAlign w:val="top"/>
          </w:tcPr>
          <w:p>
            <w:pPr>
              <w:spacing w:before="62" w:after="49" w:line="235" w:lineRule="exact"/>
              <w:ind w:right="0" w:left="10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Reciprocating steam engine operation</w:t>
            </w:r>
          </w:p>
        </w:tc>
        <w:tc>
          <w:tcPr>
            <w:tcW w:w="5080" w:type="dxa"/>
            <w:tcBorders>
              <w:top w:val="none"/>
              <w:left w:val="none"/>
              <w:bottom w:val="single" w:sz="4" w:color="000000"/>
              <w:right w:val="none"/>
            </w:tcBorders>
            <w:textDirection w:val="lrTb"/>
            <w:vAlign w:val="top"/>
          </w:tcPr>
          <w:p>
            <w:pPr>
              <w:spacing w:before="76" w:after="279" w:line="226"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Licence to operate a reciprocating steam engine</w:t>
            </w:r>
          </w:p>
        </w:tc>
      </w:tr>
    </w:tbl>
    <w:p>
      <w:pPr>
        <w:spacing w:before="0" w:after="3329" w:line="20" w:lineRule="exact"/>
      </w:pPr>
    </w:p>
    <w:p>
      <w:pPr>
        <w:spacing w:before="333"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4.05pt,0.3pt" style="position:absolute;mso-position-horizontal-relative:text;mso-position-vertical-relative:text;">
            <v:stroke dashstyle="solid"/>
          </v:line>
        </w:pict>
      </w:r>
    </w:p>
    <w:p>
      <w:pPr>
        <w:sectPr>
          <w:type w:val="nextPage"/>
          <w:pgSz w:w="11909" w:h="16838" w:orient="portrait"/>
          <w:pgMar w:bottom="1082" w:top="1140" w:right="1871" w:left="191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441</w:t>
      </w:r>
    </w:p>
    <w:p>
      <w:pPr>
        <w:sectPr>
          <w:type w:val="continuous"/>
          <w:pgSz w:w="11909" w:h="16838" w:orient="portrait"/>
          <w:pgMar w:bottom="1082" w:top="1140" w:right="5819" w:left="1970" w:header="720" w:footer="720"/>
          <w:titlePg w:val="false"/>
          <w:textDirection w:val="lrTb"/>
        </w:sectPr>
      </w:pPr>
    </w:p>
    <w:p>
      <w:pPr>
        <w:spacing w:before="6" w:after="0" w:line="229"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spacing w:before="232" w:after="223" w:line="229" w:lineRule="exact"/>
        <w:ind w:right="0" w:left="72" w:firstLine="0"/>
        <w:jc w:val="left"/>
        <w:textAlignment w:val="baseline"/>
        <w:rPr>
          <w:rFonts w:ascii="Times New Roman" w:hAnsi="Times New Roman" w:eastAsia="Times New Roman"/>
          <w:color w:val="000000"/>
          <w:spacing w:val="3"/>
          <w:w w:val="100"/>
          <w:sz w:val="20"/>
          <w:vertAlign w:val="baseline"/>
          <w:lang w:val="en-US"/>
        </w:rPr>
      </w:pPr>
      <w:r>
        <w:rPr>
          <w:rFonts w:ascii="Times New Roman" w:hAnsi="Times New Roman" w:eastAsia="Times New Roman"/>
          <w:color w:val="000000"/>
          <w:spacing w:val="3"/>
          <w:w w:val="100"/>
          <w:sz w:val="20"/>
          <w:vertAlign w:val="baseline"/>
          <w:lang w:val="en-US"/>
        </w:rPr>
        <w:t xml:space="preserve">Schedule 5 Registration of plant and plant designs</w:t>
      </w:r>
    </w:p>
    <w:p>
      <w:pPr>
        <w:spacing w:before="263" w:after="0" w:line="317" w:lineRule="exact"/>
        <w:ind w:right="0" w:left="72" w:firstLine="0"/>
        <w:jc w:val="left"/>
        <w:textAlignment w:val="baseline"/>
        <w:rPr>
          <w:rFonts w:ascii="Times New Roman" w:hAnsi="Times New Roman" w:eastAsia="Times New Roman"/>
          <w:b w:val="true"/>
          <w:color w:val="000000"/>
          <w:spacing w:val="3"/>
          <w:w w:val="100"/>
          <w:sz w:val="28"/>
          <w:vertAlign w:val="baseline"/>
          <w:lang w:val="en-US"/>
        </w:rPr>
      </w:pPr>
      <w:r>
        <w:pict>
          <v:line strokeweight="0.5pt" strokecolor="#000000" from="95.95pt,103.9pt" to="500pt,103.9pt" style="position:absolute;mso-position-horizontal-relative:page;mso-position-vertical-relative:page;">
            <v:stroke dashstyle="solid"/>
          </v:line>
        </w:pict>
      </w:r>
      <w:r>
        <w:rPr>
          <w:rFonts w:ascii="Times New Roman" w:hAnsi="Times New Roman" w:eastAsia="Times New Roman"/>
          <w:b w:val="true"/>
          <w:color w:val="000000"/>
          <w:spacing w:val="3"/>
          <w:w w:val="100"/>
          <w:sz w:val="28"/>
          <w:vertAlign w:val="baseline"/>
          <w:lang w:val="en-US"/>
        </w:rPr>
        <w:t xml:space="preserve">Schedule 5 Registration of plant and plant designs</w:t>
      </w:r>
    </w:p>
    <w:p>
      <w:pPr>
        <w:spacing w:before="116" w:after="0" w:line="229" w:lineRule="exact"/>
        <w:ind w:right="0" w:left="72"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Regulations 243 and 246</w:t>
      </w:r>
    </w:p>
    <w:p>
      <w:pPr>
        <w:tabs>
          <w:tab w:val="left" w:leader="none" w:pos="1368"/>
        </w:tabs>
        <w:spacing w:before="245" w:after="0" w:line="317" w:lineRule="exact"/>
        <w:ind w:right="0" w:left="72" w:firstLine="0"/>
        <w:jc w:val="left"/>
        <w:textAlignment w:val="baseline"/>
        <w:rPr>
          <w:rFonts w:ascii="Times New Roman" w:hAnsi="Times New Roman" w:eastAsia="Times New Roman"/>
          <w:b w:val="true"/>
          <w:color w:val="000000"/>
          <w:spacing w:val="0"/>
          <w:w w:val="100"/>
          <w:sz w:val="28"/>
          <w:vertAlign w:val="baseline"/>
          <w:lang w:val="en-US"/>
        </w:rPr>
      </w:pPr>
      <w:r>
        <w:rPr>
          <w:rFonts w:ascii="Times New Roman" w:hAnsi="Times New Roman" w:eastAsia="Times New Roman"/>
          <w:b w:val="true"/>
          <w:color w:val="000000"/>
          <w:spacing w:val="0"/>
          <w:w w:val="100"/>
          <w:sz w:val="28"/>
          <w:vertAlign w:val="baseline"/>
          <w:lang w:val="en-US"/>
        </w:rPr>
        <w:t xml:space="preserve">Part 1	</w:t>
      </w:r>
      <w:r>
        <w:rPr>
          <w:rFonts w:ascii="Times New Roman" w:hAnsi="Times New Roman" w:eastAsia="Times New Roman"/>
          <w:b w:val="true"/>
          <w:color w:val="000000"/>
          <w:spacing w:val="0"/>
          <w:w w:val="100"/>
          <w:sz w:val="28"/>
          <w:vertAlign w:val="baseline"/>
          <w:lang w:val="en-US"/>
        </w:rPr>
        <w:t xml:space="preserve">Plant requiring registration of design</w:t>
      </w:r>
    </w:p>
    <w:p>
      <w:pPr>
        <w:spacing w:before="118" w:after="0" w:line="274" w:lineRule="exact"/>
        <w:ind w:right="0" w:left="36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 Items of plant requiring registration of design</w:t>
      </w:r>
    </w:p>
    <w:p>
      <w:pPr>
        <w:spacing w:before="144" w:after="0" w:line="273" w:lineRule="exact"/>
        <w:ind w:right="144" w:left="1440" w:hanging="432"/>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1.1 </w:t>
      </w:r>
      <w:r>
        <w:rPr>
          <w:rFonts w:ascii="Times New Roman" w:hAnsi="Times New Roman" w:eastAsia="Times New Roman"/>
          <w:color w:val="000000"/>
          <w:spacing w:val="-1"/>
          <w:w w:val="100"/>
          <w:sz w:val="24"/>
          <w:vertAlign w:val="baseline"/>
          <w:lang w:val="en-US"/>
        </w:rPr>
        <w:t xml:space="preserve">Pressure equipment, other than pressure piping, and categorised as hazard level A, B, C or D according to the criteria in Section 2.1 of</w:t>
      </w:r>
    </w:p>
    <w:p>
      <w:pPr>
        <w:spacing w:before="1" w:after="0" w:line="273" w:lineRule="exact"/>
        <w:ind w:right="0" w:left="1440"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AS 4343:2014 (Pressure equipment—Hazard levels)).</w:t>
      </w:r>
    </w:p>
    <w:p>
      <w:pPr>
        <w:spacing w:before="143" w:after="0" w:line="274" w:lineRule="exact"/>
        <w:ind w:right="864" w:left="144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1.2 </w:t>
      </w:r>
      <w:r>
        <w:rPr>
          <w:rFonts w:ascii="Times New Roman" w:hAnsi="Times New Roman" w:eastAsia="Times New Roman"/>
          <w:color w:val="000000"/>
          <w:spacing w:val="0"/>
          <w:w w:val="100"/>
          <w:sz w:val="24"/>
          <w:vertAlign w:val="baseline"/>
          <w:lang w:val="en-US"/>
        </w:rPr>
        <w:t xml:space="preserve">Gas cylinders covered by Section 1 of AS 2030.1:2009 (Gas cylinders—General Requirements).</w:t>
      </w:r>
    </w:p>
    <w:p>
      <w:pPr>
        <w:spacing w:before="145"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1.3 T</w:t>
      </w:r>
      <w:r>
        <w:rPr>
          <w:rFonts w:ascii="Times New Roman" w:hAnsi="Times New Roman" w:eastAsia="Times New Roman"/>
          <w:color w:val="000000"/>
          <w:spacing w:val="0"/>
          <w:w w:val="100"/>
          <w:sz w:val="24"/>
          <w:vertAlign w:val="baseline"/>
          <w:lang w:val="en-US"/>
        </w:rPr>
        <w:t xml:space="preserve">ower cranes including self-erecting tower cranes.</w:t>
      </w:r>
    </w:p>
    <w:p>
      <w:pPr>
        <w:spacing w:before="139"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1.4 </w:t>
      </w:r>
      <w:r>
        <w:rPr>
          <w:rFonts w:ascii="Times New Roman" w:hAnsi="Times New Roman" w:eastAsia="Times New Roman"/>
          <w:color w:val="000000"/>
          <w:spacing w:val="0"/>
          <w:w w:val="100"/>
          <w:sz w:val="24"/>
          <w:vertAlign w:val="baseline"/>
          <w:lang w:val="en-US"/>
        </w:rPr>
        <w:t xml:space="preserve">Lifts and escalators and moving walkways.</w:t>
      </w:r>
    </w:p>
    <w:p>
      <w:pPr>
        <w:spacing w:before="140"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1.5 </w:t>
      </w:r>
      <w:r>
        <w:rPr>
          <w:rFonts w:ascii="Times New Roman" w:hAnsi="Times New Roman" w:eastAsia="Times New Roman"/>
          <w:color w:val="000000"/>
          <w:spacing w:val="0"/>
          <w:w w:val="100"/>
          <w:sz w:val="24"/>
          <w:vertAlign w:val="baseline"/>
          <w:lang w:val="en-US"/>
        </w:rPr>
        <w:t xml:space="preserve">Building maintenance units.</w:t>
      </w:r>
    </w:p>
    <w:p>
      <w:pPr>
        <w:spacing w:before="135" w:after="0" w:line="278" w:lineRule="exact"/>
        <w:ind w:right="72" w:left="144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1.6 </w:t>
      </w:r>
      <w:r>
        <w:rPr>
          <w:rFonts w:ascii="Times New Roman" w:hAnsi="Times New Roman" w:eastAsia="Times New Roman"/>
          <w:color w:val="000000"/>
          <w:spacing w:val="0"/>
          <w:w w:val="100"/>
          <w:sz w:val="24"/>
          <w:vertAlign w:val="baseline"/>
          <w:lang w:val="en-US"/>
        </w:rPr>
        <w:t xml:space="preserve">Hoists with a platform movement exceeding 2·4 metres, designed to lift people.</w:t>
      </w:r>
    </w:p>
    <w:p>
      <w:pPr>
        <w:spacing w:before="140"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1.7 </w:t>
      </w:r>
      <w:r>
        <w:rPr>
          <w:rFonts w:ascii="Times New Roman" w:hAnsi="Times New Roman" w:eastAsia="Times New Roman"/>
          <w:color w:val="000000"/>
          <w:spacing w:val="0"/>
          <w:w w:val="100"/>
          <w:sz w:val="24"/>
          <w:vertAlign w:val="baseline"/>
          <w:lang w:val="en-US"/>
        </w:rPr>
        <w:t xml:space="preserve">Work boxes designed to be suspended from cranes.</w:t>
      </w:r>
    </w:p>
    <w:p>
      <w:pPr>
        <w:spacing w:before="137" w:after="0" w:line="276" w:lineRule="exact"/>
        <w:ind w:right="288" w:left="144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1.8 </w:t>
      </w:r>
      <w:r>
        <w:rPr>
          <w:rFonts w:ascii="Times New Roman" w:hAnsi="Times New Roman" w:eastAsia="Times New Roman"/>
          <w:color w:val="000000"/>
          <w:spacing w:val="0"/>
          <w:w w:val="100"/>
          <w:sz w:val="24"/>
          <w:vertAlign w:val="baseline"/>
          <w:lang w:val="en-US"/>
        </w:rPr>
        <w:t xml:space="preserve">Amusement devices classified by Section 2.1 of AS 3533.1:2009 (Amusement rides and devices—Design and construction), except devices specified in clause 2(2).</w:t>
      </w:r>
    </w:p>
    <w:p>
      <w:pPr>
        <w:spacing w:before="125" w:after="0" w:line="273" w:lineRule="exact"/>
        <w:ind w:right="0" w:left="864"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1.8A Passenger ropeways.</w:t>
      </w:r>
    </w:p>
    <w:p>
      <w:pPr>
        <w:spacing w:before="121"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1.9 Concrete placing booms.</w:t>
      </w:r>
    </w:p>
    <w:p>
      <w:pPr>
        <w:spacing w:before="145" w:after="0" w:line="273" w:lineRule="exact"/>
        <w:ind w:right="0" w:left="864"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1.10 </w:t>
      </w:r>
      <w:r>
        <w:rPr>
          <w:rFonts w:ascii="Times New Roman" w:hAnsi="Times New Roman" w:eastAsia="Times New Roman"/>
          <w:color w:val="000000"/>
          <w:spacing w:val="0"/>
          <w:w w:val="100"/>
          <w:sz w:val="24"/>
          <w:vertAlign w:val="baseline"/>
          <w:lang w:val="en-US"/>
        </w:rPr>
        <w:t xml:space="preserve">Prefabricated scaffolding.</w:t>
      </w:r>
    </w:p>
    <w:p>
      <w:pPr>
        <w:spacing w:before="139" w:after="0" w:line="273" w:lineRule="exact"/>
        <w:ind w:right="0" w:left="864"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1.11 </w:t>
      </w:r>
      <w:r>
        <w:rPr>
          <w:rFonts w:ascii="Times New Roman" w:hAnsi="Times New Roman" w:eastAsia="Times New Roman"/>
          <w:color w:val="000000"/>
          <w:spacing w:val="0"/>
          <w:w w:val="100"/>
          <w:sz w:val="24"/>
          <w:vertAlign w:val="baseline"/>
          <w:lang w:val="en-US"/>
        </w:rPr>
        <w:t xml:space="preserve">Boom-type elevating work platforms.</w:t>
      </w:r>
    </w:p>
    <w:p>
      <w:pPr>
        <w:spacing w:before="139" w:after="0" w:line="275" w:lineRule="exact"/>
        <w:ind w:right="432" w:left="1440" w:hanging="576"/>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1.12 </w:t>
      </w:r>
      <w:r>
        <w:rPr>
          <w:rFonts w:ascii="Times New Roman" w:hAnsi="Times New Roman" w:eastAsia="Times New Roman"/>
          <w:color w:val="000000"/>
          <w:spacing w:val="0"/>
          <w:w w:val="100"/>
          <w:sz w:val="24"/>
          <w:vertAlign w:val="baseline"/>
          <w:lang w:val="en-US"/>
        </w:rPr>
        <w:t xml:space="preserve">Gantry cranes with a safe working load greater than 5 tonnes or bridge cranes with a safe working load of greater than 10 tonnes, and any gantry crane or bridge crane which is designed to handle molten metal or Schedule 11 hazardous chemicals.</w:t>
      </w:r>
    </w:p>
    <w:p>
      <w:pPr>
        <w:spacing w:before="144" w:after="0" w:line="273" w:lineRule="exact"/>
        <w:ind w:right="0" w:left="864"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1.13 </w:t>
      </w:r>
      <w:r>
        <w:rPr>
          <w:rFonts w:ascii="Times New Roman" w:hAnsi="Times New Roman" w:eastAsia="Times New Roman"/>
          <w:color w:val="000000"/>
          <w:spacing w:val="0"/>
          <w:w w:val="100"/>
          <w:sz w:val="24"/>
          <w:vertAlign w:val="baseline"/>
          <w:lang w:val="en-US"/>
        </w:rPr>
        <w:t xml:space="preserve">Vehicle hoists.</w:t>
      </w:r>
    </w:p>
    <w:p>
      <w:pPr>
        <w:spacing w:before="140" w:after="0" w:line="273" w:lineRule="exact"/>
        <w:ind w:right="0" w:left="864"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1.14 </w:t>
      </w:r>
      <w:r>
        <w:rPr>
          <w:rFonts w:ascii="Times New Roman" w:hAnsi="Times New Roman" w:eastAsia="Times New Roman"/>
          <w:color w:val="000000"/>
          <w:spacing w:val="0"/>
          <w:w w:val="100"/>
          <w:sz w:val="24"/>
          <w:vertAlign w:val="baseline"/>
          <w:lang w:val="en-US"/>
        </w:rPr>
        <w:t xml:space="preserve">Mast climbing work platforms.</w:t>
      </w:r>
    </w:p>
    <w:p>
      <w:pPr>
        <w:spacing w:before="140" w:after="0" w:line="273" w:lineRule="exact"/>
        <w:ind w:right="0" w:left="72"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1.15 </w:t>
      </w:r>
      <w:r>
        <w:rPr>
          <w:rFonts w:ascii="Times New Roman" w:hAnsi="Times New Roman" w:eastAsia="Times New Roman"/>
          <w:color w:val="000000"/>
          <w:spacing w:val="0"/>
          <w:w w:val="100"/>
          <w:sz w:val="24"/>
          <w:vertAlign w:val="baseline"/>
          <w:lang w:val="en-US"/>
        </w:rPr>
        <w:t xml:space="preserve">Mobile cranes with a rated capacity of greater than 10 tonnes.</w:t>
      </w:r>
    </w:p>
    <w:p>
      <w:pPr>
        <w:spacing w:before="125" w:after="0" w:line="274" w:lineRule="exact"/>
        <w:ind w:right="0" w:left="36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 Exceptions</w:t>
      </w:r>
    </w:p>
    <w:p>
      <w:pPr>
        <w:spacing w:before="120"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items of plant listed in clause 1 do not include:</w:t>
      </w:r>
    </w:p>
    <w:p>
      <w:pPr>
        <w:spacing w:before="125" w:after="936" w:line="273" w:lineRule="exact"/>
        <w:ind w:right="0" w:left="1584"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5.95pt,728.15pt" to="500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a heritage boiler; or</w:t>
      </w:r>
    </w:p>
    <w:p>
      <w:pPr>
        <w:spacing w:before="125" w:after="936" w:line="273" w:lineRule="exact"/>
        <w:sectPr>
          <w:type w:val="nextPage"/>
          <w:pgSz w:w="11909" w:h="16838" w:orient="portrait"/>
          <w:pgMar w:bottom="1082" w:top="1140" w:right="1910" w:left="191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442</w:t>
      </w:r>
    </w:p>
    <w:p>
      <w:pPr>
        <w:sectPr>
          <w:type w:val="continuous"/>
          <w:pgSz w:w="11909" w:h="16838" w:orient="portrait"/>
          <w:pgMar w:bottom="1082" w:top="1140" w:right="5812" w:left="1977" w:header="720" w:footer="720"/>
          <w:titlePg w:val="false"/>
          <w:textDirection w:val="lrTb"/>
        </w:sectPr>
      </w:pPr>
    </w:p>
    <w:p>
      <w:pPr>
        <w:spacing w:before="6" w:after="0" w:line="227"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spacing w:before="234" w:after="225" w:line="227" w:lineRule="exact"/>
        <w:ind w:right="0" w:left="72" w:firstLine="0"/>
        <w:jc w:val="left"/>
        <w:textAlignment w:val="baseline"/>
        <w:rPr>
          <w:rFonts w:ascii="Times New Roman" w:hAnsi="Times New Roman" w:eastAsia="Times New Roman"/>
          <w:color w:val="000000"/>
          <w:spacing w:val="3"/>
          <w:w w:val="100"/>
          <w:sz w:val="20"/>
          <w:vertAlign w:val="baseline"/>
          <w:lang w:val="en-US"/>
        </w:rPr>
      </w:pPr>
      <w:r>
        <w:rPr>
          <w:rFonts w:ascii="Times New Roman" w:hAnsi="Times New Roman" w:eastAsia="Times New Roman"/>
          <w:color w:val="000000"/>
          <w:spacing w:val="3"/>
          <w:w w:val="100"/>
          <w:sz w:val="20"/>
          <w:vertAlign w:val="baseline"/>
          <w:lang w:val="en-US"/>
        </w:rPr>
        <w:t xml:space="preserve">Schedule 5 Registration of plant and plant designs</w:t>
      </w:r>
    </w:p>
    <w:p>
      <w:pPr>
        <w:spacing w:before="247" w:after="0" w:line="276" w:lineRule="exact"/>
        <w:ind w:right="288" w:left="1944" w:hanging="504"/>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5.95pt,103.9pt" to="500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(ab) any pressure equipment (other than a gas cylinder) excluded from the scope of AS/NZS 1200:2015 (Pressure equipment); or</w:t>
      </w:r>
    </w:p>
    <w:p>
      <w:pPr>
        <w:spacing w:before="125" w:after="0" w:line="225" w:lineRule="exact"/>
        <w:ind w:right="0" w:left="194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7" w:lineRule="exact"/>
        <w:ind w:right="0" w:left="72"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paragraph A3 of Appendix A to AS/NZS 1200:2015.</w:t>
      </w:r>
    </w:p>
    <w:p>
      <w:pPr>
        <w:numPr>
          <w:ilvl w:val="0"/>
          <w:numId w:val="1066"/>
        </w:numPr>
        <w:tabs>
          <w:tab w:val="clear" w:pos="360"/>
          <w:tab w:val="left" w:pos="1944"/>
        </w:tabs>
        <w:spacing w:before="0" w:after="0" w:line="395" w:lineRule="exact"/>
        <w:ind w:right="1872" w:left="1440" w:firstLine="14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crane or hoist that is manually powered; or (ba) a reach stacker; or</w:t>
      </w:r>
    </w:p>
    <w:p>
      <w:pPr>
        <w:numPr>
          <w:ilvl w:val="0"/>
          <w:numId w:val="1066"/>
        </w:numPr>
        <w:tabs>
          <w:tab w:val="clear" w:pos="360"/>
          <w:tab w:val="left" w:pos="1944"/>
        </w:tabs>
        <w:spacing w:before="116" w:after="0" w:line="278" w:lineRule="exact"/>
        <w:ind w:right="216" w:left="1944"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 elevating work platform that is a scissor lift or a vertically moving platform; or</w:t>
      </w:r>
    </w:p>
    <w:p>
      <w:pPr>
        <w:numPr>
          <w:ilvl w:val="0"/>
          <w:numId w:val="1066"/>
        </w:numPr>
        <w:tabs>
          <w:tab w:val="clear" w:pos="360"/>
          <w:tab w:val="left" w:pos="1944"/>
        </w:tabs>
        <w:spacing w:before="122" w:after="0" w:line="272" w:lineRule="exact"/>
        <w:ind w:right="0" w:left="1440" w:firstLine="144"/>
        <w:jc w:val="both"/>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a tow truck.</w:t>
      </w:r>
    </w:p>
    <w:p>
      <w:pPr>
        <w:spacing w:before="126" w:after="0" w:line="272"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following devices are excluded from clause 1.8:</w:t>
      </w:r>
    </w:p>
    <w:p>
      <w:pPr>
        <w:numPr>
          <w:ilvl w:val="0"/>
          <w:numId w:val="1067"/>
        </w:numPr>
        <w:tabs>
          <w:tab w:val="clear" w:pos="360"/>
          <w:tab w:val="left" w:pos="1944"/>
        </w:tabs>
        <w:spacing w:before="122" w:after="0" w:line="272" w:lineRule="exact"/>
        <w:ind w:right="0" w:left="1944"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class 1 devices;</w:t>
      </w:r>
    </w:p>
    <w:p>
      <w:pPr>
        <w:numPr>
          <w:ilvl w:val="0"/>
          <w:numId w:val="1067"/>
        </w:numPr>
        <w:tabs>
          <w:tab w:val="clear" w:pos="360"/>
          <w:tab w:val="left" w:pos="1944"/>
        </w:tabs>
        <w:spacing w:before="126" w:after="0" w:line="272" w:lineRule="exact"/>
        <w:ind w:right="0" w:left="1584"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playground devices;</w:t>
      </w:r>
    </w:p>
    <w:p>
      <w:pPr>
        <w:numPr>
          <w:ilvl w:val="0"/>
          <w:numId w:val="1067"/>
        </w:numPr>
        <w:tabs>
          <w:tab w:val="clear" w:pos="360"/>
          <w:tab w:val="left" w:pos="1944"/>
        </w:tabs>
        <w:spacing w:before="116" w:after="0" w:line="278" w:lineRule="exact"/>
        <w:ind w:right="576" w:left="1944" w:hanging="360"/>
        <w:jc w:val="left"/>
        <w:textAlignment w:val="baseline"/>
        <w:rPr>
          <w:rFonts w:ascii="Times New Roman" w:hAnsi="Times New Roman" w:eastAsia="Times New Roman"/>
          <w:color w:val="000000"/>
          <w:spacing w:val="-2"/>
          <w:w w:val="100"/>
          <w:sz w:val="24"/>
          <w:vertAlign w:val="baseline"/>
          <w:lang w:val="en-US"/>
        </w:rPr>
      </w:pPr>
      <w:r>
        <w:rPr>
          <w:rFonts w:ascii="Times New Roman" w:hAnsi="Times New Roman" w:eastAsia="Times New Roman"/>
          <w:color w:val="000000"/>
          <w:spacing w:val="-2"/>
          <w:w w:val="100"/>
          <w:sz w:val="24"/>
          <w:vertAlign w:val="baseline"/>
          <w:lang w:val="en-US"/>
        </w:rPr>
        <w:t xml:space="preserve">water slides where water facilitates patrons to slide easily, predominantly under gravity, along a static structure;</w:t>
      </w:r>
    </w:p>
    <w:p>
      <w:pPr>
        <w:numPr>
          <w:ilvl w:val="0"/>
          <w:numId w:val="1067"/>
        </w:numPr>
        <w:tabs>
          <w:tab w:val="clear" w:pos="360"/>
          <w:tab w:val="left" w:pos="1944"/>
        </w:tabs>
        <w:spacing w:before="116" w:after="0" w:line="278" w:lineRule="exact"/>
        <w:ind w:right="216" w:left="1944" w:hanging="360"/>
        <w:jc w:val="both"/>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wave generators where patrons do not come into contact with the parts of machinery used for generating water waves;</w:t>
      </w:r>
    </w:p>
    <w:p>
      <w:pPr>
        <w:numPr>
          <w:ilvl w:val="0"/>
          <w:numId w:val="1067"/>
        </w:numPr>
        <w:tabs>
          <w:tab w:val="clear" w:pos="360"/>
          <w:tab w:val="left" w:pos="1944"/>
        </w:tabs>
        <w:spacing w:before="116" w:after="5632" w:line="278" w:lineRule="exact"/>
        <w:ind w:right="216" w:left="1944" w:hanging="360"/>
        <w:jc w:val="both"/>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inflatable devices, other than inflatable devices (continuously blown) with a platform height of 3 metres or more.</w:t>
      </w:r>
    </w:p>
    <w:p>
      <w:pPr>
        <w:spacing w:before="333"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4.05pt,0.3pt" style="position:absolute;mso-position-horizontal-relative:text;mso-position-vertical-relative:text;">
            <v:stroke dashstyle="solid"/>
          </v:line>
        </w:pict>
      </w:r>
    </w:p>
    <w:p>
      <w:pPr>
        <w:sectPr>
          <w:type w:val="nextPage"/>
          <w:pgSz w:w="11909" w:h="16838" w:orient="portrait"/>
          <w:pgMar w:bottom="1082" w:top="1140" w:right="1910" w:left="191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443</w:t>
      </w:r>
    </w:p>
    <w:p>
      <w:pPr>
        <w:sectPr>
          <w:type w:val="continuous"/>
          <w:pgSz w:w="11909" w:h="16838" w:orient="portrait"/>
          <w:pgMar w:bottom="1082" w:top="1140" w:right="5817" w:left="1972" w:header="720" w:footer="720"/>
          <w:titlePg w:val="false"/>
          <w:textDirection w:val="lrTb"/>
        </w:sectPr>
      </w:pPr>
    </w:p>
    <w:p>
      <w:pPr>
        <w:spacing w:before="6" w:after="0" w:line="227"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spacing w:before="234" w:after="225" w:line="227" w:lineRule="exact"/>
        <w:ind w:right="0" w:left="72" w:firstLine="0"/>
        <w:jc w:val="left"/>
        <w:textAlignment w:val="baseline"/>
        <w:rPr>
          <w:rFonts w:ascii="Times New Roman" w:hAnsi="Times New Roman" w:eastAsia="Times New Roman"/>
          <w:color w:val="000000"/>
          <w:spacing w:val="3"/>
          <w:w w:val="100"/>
          <w:sz w:val="20"/>
          <w:vertAlign w:val="baseline"/>
          <w:lang w:val="en-US"/>
        </w:rPr>
      </w:pPr>
      <w:r>
        <w:rPr>
          <w:rFonts w:ascii="Times New Roman" w:hAnsi="Times New Roman" w:eastAsia="Times New Roman"/>
          <w:color w:val="000000"/>
          <w:spacing w:val="3"/>
          <w:w w:val="100"/>
          <w:sz w:val="20"/>
          <w:vertAlign w:val="baseline"/>
          <w:lang w:val="en-US"/>
        </w:rPr>
        <w:t xml:space="preserve">Schedule 5 Registration of plant and plant designs</w:t>
      </w:r>
    </w:p>
    <w:p>
      <w:pPr>
        <w:tabs>
          <w:tab w:val="left" w:leader="none" w:pos="1368"/>
        </w:tabs>
        <w:spacing w:before="258" w:after="0" w:line="317" w:lineRule="exact"/>
        <w:ind w:right="0" w:left="72" w:firstLine="0"/>
        <w:jc w:val="left"/>
        <w:textAlignment w:val="baseline"/>
        <w:rPr>
          <w:rFonts w:ascii="Times New Roman" w:hAnsi="Times New Roman" w:eastAsia="Times New Roman"/>
          <w:b w:val="true"/>
          <w:color w:val="000000"/>
          <w:spacing w:val="0"/>
          <w:w w:val="100"/>
          <w:sz w:val="28"/>
          <w:vertAlign w:val="baseline"/>
          <w:lang w:val="en-US"/>
        </w:rPr>
      </w:pPr>
      <w:r>
        <w:pict>
          <v:line strokeweight="0.5pt" strokecolor="#000000" from="95.95pt,103.9pt" to="500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8"/>
          <w:vertAlign w:val="baseline"/>
          <w:lang w:val="en-US"/>
        </w:rPr>
        <w:t xml:space="preserve">Part 2	</w:t>
      </w:r>
      <w:r>
        <w:rPr>
          <w:rFonts w:ascii="Times New Roman" w:hAnsi="Times New Roman" w:eastAsia="Times New Roman"/>
          <w:b w:val="true"/>
          <w:color w:val="000000"/>
          <w:spacing w:val="0"/>
          <w:w w:val="100"/>
          <w:sz w:val="28"/>
          <w:vertAlign w:val="baseline"/>
          <w:lang w:val="en-US"/>
        </w:rPr>
        <w:t xml:space="preserve">Items of plant requiring registration</w:t>
      </w:r>
    </w:p>
    <w:p>
      <w:pPr>
        <w:spacing w:before="118" w:after="0" w:line="274" w:lineRule="exact"/>
        <w:ind w:right="0" w:left="36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3 Items of plant requiring registration</w:t>
      </w:r>
    </w:p>
    <w:p>
      <w:pPr>
        <w:spacing w:before="123" w:after="0" w:line="274" w:lineRule="exact"/>
        <w:ind w:right="72" w:left="144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3.1 Boilers categorised as hazard level A, B or C according to criteria in Section 2.1 of AS 4343:2014 (Pressure equipment—Hazard levels).</w:t>
      </w:r>
    </w:p>
    <w:p>
      <w:pPr>
        <w:spacing w:before="122" w:after="0" w:line="276" w:lineRule="exact"/>
        <w:ind w:right="144" w:left="144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3.2 Pressure vessels categorised as hazard level A, B or C according to the criteria in Section 2.1 of AS 4343:2014 (Pressure equipment— Hazard levels) , except:</w:t>
      </w:r>
    </w:p>
    <w:p>
      <w:pPr>
        <w:numPr>
          <w:ilvl w:val="0"/>
          <w:numId w:val="1068"/>
        </w:numPr>
        <w:tabs>
          <w:tab w:val="clear" w:pos="360"/>
          <w:tab w:val="left" w:pos="1944"/>
        </w:tabs>
        <w:spacing w:before="121" w:after="0" w:line="273" w:lineRule="exact"/>
        <w:ind w:right="0"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gas cylinders; and</w:t>
      </w:r>
    </w:p>
    <w:p>
      <w:pPr>
        <w:numPr>
          <w:ilvl w:val="0"/>
          <w:numId w:val="1068"/>
        </w:numPr>
        <w:tabs>
          <w:tab w:val="clear" w:pos="360"/>
          <w:tab w:val="left" w:pos="1944"/>
        </w:tabs>
        <w:spacing w:before="125" w:after="0" w:line="273" w:lineRule="exact"/>
        <w:ind w:right="0"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LP Gas fuel vessels for automotive use; and</w:t>
      </w:r>
    </w:p>
    <w:p>
      <w:pPr>
        <w:numPr>
          <w:ilvl w:val="0"/>
          <w:numId w:val="1068"/>
        </w:numPr>
        <w:tabs>
          <w:tab w:val="clear" w:pos="360"/>
          <w:tab w:val="left" w:pos="1944"/>
        </w:tabs>
        <w:spacing w:before="121" w:after="0" w:line="273" w:lineRule="exact"/>
        <w:ind w:right="0"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serially produced vessels.</w:t>
      </w:r>
    </w:p>
    <w:p>
      <w:pPr>
        <w:spacing w:before="125"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3.3 Tower cranes including self-erecting tower cranes.</w:t>
      </w:r>
    </w:p>
    <w:p>
      <w:pPr>
        <w:spacing w:before="121"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3.4 Lifts and escalators and moving walkways.</w:t>
      </w:r>
    </w:p>
    <w:p>
      <w:pPr>
        <w:spacing w:before="125"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3.5 Building maintenance units.</w:t>
      </w:r>
    </w:p>
    <w:p>
      <w:pPr>
        <w:spacing w:before="118" w:after="0" w:line="276" w:lineRule="exact"/>
        <w:ind w:right="288" w:left="144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3.6 Amusement devices classified by Section 2.1 of AS 3533.1:2009 (Amusement rides and devices—Design and construction), except devices specified in clause 4(2).</w:t>
      </w:r>
    </w:p>
    <w:p>
      <w:pPr>
        <w:spacing w:before="125"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3.7 Concrete placing booms.</w:t>
      </w:r>
    </w:p>
    <w:p>
      <w:pPr>
        <w:spacing w:before="121"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3.8 Mobile cranes with a rated capacity of greater than 10 tonnes.</w:t>
      </w:r>
    </w:p>
    <w:p>
      <w:pPr>
        <w:spacing w:before="125" w:after="0" w:line="274" w:lineRule="exact"/>
        <w:ind w:right="0" w:left="36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4 Exceptions</w:t>
      </w:r>
    </w:p>
    <w:p>
      <w:pPr>
        <w:spacing w:before="120"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items of plant listed in clause 3 do not include:</w:t>
      </w:r>
    </w:p>
    <w:p>
      <w:pPr>
        <w:numPr>
          <w:ilvl w:val="0"/>
          <w:numId w:val="1069"/>
        </w:numPr>
        <w:tabs>
          <w:tab w:val="clear" w:pos="360"/>
          <w:tab w:val="left" w:pos="1944"/>
        </w:tabs>
        <w:spacing w:before="122" w:after="0" w:line="276" w:lineRule="exact"/>
        <w:ind w:right="288" w:left="1944"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pressure equipment (other than a gas cylinder) excluded from the scope of AS/NZS 1200:2015 (Pressure equipment); or</w:t>
      </w:r>
    </w:p>
    <w:p>
      <w:pPr>
        <w:spacing w:before="124" w:after="0" w:line="225" w:lineRule="exact"/>
        <w:ind w:right="0" w:left="194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7" w:lineRule="exact"/>
        <w:ind w:right="0" w:left="72"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paragraph A3 of Appendix A to AS/NZS 1200:2015.</w:t>
      </w:r>
    </w:p>
    <w:p>
      <w:pPr>
        <w:numPr>
          <w:ilvl w:val="0"/>
          <w:numId w:val="1069"/>
        </w:numPr>
        <w:tabs>
          <w:tab w:val="clear" w:pos="360"/>
          <w:tab w:val="left" w:pos="1944"/>
        </w:tabs>
        <w:spacing w:before="120" w:after="0" w:line="273" w:lineRule="exact"/>
        <w:ind w:right="0"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crane or hoist that is manually powered; or</w:t>
      </w:r>
    </w:p>
    <w:p>
      <w:pPr>
        <w:numPr>
          <w:ilvl w:val="0"/>
          <w:numId w:val="1069"/>
        </w:numPr>
        <w:tabs>
          <w:tab w:val="clear" w:pos="360"/>
          <w:tab w:val="left" w:pos="1944"/>
        </w:tabs>
        <w:spacing w:before="120" w:after="0" w:line="273" w:lineRule="exact"/>
        <w:ind w:right="0" w:left="1944"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a reach stacker.</w:t>
      </w:r>
    </w:p>
    <w:p>
      <w:pPr>
        <w:spacing w:before="126"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following devices are excluded from clause 3.6:</w:t>
      </w:r>
    </w:p>
    <w:p>
      <w:pPr>
        <w:numPr>
          <w:ilvl w:val="0"/>
          <w:numId w:val="1070"/>
        </w:numPr>
        <w:tabs>
          <w:tab w:val="clear" w:pos="360"/>
          <w:tab w:val="left" w:pos="1944"/>
        </w:tabs>
        <w:spacing w:before="120" w:after="0" w:line="273" w:lineRule="exact"/>
        <w:ind w:right="0" w:left="1944"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class 1 devices;</w:t>
      </w:r>
    </w:p>
    <w:p>
      <w:pPr>
        <w:numPr>
          <w:ilvl w:val="0"/>
          <w:numId w:val="1070"/>
        </w:numPr>
        <w:tabs>
          <w:tab w:val="clear" w:pos="360"/>
          <w:tab w:val="left" w:pos="1944"/>
        </w:tabs>
        <w:spacing w:before="126" w:after="0" w:line="273" w:lineRule="exact"/>
        <w:ind w:right="0"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playground devices;</w:t>
      </w:r>
    </w:p>
    <w:p>
      <w:pPr>
        <w:numPr>
          <w:ilvl w:val="0"/>
          <w:numId w:val="1070"/>
        </w:numPr>
        <w:tabs>
          <w:tab w:val="clear" w:pos="360"/>
          <w:tab w:val="left" w:pos="1944"/>
        </w:tabs>
        <w:spacing w:before="114" w:after="1281" w:line="279" w:lineRule="exact"/>
        <w:ind w:right="576" w:left="1944" w:hanging="360"/>
        <w:jc w:val="left"/>
        <w:textAlignment w:val="baseline"/>
        <w:rPr>
          <w:rFonts w:ascii="Times New Roman" w:hAnsi="Times New Roman" w:eastAsia="Times New Roman"/>
          <w:color w:val="000000"/>
          <w:spacing w:val="-2"/>
          <w:w w:val="100"/>
          <w:sz w:val="24"/>
          <w:vertAlign w:val="baseline"/>
          <w:lang w:val="en-US"/>
        </w:rPr>
      </w:pPr>
      <w:r>
        <w:pict>
          <v:line strokeweight="0.5pt" strokecolor="#000000" from="95.95pt,728.15pt" to="500pt,728.15pt" style="position:absolute;mso-position-horizontal-relative:page;mso-position-vertical-relative:page;">
            <v:stroke dashstyle="solid"/>
          </v:line>
        </w:pict>
      </w:r>
      <w:r>
        <w:rPr>
          <w:rFonts w:ascii="Times New Roman" w:hAnsi="Times New Roman" w:eastAsia="Times New Roman"/>
          <w:color w:val="000000"/>
          <w:spacing w:val="-2"/>
          <w:w w:val="100"/>
          <w:sz w:val="24"/>
          <w:vertAlign w:val="baseline"/>
          <w:lang w:val="en-US"/>
        </w:rPr>
        <w:t xml:space="preserve">water slides where water facilitates patrons to slide easily, predominantly under gravity, along a static structure;</w:t>
      </w:r>
    </w:p>
    <w:p>
      <w:pPr>
        <w:spacing w:before="114" w:after="1281" w:line="279" w:lineRule="exact"/>
        <w:sectPr>
          <w:type w:val="nextPage"/>
          <w:pgSz w:w="11909" w:h="16838" w:orient="portrait"/>
          <w:pgMar w:bottom="1082" w:top="1140" w:right="1910" w:left="191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444</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spacing w:before="233" w:after="224" w:line="228" w:lineRule="exact"/>
        <w:ind w:right="0" w:left="72" w:firstLine="0"/>
        <w:jc w:val="left"/>
        <w:textAlignment w:val="baseline"/>
        <w:rPr>
          <w:rFonts w:ascii="Times New Roman" w:hAnsi="Times New Roman" w:eastAsia="Times New Roman"/>
          <w:color w:val="000000"/>
          <w:spacing w:val="3"/>
          <w:w w:val="100"/>
          <w:sz w:val="20"/>
          <w:vertAlign w:val="baseline"/>
          <w:lang w:val="en-US"/>
        </w:rPr>
      </w:pPr>
      <w:r>
        <w:rPr>
          <w:rFonts w:ascii="Times New Roman" w:hAnsi="Times New Roman" w:eastAsia="Times New Roman"/>
          <w:color w:val="000000"/>
          <w:spacing w:val="3"/>
          <w:w w:val="100"/>
          <w:sz w:val="20"/>
          <w:vertAlign w:val="baseline"/>
          <w:lang w:val="en-US"/>
        </w:rPr>
        <w:t xml:space="preserve">Schedule 5 Registration of plant and plant designs</w:t>
      </w:r>
    </w:p>
    <w:p>
      <w:pPr>
        <w:numPr>
          <w:ilvl w:val="0"/>
          <w:numId w:val="1070"/>
        </w:numPr>
        <w:tabs>
          <w:tab w:val="clear" w:pos="360"/>
          <w:tab w:val="left" w:pos="1944"/>
        </w:tabs>
        <w:spacing w:before="245" w:after="0" w:line="279" w:lineRule="exact"/>
        <w:ind w:right="216" w:left="1944" w:hanging="360"/>
        <w:jc w:val="both"/>
        <w:textAlignment w:val="baseline"/>
        <w:rPr>
          <w:rFonts w:ascii="Times New Roman" w:hAnsi="Times New Roman" w:eastAsia="Times New Roman"/>
          <w:color w:val="000000"/>
          <w:spacing w:val="-1"/>
          <w:w w:val="100"/>
          <w:sz w:val="24"/>
          <w:vertAlign w:val="baseline"/>
          <w:lang w:val="en-US"/>
        </w:rPr>
      </w:pPr>
      <w:r>
        <w:pict>
          <v:line strokeweight="0.5pt" strokecolor="#000000" from="95.95pt,103.9pt" to="500pt,103.9pt" style="position:absolute;mso-position-horizontal-relative:page;mso-position-vertical-relative:page;">
            <v:stroke dashstyle="solid"/>
          </v:line>
        </w:pict>
      </w:r>
      <w:r>
        <w:rPr>
          <w:rFonts w:ascii="Times New Roman" w:hAnsi="Times New Roman" w:eastAsia="Times New Roman"/>
          <w:color w:val="000000"/>
          <w:spacing w:val="-1"/>
          <w:w w:val="100"/>
          <w:sz w:val="24"/>
          <w:vertAlign w:val="baseline"/>
          <w:lang w:val="en-US"/>
        </w:rPr>
        <w:t xml:space="preserve">wave generators where patrons do not come into contact with the parts of machinery used for generating water waves;</w:t>
      </w:r>
    </w:p>
    <w:p>
      <w:pPr>
        <w:numPr>
          <w:ilvl w:val="0"/>
          <w:numId w:val="1070"/>
        </w:numPr>
        <w:tabs>
          <w:tab w:val="clear" w:pos="360"/>
          <w:tab w:val="left" w:pos="1944"/>
        </w:tabs>
        <w:spacing w:before="114" w:after="10997" w:line="279" w:lineRule="exact"/>
        <w:ind w:right="216" w:left="1944" w:hanging="360"/>
        <w:jc w:val="both"/>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inflatable devices, other than inflatable devices (continuously blown) with a platform height of 3 metres or more.</w:t>
      </w:r>
    </w:p>
    <w:p>
      <w:pPr>
        <w:spacing w:before="333"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4.05pt,0.3pt" style="position:absolute;mso-position-horizontal-relative:text;mso-position-vertical-relative:text;">
            <v:stroke dashstyle="solid"/>
          </v:line>
        </w:pict>
      </w:r>
    </w:p>
    <w:p>
      <w:pPr>
        <w:sectPr>
          <w:type w:val="nextPage"/>
          <w:pgSz w:w="11909" w:h="16838" w:orient="portrait"/>
          <w:pgMar w:bottom="1082" w:top="1140" w:right="1910" w:left="191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445</w:t>
      </w:r>
    </w:p>
    <w:p>
      <w:pPr>
        <w:sectPr>
          <w:type w:val="continuous"/>
          <w:pgSz w:w="11909" w:h="16838" w:orient="portrait"/>
          <w:pgMar w:bottom="1082" w:top="1140" w:right="5814" w:left="1975" w:header="720" w:footer="720"/>
          <w:titlePg w:val="false"/>
          <w:textDirection w:val="lrTb"/>
        </w:sectPr>
      </w:pPr>
    </w:p>
    <w:p>
      <w:pPr>
        <w:spacing w:before="0" w:after="223" w:line="34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</w:t>
        <w:br/>
      </w:r>
      <w:r>
        <w:rPr>
          <w:rFonts w:ascii="Times New Roman" w:hAnsi="Times New Roman" w:eastAsia="Times New Roman"/>
          <w:color w:val="000000"/>
          <w:spacing w:val="0"/>
          <w:w w:val="100"/>
          <w:sz w:val="20"/>
          <w:vertAlign w:val="baseline"/>
          <w:lang w:val="en-US"/>
        </w:rPr>
        <w:t xml:space="preserve">Schedule 6 Classification of mixtures</w:t>
      </w:r>
    </w:p>
    <w:p>
      <w:pPr>
        <w:spacing w:before="258" w:after="0" w:line="316" w:lineRule="exact"/>
        <w:ind w:right="0" w:left="0" w:firstLine="0"/>
        <w:jc w:val="left"/>
        <w:textAlignment w:val="baseline"/>
        <w:rPr>
          <w:rFonts w:ascii="Times New Roman" w:hAnsi="Times New Roman" w:eastAsia="Times New Roman"/>
          <w:b w:val="true"/>
          <w:color w:val="000000"/>
          <w:spacing w:val="5"/>
          <w:w w:val="100"/>
          <w:sz w:val="28"/>
          <w:vertAlign w:val="baseline"/>
          <w:lang w:val="en-US"/>
        </w:rPr>
      </w:pPr>
      <w:r>
        <w:pict>
          <v:line strokeweight="0.5pt" strokecolor="#000000" from="97.9pt,103.9pt" to="498.05pt,103.9pt" style="position:absolute;mso-position-horizontal-relative:page;mso-position-vertical-relative:page;">
            <v:stroke dashstyle="solid"/>
          </v:line>
        </w:pict>
      </w:r>
      <w:r>
        <w:rPr>
          <w:rFonts w:ascii="Times New Roman" w:hAnsi="Times New Roman" w:eastAsia="Times New Roman"/>
          <w:b w:val="true"/>
          <w:color w:val="000000"/>
          <w:spacing w:val="5"/>
          <w:w w:val="100"/>
          <w:sz w:val="28"/>
          <w:vertAlign w:val="baseline"/>
          <w:lang w:val="en-US"/>
        </w:rPr>
        <w:t xml:space="preserve">Schedule 6 Classification of mixtures</w:t>
      </w:r>
    </w:p>
    <w:p>
      <w:pPr>
        <w:spacing w:before="119" w:after="0" w:line="274" w:lineRule="exact"/>
        <w:ind w:right="0" w:left="216"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 Purpose of this Schedule</w:t>
      </w:r>
    </w:p>
    <w:p>
      <w:pPr>
        <w:spacing w:before="124" w:after="0" w:line="274" w:lineRule="exact"/>
        <w:ind w:right="0" w:left="1296"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tables in this Schedule replace some of the tables in the GHS.</w:t>
      </w:r>
    </w:p>
    <w:p>
      <w:pPr>
        <w:spacing w:before="123" w:after="0" w:line="229" w:lineRule="exact"/>
        <w:ind w:right="0" w:left="1296"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2" w:after="0" w:line="229" w:lineRule="exact"/>
        <w:ind w:right="0" w:left="129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the definition of </w:t>
      </w:r>
      <w:r>
        <w:rPr>
          <w:rFonts w:ascii="Times New Roman" w:hAnsi="Times New Roman" w:eastAsia="Times New Roman"/>
          <w:b w:val="true"/>
          <w:i w:val="true"/>
          <w:color w:val="000000"/>
          <w:spacing w:val="0"/>
          <w:w w:val="100"/>
          <w:sz w:val="20"/>
          <w:vertAlign w:val="baseline"/>
          <w:lang w:val="en-US"/>
        </w:rPr>
        <w:t xml:space="preserve">GHS </w:t>
      </w:r>
      <w:r>
        <w:rPr>
          <w:rFonts w:ascii="Times New Roman" w:hAnsi="Times New Roman" w:eastAsia="Times New Roman"/>
          <w:color w:val="000000"/>
          <w:spacing w:val="0"/>
          <w:w w:val="100"/>
          <w:sz w:val="20"/>
          <w:vertAlign w:val="baseline"/>
          <w:lang w:val="en-US"/>
        </w:rPr>
        <w:t xml:space="preserve">in regulation 5(1).</w:t>
      </w:r>
    </w:p>
    <w:p>
      <w:pPr>
        <w:tabs>
          <w:tab w:val="left" w:leader="none" w:pos="1152"/>
        </w:tabs>
        <w:spacing w:before="121" w:after="0" w:line="229"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Table 6.1	</w:t>
      </w:r>
      <w:r>
        <w:rPr>
          <w:rFonts w:ascii="Times New Roman" w:hAnsi="Times New Roman" w:eastAsia="Times New Roman"/>
          <w:b w:val="true"/>
          <w:color w:val="000000"/>
          <w:spacing w:val="0"/>
          <w:w w:val="100"/>
          <w:sz w:val="20"/>
          <w:vertAlign w:val="baseline"/>
          <w:lang w:val="en-US"/>
        </w:rPr>
        <w:t xml:space="preserve">Classification of mixtures containing respiratory or skin sensitisers</w:t>
      </w:r>
    </w:p>
    <w:p>
      <w:pPr>
        <w:spacing w:before="121" w:after="99" w:line="230" w:lineRule="exact"/>
        <w:ind w:right="216" w:left="115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Cut-off values/concentration limits of ingredients of a mixture classified as either a respiratory sensitiser or a skin sensitiser that would trigger classification of the mixture.</w:t>
      </w:r>
    </w:p>
    <w:p>
      <w:pPr>
        <w:tabs>
          <w:tab w:val="left" w:leader="none" w:pos="1368"/>
          <w:tab w:val="left" w:leader="none" w:pos="3528"/>
        </w:tabs>
        <w:spacing w:before="82" w:after="0" w:line="229" w:lineRule="exact"/>
        <w:ind w:right="0" w:left="216"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104.9pt,270.7pt" to="501.95pt,270.7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Item	</w:t>
      </w:r>
      <w:r>
        <w:rPr>
          <w:rFonts w:ascii="Times New Roman" w:hAnsi="Times New Roman" w:eastAsia="Times New Roman"/>
          <w:b w:val="true"/>
          <w:color w:val="000000"/>
          <w:spacing w:val="0"/>
          <w:w w:val="100"/>
          <w:sz w:val="20"/>
          <w:vertAlign w:val="baseline"/>
          <w:lang w:val="en-US"/>
        </w:rPr>
        <w:t xml:space="preserve">Ingredient	</w:t>
      </w:r>
      <w:r>
        <w:rPr>
          <w:rFonts w:ascii="Times New Roman" w:hAnsi="Times New Roman" w:eastAsia="Times New Roman"/>
          <w:b w:val="true"/>
          <w:color w:val="000000"/>
          <w:spacing w:val="0"/>
          <w:w w:val="100"/>
          <w:sz w:val="20"/>
          <w:vertAlign w:val="baseline"/>
          <w:lang w:val="en-US"/>
        </w:rPr>
        <w:t xml:space="preserve">Mixture classification</w:t>
      </w:r>
    </w:p>
    <w:p>
      <w:pPr>
        <w:spacing w:before="1" w:after="41" w:line="229" w:lineRule="exact"/>
        <w:ind w:right="0" w:left="1296"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classification</w:t>
      </w:r>
    </w:p>
    <w:p>
      <w:pPr>
        <w:tabs>
          <w:tab w:val="left" w:leader="none" w:pos="5760"/>
        </w:tabs>
        <w:spacing w:before="77" w:after="0" w:line="228" w:lineRule="exact"/>
        <w:ind w:right="0" w:left="3672"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104.9pt,300.25pt" to="501.95pt,300.25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Skin sensitiser	</w:t>
      </w:r>
      <w:r>
        <w:rPr>
          <w:rFonts w:ascii="Times New Roman" w:hAnsi="Times New Roman" w:eastAsia="Times New Roman"/>
          <w:b w:val="true"/>
          <w:color w:val="000000"/>
          <w:spacing w:val="0"/>
          <w:w w:val="100"/>
          <w:sz w:val="20"/>
          <w:vertAlign w:val="baseline"/>
          <w:lang w:val="en-US"/>
        </w:rPr>
        <w:t xml:space="preserve">Respiratory sensitiser</w:t>
      </w:r>
    </w:p>
    <w:p>
      <w:pPr>
        <w:tabs>
          <w:tab w:val="right" w:leader="none" w:pos="7128"/>
        </w:tabs>
        <w:spacing w:before="0" w:after="0" w:line="229" w:lineRule="exact"/>
        <w:ind w:right="0" w:left="3816"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Category 1	</w:t>
      </w:r>
      <w:r>
        <w:rPr>
          <w:rFonts w:ascii="Times New Roman" w:hAnsi="Times New Roman" w:eastAsia="Times New Roman"/>
          <w:b w:val="true"/>
          <w:color w:val="000000"/>
          <w:spacing w:val="0"/>
          <w:w w:val="100"/>
          <w:sz w:val="20"/>
          <w:vertAlign w:val="baseline"/>
          <w:lang w:val="en-US"/>
        </w:rPr>
        <w:t xml:space="preserve">Category 1</w:t>
      </w:r>
    </w:p>
    <w:p>
      <w:pPr>
        <w:spacing w:before="407" w:after="0" w:line="227" w:lineRule="exact"/>
        <w:ind w:right="0" w:left="0" w:firstLine="0"/>
        <w:jc w:val="center"/>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All physical states</w:t>
      </w:r>
    </w:p>
    <w:p>
      <w:pPr>
        <w:tabs>
          <w:tab w:val="right" w:leader="none" w:pos="7128"/>
        </w:tabs>
        <w:spacing w:before="0" w:after="36" w:line="227" w:lineRule="exact"/>
        <w:ind w:right="0" w:left="532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Solid/liquid	</w:t>
      </w:r>
      <w:r>
        <w:rPr>
          <w:rFonts w:ascii="Times New Roman" w:hAnsi="Times New Roman" w:eastAsia="Times New Roman"/>
          <w:b w:val="true"/>
          <w:color w:val="000000"/>
          <w:spacing w:val="0"/>
          <w:w w:val="100"/>
          <w:sz w:val="20"/>
          <w:vertAlign w:val="baseline"/>
          <w:lang w:val="en-US"/>
        </w:rPr>
        <w:t xml:space="preserve">Gas</w:t>
      </w:r>
    </w:p>
    <w:p>
      <w:pPr>
        <w:tabs>
          <w:tab w:val="left" w:leader="none" w:pos="1368"/>
        </w:tabs>
        <w:spacing w:before="81" w:after="0" w:line="230" w:lineRule="exact"/>
        <w:ind w:right="0" w:left="1296" w:hanging="108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267.85pt,372.5pt" to="501.95pt,372.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Skin sensitiser Category ≥ 1·0%</w:t>
        <w:br/>
      </w:r>
      <w:r>
        <w:rPr>
          <w:rFonts w:ascii="Times New Roman" w:hAnsi="Times New Roman" w:eastAsia="Times New Roman"/>
          <w:color w:val="000000"/>
          <w:spacing w:val="0"/>
          <w:w w:val="100"/>
          <w:sz w:val="20"/>
          <w:vertAlign w:val="baseline"/>
          <w:lang w:val="en-US"/>
        </w:rPr>
        <w:t xml:space="preserve">1</w:t>
      </w:r>
    </w:p>
    <w:p>
      <w:pPr>
        <w:tabs>
          <w:tab w:val="left" w:leader="none" w:pos="1368"/>
          <w:tab w:val="left" w:leader="none" w:pos="3528"/>
        </w:tabs>
        <w:spacing w:before="117" w:after="0" w:line="229"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Skin sensitiser	</w:t>
      </w:r>
      <w:r>
        <w:rPr>
          <w:rFonts w:ascii="Times New Roman" w:hAnsi="Times New Roman" w:eastAsia="Times New Roman"/>
          <w:color w:val="000000"/>
          <w:spacing w:val="0"/>
          <w:w w:val="100"/>
          <w:sz w:val="20"/>
          <w:vertAlign w:val="baseline"/>
          <w:lang w:val="en-US"/>
        </w:rPr>
        <w:t xml:space="preserve">≥ 0·1%</w:t>
      </w:r>
    </w:p>
    <w:p>
      <w:pPr>
        <w:spacing w:before="5" w:after="0" w:line="229" w:lineRule="exact"/>
        <w:ind w:right="0" w:left="129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Sub-category 1A</w:t>
      </w:r>
    </w:p>
    <w:p>
      <w:pPr>
        <w:tabs>
          <w:tab w:val="left" w:leader="none" w:pos="1368"/>
          <w:tab w:val="left" w:leader="none" w:pos="3528"/>
        </w:tabs>
        <w:spacing w:before="113" w:after="0" w:line="229"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	</w:t>
      </w:r>
      <w:r>
        <w:rPr>
          <w:rFonts w:ascii="Times New Roman" w:hAnsi="Times New Roman" w:eastAsia="Times New Roman"/>
          <w:color w:val="000000"/>
          <w:spacing w:val="0"/>
          <w:w w:val="100"/>
          <w:sz w:val="20"/>
          <w:vertAlign w:val="baseline"/>
          <w:lang w:val="en-US"/>
        </w:rPr>
        <w:t xml:space="preserve">Skin sensitiser	</w:t>
      </w:r>
      <w:r>
        <w:rPr>
          <w:rFonts w:ascii="Times New Roman" w:hAnsi="Times New Roman" w:eastAsia="Times New Roman"/>
          <w:color w:val="000000"/>
          <w:spacing w:val="0"/>
          <w:w w:val="100"/>
          <w:sz w:val="20"/>
          <w:vertAlign w:val="baseline"/>
          <w:lang w:val="en-US"/>
        </w:rPr>
        <w:t xml:space="preserve">≥ 1·0%</w:t>
      </w:r>
    </w:p>
    <w:p>
      <w:pPr>
        <w:spacing w:before="10" w:after="0" w:line="229" w:lineRule="exact"/>
        <w:ind w:right="0" w:left="129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Sub-category 1B</w:t>
      </w:r>
    </w:p>
    <w:p>
      <w:pPr>
        <w:tabs>
          <w:tab w:val="left" w:leader="none" w:pos="1368"/>
          <w:tab w:val="left" w:leader="none" w:pos="5328"/>
          <w:tab w:val="left" w:leader="none" w:pos="6624"/>
        </w:tabs>
        <w:spacing w:before="115" w:after="0" w:line="229"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	</w:t>
      </w:r>
      <w:r>
        <w:rPr>
          <w:rFonts w:ascii="Times New Roman" w:hAnsi="Times New Roman" w:eastAsia="Times New Roman"/>
          <w:color w:val="000000"/>
          <w:spacing w:val="0"/>
          <w:w w:val="100"/>
          <w:sz w:val="20"/>
          <w:vertAlign w:val="baseline"/>
          <w:lang w:val="en-US"/>
        </w:rPr>
        <w:t xml:space="preserve">Respiratory sensitiser	</w:t>
      </w:r>
      <w:r>
        <w:rPr>
          <w:rFonts w:ascii="Times New Roman" w:hAnsi="Times New Roman" w:eastAsia="Times New Roman"/>
          <w:color w:val="000000"/>
          <w:spacing w:val="0"/>
          <w:w w:val="100"/>
          <w:sz w:val="20"/>
          <w:vertAlign w:val="baseline"/>
          <w:lang w:val="en-US"/>
        </w:rPr>
        <w:t xml:space="preserve">≥ 1·0%	</w:t>
      </w:r>
      <w:r>
        <w:rPr>
          <w:rFonts w:ascii="Times New Roman" w:hAnsi="Times New Roman" w:eastAsia="Times New Roman"/>
          <w:color w:val="000000"/>
          <w:spacing w:val="0"/>
          <w:w w:val="100"/>
          <w:sz w:val="20"/>
          <w:vertAlign w:val="baseline"/>
          <w:lang w:val="en-US"/>
        </w:rPr>
        <w:t xml:space="preserve">≥ 0·2%</w:t>
      </w:r>
    </w:p>
    <w:p>
      <w:pPr>
        <w:spacing w:before="8" w:after="0" w:line="229" w:lineRule="exact"/>
        <w:ind w:right="0" w:left="1296" w:firstLine="0"/>
        <w:jc w:val="left"/>
        <w:textAlignment w:val="baseline"/>
        <w:rPr>
          <w:rFonts w:ascii="Times New Roman" w:hAnsi="Times New Roman" w:eastAsia="Times New Roman"/>
          <w:color w:val="000000"/>
          <w:spacing w:val="-2"/>
          <w:w w:val="100"/>
          <w:sz w:val="20"/>
          <w:vertAlign w:val="baseline"/>
          <w:lang w:val="en-US"/>
        </w:rPr>
      </w:pPr>
      <w:r>
        <w:rPr>
          <w:rFonts w:ascii="Times New Roman" w:hAnsi="Times New Roman" w:eastAsia="Times New Roman"/>
          <w:color w:val="000000"/>
          <w:spacing w:val="-2"/>
          <w:w w:val="100"/>
          <w:sz w:val="20"/>
          <w:vertAlign w:val="baseline"/>
          <w:lang w:val="en-US"/>
        </w:rPr>
        <w:t xml:space="preserve">Category 1</w:t>
      </w:r>
    </w:p>
    <w:p>
      <w:pPr>
        <w:tabs>
          <w:tab w:val="left" w:leader="none" w:pos="1368"/>
          <w:tab w:val="left" w:leader="none" w:pos="5328"/>
          <w:tab w:val="left" w:leader="none" w:pos="6624"/>
        </w:tabs>
        <w:spacing w:before="115" w:after="0" w:line="229"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	</w:t>
      </w:r>
      <w:r>
        <w:rPr>
          <w:rFonts w:ascii="Times New Roman" w:hAnsi="Times New Roman" w:eastAsia="Times New Roman"/>
          <w:color w:val="000000"/>
          <w:spacing w:val="0"/>
          <w:w w:val="100"/>
          <w:sz w:val="20"/>
          <w:vertAlign w:val="baseline"/>
          <w:lang w:val="en-US"/>
        </w:rPr>
        <w:t xml:space="preserve">Respiratory sensitiser	</w:t>
      </w:r>
      <w:r>
        <w:rPr>
          <w:rFonts w:ascii="Times New Roman" w:hAnsi="Times New Roman" w:eastAsia="Times New Roman"/>
          <w:color w:val="000000"/>
          <w:spacing w:val="0"/>
          <w:w w:val="100"/>
          <w:sz w:val="20"/>
          <w:vertAlign w:val="baseline"/>
          <w:lang w:val="en-US"/>
        </w:rPr>
        <w:t xml:space="preserve">≥ 0·1%	</w:t>
      </w:r>
      <w:r>
        <w:rPr>
          <w:rFonts w:ascii="Times New Roman" w:hAnsi="Times New Roman" w:eastAsia="Times New Roman"/>
          <w:color w:val="000000"/>
          <w:spacing w:val="0"/>
          <w:w w:val="100"/>
          <w:sz w:val="20"/>
          <w:vertAlign w:val="baseline"/>
          <w:lang w:val="en-US"/>
        </w:rPr>
        <w:t xml:space="preserve">≥ 0·1%</w:t>
      </w:r>
    </w:p>
    <w:p>
      <w:pPr>
        <w:spacing w:before="8" w:after="0" w:line="229" w:lineRule="exact"/>
        <w:ind w:right="0" w:left="129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Sub-category 1A</w:t>
      </w:r>
    </w:p>
    <w:p>
      <w:pPr>
        <w:tabs>
          <w:tab w:val="left" w:leader="none" w:pos="1368"/>
          <w:tab w:val="left" w:leader="none" w:pos="5328"/>
          <w:tab w:val="left" w:leader="none" w:pos="6624"/>
        </w:tabs>
        <w:spacing w:before="114" w:after="0" w:line="229"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	</w:t>
      </w:r>
      <w:r>
        <w:rPr>
          <w:rFonts w:ascii="Times New Roman" w:hAnsi="Times New Roman" w:eastAsia="Times New Roman"/>
          <w:color w:val="000000"/>
          <w:spacing w:val="0"/>
          <w:w w:val="100"/>
          <w:sz w:val="20"/>
          <w:vertAlign w:val="baseline"/>
          <w:lang w:val="en-US"/>
        </w:rPr>
        <w:t xml:space="preserve">Respiratory sensitiser	</w:t>
      </w:r>
      <w:r>
        <w:rPr>
          <w:rFonts w:ascii="Times New Roman" w:hAnsi="Times New Roman" w:eastAsia="Times New Roman"/>
          <w:color w:val="000000"/>
          <w:spacing w:val="0"/>
          <w:w w:val="100"/>
          <w:sz w:val="20"/>
          <w:vertAlign w:val="baseline"/>
          <w:lang w:val="en-US"/>
        </w:rPr>
        <w:t xml:space="preserve">≥ 1·0%	</w:t>
      </w:r>
      <w:r>
        <w:rPr>
          <w:rFonts w:ascii="Times New Roman" w:hAnsi="Times New Roman" w:eastAsia="Times New Roman"/>
          <w:color w:val="000000"/>
          <w:spacing w:val="0"/>
          <w:w w:val="100"/>
          <w:sz w:val="20"/>
          <w:vertAlign w:val="baseline"/>
          <w:lang w:val="en-US"/>
        </w:rPr>
        <w:t xml:space="preserve">≥ 0·2%</w:t>
      </w:r>
    </w:p>
    <w:p>
      <w:pPr>
        <w:spacing w:before="4" w:after="45" w:line="229" w:lineRule="exact"/>
        <w:ind w:right="0" w:left="129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Sub-category 1B</w:t>
      </w:r>
    </w:p>
    <w:p>
      <w:pPr>
        <w:spacing w:before="144" w:after="0" w:line="229"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104.15pt,546.95pt" to="501.95pt,546.95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Note</w:t>
      </w:r>
    </w:p>
    <w:p>
      <w:pPr>
        <w:spacing w:before="122"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Table 6.1 replaces table 3.4.5 in:</w:t>
      </w:r>
    </w:p>
    <w:p>
      <w:pPr>
        <w:numPr>
          <w:ilvl w:val="0"/>
          <w:numId w:val="1071"/>
        </w:numPr>
        <w:tabs>
          <w:tab w:val="clear" w:pos="432"/>
          <w:tab w:val="left" w:pos="432"/>
        </w:tabs>
        <w:spacing w:before="121"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the GHS, p. 159; and</w:t>
      </w:r>
    </w:p>
    <w:p>
      <w:pPr>
        <w:numPr>
          <w:ilvl w:val="0"/>
          <w:numId w:val="1071"/>
        </w:numPr>
        <w:tabs>
          <w:tab w:val="clear" w:pos="432"/>
          <w:tab w:val="left" w:pos="432"/>
        </w:tabs>
        <w:spacing w:before="121"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GHS 3, p. 151.</w:t>
      </w:r>
    </w:p>
    <w:p>
      <w:pPr>
        <w:tabs>
          <w:tab w:val="left" w:leader="none" w:pos="1152"/>
        </w:tabs>
        <w:spacing w:before="237" w:after="0" w:line="229"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Table 6.2	</w:t>
      </w:r>
      <w:r>
        <w:rPr>
          <w:rFonts w:ascii="Times New Roman" w:hAnsi="Times New Roman" w:eastAsia="Times New Roman"/>
          <w:b w:val="true"/>
          <w:color w:val="000000"/>
          <w:spacing w:val="0"/>
          <w:w w:val="100"/>
          <w:sz w:val="20"/>
          <w:vertAlign w:val="baseline"/>
          <w:lang w:val="en-US"/>
        </w:rPr>
        <w:t xml:space="preserve">Classification of mixtures containing carcinogens</w:t>
      </w:r>
    </w:p>
    <w:p>
      <w:pPr>
        <w:spacing w:before="119" w:after="1744" w:line="231" w:lineRule="exact"/>
        <w:ind w:right="792" w:left="1152"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9pt,728.15pt" to="498.0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Cut-off values/concentration limits of ingredients of a mixture classified as a carcinogen that would trigger classification of the mixture.</w:t>
      </w:r>
    </w:p>
    <w:p>
      <w:pPr>
        <w:spacing w:before="119" w:after="1744" w:line="231" w:lineRule="exact"/>
        <w:sectPr>
          <w:type w:val="nextPage"/>
          <w:pgSz w:w="11909" w:h="16838" w:orient="portrait"/>
          <w:pgMar w:bottom="1082" w:top="1140" w:right="1871" w:left="1958"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446</w:t>
      </w:r>
    </w:p>
    <w:p>
      <w:pPr>
        <w:sectPr>
          <w:type w:val="continuous"/>
          <w:pgSz w:w="11909" w:h="16838" w:orient="portrait"/>
          <w:pgMar w:bottom="1082" w:top="1140" w:right="5812" w:left="1977" w:header="720" w:footer="720"/>
          <w:titlePg w:val="false"/>
          <w:textDirection w:val="lrTb"/>
        </w:sectPr>
      </w:pPr>
    </w:p>
    <w:p>
      <w:pPr>
        <w:spacing w:before="0" w:after="226" w:line="346"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</w:t>
        <w:br/>
      </w:r>
      <w:r>
        <w:rPr>
          <w:rFonts w:ascii="Times New Roman" w:hAnsi="Times New Roman" w:eastAsia="Times New Roman"/>
          <w:color w:val="000000"/>
          <w:spacing w:val="0"/>
          <w:w w:val="100"/>
          <w:sz w:val="20"/>
          <w:vertAlign w:val="baseline"/>
          <w:lang w:val="en-US"/>
        </w:rPr>
        <w:t xml:space="preserve">Schedule 6 Classification of mixtures</w:t>
      </w:r>
    </w:p>
    <w:p>
      <w:pPr>
        <w:tabs>
          <w:tab w:val="left" w:leader="none" w:pos="1368"/>
          <w:tab w:val="left" w:leader="none" w:pos="3600"/>
        </w:tabs>
        <w:spacing w:before="321" w:after="0" w:line="230" w:lineRule="exact"/>
        <w:ind w:right="0" w:left="288"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5.95pt,103.9pt" to="500pt,103.9pt" style="position:absolute;mso-position-horizontal-relative:page;mso-position-vertical-relative:page;">
            <v:stroke dashstyle="solid"/>
          </v:line>
        </w:pict>
      </w:r>
      <w:r>
        <w:pict>
          <v:line strokeweight="0.5pt" strokecolor="#000000" from="104.9pt,115.9pt" to="496.6pt,115.9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Item	</w:t>
      </w:r>
      <w:r>
        <w:rPr>
          <w:rFonts w:ascii="Times New Roman" w:hAnsi="Times New Roman" w:eastAsia="Times New Roman"/>
          <w:b w:val="true"/>
          <w:color w:val="000000"/>
          <w:spacing w:val="0"/>
          <w:w w:val="100"/>
          <w:sz w:val="20"/>
          <w:vertAlign w:val="baseline"/>
          <w:lang w:val="en-US"/>
        </w:rPr>
        <w:t xml:space="preserve">Ingredient	</w:t>
      </w:r>
      <w:r>
        <w:rPr>
          <w:rFonts w:ascii="Times New Roman" w:hAnsi="Times New Roman" w:eastAsia="Times New Roman"/>
          <w:b w:val="true"/>
          <w:color w:val="000000"/>
          <w:spacing w:val="0"/>
          <w:w w:val="100"/>
          <w:sz w:val="20"/>
          <w:vertAlign w:val="baseline"/>
          <w:lang w:val="en-US"/>
        </w:rPr>
        <w:t xml:space="preserve">Mixture classification</w:t>
      </w:r>
    </w:p>
    <w:p>
      <w:pPr>
        <w:spacing w:before="5" w:after="79" w:line="230"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classification</w:t>
      </w:r>
    </w:p>
    <w:p>
      <w:pPr>
        <w:tabs>
          <w:tab w:val="left" w:leader="none" w:pos="5112"/>
        </w:tabs>
        <w:spacing w:before="81" w:after="41" w:line="230" w:lineRule="exact"/>
        <w:ind w:right="1008" w:left="3600"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104.9pt,147.6pt" to="496.6pt,147.6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Category 1	</w:t>
      </w:r>
      <w:r>
        <w:rPr>
          <w:rFonts w:ascii="Times New Roman" w:hAnsi="Times New Roman" w:eastAsia="Times New Roman"/>
          <w:b w:val="true"/>
          <w:color w:val="000000"/>
          <w:spacing w:val="0"/>
          <w:w w:val="100"/>
          <w:sz w:val="20"/>
          <w:vertAlign w:val="baseline"/>
          <w:lang w:val="en-US"/>
        </w:rPr>
        <w:t xml:space="preserve">Category 2 carcinogen carcinogen</w:t>
      </w:r>
    </w:p>
    <w:p>
      <w:pPr>
        <w:tabs>
          <w:tab w:val="left" w:leader="none" w:pos="1368"/>
          <w:tab w:val="left" w:leader="none" w:pos="3600"/>
        </w:tabs>
        <w:spacing w:before="87" w:after="0" w:line="226" w:lineRule="exact"/>
        <w:ind w:right="0" w:left="288"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272.15pt,177.1pt" to="496.6pt,177.1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Category 1 carcinogen	</w:t>
      </w:r>
      <w:r>
        <w:rPr>
          <w:rFonts w:ascii="Times New Roman" w:hAnsi="Times New Roman" w:eastAsia="Times New Roman"/>
          <w:color w:val="000000"/>
          <w:spacing w:val="0"/>
          <w:w w:val="100"/>
          <w:sz w:val="20"/>
          <w:vertAlign w:val="baseline"/>
          <w:lang w:val="en-US"/>
        </w:rPr>
        <w:t xml:space="preserve">≥ 0·1%</w:t>
      </w:r>
    </w:p>
    <w:p>
      <w:pPr>
        <w:tabs>
          <w:tab w:val="left" w:leader="none" w:pos="1368"/>
          <w:tab w:val="left" w:leader="none" w:pos="5112"/>
        </w:tabs>
        <w:spacing w:before="124" w:after="34" w:line="226" w:lineRule="exact"/>
        <w:ind w:right="0" w:left="28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Category 2 carcinogen	</w:t>
      </w:r>
      <w:r>
        <w:rPr>
          <w:rFonts w:ascii="Times New Roman" w:hAnsi="Times New Roman" w:eastAsia="Times New Roman"/>
          <w:color w:val="000000"/>
          <w:spacing w:val="0"/>
          <w:w w:val="100"/>
          <w:sz w:val="20"/>
          <w:vertAlign w:val="baseline"/>
          <w:lang w:val="en-US"/>
        </w:rPr>
        <w:t xml:space="preserve">≥ 1·0%</w:t>
      </w:r>
    </w:p>
    <w:p>
      <w:pPr>
        <w:spacing w:before="143" w:after="0" w:line="230" w:lineRule="exact"/>
        <w:ind w:right="0" w:left="72"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104.15pt,212.65pt" to="496.6pt,212.65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Notes</w:t>
      </w:r>
    </w:p>
    <w:p>
      <w:pPr>
        <w:tabs>
          <w:tab w:val="left" w:leader="none" w:pos="504"/>
        </w:tabs>
        <w:spacing w:before="116" w:after="0" w:line="231" w:lineRule="exact"/>
        <w:ind w:right="360" w:left="504" w:hanging="432"/>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The concentration limits in table 6.2 apply to solids and liquids (w/w units) and gases (v/v units).</w:t>
      </w:r>
    </w:p>
    <w:p>
      <w:pPr>
        <w:tabs>
          <w:tab w:val="left" w:leader="none" w:pos="504"/>
        </w:tabs>
        <w:spacing w:before="119" w:after="0" w:line="226"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Table 6.2 replaces table 3.6.1 in:</w:t>
      </w:r>
    </w:p>
    <w:p>
      <w:pPr>
        <w:numPr>
          <w:ilvl w:val="0"/>
          <w:numId w:val="1072"/>
        </w:numPr>
        <w:tabs>
          <w:tab w:val="clear" w:pos="288"/>
          <w:tab w:val="left" w:pos="792"/>
        </w:tabs>
        <w:spacing w:before="125" w:after="0" w:line="226" w:lineRule="exact"/>
        <w:ind w:right="0" w:left="50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the GHS, p. 174; and</w:t>
      </w:r>
    </w:p>
    <w:p>
      <w:pPr>
        <w:numPr>
          <w:ilvl w:val="0"/>
          <w:numId w:val="1072"/>
        </w:numPr>
        <w:tabs>
          <w:tab w:val="clear" w:pos="288"/>
          <w:tab w:val="left" w:pos="792"/>
        </w:tabs>
        <w:spacing w:before="124" w:after="0" w:line="226" w:lineRule="exact"/>
        <w:ind w:right="0" w:left="504"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GHS 3, p. 166.</w:t>
      </w:r>
    </w:p>
    <w:p>
      <w:pPr>
        <w:tabs>
          <w:tab w:val="left" w:leader="none" w:pos="1224"/>
        </w:tabs>
        <w:spacing w:before="243" w:after="0" w:line="230" w:lineRule="exact"/>
        <w:ind w:right="0" w:left="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Table 6.3	</w:t>
      </w:r>
      <w:r>
        <w:rPr>
          <w:rFonts w:ascii="Times New Roman" w:hAnsi="Times New Roman" w:eastAsia="Times New Roman"/>
          <w:b w:val="true"/>
          <w:color w:val="000000"/>
          <w:spacing w:val="0"/>
          <w:w w:val="100"/>
          <w:sz w:val="20"/>
          <w:vertAlign w:val="baseline"/>
          <w:lang w:val="en-US"/>
        </w:rPr>
        <w:t xml:space="preserve">Classification of mixtures containing reproductive toxicants</w:t>
      </w:r>
    </w:p>
    <w:p>
      <w:pPr>
        <w:spacing w:before="122" w:after="0" w:line="226" w:lineRule="exact"/>
        <w:ind w:right="0" w:left="72"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Cut-off values/concentration limits of ingredients of a mixture classified as a</w:t>
      </w:r>
    </w:p>
    <w:p>
      <w:pPr>
        <w:spacing w:before="0" w:after="106" w:line="230" w:lineRule="exact"/>
        <w:ind w:right="1080" w:left="115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reproductive toxicant or for effects on or via lactation that would trigger classification of the mixture.</w:t>
      </w:r>
    </w:p>
    <w:p>
      <w:pPr>
        <w:tabs>
          <w:tab w:val="left" w:leader="none" w:pos="1368"/>
          <w:tab w:val="left" w:leader="none" w:pos="3024"/>
        </w:tabs>
        <w:spacing w:before="80" w:after="0" w:line="230" w:lineRule="exact"/>
        <w:ind w:right="0" w:left="288"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104.9pt,382.1pt" to="496.6pt,382.1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Item	</w:t>
      </w:r>
      <w:r>
        <w:rPr>
          <w:rFonts w:ascii="Times New Roman" w:hAnsi="Times New Roman" w:eastAsia="Times New Roman"/>
          <w:b w:val="true"/>
          <w:color w:val="000000"/>
          <w:spacing w:val="0"/>
          <w:w w:val="100"/>
          <w:sz w:val="20"/>
          <w:vertAlign w:val="baseline"/>
          <w:lang w:val="en-US"/>
        </w:rPr>
        <w:t xml:space="preserve">Ingredient	</w:t>
      </w:r>
      <w:r>
        <w:rPr>
          <w:rFonts w:ascii="Times New Roman" w:hAnsi="Times New Roman" w:eastAsia="Times New Roman"/>
          <w:b w:val="true"/>
          <w:color w:val="000000"/>
          <w:spacing w:val="0"/>
          <w:w w:val="100"/>
          <w:sz w:val="20"/>
          <w:vertAlign w:val="baseline"/>
          <w:lang w:val="en-US"/>
        </w:rPr>
        <w:t xml:space="preserve">Mixture classification</w:t>
      </w:r>
    </w:p>
    <w:p>
      <w:pPr>
        <w:spacing w:before="1" w:after="45" w:line="230"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classification</w:t>
      </w:r>
    </w:p>
    <w:p>
      <w:pPr>
        <w:spacing w:before="81" w:after="0" w:line="227" w:lineRule="exact"/>
        <w:ind w:right="0" w:left="5616"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104.9pt,411.6pt" to="496.6pt,411.6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Additional category for</w:t>
      </w:r>
    </w:p>
    <w:p>
      <w:pPr>
        <w:tabs>
          <w:tab w:val="left" w:leader="none" w:pos="4320"/>
          <w:tab w:val="left" w:leader="none" w:pos="5688"/>
        </w:tabs>
        <w:spacing w:before="0" w:after="0" w:line="230" w:lineRule="exact"/>
        <w:ind w:right="288" w:left="2952" w:firstLine="0"/>
        <w:jc w:val="left"/>
        <w:textAlignment w:val="baseline"/>
        <w:rPr>
          <w:rFonts w:ascii="Times New Roman" w:hAnsi="Times New Roman" w:eastAsia="Times New Roman"/>
          <w:b w:val="true"/>
          <w:color w:val="000000"/>
          <w:spacing w:val="-1"/>
          <w:w w:val="100"/>
          <w:sz w:val="20"/>
          <w:vertAlign w:val="baseline"/>
          <w:lang w:val="en-US"/>
        </w:rPr>
      </w:pPr>
      <w:r>
        <w:rPr>
          <w:rFonts w:ascii="Times New Roman" w:hAnsi="Times New Roman" w:eastAsia="Times New Roman"/>
          <w:b w:val="true"/>
          <w:color w:val="000000"/>
          <w:spacing w:val="-1"/>
          <w:w w:val="100"/>
          <w:sz w:val="20"/>
          <w:vertAlign w:val="baseline"/>
          <w:lang w:val="en-US"/>
        </w:rPr>
        <w:t xml:space="preserve">Category 1	</w:t>
      </w:r>
      <w:r>
        <w:rPr>
          <w:rFonts w:ascii="Times New Roman" w:hAnsi="Times New Roman" w:eastAsia="Times New Roman"/>
          <w:b w:val="true"/>
          <w:color w:val="000000"/>
          <w:spacing w:val="-1"/>
          <w:w w:val="100"/>
          <w:sz w:val="20"/>
          <w:vertAlign w:val="baseline"/>
          <w:lang w:val="en-US"/>
        </w:rPr>
        <w:t xml:space="preserve">Category 2	</w:t>
      </w:r>
      <w:r>
        <w:rPr>
          <w:rFonts w:ascii="Times New Roman" w:hAnsi="Times New Roman" w:eastAsia="Times New Roman"/>
          <w:b w:val="true"/>
          <w:color w:val="000000"/>
          <w:spacing w:val="-1"/>
          <w:w w:val="100"/>
          <w:sz w:val="20"/>
          <w:vertAlign w:val="baseline"/>
          <w:lang w:val="en-US"/>
        </w:rPr>
        <w:t xml:space="preserve">effects on or via lactation</w:t>
        <w:br/>
      </w:r>
      <w:r>
        <w:rPr>
          <w:rFonts w:ascii="Times New Roman" w:hAnsi="Times New Roman" w:eastAsia="Times New Roman"/>
          <w:b w:val="true"/>
          <w:color w:val="000000"/>
          <w:spacing w:val="-1"/>
          <w:w w:val="100"/>
          <w:sz w:val="20"/>
          <w:vertAlign w:val="baseline"/>
          <w:lang w:val="en-US"/>
        </w:rPr>
        <w:t xml:space="preserve">reproductive reproductive</w:t>
      </w:r>
    </w:p>
    <w:p>
      <w:pPr>
        <w:tabs>
          <w:tab w:val="left" w:leader="none" w:pos="4320"/>
        </w:tabs>
        <w:spacing w:before="0" w:after="53" w:line="226" w:lineRule="exact"/>
        <w:ind w:right="0" w:left="2952" w:firstLine="0"/>
        <w:jc w:val="left"/>
        <w:textAlignment w:val="baseline"/>
        <w:rPr>
          <w:rFonts w:ascii="Times New Roman" w:hAnsi="Times New Roman" w:eastAsia="Times New Roman"/>
          <w:b w:val="true"/>
          <w:color w:val="000000"/>
          <w:spacing w:val="-2"/>
          <w:w w:val="100"/>
          <w:sz w:val="20"/>
          <w:vertAlign w:val="baseline"/>
          <w:lang w:val="en-US"/>
        </w:rPr>
      </w:pPr>
      <w:r>
        <w:rPr>
          <w:rFonts w:ascii="Times New Roman" w:hAnsi="Times New Roman" w:eastAsia="Times New Roman"/>
          <w:b w:val="true"/>
          <w:color w:val="000000"/>
          <w:spacing w:val="-2"/>
          <w:w w:val="100"/>
          <w:sz w:val="20"/>
          <w:vertAlign w:val="baseline"/>
          <w:lang w:val="en-US"/>
        </w:rPr>
        <w:t xml:space="preserve">toxicant	</w:t>
      </w:r>
      <w:r>
        <w:rPr>
          <w:rFonts w:ascii="Times New Roman" w:hAnsi="Times New Roman" w:eastAsia="Times New Roman"/>
          <w:b w:val="true"/>
          <w:color w:val="000000"/>
          <w:spacing w:val="-2"/>
          <w:w w:val="100"/>
          <w:sz w:val="20"/>
          <w:vertAlign w:val="baseline"/>
          <w:lang w:val="en-US"/>
        </w:rPr>
        <w:t xml:space="preserve">toxicant</w:t>
      </w:r>
    </w:p>
    <w:p>
      <w:pPr>
        <w:spacing w:before="88" w:after="0" w:line="20" w:lineRule="exact"/>
      </w:pPr>
      <w:r>
        <w:pict>
          <v:line strokeweight="0.5pt" strokecolor="#000000" from="241.2pt,464.15pt" to="496.6pt,464.15pt" style="position:absolute;mso-position-horizontal-relative:page;mso-position-vertical-relative:page;">
            <v:stroke dashstyle="solid"/>
          </v:line>
        </w:pict>
      </w:r>
    </w:p>
    <w:tbl>
      <w:tblPr>
        <w:jc w:val="left"/>
        <w:tblLayout w:type="fixed"/>
        <w:tblCellMar>
          <w:left w:w="0" w:type="dxa"/>
          <w:right w:w="0" w:type="dxa"/>
        </w:tblCellMar>
      </w:tblPr>
      <w:tblGrid>
        <w:gridCol w:w="2838"/>
        <w:gridCol w:w="1130"/>
        <w:gridCol w:w="1325"/>
        <w:gridCol w:w="2787"/>
      </w:tblGrid>
      <w:tr>
        <w:trPr>
          <w:trHeight w:val="716" w:hRule="exact"/>
        </w:trPr>
        <w:tc>
          <w:tcPr>
            <w:tcW w:w="2838" w:type="dxa"/>
            <w:tcBorders>
              <w:top w:val="none"/>
              <w:left w:val="none"/>
              <w:bottom w:val="none"/>
              <w:right w:val="none"/>
            </w:tcBorders>
            <w:textDirection w:val="lrTb"/>
            <w:vAlign w:val="top"/>
          </w:tcPr>
          <w:p>
            <w:pPr>
              <w:tabs>
                <w:tab w:val="left" w:leader="none" w:pos="1368"/>
              </w:tabs>
              <w:spacing w:before="0" w:after="0" w:line="200" w:lineRule="exact"/>
              <w:ind w:right="0" w:left="28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Category 1</w:t>
            </w:r>
          </w:p>
          <w:p>
            <w:pPr>
              <w:spacing w:before="0" w:after="48" w:line="230"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reproductive toxicant</w:t>
            </w:r>
          </w:p>
        </w:tc>
        <w:tc>
          <w:tcPr>
            <w:tcW w:w="1130" w:type="dxa"/>
            <w:tcBorders>
              <w:top w:val="none"/>
              <w:left w:val="none"/>
              <w:bottom w:val="none"/>
              <w:right w:val="none"/>
            </w:tcBorders>
            <w:textDirection w:val="lrTb"/>
            <w:vAlign w:val="top"/>
          </w:tcPr>
          <w:p>
            <w:pPr>
              <w:spacing w:before="0" w:after="504" w:line="205" w:lineRule="exact"/>
              <w:ind w:right="263"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 0·3%</w:t>
            </w:r>
          </w:p>
        </w:tc>
        <w:tc>
          <w:tcPr>
            <w:tcW w:w="1325" w:type="dxa"/>
            <w:tcBorders>
              <w:top w:val="none"/>
              <w:left w:val="none"/>
              <w:bottom w:val="none"/>
              <w:right w:val="none"/>
            </w:tcBorders>
            <w:textDirection w:val="lrTb"/>
            <w:vAlign w:val="top"/>
          </w:tcPr>
          <w:p/>
        </w:tc>
        <w:tc>
          <w:tcPr>
            <w:tcW w:w="2787" w:type="dxa"/>
            <w:tcBorders>
              <w:top w:val="none"/>
              <w:left w:val="none"/>
              <w:bottom w:val="none"/>
              <w:right w:val="none"/>
            </w:tcBorders>
            <w:textDirection w:val="lrTb"/>
            <w:vAlign w:val="top"/>
          </w:tcPr>
          <w:p/>
        </w:tc>
      </w:tr>
      <w:tr>
        <w:trPr>
          <w:trHeight w:val="809" w:hRule="exact"/>
        </w:trPr>
        <w:tc>
          <w:tcPr>
            <w:tcW w:w="2838" w:type="dxa"/>
            <w:tcBorders>
              <w:top w:val="none"/>
              <w:left w:val="none"/>
              <w:bottom w:val="none"/>
              <w:right w:val="none"/>
            </w:tcBorders>
            <w:textDirection w:val="lrTb"/>
            <w:vAlign w:val="top"/>
          </w:tcPr>
          <w:p>
            <w:pPr>
              <w:tabs>
                <w:tab w:val="left" w:leader="none" w:pos="1368"/>
              </w:tabs>
              <w:spacing w:before="64" w:after="0" w:line="226" w:lineRule="exact"/>
              <w:ind w:right="0" w:left="28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Category 2</w:t>
            </w:r>
          </w:p>
          <w:p>
            <w:pPr>
              <w:spacing w:before="4" w:after="43" w:line="231"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reproductive toxicant</w:t>
            </w:r>
          </w:p>
        </w:tc>
        <w:tc>
          <w:tcPr>
            <w:tcW w:w="1130" w:type="dxa"/>
            <w:tcBorders>
              <w:top w:val="none"/>
              <w:left w:val="none"/>
              <w:bottom w:val="none"/>
              <w:right w:val="none"/>
            </w:tcBorders>
            <w:textDirection w:val="lrTb"/>
            <w:vAlign w:val="top"/>
          </w:tcPr>
          <w:p/>
        </w:tc>
        <w:tc>
          <w:tcPr>
            <w:tcW w:w="1325" w:type="dxa"/>
            <w:tcBorders>
              <w:top w:val="none"/>
              <w:left w:val="none"/>
              <w:bottom w:val="none"/>
              <w:right w:val="none"/>
            </w:tcBorders>
            <w:textDirection w:val="lrTb"/>
            <w:vAlign w:val="top"/>
          </w:tcPr>
          <w:p>
            <w:pPr>
              <w:spacing w:before="69" w:after="504" w:line="226"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 3·0%</w:t>
            </w:r>
          </w:p>
        </w:tc>
        <w:tc>
          <w:tcPr>
            <w:tcW w:w="2787" w:type="dxa"/>
            <w:tcBorders>
              <w:top w:val="none"/>
              <w:left w:val="none"/>
              <w:bottom w:val="none"/>
              <w:right w:val="none"/>
            </w:tcBorders>
            <w:textDirection w:val="lrTb"/>
            <w:vAlign w:val="top"/>
          </w:tcPr>
          <w:p/>
        </w:tc>
      </w:tr>
      <w:tr>
        <w:trPr>
          <w:trHeight w:val="964" w:hRule="exact"/>
        </w:trPr>
        <w:tc>
          <w:tcPr>
            <w:tcW w:w="2838" w:type="dxa"/>
            <w:tcBorders>
              <w:top w:val="none"/>
              <w:left w:val="none"/>
              <w:bottom w:val="none"/>
              <w:right w:val="none"/>
            </w:tcBorders>
            <w:textDirection w:val="lrTb"/>
            <w:vAlign w:val="top"/>
          </w:tcPr>
          <w:p>
            <w:pPr>
              <w:tabs>
                <w:tab w:val="left" w:leader="none" w:pos="1368"/>
              </w:tabs>
              <w:spacing w:before="44" w:after="0" w:line="227" w:lineRule="exact"/>
              <w:ind w:right="0" w:left="1368" w:hanging="108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	</w:t>
            </w:r>
            <w:r>
              <w:rPr>
                <w:rFonts w:ascii="Times New Roman" w:hAnsi="Times New Roman" w:eastAsia="Times New Roman"/>
                <w:color w:val="000000"/>
                <w:spacing w:val="0"/>
                <w:w w:val="100"/>
                <w:sz w:val="20"/>
                <w:vertAlign w:val="baseline"/>
                <w:lang w:val="en-US"/>
              </w:rPr>
              <w:t xml:space="preserve">Additional category for effects on or via lactation</w:t>
            </w:r>
          </w:p>
        </w:tc>
        <w:tc>
          <w:tcPr>
            <w:tcW w:w="1130" w:type="dxa"/>
            <w:tcBorders>
              <w:top w:val="none"/>
              <w:left w:val="none"/>
              <w:bottom w:val="none"/>
              <w:right w:val="none"/>
            </w:tcBorders>
            <w:textDirection w:val="lrTb"/>
            <w:vAlign w:val="top"/>
          </w:tcPr>
          <w:p/>
        </w:tc>
        <w:tc>
          <w:tcPr>
            <w:tcW w:w="1325" w:type="dxa"/>
            <w:tcBorders>
              <w:top w:val="none"/>
              <w:left w:val="none"/>
              <w:bottom w:val="none"/>
              <w:right w:val="none"/>
            </w:tcBorders>
            <w:textDirection w:val="lrTb"/>
            <w:vAlign w:val="top"/>
          </w:tcPr>
          <w:p/>
        </w:tc>
        <w:tc>
          <w:tcPr>
            <w:tcW w:w="2787" w:type="dxa"/>
            <w:tcBorders>
              <w:top w:val="none"/>
              <w:left w:val="none"/>
              <w:bottom w:val="none"/>
              <w:right w:val="none"/>
            </w:tcBorders>
            <w:textDirection w:val="lrTb"/>
            <w:vAlign w:val="top"/>
          </w:tcPr>
          <w:p>
            <w:pPr>
              <w:spacing w:before="71" w:after="658" w:line="226" w:lineRule="exact"/>
              <w:ind w:right="1726"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 0·3%</w:t>
            </w:r>
          </w:p>
        </w:tc>
      </w:tr>
    </w:tbl>
    <w:p>
      <w:pPr>
        <w:spacing w:before="0" w:after="52" w:line="20" w:lineRule="exact"/>
      </w:pPr>
    </w:p>
    <w:p>
      <w:pPr>
        <w:spacing w:before="537" w:after="0" w:line="230" w:lineRule="exact"/>
        <w:ind w:right="0" w:left="72"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104.15pt,597.6pt" to="496.6pt,597.6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Notes</w:t>
      </w:r>
    </w:p>
    <w:p>
      <w:pPr>
        <w:tabs>
          <w:tab w:val="left" w:leader="none" w:pos="504"/>
        </w:tabs>
        <w:spacing w:before="117" w:after="0" w:line="230" w:lineRule="exact"/>
        <w:ind w:right="360" w:left="504" w:hanging="432"/>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The concentration limits in table 6.3 apply to solids and liquids (w/w units) and gases (v/v units).</w:t>
      </w:r>
    </w:p>
    <w:p>
      <w:pPr>
        <w:tabs>
          <w:tab w:val="left" w:leader="none" w:pos="504"/>
        </w:tabs>
        <w:spacing w:before="125" w:after="0" w:line="226"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Table 6.3 replaces table 3.7.1 in:</w:t>
      </w:r>
    </w:p>
    <w:p>
      <w:pPr>
        <w:numPr>
          <w:ilvl w:val="0"/>
          <w:numId w:val="1073"/>
        </w:numPr>
        <w:tabs>
          <w:tab w:val="clear" w:pos="288"/>
          <w:tab w:val="left" w:pos="792"/>
        </w:tabs>
        <w:spacing w:before="124" w:after="0" w:line="226" w:lineRule="exact"/>
        <w:ind w:right="0" w:left="50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the GHS, p. 187; and</w:t>
      </w:r>
    </w:p>
    <w:p>
      <w:pPr>
        <w:numPr>
          <w:ilvl w:val="0"/>
          <w:numId w:val="1073"/>
        </w:numPr>
        <w:tabs>
          <w:tab w:val="clear" w:pos="288"/>
          <w:tab w:val="left" w:pos="792"/>
        </w:tabs>
        <w:spacing w:before="125" w:after="806" w:line="226" w:lineRule="exact"/>
        <w:ind w:right="0" w:left="504" w:firstLine="0"/>
        <w:jc w:val="left"/>
        <w:textAlignment w:val="baseline"/>
        <w:rPr>
          <w:rFonts w:ascii="Times New Roman" w:hAnsi="Times New Roman" w:eastAsia="Times New Roman"/>
          <w:color w:val="000000"/>
          <w:spacing w:val="-1"/>
          <w:w w:val="100"/>
          <w:sz w:val="20"/>
          <w:vertAlign w:val="baseline"/>
          <w:lang w:val="en-US"/>
        </w:rPr>
      </w:pPr>
      <w:r>
        <w:pict>
          <v:line strokeweight="0.5pt" strokecolor="#000000" from="95.95pt,728.15pt" to="500pt,728.15pt" style="position:absolute;mso-position-horizontal-relative:page;mso-position-vertical-relative:page;">
            <v:stroke dashstyle="solid"/>
          </v:line>
        </w:pict>
      </w:r>
      <w:r>
        <w:rPr>
          <w:rFonts w:ascii="Times New Roman" w:hAnsi="Times New Roman" w:eastAsia="Times New Roman"/>
          <w:color w:val="000000"/>
          <w:spacing w:val="-1"/>
          <w:w w:val="100"/>
          <w:sz w:val="20"/>
          <w:vertAlign w:val="baseline"/>
          <w:lang w:val="en-US"/>
        </w:rPr>
        <w:t xml:space="preserve">GHS 3, p. 180.</w:t>
      </w:r>
    </w:p>
    <w:p>
      <w:pPr>
        <w:spacing w:before="125" w:after="806" w:line="226" w:lineRule="exact"/>
        <w:sectPr>
          <w:type w:val="nextPage"/>
          <w:pgSz w:w="11909" w:h="16838" w:orient="portrait"/>
          <w:pgMar w:bottom="1082" w:top="1140" w:right="1910" w:left="191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447</w:t>
      </w:r>
    </w:p>
    <w:p>
      <w:pPr>
        <w:sectPr>
          <w:type w:val="continuous"/>
          <w:pgSz w:w="11909" w:h="16838" w:orient="portrait"/>
          <w:pgMar w:bottom="1082" w:top="1140" w:right="5812" w:left="1977" w:header="720" w:footer="720"/>
          <w:titlePg w:val="false"/>
          <w:textDirection w:val="lrTb"/>
        </w:sectPr>
      </w:pPr>
    </w:p>
    <w:p>
      <w:pPr>
        <w:spacing w:before="0" w:after="225" w:line="347"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</w:t>
        <w:br/>
      </w:r>
      <w:r>
        <w:rPr>
          <w:rFonts w:ascii="Times New Roman" w:hAnsi="Times New Roman" w:eastAsia="Times New Roman"/>
          <w:color w:val="000000"/>
          <w:spacing w:val="0"/>
          <w:w w:val="100"/>
          <w:sz w:val="20"/>
          <w:vertAlign w:val="baseline"/>
          <w:lang w:val="en-US"/>
        </w:rPr>
        <w:t xml:space="preserve">Schedule 6 Classification of mixtures</w:t>
      </w:r>
    </w:p>
    <w:p>
      <w:pPr>
        <w:tabs>
          <w:tab w:val="left" w:leader="none" w:pos="1224"/>
        </w:tabs>
        <w:spacing w:before="255" w:after="0" w:line="229" w:lineRule="exact"/>
        <w:ind w:right="504" w:left="1152" w:hanging="108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5.95pt,103.9pt" to="500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Table 6.4	</w:t>
      </w:r>
      <w:r>
        <w:rPr>
          <w:rFonts w:ascii="Times New Roman" w:hAnsi="Times New Roman" w:eastAsia="Times New Roman"/>
          <w:b w:val="true"/>
          <w:color w:val="000000"/>
          <w:spacing w:val="0"/>
          <w:w w:val="100"/>
          <w:sz w:val="20"/>
          <w:vertAlign w:val="baseline"/>
          <w:lang w:val="en-US"/>
        </w:rPr>
        <w:t xml:space="preserve">Classification of mixtures containing specific target organ toxicants (single exposure)</w:t>
      </w:r>
    </w:p>
    <w:p>
      <w:pPr>
        <w:spacing w:before="120" w:after="105" w:line="230" w:lineRule="exact"/>
        <w:ind w:right="720" w:left="1152"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Cut-off values/concentration limits of ingredients of a mixture classified as a specific target organ toxicant that would trigger classification of the mixture.</w:t>
      </w:r>
    </w:p>
    <w:p>
      <w:pPr>
        <w:tabs>
          <w:tab w:val="left" w:leader="none" w:pos="1368"/>
          <w:tab w:val="left" w:leader="none" w:pos="3240"/>
        </w:tabs>
        <w:spacing w:before="80" w:after="0" w:line="229" w:lineRule="exact"/>
        <w:ind w:right="0" w:left="288"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104.9pt,174pt" to="496.6pt,174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Item	</w:t>
      </w:r>
      <w:r>
        <w:rPr>
          <w:rFonts w:ascii="Times New Roman" w:hAnsi="Times New Roman" w:eastAsia="Times New Roman"/>
          <w:b w:val="true"/>
          <w:color w:val="000000"/>
          <w:spacing w:val="0"/>
          <w:w w:val="100"/>
          <w:sz w:val="20"/>
          <w:vertAlign w:val="baseline"/>
          <w:lang w:val="en-US"/>
        </w:rPr>
        <w:t xml:space="preserve">Ingredient	</w:t>
      </w:r>
      <w:r>
        <w:rPr>
          <w:rFonts w:ascii="Times New Roman" w:hAnsi="Times New Roman" w:eastAsia="Times New Roman"/>
          <w:b w:val="true"/>
          <w:color w:val="000000"/>
          <w:spacing w:val="0"/>
          <w:w w:val="100"/>
          <w:sz w:val="20"/>
          <w:vertAlign w:val="baseline"/>
          <w:lang w:val="en-US"/>
        </w:rPr>
        <w:t xml:space="preserve">Mixture classification</w:t>
      </w:r>
    </w:p>
    <w:p>
      <w:pPr>
        <w:spacing w:before="2" w:after="46" w:line="229" w:lineRule="exact"/>
        <w:ind w:right="0" w:left="1296"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classification</w:t>
      </w:r>
    </w:p>
    <w:p>
      <w:pPr>
        <w:tabs>
          <w:tab w:val="left" w:leader="none" w:pos="5256"/>
        </w:tabs>
        <w:spacing w:before="86" w:after="41" w:line="229" w:lineRule="exact"/>
        <w:ind w:right="0" w:left="3240"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104.9pt,203.5pt" to="496.6pt,203.5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Category 1	</w:t>
      </w:r>
      <w:r>
        <w:rPr>
          <w:rFonts w:ascii="Times New Roman" w:hAnsi="Times New Roman" w:eastAsia="Times New Roman"/>
          <w:b w:val="true"/>
          <w:color w:val="000000"/>
          <w:spacing w:val="0"/>
          <w:w w:val="100"/>
          <w:sz w:val="20"/>
          <w:vertAlign w:val="baseline"/>
          <w:lang w:val="en-US"/>
        </w:rPr>
        <w:t xml:space="preserve">Category 2</w:t>
      </w:r>
    </w:p>
    <w:p>
      <w:pPr>
        <w:tabs>
          <w:tab w:val="left" w:leader="none" w:pos="1368"/>
          <w:tab w:val="left" w:leader="none" w:pos="5328"/>
        </w:tabs>
        <w:spacing w:before="85" w:after="0" w:line="227" w:lineRule="exact"/>
        <w:ind w:right="0" w:left="288"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252.5pt,221.5pt" to="496.6pt,22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Category 1 specific Concentration ≥ 10%	</w:t>
      </w:r>
      <w:r>
        <w:rPr>
          <w:rFonts w:ascii="Times New Roman" w:hAnsi="Times New Roman" w:eastAsia="Times New Roman"/>
          <w:color w:val="000000"/>
          <w:spacing w:val="0"/>
          <w:w w:val="100"/>
          <w:sz w:val="20"/>
          <w:vertAlign w:val="baseline"/>
          <w:lang w:val="en-US"/>
        </w:rPr>
        <w:t xml:space="preserve">1·0% ≤ concentration &lt; 10%</w:t>
      </w:r>
    </w:p>
    <w:p>
      <w:pPr>
        <w:spacing w:before="0" w:after="0" w:line="227" w:lineRule="exact"/>
        <w:ind w:right="0" w:left="129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target organ toxicant</w:t>
      </w:r>
    </w:p>
    <w:p>
      <w:pPr>
        <w:tabs>
          <w:tab w:val="left" w:leader="none" w:pos="1368"/>
          <w:tab w:val="left" w:leader="none" w:pos="5328"/>
        </w:tabs>
        <w:spacing w:before="123" w:after="0" w:line="227" w:lineRule="exact"/>
        <w:ind w:right="0" w:left="28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Category 2 specific	</w:t>
      </w:r>
      <w:r>
        <w:rPr>
          <w:rFonts w:ascii="Times New Roman" w:hAnsi="Times New Roman" w:eastAsia="Times New Roman"/>
          <w:color w:val="000000"/>
          <w:spacing w:val="0"/>
          <w:w w:val="100"/>
          <w:sz w:val="20"/>
          <w:vertAlign w:val="baseline"/>
          <w:lang w:val="en-US"/>
        </w:rPr>
        <w:t xml:space="preserve">Concentration ≥ 10%</w:t>
      </w:r>
    </w:p>
    <w:p>
      <w:pPr>
        <w:spacing w:before="4" w:after="43" w:line="227" w:lineRule="exact"/>
        <w:ind w:right="0" w:left="129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target organ toxicant</w:t>
      </w:r>
    </w:p>
    <w:p>
      <w:pPr>
        <w:spacing w:before="143" w:after="0" w:line="229" w:lineRule="exact"/>
        <w:ind w:right="0" w:left="72"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104.15pt,279.85pt" to="496.6pt,279.85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Notes</w:t>
      </w:r>
    </w:p>
    <w:p>
      <w:pPr>
        <w:tabs>
          <w:tab w:val="left" w:leader="none" w:pos="504"/>
        </w:tabs>
        <w:spacing w:before="118" w:after="0" w:line="231" w:lineRule="exact"/>
        <w:ind w:right="360" w:left="504" w:hanging="432"/>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The concentration limits in table 6.4 apply to solids and liquids (w/w units) and gases (v/v units).</w:t>
      </w:r>
    </w:p>
    <w:p>
      <w:pPr>
        <w:tabs>
          <w:tab w:val="left" w:leader="none" w:pos="504"/>
        </w:tabs>
        <w:spacing w:before="123" w:after="0" w:line="227"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Table 6.4 replaces table 3.8.2 in:</w:t>
      </w:r>
    </w:p>
    <w:p>
      <w:pPr>
        <w:numPr>
          <w:ilvl w:val="0"/>
          <w:numId w:val="1074"/>
        </w:numPr>
        <w:tabs>
          <w:tab w:val="clear" w:pos="288"/>
          <w:tab w:val="left" w:pos="792"/>
        </w:tabs>
        <w:spacing w:before="123" w:after="0" w:line="227" w:lineRule="exact"/>
        <w:ind w:right="0" w:left="50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the GHS, p. 197; and</w:t>
      </w:r>
    </w:p>
    <w:p>
      <w:pPr>
        <w:numPr>
          <w:ilvl w:val="0"/>
          <w:numId w:val="1074"/>
        </w:numPr>
        <w:tabs>
          <w:tab w:val="clear" w:pos="288"/>
          <w:tab w:val="left" w:pos="792"/>
        </w:tabs>
        <w:spacing w:before="124" w:after="0" w:line="227" w:lineRule="exact"/>
        <w:ind w:right="0" w:left="504"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GHS 3, p. 192.</w:t>
      </w:r>
    </w:p>
    <w:p>
      <w:pPr>
        <w:tabs>
          <w:tab w:val="left" w:leader="none" w:pos="1224"/>
        </w:tabs>
        <w:spacing w:before="244" w:after="0" w:line="229" w:lineRule="exact"/>
        <w:ind w:right="288" w:left="1152" w:hanging="108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Table 6.5	</w:t>
      </w:r>
      <w:r>
        <w:rPr>
          <w:rFonts w:ascii="Times New Roman" w:hAnsi="Times New Roman" w:eastAsia="Times New Roman"/>
          <w:b w:val="true"/>
          <w:color w:val="000000"/>
          <w:spacing w:val="0"/>
          <w:w w:val="100"/>
          <w:sz w:val="20"/>
          <w:vertAlign w:val="baseline"/>
          <w:lang w:val="en-US"/>
        </w:rPr>
        <w:t xml:space="preserve">Classification of mixtures containing specific target organ toxicants (repeated exposure)</w:t>
      </w:r>
    </w:p>
    <w:p>
      <w:pPr>
        <w:spacing w:before="119" w:after="96" w:line="230" w:lineRule="exact"/>
        <w:ind w:right="0" w:left="504"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Cut-off values/concentration limits of ingredients of a mixture classified as a</w:t>
        <w:br/>
      </w:r>
      <w:r>
        <w:rPr>
          <w:rFonts w:ascii="Times New Roman" w:hAnsi="Times New Roman" w:eastAsia="Times New Roman"/>
          <w:color w:val="000000"/>
          <w:spacing w:val="0"/>
          <w:w w:val="100"/>
          <w:sz w:val="20"/>
          <w:vertAlign w:val="baseline"/>
          <w:lang w:val="en-US"/>
        </w:rPr>
        <w:t xml:space="preserve">specific target organ toxicant that would trigger classification of the mixture.</w:t>
      </w:r>
    </w:p>
    <w:p>
      <w:pPr>
        <w:tabs>
          <w:tab w:val="left" w:leader="none" w:pos="1368"/>
          <w:tab w:val="left" w:leader="none" w:pos="3240"/>
        </w:tabs>
        <w:spacing w:before="81" w:after="0" w:line="229" w:lineRule="exact"/>
        <w:ind w:right="0" w:left="288"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104.9pt,449.5pt" to="496.6pt,449.5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Item	</w:t>
      </w:r>
      <w:r>
        <w:rPr>
          <w:rFonts w:ascii="Times New Roman" w:hAnsi="Times New Roman" w:eastAsia="Times New Roman"/>
          <w:b w:val="true"/>
          <w:color w:val="000000"/>
          <w:spacing w:val="0"/>
          <w:w w:val="100"/>
          <w:sz w:val="20"/>
          <w:vertAlign w:val="baseline"/>
          <w:lang w:val="en-US"/>
        </w:rPr>
        <w:t xml:space="preserve">Ingredient	</w:t>
      </w:r>
      <w:r>
        <w:rPr>
          <w:rFonts w:ascii="Times New Roman" w:hAnsi="Times New Roman" w:eastAsia="Times New Roman"/>
          <w:b w:val="true"/>
          <w:color w:val="000000"/>
          <w:spacing w:val="0"/>
          <w:w w:val="100"/>
          <w:sz w:val="20"/>
          <w:vertAlign w:val="baseline"/>
          <w:lang w:val="en-US"/>
        </w:rPr>
        <w:t xml:space="preserve">Mixture classification</w:t>
      </w:r>
    </w:p>
    <w:p>
      <w:pPr>
        <w:spacing w:before="1" w:after="37" w:line="229" w:lineRule="exact"/>
        <w:ind w:right="0" w:left="1296"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classification</w:t>
      </w:r>
    </w:p>
    <w:p>
      <w:pPr>
        <w:tabs>
          <w:tab w:val="left" w:leader="none" w:pos="5256"/>
        </w:tabs>
        <w:spacing w:before="90" w:after="32" w:line="229" w:lineRule="exact"/>
        <w:ind w:right="0" w:left="3240"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104.9pt,478.8pt" to="496.6pt,478.8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Category 1	</w:t>
      </w:r>
      <w:r>
        <w:rPr>
          <w:rFonts w:ascii="Times New Roman" w:hAnsi="Times New Roman" w:eastAsia="Times New Roman"/>
          <w:b w:val="true"/>
          <w:color w:val="000000"/>
          <w:spacing w:val="0"/>
          <w:w w:val="100"/>
          <w:sz w:val="20"/>
          <w:vertAlign w:val="baseline"/>
          <w:lang w:val="en-US"/>
        </w:rPr>
        <w:t xml:space="preserve">Category 2</w:t>
      </w:r>
    </w:p>
    <w:p>
      <w:pPr>
        <w:tabs>
          <w:tab w:val="left" w:leader="none" w:pos="1368"/>
          <w:tab w:val="left" w:leader="none" w:pos="5328"/>
        </w:tabs>
        <w:spacing w:before="89" w:after="0" w:line="227" w:lineRule="exact"/>
        <w:ind w:right="0" w:left="288"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252.5pt,496.8pt" to="496.6pt,496.8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Category 1 specific Concentration ≥ 10%	</w:t>
      </w:r>
      <w:r>
        <w:rPr>
          <w:rFonts w:ascii="Times New Roman" w:hAnsi="Times New Roman" w:eastAsia="Times New Roman"/>
          <w:color w:val="000000"/>
          <w:spacing w:val="0"/>
          <w:w w:val="100"/>
          <w:sz w:val="20"/>
          <w:vertAlign w:val="baseline"/>
          <w:lang w:val="en-US"/>
        </w:rPr>
        <w:t xml:space="preserve">1·0% ≤ concentration &lt; 10%</w:t>
      </w:r>
    </w:p>
    <w:p>
      <w:pPr>
        <w:spacing w:before="1" w:after="0" w:line="227" w:lineRule="exact"/>
        <w:ind w:right="0" w:left="129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target organ toxicant</w:t>
      </w:r>
    </w:p>
    <w:p>
      <w:pPr>
        <w:tabs>
          <w:tab w:val="left" w:leader="none" w:pos="1368"/>
          <w:tab w:val="left" w:leader="none" w:pos="5328"/>
        </w:tabs>
        <w:spacing w:before="117" w:after="0" w:line="227" w:lineRule="exact"/>
        <w:ind w:right="0" w:left="28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Category 2 specific	</w:t>
      </w:r>
      <w:r>
        <w:rPr>
          <w:rFonts w:ascii="Times New Roman" w:hAnsi="Times New Roman" w:eastAsia="Times New Roman"/>
          <w:color w:val="000000"/>
          <w:spacing w:val="0"/>
          <w:w w:val="100"/>
          <w:sz w:val="20"/>
          <w:vertAlign w:val="baseline"/>
          <w:lang w:val="en-US"/>
        </w:rPr>
        <w:t xml:space="preserve">Concentration ≥ 10%</w:t>
      </w:r>
    </w:p>
    <w:p>
      <w:pPr>
        <w:spacing w:before="10" w:after="33" w:line="227" w:lineRule="exact"/>
        <w:ind w:right="0" w:left="129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target organ toxicant</w:t>
      </w:r>
    </w:p>
    <w:p>
      <w:pPr>
        <w:spacing w:before="542" w:after="0" w:line="229" w:lineRule="exact"/>
        <w:ind w:right="0" w:left="72"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104.15pt,555.35pt" to="496.6pt,555.35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Notes</w:t>
      </w:r>
    </w:p>
    <w:p>
      <w:pPr>
        <w:tabs>
          <w:tab w:val="left" w:leader="none" w:pos="504"/>
        </w:tabs>
        <w:spacing w:before="119" w:after="0" w:line="230" w:lineRule="exact"/>
        <w:ind w:right="360" w:left="504" w:hanging="432"/>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The concentration limits in table 6.5 apply to solids and liquids (w/w units) and gases (v/v units).</w:t>
      </w:r>
    </w:p>
    <w:p>
      <w:pPr>
        <w:tabs>
          <w:tab w:val="left" w:leader="none" w:pos="504"/>
        </w:tabs>
        <w:spacing w:before="119" w:after="0" w:line="227"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Table 6.5 replaces table 3.9.3 in:</w:t>
      </w:r>
    </w:p>
    <w:p>
      <w:pPr>
        <w:numPr>
          <w:ilvl w:val="0"/>
          <w:numId w:val="1075"/>
        </w:numPr>
        <w:tabs>
          <w:tab w:val="clear" w:pos="288"/>
          <w:tab w:val="left" w:pos="792"/>
        </w:tabs>
        <w:spacing w:before="123" w:after="0" w:line="227" w:lineRule="exact"/>
        <w:ind w:right="0" w:left="50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the GHS, p. 207; and</w:t>
      </w:r>
    </w:p>
    <w:p>
      <w:pPr>
        <w:numPr>
          <w:ilvl w:val="0"/>
          <w:numId w:val="1075"/>
        </w:numPr>
        <w:tabs>
          <w:tab w:val="clear" w:pos="288"/>
          <w:tab w:val="left" w:pos="792"/>
        </w:tabs>
        <w:spacing w:before="124" w:after="1650" w:line="227" w:lineRule="exact"/>
        <w:ind w:right="0" w:left="504" w:firstLine="0"/>
        <w:jc w:val="left"/>
        <w:textAlignment w:val="baseline"/>
        <w:rPr>
          <w:rFonts w:ascii="Times New Roman" w:hAnsi="Times New Roman" w:eastAsia="Times New Roman"/>
          <w:color w:val="000000"/>
          <w:spacing w:val="-1"/>
          <w:w w:val="100"/>
          <w:sz w:val="20"/>
          <w:vertAlign w:val="baseline"/>
          <w:lang w:val="en-US"/>
        </w:rPr>
      </w:pPr>
      <w:r>
        <w:pict>
          <v:line strokeweight="0.5pt" strokecolor="#000000" from="95.95pt,728.15pt" to="500pt,728.15pt" style="position:absolute;mso-position-horizontal-relative:page;mso-position-vertical-relative:page;">
            <v:stroke dashstyle="solid"/>
          </v:line>
        </w:pict>
      </w:r>
      <w:r>
        <w:rPr>
          <w:rFonts w:ascii="Times New Roman" w:hAnsi="Times New Roman" w:eastAsia="Times New Roman"/>
          <w:color w:val="000000"/>
          <w:spacing w:val="-1"/>
          <w:w w:val="100"/>
          <w:sz w:val="20"/>
          <w:vertAlign w:val="baseline"/>
          <w:lang w:val="en-US"/>
        </w:rPr>
        <w:t xml:space="preserve">GHS 3, p. 203.</w:t>
      </w:r>
    </w:p>
    <w:p>
      <w:pPr>
        <w:spacing w:before="124" w:after="1650" w:line="227" w:lineRule="exact"/>
        <w:sectPr>
          <w:type w:val="nextPage"/>
          <w:pgSz w:w="11909" w:h="16838" w:orient="portrait"/>
          <w:pgMar w:bottom="1082" w:top="1140" w:right="1910" w:left="191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448</w:t>
      </w:r>
    </w:p>
    <w:p>
      <w:pPr>
        <w:sectPr>
          <w:type w:val="continuous"/>
          <w:pgSz w:w="11909" w:h="16838" w:orient="portrait"/>
          <w:pgMar w:bottom="1082" w:top="1140" w:right="5814" w:left="1975" w:header="720" w:footer="720"/>
          <w:titlePg w:val="false"/>
          <w:textDirection w:val="lrTb"/>
        </w:sectPr>
      </w:pPr>
    </w:p>
    <w:p>
      <w:pPr>
        <w:spacing w:before="0" w:after="222" w:line="348"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</w:t>
        <w:br/>
      </w:r>
      <w:r>
        <w:rPr>
          <w:rFonts w:ascii="Times New Roman" w:hAnsi="Times New Roman" w:eastAsia="Times New Roman"/>
          <w:color w:val="000000"/>
          <w:spacing w:val="0"/>
          <w:w w:val="100"/>
          <w:sz w:val="20"/>
          <w:vertAlign w:val="baseline"/>
          <w:lang w:val="en-US"/>
        </w:rPr>
        <w:t xml:space="preserve">Schedule 7 Safety data sheets</w:t>
      </w:r>
    </w:p>
    <w:p>
      <w:pPr>
        <w:spacing w:before="258" w:after="0" w:line="317" w:lineRule="exact"/>
        <w:ind w:right="0" w:left="72" w:firstLine="0"/>
        <w:jc w:val="left"/>
        <w:textAlignment w:val="baseline"/>
        <w:rPr>
          <w:rFonts w:ascii="Times New Roman" w:hAnsi="Times New Roman" w:eastAsia="Times New Roman"/>
          <w:b w:val="true"/>
          <w:color w:val="000000"/>
          <w:spacing w:val="6"/>
          <w:w w:val="100"/>
          <w:sz w:val="28"/>
          <w:vertAlign w:val="baseline"/>
          <w:lang w:val="en-US"/>
        </w:rPr>
      </w:pPr>
      <w:r>
        <w:pict>
          <v:line strokeweight="0.5pt" strokecolor="#000000" from="95.95pt,103.9pt" to="500pt,103.9pt" style="position:absolute;mso-position-horizontal-relative:page;mso-position-vertical-relative:page;">
            <v:stroke dashstyle="solid"/>
          </v:line>
        </w:pict>
      </w:r>
      <w:r>
        <w:rPr>
          <w:rFonts w:ascii="Times New Roman" w:hAnsi="Times New Roman" w:eastAsia="Times New Roman"/>
          <w:b w:val="true"/>
          <w:color w:val="000000"/>
          <w:spacing w:val="6"/>
          <w:w w:val="100"/>
          <w:sz w:val="28"/>
          <w:vertAlign w:val="baseline"/>
          <w:lang w:val="en-US"/>
        </w:rPr>
        <w:t xml:space="preserve">Schedule 7 Safety data sheets</w:t>
      </w:r>
    </w:p>
    <w:p>
      <w:pPr>
        <w:spacing w:before="121" w:after="0" w:line="230" w:lineRule="exact"/>
        <w:ind w:right="0" w:left="72"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Regulations 330 and 331</w:t>
      </w:r>
    </w:p>
    <w:p>
      <w:pPr>
        <w:spacing w:before="117" w:after="0" w:line="274" w:lineRule="exact"/>
        <w:ind w:right="0" w:left="36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 Safety data sheets—content</w:t>
      </w:r>
    </w:p>
    <w:p>
      <w:pPr>
        <w:spacing w:before="125" w:after="0" w:line="271"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safety data sheet for a hazardous chemical must:</w:t>
      </w:r>
    </w:p>
    <w:p>
      <w:pPr>
        <w:spacing w:before="117" w:after="0" w:line="276" w:lineRule="exact"/>
        <w:ind w:right="72"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contain unit measures expressed in Australian legal units of measurement under the </w:t>
      </w:r>
      <w:r>
        <w:rPr>
          <w:rFonts w:ascii="Times New Roman" w:hAnsi="Times New Roman" w:eastAsia="Times New Roman"/>
          <w:i w:val="true"/>
          <w:color w:val="000000"/>
          <w:spacing w:val="0"/>
          <w:w w:val="100"/>
          <w:sz w:val="24"/>
          <w:vertAlign w:val="baseline"/>
          <w:lang w:val="en-US"/>
        </w:rPr>
        <w:t xml:space="preserve">National Measurement Act 1960 </w:t>
      </w:r>
      <w:r>
        <w:rPr>
          <w:rFonts w:ascii="Times New Roman" w:hAnsi="Times New Roman" w:eastAsia="Times New Roman"/>
          <w:color w:val="000000"/>
          <w:spacing w:val="0"/>
          <w:w w:val="100"/>
          <w:sz w:val="24"/>
          <w:vertAlign w:val="baseline"/>
          <w:lang w:val="en-US"/>
        </w:rPr>
        <w:t xml:space="preserve">of the Commonwealth; and</w:t>
      </w:r>
    </w:p>
    <w:p>
      <w:pPr>
        <w:spacing w:before="126" w:after="0" w:line="273" w:lineRule="exact"/>
        <w:ind w:right="936"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state the date it was last reviewed or, if it has not been reviewed, the date it was prepared; and</w:t>
      </w:r>
    </w:p>
    <w:p>
      <w:pPr>
        <w:spacing w:before="126" w:after="0" w:line="273" w:lineRule="exact"/>
        <w:ind w:right="792"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state the name, and the Australian address and business telephone number of:</w:t>
      </w:r>
    </w:p>
    <w:p>
      <w:pPr>
        <w:numPr>
          <w:ilvl w:val="0"/>
          <w:numId w:val="1076"/>
        </w:numPr>
        <w:tabs>
          <w:tab w:val="clear" w:pos="360"/>
          <w:tab w:val="left" w:pos="2448"/>
        </w:tabs>
        <w:spacing w:before="128" w:after="0" w:line="271" w:lineRule="exact"/>
        <w:ind w:right="0" w:left="208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manufacturer; or</w:t>
      </w:r>
    </w:p>
    <w:p>
      <w:pPr>
        <w:numPr>
          <w:ilvl w:val="0"/>
          <w:numId w:val="1076"/>
        </w:numPr>
        <w:tabs>
          <w:tab w:val="clear" w:pos="360"/>
          <w:tab w:val="left" w:pos="2448"/>
        </w:tabs>
        <w:spacing w:before="122" w:after="0" w:line="271" w:lineRule="exact"/>
        <w:ind w:right="0" w:left="208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importer; and</w:t>
      </w:r>
    </w:p>
    <w:p>
      <w:pPr>
        <w:spacing w:before="118" w:after="0" w:line="276" w:lineRule="exact"/>
        <w:ind w:right="504"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state an Australian business telephone number from which information about the chemical can be obtained in an emergency; and</w:t>
      </w:r>
    </w:p>
    <w:p>
      <w:pPr>
        <w:spacing w:before="127" w:after="0" w:line="271" w:lineRule="exact"/>
        <w:ind w:right="0" w:left="1584"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 be in English.</w:t>
      </w:r>
    </w:p>
    <w:p>
      <w:pPr>
        <w:spacing w:before="116" w:after="0" w:line="278" w:lineRule="exact"/>
        <w:ind w:right="1008" w:left="144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 safety data sheet for a hazardous chemical must state the following information about the chemical:</w:t>
      </w:r>
    </w:p>
    <w:p>
      <w:pPr>
        <w:numPr>
          <w:ilvl w:val="0"/>
          <w:numId w:val="1077"/>
        </w:numPr>
        <w:tabs>
          <w:tab w:val="clear" w:pos="360"/>
          <w:tab w:val="left" w:pos="1944"/>
        </w:tabs>
        <w:spacing w:before="123" w:after="0" w:line="271" w:lineRule="exact"/>
        <w:ind w:right="0"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Section 1: Identification;</w:t>
      </w:r>
    </w:p>
    <w:p>
      <w:pPr>
        <w:numPr>
          <w:ilvl w:val="0"/>
          <w:numId w:val="1077"/>
        </w:numPr>
        <w:tabs>
          <w:tab w:val="clear" w:pos="360"/>
          <w:tab w:val="left" w:pos="1944"/>
        </w:tabs>
        <w:spacing w:before="127" w:after="0" w:line="271" w:lineRule="exact"/>
        <w:ind w:right="0"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Section 2: Hazard(s) identification;</w:t>
      </w:r>
    </w:p>
    <w:p>
      <w:pPr>
        <w:numPr>
          <w:ilvl w:val="0"/>
          <w:numId w:val="1077"/>
        </w:numPr>
        <w:tabs>
          <w:tab w:val="clear" w:pos="360"/>
          <w:tab w:val="left" w:pos="1944"/>
        </w:tabs>
        <w:spacing w:before="116" w:after="0" w:line="278" w:lineRule="exact"/>
        <w:ind w:right="504"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Section 3: Composition and information on ingredients, in accordance with Schedule 8;</w:t>
      </w:r>
    </w:p>
    <w:p>
      <w:pPr>
        <w:numPr>
          <w:ilvl w:val="0"/>
          <w:numId w:val="1077"/>
        </w:numPr>
        <w:tabs>
          <w:tab w:val="clear" w:pos="360"/>
          <w:tab w:val="left" w:pos="1944"/>
        </w:tabs>
        <w:spacing w:before="123" w:after="0" w:line="271" w:lineRule="exact"/>
        <w:ind w:right="0"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Section 4: First aid measures;</w:t>
      </w:r>
    </w:p>
    <w:p>
      <w:pPr>
        <w:numPr>
          <w:ilvl w:val="0"/>
          <w:numId w:val="1077"/>
        </w:numPr>
        <w:tabs>
          <w:tab w:val="clear" w:pos="360"/>
          <w:tab w:val="left" w:pos="1944"/>
        </w:tabs>
        <w:spacing w:before="127" w:after="0" w:line="271" w:lineRule="exact"/>
        <w:ind w:right="0"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Section 5: Firefighting measures;</w:t>
      </w:r>
    </w:p>
    <w:p>
      <w:pPr>
        <w:numPr>
          <w:ilvl w:val="0"/>
          <w:numId w:val="1077"/>
        </w:numPr>
        <w:tabs>
          <w:tab w:val="clear" w:pos="360"/>
          <w:tab w:val="left" w:pos="1944"/>
        </w:tabs>
        <w:spacing w:before="123" w:after="0" w:line="271" w:lineRule="exact"/>
        <w:ind w:right="0"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Section 6: Accidental release measures;</w:t>
      </w:r>
    </w:p>
    <w:p>
      <w:pPr>
        <w:numPr>
          <w:ilvl w:val="0"/>
          <w:numId w:val="1077"/>
        </w:numPr>
        <w:tabs>
          <w:tab w:val="clear" w:pos="360"/>
          <w:tab w:val="left" w:pos="1944"/>
        </w:tabs>
        <w:spacing w:before="127" w:after="0" w:line="271" w:lineRule="exact"/>
        <w:ind w:right="0"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Section 7: Handling and storage;</w:t>
      </w:r>
    </w:p>
    <w:p>
      <w:pPr>
        <w:numPr>
          <w:ilvl w:val="0"/>
          <w:numId w:val="1077"/>
        </w:numPr>
        <w:tabs>
          <w:tab w:val="clear" w:pos="360"/>
          <w:tab w:val="left" w:pos="1944"/>
        </w:tabs>
        <w:spacing w:before="123" w:after="0" w:line="271" w:lineRule="exact"/>
        <w:ind w:right="0"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Section 8: Exposure controls and personal protection;</w:t>
      </w:r>
    </w:p>
    <w:p>
      <w:pPr>
        <w:numPr>
          <w:ilvl w:val="0"/>
          <w:numId w:val="1077"/>
        </w:numPr>
        <w:tabs>
          <w:tab w:val="clear" w:pos="360"/>
          <w:tab w:val="left" w:pos="1944"/>
        </w:tabs>
        <w:spacing w:before="127" w:after="0" w:line="271" w:lineRule="exact"/>
        <w:ind w:right="0"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Section 9: Physical and chemical properties;</w:t>
      </w:r>
    </w:p>
    <w:p>
      <w:pPr>
        <w:numPr>
          <w:ilvl w:val="0"/>
          <w:numId w:val="1077"/>
        </w:numPr>
        <w:tabs>
          <w:tab w:val="clear" w:pos="360"/>
          <w:tab w:val="left" w:pos="1944"/>
        </w:tabs>
        <w:spacing w:before="123" w:after="0" w:line="271" w:lineRule="exact"/>
        <w:ind w:right="0"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Section 10: Stability and reactivity;</w:t>
      </w:r>
    </w:p>
    <w:p>
      <w:pPr>
        <w:numPr>
          <w:ilvl w:val="0"/>
          <w:numId w:val="1077"/>
        </w:numPr>
        <w:tabs>
          <w:tab w:val="clear" w:pos="360"/>
          <w:tab w:val="left" w:pos="1944"/>
        </w:tabs>
        <w:spacing w:before="127" w:after="0" w:line="271" w:lineRule="exact"/>
        <w:ind w:right="0"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Section 11: Toxicological information;</w:t>
      </w:r>
    </w:p>
    <w:p>
      <w:pPr>
        <w:numPr>
          <w:ilvl w:val="0"/>
          <w:numId w:val="1077"/>
        </w:numPr>
        <w:tabs>
          <w:tab w:val="clear" w:pos="360"/>
          <w:tab w:val="left" w:pos="1944"/>
        </w:tabs>
        <w:spacing w:before="123" w:after="0" w:line="271" w:lineRule="exact"/>
        <w:ind w:right="0"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Section 12: Ecological information;</w:t>
      </w:r>
    </w:p>
    <w:p>
      <w:pPr>
        <w:numPr>
          <w:ilvl w:val="0"/>
          <w:numId w:val="1077"/>
        </w:numPr>
        <w:tabs>
          <w:tab w:val="clear" w:pos="360"/>
          <w:tab w:val="left" w:pos="1944"/>
        </w:tabs>
        <w:spacing w:before="127" w:after="842" w:line="271" w:lineRule="exact"/>
        <w:ind w:right="0" w:left="1944"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5.95pt,728.15pt" to="500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Section 13: Disposal considerations;</w:t>
      </w:r>
    </w:p>
    <w:p>
      <w:pPr>
        <w:spacing w:before="127" w:after="842" w:line="271" w:lineRule="exact"/>
        <w:sectPr>
          <w:type w:val="nextPage"/>
          <w:pgSz w:w="11909" w:h="16838" w:orient="portrait"/>
          <w:pgMar w:bottom="1082" w:top="1140" w:right="1910" w:left="191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449</w:t>
      </w:r>
    </w:p>
    <w:p>
      <w:pPr>
        <w:sectPr>
          <w:type w:val="continuous"/>
          <w:pgSz w:w="11909" w:h="16838" w:orient="portrait"/>
          <w:pgMar w:bottom="1082" w:top="1140" w:right="5812" w:left="1977" w:header="720" w:footer="720"/>
          <w:titlePg w:val="false"/>
          <w:textDirection w:val="lrTb"/>
        </w:sectPr>
      </w:pPr>
    </w:p>
    <w:p>
      <w:pPr>
        <w:spacing w:before="0" w:after="223" w:line="348"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</w:t>
        <w:br/>
      </w:r>
      <w:r>
        <w:rPr>
          <w:rFonts w:ascii="Times New Roman" w:hAnsi="Times New Roman" w:eastAsia="Times New Roman"/>
          <w:color w:val="000000"/>
          <w:spacing w:val="0"/>
          <w:w w:val="100"/>
          <w:sz w:val="20"/>
          <w:vertAlign w:val="baseline"/>
          <w:lang w:val="en-US"/>
        </w:rPr>
        <w:t xml:space="preserve">Schedule 7 Safety data sheets</w:t>
      </w:r>
    </w:p>
    <w:p>
      <w:pPr>
        <w:numPr>
          <w:ilvl w:val="0"/>
          <w:numId w:val="1077"/>
        </w:numPr>
        <w:tabs>
          <w:tab w:val="clear" w:pos="360"/>
          <w:tab w:val="left" w:pos="1944"/>
        </w:tabs>
        <w:spacing w:before="251" w:after="0" w:line="271" w:lineRule="exact"/>
        <w:ind w:right="0" w:left="1584"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5.95pt,103.9pt" to="500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Section 14: Transport information;</w:t>
      </w:r>
    </w:p>
    <w:p>
      <w:pPr>
        <w:numPr>
          <w:ilvl w:val="0"/>
          <w:numId w:val="1077"/>
        </w:numPr>
        <w:tabs>
          <w:tab w:val="clear" w:pos="360"/>
          <w:tab w:val="left" w:pos="1944"/>
        </w:tabs>
        <w:spacing w:before="128" w:after="0" w:line="271" w:lineRule="exact"/>
        <w:ind w:right="0" w:left="1584"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Section 15: Regulatory information;</w:t>
      </w:r>
    </w:p>
    <w:p>
      <w:pPr>
        <w:numPr>
          <w:ilvl w:val="0"/>
          <w:numId w:val="1077"/>
        </w:numPr>
        <w:tabs>
          <w:tab w:val="clear" w:pos="360"/>
          <w:tab w:val="left" w:pos="1944"/>
        </w:tabs>
        <w:spacing w:before="122" w:after="0" w:line="271" w:lineRule="exact"/>
        <w:ind w:right="0" w:left="1584"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Section 16: Any other relevant information.</w:t>
      </w:r>
    </w:p>
    <w:p>
      <w:pPr>
        <w:numPr>
          <w:ilvl w:val="0"/>
          <w:numId w:val="1078"/>
        </w:numPr>
        <w:tabs>
          <w:tab w:val="clear" w:pos="360"/>
          <w:tab w:val="left" w:pos="1440"/>
        </w:tabs>
        <w:spacing w:before="126" w:after="0" w:line="273" w:lineRule="exact"/>
        <w:ind w:right="432" w:left="1440"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safety data sheet must use the headings and be set out in the order set out in subclause (2).</w:t>
      </w:r>
    </w:p>
    <w:p>
      <w:pPr>
        <w:numPr>
          <w:ilvl w:val="0"/>
          <w:numId w:val="1078"/>
        </w:numPr>
        <w:tabs>
          <w:tab w:val="clear" w:pos="360"/>
          <w:tab w:val="left" w:pos="1440"/>
        </w:tabs>
        <w:spacing w:before="30" w:after="0" w:line="360" w:lineRule="exact"/>
        <w:ind w:right="0" w:left="936" w:firstLine="14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safety data sheet must be in English.</w:t>
        <w:br/>
      </w:r>
      <w:r>
        <w:rPr>
          <w:rFonts w:ascii="Times New Roman" w:hAnsi="Times New Roman" w:eastAsia="Times New Roman"/>
          <w:b w:val="true"/>
          <w:color w:val="000000"/>
          <w:spacing w:val="0"/>
          <w:w w:val="100"/>
          <w:sz w:val="20"/>
          <w:vertAlign w:val="baseline"/>
          <w:lang w:val="en-US"/>
        </w:rPr>
        <w:t xml:space="preserve">Note</w:t>
      </w:r>
    </w:p>
    <w:p>
      <w:pPr>
        <w:spacing w:before="123" w:after="0" w:line="231" w:lineRule="exact"/>
        <w:ind w:right="216"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Regulations 330 and 331 provide that clause 2 will apply instead of clause 1 in certain cases.</w:t>
      </w:r>
    </w:p>
    <w:p>
      <w:pPr>
        <w:spacing w:before="117" w:after="0" w:line="273" w:lineRule="exact"/>
        <w:ind w:right="504" w:left="36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 Safety data sheets—research chemical, waste product or sample for analysis</w:t>
      </w:r>
    </w:p>
    <w:p>
      <w:pPr>
        <w:spacing w:before="122" w:after="0" w:line="276" w:lineRule="exact"/>
        <w:ind w:right="432" w:left="1440"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the purposes of regulation 331, a safety data sheet for a hazardous chemical that is a research chemical, waste product or sample for analysis must:</w:t>
      </w:r>
    </w:p>
    <w:p>
      <w:pPr>
        <w:spacing w:before="122" w:after="0" w:line="271" w:lineRule="exact"/>
        <w:ind w:right="0" w:left="1584"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be in English; and</w:t>
      </w:r>
    </w:p>
    <w:p>
      <w:pPr>
        <w:spacing w:before="126" w:after="0" w:line="273" w:lineRule="exact"/>
        <w:ind w:right="576"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state the name, Australian address and business telephone number of:</w:t>
      </w:r>
    </w:p>
    <w:p>
      <w:pPr>
        <w:numPr>
          <w:ilvl w:val="0"/>
          <w:numId w:val="1079"/>
        </w:numPr>
        <w:tabs>
          <w:tab w:val="clear" w:pos="360"/>
          <w:tab w:val="left" w:pos="2448"/>
        </w:tabs>
        <w:spacing w:before="128" w:after="0" w:line="271" w:lineRule="exact"/>
        <w:ind w:right="0" w:left="208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manufacturer; or</w:t>
      </w:r>
    </w:p>
    <w:p>
      <w:pPr>
        <w:numPr>
          <w:ilvl w:val="0"/>
          <w:numId w:val="1079"/>
        </w:numPr>
        <w:tabs>
          <w:tab w:val="clear" w:pos="360"/>
          <w:tab w:val="left" w:pos="2448"/>
        </w:tabs>
        <w:spacing w:before="122" w:after="0" w:line="271" w:lineRule="exact"/>
        <w:ind w:right="0" w:left="208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importer; and</w:t>
      </w:r>
    </w:p>
    <w:p>
      <w:pPr>
        <w:spacing w:before="123" w:after="0" w:line="276" w:lineRule="exact"/>
        <w:ind w:right="144"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state that full identification or hazard information is not available for the chemical, and in the absence of full identification or hazard information, a precautionary approach must be taken by a person using, handling or storing the chemical; and</w:t>
      </w:r>
    </w:p>
    <w:p>
      <w:pPr>
        <w:spacing w:before="114" w:after="0" w:line="279" w:lineRule="exact"/>
        <w:ind w:right="144"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state the chemical identity or structure of the chemical or chemical composition, as far as is reasonably practicable; and</w:t>
      </w:r>
    </w:p>
    <w:p>
      <w:pPr>
        <w:spacing w:before="122" w:after="0" w:line="271" w:lineRule="exact"/>
        <w:ind w:right="0" w:left="1584"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 state any known or suspected hazards; and</w:t>
      </w:r>
    </w:p>
    <w:p>
      <w:pPr>
        <w:spacing w:before="123" w:after="2766" w:line="276" w:lineRule="exact"/>
        <w:ind w:right="216" w:left="1944"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5.95pt,728.15pt" to="500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(f) state any precautions that a person using, handling or storing the chemical must take to the extent that the precautions have been identified.</w:t>
      </w:r>
    </w:p>
    <w:p>
      <w:pPr>
        <w:spacing w:before="123" w:after="2766" w:line="276" w:lineRule="exact"/>
        <w:sectPr>
          <w:type w:val="nextPage"/>
          <w:pgSz w:w="11909" w:h="16838" w:orient="portrait"/>
          <w:pgMar w:bottom="1082" w:top="1140" w:right="1910" w:left="191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450</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spacing w:before="231" w:after="222" w:line="230" w:lineRule="exact"/>
        <w:ind w:right="0" w:left="72" w:firstLine="0"/>
        <w:jc w:val="left"/>
        <w:textAlignment w:val="baseline"/>
        <w:rPr>
          <w:rFonts w:ascii="Times New Roman" w:hAnsi="Times New Roman" w:eastAsia="Times New Roman"/>
          <w:color w:val="000000"/>
          <w:spacing w:val="3"/>
          <w:w w:val="100"/>
          <w:sz w:val="20"/>
          <w:vertAlign w:val="baseline"/>
          <w:lang w:val="en-US"/>
        </w:rPr>
      </w:pPr>
      <w:r>
        <w:rPr>
          <w:rFonts w:ascii="Times New Roman" w:hAnsi="Times New Roman" w:eastAsia="Times New Roman"/>
          <w:color w:val="000000"/>
          <w:spacing w:val="3"/>
          <w:w w:val="100"/>
          <w:sz w:val="20"/>
          <w:vertAlign w:val="baseline"/>
          <w:lang w:val="en-US"/>
        </w:rPr>
        <w:t xml:space="preserve">Schedule 8 Disclosure of ingredients in safety data sheet</w:t>
      </w:r>
    </w:p>
    <w:p>
      <w:pPr>
        <w:spacing w:before="258" w:after="0" w:line="317" w:lineRule="exact"/>
        <w:ind w:right="0" w:left="72" w:firstLine="0"/>
        <w:jc w:val="left"/>
        <w:textAlignment w:val="baseline"/>
        <w:rPr>
          <w:rFonts w:ascii="Times New Roman" w:hAnsi="Times New Roman" w:eastAsia="Times New Roman"/>
          <w:b w:val="true"/>
          <w:color w:val="000000"/>
          <w:spacing w:val="3"/>
          <w:w w:val="100"/>
          <w:sz w:val="28"/>
          <w:vertAlign w:val="baseline"/>
          <w:lang w:val="en-US"/>
        </w:rPr>
      </w:pPr>
      <w:r>
        <w:pict>
          <v:line strokeweight="0.5pt" strokecolor="#000000" from="95.95pt,103.9pt" to="500pt,103.9pt" style="position:absolute;mso-position-horizontal-relative:page;mso-position-vertical-relative:page;">
            <v:stroke dashstyle="solid"/>
          </v:line>
        </w:pict>
      </w:r>
      <w:r>
        <w:rPr>
          <w:rFonts w:ascii="Times New Roman" w:hAnsi="Times New Roman" w:eastAsia="Times New Roman"/>
          <w:b w:val="true"/>
          <w:color w:val="000000"/>
          <w:spacing w:val="3"/>
          <w:w w:val="100"/>
          <w:sz w:val="28"/>
          <w:vertAlign w:val="baseline"/>
          <w:lang w:val="en-US"/>
        </w:rPr>
        <w:t xml:space="preserve">Schedule 8 Disclosure of ingredients in safety data sheet</w:t>
      </w:r>
    </w:p>
    <w:p>
      <w:pPr>
        <w:spacing w:before="118"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 Purpose of this Schedule</w:t>
      </w:r>
    </w:p>
    <w:p>
      <w:pPr>
        <w:spacing w:before="122" w:after="0" w:line="276" w:lineRule="exact"/>
        <w:ind w:right="216" w:left="1440"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Schedule sets out the way in which the ingredients of a hazardous chemical must be disclosed in Section 3 of a safety data sheet prepared under these Regulations.</w:t>
      </w:r>
    </w:p>
    <w:p>
      <w:pPr>
        <w:spacing w:before="123" w:after="0" w:line="230" w:lineRule="exact"/>
        <w:ind w:right="0" w:left="1440" w:firstLine="0"/>
        <w:jc w:val="left"/>
        <w:textAlignment w:val="baseline"/>
        <w:rPr>
          <w:rFonts w:ascii="Times New Roman" w:hAnsi="Times New Roman" w:eastAsia="Times New Roman"/>
          <w:b w:val="true"/>
          <w:color w:val="000000"/>
          <w:spacing w:val="-1"/>
          <w:w w:val="100"/>
          <w:sz w:val="20"/>
          <w:vertAlign w:val="baseline"/>
          <w:lang w:val="en-US"/>
        </w:rPr>
      </w:pPr>
      <w:r>
        <w:rPr>
          <w:rFonts w:ascii="Times New Roman" w:hAnsi="Times New Roman" w:eastAsia="Times New Roman"/>
          <w:b w:val="true"/>
          <w:color w:val="000000"/>
          <w:spacing w:val="-1"/>
          <w:w w:val="100"/>
          <w:sz w:val="20"/>
          <w:vertAlign w:val="baseline"/>
          <w:lang w:val="en-US"/>
        </w:rPr>
        <w:t xml:space="preserve">Note</w:t>
      </w:r>
    </w:p>
    <w:p>
      <w:pPr>
        <w:spacing w:before="121" w:after="0" w:line="230" w:lineRule="exact"/>
        <w:ind w:right="0" w:left="144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See clause 1(2)(c) of Schedule 7.</w:t>
      </w:r>
    </w:p>
    <w:p>
      <w:pPr>
        <w:spacing w:before="117"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 Identity of ingredients to be disclosed</w:t>
      </w:r>
    </w:p>
    <w:p>
      <w:pPr>
        <w:numPr>
          <w:ilvl w:val="0"/>
          <w:numId w:val="1080"/>
        </w:numPr>
        <w:tabs>
          <w:tab w:val="clear" w:pos="360"/>
          <w:tab w:val="left" w:pos="1440"/>
        </w:tabs>
        <w:spacing w:before="117" w:after="0" w:line="276" w:lineRule="exact"/>
        <w:ind w:right="216" w:left="1440"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clause applies if an ingredient in a hazardous chemical causes the correct classification of the chemical to include a hazard class and hazard category referred to in table 8.1.</w:t>
      </w:r>
    </w:p>
    <w:p>
      <w:pPr>
        <w:numPr>
          <w:ilvl w:val="0"/>
          <w:numId w:val="1080"/>
        </w:numPr>
        <w:tabs>
          <w:tab w:val="clear" w:pos="360"/>
          <w:tab w:val="left" w:pos="1440"/>
        </w:tabs>
        <w:spacing w:before="120" w:after="0" w:line="276" w:lineRule="exact"/>
        <w:ind w:right="360" w:left="1440"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identity of the ingredient must be disclosed in English on the label and safety data sheet of the hazardous chemical.</w:t>
      </w:r>
    </w:p>
    <w:p>
      <w:pPr>
        <w:spacing w:before="128" w:after="40" w:line="230" w:lineRule="exact"/>
        <w:ind w:right="0" w:left="72" w:firstLine="0"/>
        <w:jc w:val="left"/>
        <w:textAlignment w:val="baseline"/>
        <w:rPr>
          <w:rFonts w:ascii="Times New Roman" w:hAnsi="Times New Roman" w:eastAsia="Times New Roman"/>
          <w:b w:val="true"/>
          <w:color w:val="000000"/>
          <w:spacing w:val="-1"/>
          <w:w w:val="100"/>
          <w:sz w:val="20"/>
          <w:vertAlign w:val="baseline"/>
          <w:lang w:val="en-US"/>
        </w:rPr>
      </w:pPr>
      <w:r>
        <w:rPr>
          <w:rFonts w:ascii="Times New Roman" w:hAnsi="Times New Roman" w:eastAsia="Times New Roman"/>
          <w:b w:val="true"/>
          <w:color w:val="000000"/>
          <w:spacing w:val="-1"/>
          <w:w w:val="100"/>
          <w:sz w:val="20"/>
          <w:vertAlign w:val="baseline"/>
          <w:lang w:val="en-US"/>
        </w:rPr>
        <w:t xml:space="preserve">Table 8.1</w:t>
      </w:r>
    </w:p>
    <w:p>
      <w:pPr>
        <w:tabs>
          <w:tab w:val="left" w:leader="none" w:pos="4608"/>
        </w:tabs>
        <w:spacing w:before="79" w:after="0" w:line="230" w:lineRule="exact"/>
        <w:ind w:right="0" w:left="288"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104.9pt,355.45pt" to="496.6pt,355.45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Column 1 Column 2	</w:t>
      </w:r>
      <w:r>
        <w:rPr>
          <w:rFonts w:ascii="Times New Roman" w:hAnsi="Times New Roman" w:eastAsia="Times New Roman"/>
          <w:b w:val="true"/>
          <w:color w:val="000000"/>
          <w:spacing w:val="0"/>
          <w:w w:val="100"/>
          <w:sz w:val="20"/>
          <w:vertAlign w:val="baseline"/>
          <w:lang w:val="en-US"/>
        </w:rPr>
        <w:t xml:space="preserve">Column 3</w:t>
      </w:r>
    </w:p>
    <w:p>
      <w:pPr>
        <w:tabs>
          <w:tab w:val="left" w:leader="none" w:pos="1368"/>
          <w:tab w:val="left" w:leader="none" w:pos="4608"/>
        </w:tabs>
        <w:spacing w:before="58" w:after="47" w:line="230" w:lineRule="exact"/>
        <w:ind w:right="0" w:left="28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Item	</w:t>
      </w:r>
      <w:r>
        <w:rPr>
          <w:rFonts w:ascii="Times New Roman" w:hAnsi="Times New Roman" w:eastAsia="Times New Roman"/>
          <w:b w:val="true"/>
          <w:color w:val="000000"/>
          <w:spacing w:val="0"/>
          <w:w w:val="100"/>
          <w:sz w:val="20"/>
          <w:vertAlign w:val="baseline"/>
          <w:lang w:val="en-US"/>
        </w:rPr>
        <w:t xml:space="preserve">GHS hazard class	</w:t>
      </w:r>
      <w:r>
        <w:rPr>
          <w:rFonts w:ascii="Times New Roman" w:hAnsi="Times New Roman" w:eastAsia="Times New Roman"/>
          <w:b w:val="true"/>
          <w:color w:val="000000"/>
          <w:spacing w:val="0"/>
          <w:w w:val="100"/>
          <w:sz w:val="20"/>
          <w:vertAlign w:val="baseline"/>
          <w:lang w:val="en-US"/>
        </w:rPr>
        <w:t xml:space="preserve">GHS hazard category</w:t>
      </w:r>
    </w:p>
    <w:p>
      <w:pPr>
        <w:tabs>
          <w:tab w:val="left" w:leader="none" w:pos="1368"/>
          <w:tab w:val="left" w:leader="none" w:pos="4608"/>
        </w:tabs>
        <w:spacing w:before="86" w:after="0" w:line="230" w:lineRule="exact"/>
        <w:ind w:right="0" w:left="288" w:firstLine="0"/>
        <w:jc w:val="left"/>
        <w:textAlignment w:val="baseline"/>
        <w:rPr>
          <w:rFonts w:ascii="Times New Roman" w:hAnsi="Times New Roman" w:eastAsia="Times New Roman"/>
          <w:color w:val="000000"/>
          <w:spacing w:val="-1"/>
          <w:w w:val="100"/>
          <w:sz w:val="20"/>
          <w:vertAlign w:val="baseline"/>
          <w:lang w:val="en-US"/>
        </w:rPr>
      </w:pPr>
      <w:r>
        <w:pict>
          <v:line strokeweight="0.5pt" strokecolor="#000000" from="104.9pt,388.1pt" to="496.6pt,388.1pt" style="position:absolute;mso-position-horizontal-relative:page;mso-position-vertical-relative:page;">
            <v:stroke dashstyle="solid"/>
          </v:line>
        </w:pict>
      </w:r>
      <w:r>
        <w:rPr>
          <w:rFonts w:ascii="Times New Roman" w:hAnsi="Times New Roman" w:eastAsia="Times New Roman"/>
          <w:color w:val="000000"/>
          <w:spacing w:val="-1"/>
          <w:w w:val="100"/>
          <w:sz w:val="20"/>
          <w:vertAlign w:val="baseline"/>
          <w:lang w:val="en-US"/>
        </w:rPr>
        <w:t xml:space="preserve">1	</w:t>
      </w:r>
      <w:r>
        <w:rPr>
          <w:rFonts w:ascii="Times New Roman" w:hAnsi="Times New Roman" w:eastAsia="Times New Roman"/>
          <w:color w:val="000000"/>
          <w:spacing w:val="-1"/>
          <w:w w:val="100"/>
          <w:sz w:val="20"/>
          <w:vertAlign w:val="baseline"/>
          <w:lang w:val="en-US"/>
        </w:rPr>
        <w:t xml:space="preserve">Acute toxicity—oral	</w:t>
      </w:r>
      <w:r>
        <w:rPr>
          <w:rFonts w:ascii="Times New Roman" w:hAnsi="Times New Roman" w:eastAsia="Times New Roman"/>
          <w:color w:val="000000"/>
          <w:spacing w:val="-1"/>
          <w:w w:val="100"/>
          <w:sz w:val="20"/>
          <w:vertAlign w:val="baseline"/>
          <w:lang w:val="en-US"/>
        </w:rPr>
        <w:t xml:space="preserve">Category 1</w:t>
      </w:r>
    </w:p>
    <w:p>
      <w:pPr>
        <w:spacing w:before="1" w:after="0" w:line="350" w:lineRule="exact"/>
        <w:ind w:right="0" w:left="453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Category 2</w:t>
        <w:br/>
      </w:r>
      <w:r>
        <w:rPr>
          <w:rFonts w:ascii="Times New Roman" w:hAnsi="Times New Roman" w:eastAsia="Times New Roman"/>
          <w:color w:val="000000"/>
          <w:spacing w:val="0"/>
          <w:w w:val="100"/>
          <w:sz w:val="20"/>
          <w:vertAlign w:val="baseline"/>
          <w:lang w:val="en-US"/>
        </w:rPr>
        <w:t xml:space="preserve">Category 3</w:t>
        <w:br/>
      </w:r>
      <w:r>
        <w:rPr>
          <w:rFonts w:ascii="Times New Roman" w:hAnsi="Times New Roman" w:eastAsia="Times New Roman"/>
          <w:color w:val="000000"/>
          <w:spacing w:val="0"/>
          <w:w w:val="100"/>
          <w:sz w:val="20"/>
          <w:vertAlign w:val="baseline"/>
          <w:lang w:val="en-US"/>
        </w:rPr>
        <w:t xml:space="preserve">Category 4</w:t>
      </w:r>
    </w:p>
    <w:p>
      <w:pPr>
        <w:tabs>
          <w:tab w:val="left" w:leader="none" w:pos="1368"/>
          <w:tab w:val="left" w:leader="none" w:pos="4608"/>
        </w:tabs>
        <w:spacing w:before="0" w:after="0" w:line="349" w:lineRule="exact"/>
        <w:ind w:right="0" w:left="4536" w:hanging="4248"/>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Acute toxicity—dermal	</w:t>
      </w:r>
      <w:r>
        <w:rPr>
          <w:rFonts w:ascii="Times New Roman" w:hAnsi="Times New Roman" w:eastAsia="Times New Roman"/>
          <w:color w:val="000000"/>
          <w:spacing w:val="0"/>
          <w:w w:val="100"/>
          <w:sz w:val="20"/>
          <w:vertAlign w:val="baseline"/>
          <w:lang w:val="en-US"/>
        </w:rPr>
        <w:t xml:space="preserve">Category 1</w:t>
        <w:br/>
      </w:r>
      <w:r>
        <w:rPr>
          <w:rFonts w:ascii="Times New Roman" w:hAnsi="Times New Roman" w:eastAsia="Times New Roman"/>
          <w:color w:val="000000"/>
          <w:spacing w:val="0"/>
          <w:w w:val="100"/>
          <w:sz w:val="20"/>
          <w:vertAlign w:val="baseline"/>
          <w:lang w:val="en-US"/>
        </w:rPr>
        <w:t xml:space="preserve">Category 2</w:t>
        <w:br/>
      </w:r>
      <w:r>
        <w:rPr>
          <w:rFonts w:ascii="Times New Roman" w:hAnsi="Times New Roman" w:eastAsia="Times New Roman"/>
          <w:color w:val="000000"/>
          <w:spacing w:val="0"/>
          <w:w w:val="100"/>
          <w:sz w:val="20"/>
          <w:vertAlign w:val="baseline"/>
          <w:lang w:val="en-US"/>
        </w:rPr>
        <w:t xml:space="preserve">Category 3</w:t>
        <w:br/>
      </w:r>
      <w:r>
        <w:rPr>
          <w:rFonts w:ascii="Times New Roman" w:hAnsi="Times New Roman" w:eastAsia="Times New Roman"/>
          <w:color w:val="000000"/>
          <w:spacing w:val="0"/>
          <w:w w:val="100"/>
          <w:sz w:val="20"/>
          <w:vertAlign w:val="baseline"/>
          <w:lang w:val="en-US"/>
        </w:rPr>
        <w:t xml:space="preserve">Category 4</w:t>
      </w:r>
    </w:p>
    <w:p>
      <w:pPr>
        <w:tabs>
          <w:tab w:val="left" w:leader="none" w:pos="1368"/>
          <w:tab w:val="left" w:leader="none" w:pos="4608"/>
        </w:tabs>
        <w:spacing w:before="2" w:after="0" w:line="350" w:lineRule="exact"/>
        <w:ind w:right="0" w:left="4536" w:hanging="4248"/>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	</w:t>
      </w:r>
      <w:r>
        <w:rPr>
          <w:rFonts w:ascii="Times New Roman" w:hAnsi="Times New Roman" w:eastAsia="Times New Roman"/>
          <w:color w:val="000000"/>
          <w:spacing w:val="0"/>
          <w:w w:val="100"/>
          <w:sz w:val="20"/>
          <w:vertAlign w:val="baseline"/>
          <w:lang w:val="en-US"/>
        </w:rPr>
        <w:t xml:space="preserve">Acute toxicity—inhalation	</w:t>
      </w:r>
      <w:r>
        <w:rPr>
          <w:rFonts w:ascii="Times New Roman" w:hAnsi="Times New Roman" w:eastAsia="Times New Roman"/>
          <w:color w:val="000000"/>
          <w:spacing w:val="0"/>
          <w:w w:val="100"/>
          <w:sz w:val="20"/>
          <w:vertAlign w:val="baseline"/>
          <w:lang w:val="en-US"/>
        </w:rPr>
        <w:t xml:space="preserve">Category 1</w:t>
        <w:br/>
      </w:r>
      <w:r>
        <w:rPr>
          <w:rFonts w:ascii="Times New Roman" w:hAnsi="Times New Roman" w:eastAsia="Times New Roman"/>
          <w:color w:val="000000"/>
          <w:spacing w:val="0"/>
          <w:w w:val="100"/>
          <w:sz w:val="20"/>
          <w:vertAlign w:val="baseline"/>
          <w:lang w:val="en-US"/>
        </w:rPr>
        <w:t xml:space="preserve">Category 2</w:t>
        <w:br/>
      </w:r>
      <w:r>
        <w:rPr>
          <w:rFonts w:ascii="Times New Roman" w:hAnsi="Times New Roman" w:eastAsia="Times New Roman"/>
          <w:color w:val="000000"/>
          <w:spacing w:val="0"/>
          <w:w w:val="100"/>
          <w:sz w:val="20"/>
          <w:vertAlign w:val="baseline"/>
          <w:lang w:val="en-US"/>
        </w:rPr>
        <w:t xml:space="preserve">Category 3</w:t>
        <w:br/>
      </w:r>
      <w:r>
        <w:rPr>
          <w:rFonts w:ascii="Times New Roman" w:hAnsi="Times New Roman" w:eastAsia="Times New Roman"/>
          <w:color w:val="000000"/>
          <w:spacing w:val="0"/>
          <w:w w:val="100"/>
          <w:sz w:val="20"/>
          <w:vertAlign w:val="baseline"/>
          <w:lang w:val="en-US"/>
        </w:rPr>
        <w:t xml:space="preserve">Category 4</w:t>
      </w:r>
    </w:p>
    <w:p>
      <w:pPr>
        <w:tabs>
          <w:tab w:val="left" w:leader="none" w:pos="1368"/>
          <w:tab w:val="left" w:leader="none" w:pos="4608"/>
        </w:tabs>
        <w:spacing w:before="120" w:after="0" w:line="230" w:lineRule="exact"/>
        <w:ind w:right="0" w:left="28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	</w:t>
      </w:r>
      <w:r>
        <w:rPr>
          <w:rFonts w:ascii="Times New Roman" w:hAnsi="Times New Roman" w:eastAsia="Times New Roman"/>
          <w:color w:val="000000"/>
          <w:spacing w:val="0"/>
          <w:w w:val="100"/>
          <w:sz w:val="20"/>
          <w:vertAlign w:val="baseline"/>
          <w:lang w:val="en-US"/>
        </w:rPr>
        <w:t xml:space="preserve">Respiratory sensitiser	</w:t>
      </w:r>
      <w:r>
        <w:rPr>
          <w:rFonts w:ascii="Times New Roman" w:hAnsi="Times New Roman" w:eastAsia="Times New Roman"/>
          <w:color w:val="000000"/>
          <w:spacing w:val="0"/>
          <w:w w:val="100"/>
          <w:sz w:val="20"/>
          <w:vertAlign w:val="baseline"/>
          <w:lang w:val="en-US"/>
        </w:rPr>
        <w:t xml:space="preserve">Category 1</w:t>
      </w:r>
    </w:p>
    <w:p>
      <w:pPr>
        <w:tabs>
          <w:tab w:val="left" w:leader="none" w:pos="1368"/>
          <w:tab w:val="left" w:leader="none" w:pos="4608"/>
        </w:tabs>
        <w:spacing w:before="120" w:after="0" w:line="230" w:lineRule="exact"/>
        <w:ind w:right="0" w:left="28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	</w:t>
      </w:r>
      <w:r>
        <w:rPr>
          <w:rFonts w:ascii="Times New Roman" w:hAnsi="Times New Roman" w:eastAsia="Times New Roman"/>
          <w:color w:val="000000"/>
          <w:spacing w:val="0"/>
          <w:w w:val="100"/>
          <w:sz w:val="20"/>
          <w:vertAlign w:val="baseline"/>
          <w:lang w:val="en-US"/>
        </w:rPr>
        <w:t xml:space="preserve">Skin sensitiser	</w:t>
      </w:r>
      <w:r>
        <w:rPr>
          <w:rFonts w:ascii="Times New Roman" w:hAnsi="Times New Roman" w:eastAsia="Times New Roman"/>
          <w:color w:val="000000"/>
          <w:spacing w:val="0"/>
          <w:w w:val="100"/>
          <w:sz w:val="20"/>
          <w:vertAlign w:val="baseline"/>
          <w:lang w:val="en-US"/>
        </w:rPr>
        <w:t xml:space="preserve">Category 1</w:t>
      </w:r>
    </w:p>
    <w:p>
      <w:pPr>
        <w:tabs>
          <w:tab w:val="left" w:leader="none" w:pos="1368"/>
          <w:tab w:val="left" w:leader="none" w:pos="4608"/>
        </w:tabs>
        <w:spacing w:before="121" w:after="0" w:line="230" w:lineRule="exact"/>
        <w:ind w:right="0" w:left="28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	</w:t>
      </w:r>
      <w:r>
        <w:rPr>
          <w:rFonts w:ascii="Times New Roman" w:hAnsi="Times New Roman" w:eastAsia="Times New Roman"/>
          <w:color w:val="000000"/>
          <w:spacing w:val="0"/>
          <w:w w:val="100"/>
          <w:sz w:val="20"/>
          <w:vertAlign w:val="baseline"/>
          <w:lang w:val="en-US"/>
        </w:rPr>
        <w:t xml:space="preserve">Mutagenicity	</w:t>
      </w:r>
      <w:r>
        <w:rPr>
          <w:rFonts w:ascii="Times New Roman" w:hAnsi="Times New Roman" w:eastAsia="Times New Roman"/>
          <w:color w:val="000000"/>
          <w:spacing w:val="0"/>
          <w:w w:val="100"/>
          <w:sz w:val="20"/>
          <w:vertAlign w:val="baseline"/>
          <w:lang w:val="en-US"/>
        </w:rPr>
        <w:t xml:space="preserve">Category 1A</w:t>
      </w:r>
    </w:p>
    <w:p>
      <w:pPr>
        <w:spacing w:before="0" w:after="0" w:line="348" w:lineRule="exact"/>
        <w:ind w:right="0" w:left="453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Category 1B</w:t>
        <w:br/>
      </w:r>
      <w:r>
        <w:rPr>
          <w:rFonts w:ascii="Times New Roman" w:hAnsi="Times New Roman" w:eastAsia="Times New Roman"/>
          <w:color w:val="000000"/>
          <w:spacing w:val="0"/>
          <w:w w:val="100"/>
          <w:sz w:val="20"/>
          <w:vertAlign w:val="baseline"/>
          <w:lang w:val="en-US"/>
        </w:rPr>
        <w:t xml:space="preserve">Category 2</w:t>
      </w:r>
    </w:p>
    <w:p>
      <w:pPr>
        <w:tabs>
          <w:tab w:val="left" w:leader="none" w:pos="1368"/>
          <w:tab w:val="left" w:leader="none" w:pos="4608"/>
        </w:tabs>
        <w:spacing w:before="120" w:after="0" w:line="230" w:lineRule="exact"/>
        <w:ind w:right="0" w:left="28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7	</w:t>
      </w:r>
      <w:r>
        <w:rPr>
          <w:rFonts w:ascii="Times New Roman" w:hAnsi="Times New Roman" w:eastAsia="Times New Roman"/>
          <w:color w:val="000000"/>
          <w:spacing w:val="0"/>
          <w:w w:val="100"/>
          <w:sz w:val="20"/>
          <w:vertAlign w:val="baseline"/>
          <w:lang w:val="en-US"/>
        </w:rPr>
        <w:t xml:space="preserve">Carcinogenicity	</w:t>
      </w:r>
      <w:r>
        <w:rPr>
          <w:rFonts w:ascii="Times New Roman" w:hAnsi="Times New Roman" w:eastAsia="Times New Roman"/>
          <w:color w:val="000000"/>
          <w:spacing w:val="0"/>
          <w:w w:val="100"/>
          <w:sz w:val="20"/>
          <w:vertAlign w:val="baseline"/>
          <w:lang w:val="en-US"/>
        </w:rPr>
        <w:t xml:space="preserve">Category 1A</w:t>
      </w:r>
    </w:p>
    <w:p>
      <w:pPr>
        <w:spacing w:before="121" w:after="778" w:line="230" w:lineRule="exact"/>
        <w:ind w:right="0" w:left="4536"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5.95pt,728.15pt" to="500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Category 1B</w:t>
      </w:r>
    </w:p>
    <w:p>
      <w:pPr>
        <w:spacing w:before="121" w:after="778" w:line="230" w:lineRule="exact"/>
        <w:sectPr>
          <w:type w:val="nextPage"/>
          <w:pgSz w:w="11909" w:h="16838" w:orient="portrait"/>
          <w:pgMar w:bottom="1082" w:top="1140" w:right="1910" w:left="191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451</w:t>
      </w:r>
    </w:p>
    <w:p>
      <w:pPr>
        <w:sectPr>
          <w:type w:val="continuous"/>
          <w:pgSz w:w="11909" w:h="16838" w:orient="portrait"/>
          <w:pgMar w:bottom="1082" w:top="1140" w:right="5819" w:left="1970" w:header="720" w:footer="720"/>
          <w:titlePg w:val="false"/>
          <w:textDirection w:val="lrTb"/>
        </w:sectPr>
      </w:pPr>
    </w:p>
    <w:p>
      <w:pPr>
        <w:spacing w:before="6" w:after="0" w:line="229"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spacing w:before="232" w:after="223" w:line="229" w:lineRule="exact"/>
        <w:ind w:right="0" w:left="72" w:firstLine="0"/>
        <w:jc w:val="left"/>
        <w:textAlignment w:val="baseline"/>
        <w:rPr>
          <w:rFonts w:ascii="Times New Roman" w:hAnsi="Times New Roman" w:eastAsia="Times New Roman"/>
          <w:color w:val="000000"/>
          <w:spacing w:val="3"/>
          <w:w w:val="100"/>
          <w:sz w:val="20"/>
          <w:vertAlign w:val="baseline"/>
          <w:lang w:val="en-US"/>
        </w:rPr>
      </w:pPr>
      <w:r>
        <w:rPr>
          <w:rFonts w:ascii="Times New Roman" w:hAnsi="Times New Roman" w:eastAsia="Times New Roman"/>
          <w:color w:val="000000"/>
          <w:spacing w:val="3"/>
          <w:w w:val="100"/>
          <w:sz w:val="20"/>
          <w:vertAlign w:val="baseline"/>
          <w:lang w:val="en-US"/>
        </w:rPr>
        <w:t xml:space="preserve">Schedule 8 Disclosure of ingredients in safety data sheet</w:t>
      </w:r>
    </w:p>
    <w:p>
      <w:pPr>
        <w:tabs>
          <w:tab w:val="left" w:leader="none" w:pos="4608"/>
        </w:tabs>
        <w:spacing w:before="320" w:after="0" w:line="230" w:lineRule="exact"/>
        <w:ind w:right="0" w:left="288"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5.95pt,103.9pt" to="500pt,103.9pt" style="position:absolute;mso-position-horizontal-relative:page;mso-position-vertical-relative:page;">
            <v:stroke dashstyle="solid"/>
          </v:line>
        </w:pict>
      </w:r>
      <w:r>
        <w:pict>
          <v:line strokeweight="0.5pt" strokecolor="#000000" from="104.9pt,115.9pt" to="496.6pt,115.9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Column 1 Column 2	</w:t>
      </w:r>
      <w:r>
        <w:rPr>
          <w:rFonts w:ascii="Times New Roman" w:hAnsi="Times New Roman" w:eastAsia="Times New Roman"/>
          <w:b w:val="true"/>
          <w:color w:val="000000"/>
          <w:spacing w:val="0"/>
          <w:w w:val="100"/>
          <w:sz w:val="20"/>
          <w:vertAlign w:val="baseline"/>
          <w:lang w:val="en-US"/>
        </w:rPr>
        <w:t xml:space="preserve">Column 3</w:t>
      </w:r>
    </w:p>
    <w:p>
      <w:pPr>
        <w:tabs>
          <w:tab w:val="left" w:leader="none" w:pos="1368"/>
          <w:tab w:val="left" w:leader="none" w:pos="4608"/>
        </w:tabs>
        <w:spacing w:before="58" w:after="42" w:line="230" w:lineRule="exact"/>
        <w:ind w:right="0" w:left="28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Item	</w:t>
      </w:r>
      <w:r>
        <w:rPr>
          <w:rFonts w:ascii="Times New Roman" w:hAnsi="Times New Roman" w:eastAsia="Times New Roman"/>
          <w:b w:val="true"/>
          <w:color w:val="000000"/>
          <w:spacing w:val="0"/>
          <w:w w:val="100"/>
          <w:sz w:val="20"/>
          <w:vertAlign w:val="baseline"/>
          <w:lang w:val="en-US"/>
        </w:rPr>
        <w:t xml:space="preserve">GHS hazard class	</w:t>
      </w:r>
      <w:r>
        <w:rPr>
          <w:rFonts w:ascii="Times New Roman" w:hAnsi="Times New Roman" w:eastAsia="Times New Roman"/>
          <w:b w:val="true"/>
          <w:color w:val="000000"/>
          <w:spacing w:val="0"/>
          <w:w w:val="100"/>
          <w:sz w:val="20"/>
          <w:vertAlign w:val="baseline"/>
          <w:lang w:val="en-US"/>
        </w:rPr>
        <w:t xml:space="preserve">GHS hazard category</w:t>
      </w:r>
    </w:p>
    <w:p>
      <w:pPr>
        <w:spacing w:before="77" w:after="0" w:line="229" w:lineRule="exact"/>
        <w:ind w:right="0" w:left="4536"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104.9pt,148.3pt" to="496.6pt,148.3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Category 2</w:t>
      </w:r>
    </w:p>
    <w:p>
      <w:pPr>
        <w:tabs>
          <w:tab w:val="left" w:leader="none" w:pos="1368"/>
          <w:tab w:val="left" w:leader="none" w:pos="4608"/>
        </w:tabs>
        <w:spacing w:before="122" w:after="0" w:line="229" w:lineRule="exact"/>
        <w:ind w:right="0" w:left="28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8	</w:t>
      </w:r>
      <w:r>
        <w:rPr>
          <w:rFonts w:ascii="Times New Roman" w:hAnsi="Times New Roman" w:eastAsia="Times New Roman"/>
          <w:color w:val="000000"/>
          <w:spacing w:val="0"/>
          <w:w w:val="100"/>
          <w:sz w:val="20"/>
          <w:vertAlign w:val="baseline"/>
          <w:lang w:val="en-US"/>
        </w:rPr>
        <w:t xml:space="preserve">Toxic to reproduction	</w:t>
      </w:r>
      <w:r>
        <w:rPr>
          <w:rFonts w:ascii="Times New Roman" w:hAnsi="Times New Roman" w:eastAsia="Times New Roman"/>
          <w:color w:val="000000"/>
          <w:spacing w:val="0"/>
          <w:w w:val="100"/>
          <w:sz w:val="20"/>
          <w:vertAlign w:val="baseline"/>
          <w:lang w:val="en-US"/>
        </w:rPr>
        <w:t xml:space="preserve">Category 1A</w:t>
      </w:r>
    </w:p>
    <w:p>
      <w:pPr>
        <w:spacing w:before="2" w:after="0" w:line="349" w:lineRule="exact"/>
        <w:ind w:right="0" w:left="453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Category 1B</w:t>
        <w:br/>
      </w:r>
      <w:r>
        <w:rPr>
          <w:rFonts w:ascii="Times New Roman" w:hAnsi="Times New Roman" w:eastAsia="Times New Roman"/>
          <w:color w:val="000000"/>
          <w:spacing w:val="0"/>
          <w:w w:val="100"/>
          <w:sz w:val="20"/>
          <w:vertAlign w:val="baseline"/>
          <w:lang w:val="en-US"/>
        </w:rPr>
        <w:t xml:space="preserve">Category 2</w:t>
      </w:r>
    </w:p>
    <w:p>
      <w:pPr>
        <w:spacing w:before="111" w:after="0" w:line="235" w:lineRule="exact"/>
        <w:ind w:right="288" w:left="453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Additional category for effects on or via lactation</w:t>
      </w:r>
    </w:p>
    <w:p>
      <w:pPr>
        <w:tabs>
          <w:tab w:val="left" w:leader="none" w:pos="1368"/>
          <w:tab w:val="left" w:leader="none" w:pos="4608"/>
        </w:tabs>
        <w:spacing w:before="115" w:after="0" w:line="229" w:lineRule="exact"/>
        <w:ind w:right="0" w:left="28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9	</w:t>
      </w:r>
      <w:r>
        <w:rPr>
          <w:rFonts w:ascii="Times New Roman" w:hAnsi="Times New Roman" w:eastAsia="Times New Roman"/>
          <w:color w:val="000000"/>
          <w:spacing w:val="0"/>
          <w:w w:val="100"/>
          <w:sz w:val="20"/>
          <w:vertAlign w:val="baseline"/>
          <w:lang w:val="en-US"/>
        </w:rPr>
        <w:t xml:space="preserve">Target organ toxicity—single	</w:t>
      </w:r>
      <w:r>
        <w:rPr>
          <w:rFonts w:ascii="Times New Roman" w:hAnsi="Times New Roman" w:eastAsia="Times New Roman"/>
          <w:color w:val="000000"/>
          <w:spacing w:val="0"/>
          <w:w w:val="100"/>
          <w:sz w:val="20"/>
          <w:vertAlign w:val="baseline"/>
          <w:lang w:val="en-US"/>
        </w:rPr>
        <w:t xml:space="preserve">Category 1</w:t>
      </w:r>
    </w:p>
    <w:p>
      <w:pPr>
        <w:tabs>
          <w:tab w:val="left" w:leader="none" w:pos="4608"/>
        </w:tabs>
        <w:spacing w:before="62" w:after="0" w:line="288" w:lineRule="exact"/>
        <w:ind w:right="0" w:left="144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exposure	</w:t>
      </w:r>
      <w:r>
        <w:rPr>
          <w:rFonts w:ascii="Times New Roman" w:hAnsi="Times New Roman" w:eastAsia="Times New Roman"/>
          <w:color w:val="000000"/>
          <w:spacing w:val="0"/>
          <w:w w:val="100"/>
          <w:sz w:val="20"/>
          <w:vertAlign w:val="baseline"/>
          <w:lang w:val="en-US"/>
        </w:rPr>
        <w:t xml:space="preserve">Category 2</w:t>
      </w:r>
    </w:p>
    <w:p>
      <w:pPr>
        <w:spacing w:before="128" w:after="0" w:line="229" w:lineRule="exact"/>
        <w:ind w:right="0" w:left="4536"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Category 3</w:t>
      </w:r>
    </w:p>
    <w:p>
      <w:pPr>
        <w:tabs>
          <w:tab w:val="left" w:leader="none" w:pos="1368"/>
          <w:tab w:val="left" w:leader="none" w:pos="4608"/>
        </w:tabs>
        <w:spacing w:before="115" w:after="0" w:line="229" w:lineRule="exact"/>
        <w:ind w:right="0" w:left="28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	</w:t>
      </w:r>
      <w:r>
        <w:rPr>
          <w:rFonts w:ascii="Times New Roman" w:hAnsi="Times New Roman" w:eastAsia="Times New Roman"/>
          <w:color w:val="000000"/>
          <w:spacing w:val="0"/>
          <w:w w:val="100"/>
          <w:sz w:val="20"/>
          <w:vertAlign w:val="baseline"/>
          <w:lang w:val="en-US"/>
        </w:rPr>
        <w:t xml:space="preserve">Target organ toxicity—repeat	</w:t>
      </w:r>
      <w:r>
        <w:rPr>
          <w:rFonts w:ascii="Times New Roman" w:hAnsi="Times New Roman" w:eastAsia="Times New Roman"/>
          <w:color w:val="000000"/>
          <w:spacing w:val="0"/>
          <w:w w:val="100"/>
          <w:sz w:val="20"/>
          <w:vertAlign w:val="baseline"/>
          <w:lang w:val="en-US"/>
        </w:rPr>
        <w:t xml:space="preserve">Category 1</w:t>
      </w:r>
    </w:p>
    <w:p>
      <w:pPr>
        <w:tabs>
          <w:tab w:val="left" w:leader="none" w:pos="4608"/>
        </w:tabs>
        <w:spacing w:before="65" w:after="0" w:line="285" w:lineRule="exact"/>
        <w:ind w:right="0" w:left="144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exposure	</w:t>
      </w:r>
      <w:r>
        <w:rPr>
          <w:rFonts w:ascii="Times New Roman" w:hAnsi="Times New Roman" w:eastAsia="Times New Roman"/>
          <w:color w:val="000000"/>
          <w:spacing w:val="0"/>
          <w:w w:val="100"/>
          <w:sz w:val="20"/>
          <w:vertAlign w:val="baseline"/>
          <w:lang w:val="en-US"/>
        </w:rPr>
        <w:t xml:space="preserve">Category 2</w:t>
      </w:r>
    </w:p>
    <w:p>
      <w:pPr>
        <w:tabs>
          <w:tab w:val="left" w:leader="none" w:pos="1368"/>
          <w:tab w:val="left" w:leader="none" w:pos="4608"/>
        </w:tabs>
        <w:spacing w:before="129" w:after="0" w:line="229" w:lineRule="exact"/>
        <w:ind w:right="0" w:left="288"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11	</w:t>
      </w:r>
      <w:r>
        <w:rPr>
          <w:rFonts w:ascii="Times New Roman" w:hAnsi="Times New Roman" w:eastAsia="Times New Roman"/>
          <w:color w:val="000000"/>
          <w:spacing w:val="-1"/>
          <w:w w:val="100"/>
          <w:sz w:val="20"/>
          <w:vertAlign w:val="baseline"/>
          <w:lang w:val="en-US"/>
        </w:rPr>
        <w:t xml:space="preserve">Aspiration hazards	</w:t>
      </w:r>
      <w:r>
        <w:rPr>
          <w:rFonts w:ascii="Times New Roman" w:hAnsi="Times New Roman" w:eastAsia="Times New Roman"/>
          <w:color w:val="000000"/>
          <w:spacing w:val="-1"/>
          <w:w w:val="100"/>
          <w:sz w:val="20"/>
          <w:vertAlign w:val="baseline"/>
          <w:lang w:val="en-US"/>
        </w:rPr>
        <w:t xml:space="preserve">Category 1</w:t>
      </w:r>
    </w:p>
    <w:p>
      <w:pPr>
        <w:tabs>
          <w:tab w:val="left" w:leader="none" w:pos="1368"/>
          <w:tab w:val="left" w:leader="none" w:pos="4608"/>
        </w:tabs>
        <w:spacing w:before="116" w:after="0" w:line="229" w:lineRule="exact"/>
        <w:ind w:right="0" w:left="28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12	</w:t>
      </w:r>
      <w:r>
        <w:rPr>
          <w:rFonts w:ascii="Times New Roman" w:hAnsi="Times New Roman" w:eastAsia="Times New Roman"/>
          <w:color w:val="000000"/>
          <w:spacing w:val="0"/>
          <w:w w:val="100"/>
          <w:sz w:val="20"/>
          <w:vertAlign w:val="baseline"/>
          <w:lang w:val="en-US"/>
        </w:rPr>
        <w:t xml:space="preserve">Skin corrosion or irritation	</w:t>
      </w:r>
      <w:r>
        <w:rPr>
          <w:rFonts w:ascii="Times New Roman" w:hAnsi="Times New Roman" w:eastAsia="Times New Roman"/>
          <w:color w:val="000000"/>
          <w:spacing w:val="0"/>
          <w:w w:val="100"/>
          <w:sz w:val="20"/>
          <w:vertAlign w:val="baseline"/>
          <w:lang w:val="en-US"/>
        </w:rPr>
        <w:t xml:space="preserve">Category 1A</w:t>
      </w:r>
    </w:p>
    <w:p>
      <w:pPr>
        <w:spacing w:before="4" w:after="0" w:line="349" w:lineRule="exact"/>
        <w:ind w:right="0" w:left="453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Category 1B</w:t>
        <w:br/>
      </w:r>
      <w:r>
        <w:rPr>
          <w:rFonts w:ascii="Times New Roman" w:hAnsi="Times New Roman" w:eastAsia="Times New Roman"/>
          <w:color w:val="000000"/>
          <w:spacing w:val="0"/>
          <w:w w:val="100"/>
          <w:sz w:val="20"/>
          <w:vertAlign w:val="baseline"/>
          <w:lang w:val="en-US"/>
        </w:rPr>
        <w:t xml:space="preserve">Category 1C</w:t>
        <w:br/>
      </w:r>
      <w:r>
        <w:rPr>
          <w:rFonts w:ascii="Times New Roman" w:hAnsi="Times New Roman" w:eastAsia="Times New Roman"/>
          <w:color w:val="000000"/>
          <w:spacing w:val="0"/>
          <w:w w:val="100"/>
          <w:sz w:val="20"/>
          <w:vertAlign w:val="baseline"/>
          <w:lang w:val="en-US"/>
        </w:rPr>
        <w:t xml:space="preserve">Category 2</w:t>
      </w:r>
    </w:p>
    <w:p>
      <w:pPr>
        <w:tabs>
          <w:tab w:val="left" w:leader="none" w:pos="1368"/>
        </w:tabs>
        <w:spacing w:before="122" w:after="0" w:line="229" w:lineRule="exact"/>
        <w:ind w:right="0" w:left="288" w:firstLine="0"/>
        <w:jc w:val="left"/>
        <w:textAlignment w:val="baseline"/>
        <w:rPr>
          <w:rFonts w:ascii="Times New Roman" w:hAnsi="Times New Roman" w:eastAsia="Times New Roman"/>
          <w:color w:val="000000"/>
          <w:spacing w:val="4"/>
          <w:w w:val="100"/>
          <w:sz w:val="20"/>
          <w:vertAlign w:val="baseline"/>
          <w:lang w:val="en-US"/>
        </w:rPr>
      </w:pPr>
      <w:r>
        <w:rPr>
          <w:rFonts w:ascii="Times New Roman" w:hAnsi="Times New Roman" w:eastAsia="Times New Roman"/>
          <w:color w:val="000000"/>
          <w:spacing w:val="4"/>
          <w:w w:val="100"/>
          <w:sz w:val="20"/>
          <w:vertAlign w:val="baseline"/>
          <w:lang w:val="en-US"/>
        </w:rPr>
        <w:t xml:space="preserve">13	</w:t>
      </w:r>
      <w:r>
        <w:rPr>
          <w:rFonts w:ascii="Times New Roman" w:hAnsi="Times New Roman" w:eastAsia="Times New Roman"/>
          <w:color w:val="000000"/>
          <w:spacing w:val="4"/>
          <w:w w:val="100"/>
          <w:sz w:val="20"/>
          <w:vertAlign w:val="baseline"/>
          <w:lang w:val="en-US"/>
        </w:rPr>
        <w:t xml:space="preserve">Serious eye damage or eye irritation Category 1</w:t>
      </w:r>
    </w:p>
    <w:p>
      <w:pPr>
        <w:spacing w:before="121" w:after="31" w:line="229" w:lineRule="exact"/>
        <w:ind w:right="0" w:left="453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Category 2</w:t>
      </w:r>
    </w:p>
    <w:p>
      <w:pPr>
        <w:spacing w:before="140" w:after="0" w:line="274" w:lineRule="exact"/>
        <w:ind w:right="0" w:left="648" w:firstLine="0"/>
        <w:jc w:val="left"/>
        <w:textAlignment w:val="baseline"/>
        <w:rPr>
          <w:rFonts w:ascii="Times New Roman" w:hAnsi="Times New Roman" w:eastAsia="Times New Roman"/>
          <w:b w:val="true"/>
          <w:color w:val="000000"/>
          <w:spacing w:val="0"/>
          <w:w w:val="100"/>
          <w:sz w:val="24"/>
          <w:vertAlign w:val="baseline"/>
          <w:lang w:val="en-US"/>
        </w:rPr>
      </w:pPr>
      <w:r>
        <w:pict>
          <v:line strokeweight="0.5pt" strokecolor="#000000" from="104.9pt,457.45pt" to="496.6pt,457.45pt" style="position:absolute;mso-position-horizontal-relative:page;mso-position-vertical-relative:page;">
            <v:stroke dashstyle="solid"/>
          </v:line>
        </w:pict>
      </w:r>
      <w:r>
        <w:rPr>
          <w:rFonts w:ascii="Times New Roman" w:hAnsi="Times New Roman" w:eastAsia="Times New Roman"/>
          <w:b w:val="true"/>
          <w:color w:val="000000"/>
          <w:spacing w:val="0"/>
          <w:w w:val="100"/>
          <w:sz w:val="24"/>
          <w:vertAlign w:val="baseline"/>
          <w:lang w:val="en-US"/>
        </w:rPr>
        <w:t xml:space="preserve">3 Generic names used to disclose identity of ingredients</w:t>
      </w:r>
    </w:p>
    <w:p>
      <w:pPr>
        <w:numPr>
          <w:ilvl w:val="0"/>
          <w:numId w:val="1081"/>
        </w:numPr>
        <w:tabs>
          <w:tab w:val="clear" w:pos="360"/>
          <w:tab w:val="left" w:pos="1440"/>
        </w:tabs>
        <w:spacing w:before="115" w:after="0" w:line="278" w:lineRule="exact"/>
        <w:ind w:right="72" w:left="1440"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clause applies if an ingredient of a hazardous chemical must be disclosed under clause 2.</w:t>
      </w:r>
    </w:p>
    <w:p>
      <w:pPr>
        <w:numPr>
          <w:ilvl w:val="0"/>
          <w:numId w:val="1081"/>
        </w:numPr>
        <w:tabs>
          <w:tab w:val="clear" w:pos="360"/>
          <w:tab w:val="left" w:pos="1440"/>
        </w:tabs>
        <w:spacing w:before="121" w:after="0" w:line="273" w:lineRule="exact"/>
        <w:ind w:right="0" w:left="1440"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The ingredient:</w:t>
      </w:r>
    </w:p>
    <w:p>
      <w:pPr>
        <w:spacing w:before="125" w:after="0" w:line="273" w:lineRule="exact"/>
        <w:ind w:right="0" w:left="1584"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may be disclosed by its generic name if:</w:t>
      </w:r>
    </w:p>
    <w:p>
      <w:pPr>
        <w:numPr>
          <w:ilvl w:val="0"/>
          <w:numId w:val="1082"/>
        </w:numPr>
        <w:tabs>
          <w:tab w:val="clear" w:pos="432"/>
          <w:tab w:val="left" w:pos="2448"/>
        </w:tabs>
        <w:spacing w:before="118" w:after="0" w:line="276" w:lineRule="exact"/>
        <w:ind w:right="216" w:left="2448"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ingredient causes the correct classification of the hazardous chemical to include a hazard class and hazard category referred to in table 8.2; and</w:t>
      </w:r>
    </w:p>
    <w:p>
      <w:pPr>
        <w:numPr>
          <w:ilvl w:val="0"/>
          <w:numId w:val="1082"/>
        </w:numPr>
        <w:tabs>
          <w:tab w:val="clear" w:pos="432"/>
          <w:tab w:val="left" w:pos="2448"/>
        </w:tabs>
        <w:spacing w:before="122" w:after="0" w:line="276" w:lineRule="exact"/>
        <w:ind w:right="144" w:left="2448" w:hanging="432"/>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ingredient does not cause the correct classification of the hazardous chemical to include any other hazard class and hazard category in table 8.1; and</w:t>
      </w:r>
    </w:p>
    <w:p>
      <w:pPr>
        <w:numPr>
          <w:ilvl w:val="0"/>
          <w:numId w:val="1082"/>
        </w:numPr>
        <w:tabs>
          <w:tab w:val="clear" w:pos="432"/>
          <w:tab w:val="left" w:pos="2448"/>
        </w:tabs>
        <w:spacing w:before="116" w:after="0" w:line="278" w:lineRule="exact"/>
        <w:ind w:right="1296" w:left="2448"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identity of the ingredient is commercially confidential; and</w:t>
      </w:r>
    </w:p>
    <w:p>
      <w:pPr>
        <w:numPr>
          <w:ilvl w:val="0"/>
          <w:numId w:val="1082"/>
        </w:numPr>
        <w:tabs>
          <w:tab w:val="clear" w:pos="432"/>
          <w:tab w:val="left" w:pos="2448"/>
        </w:tabs>
        <w:spacing w:before="116" w:after="888" w:line="278" w:lineRule="exact"/>
        <w:ind w:right="576" w:left="2448" w:hanging="432"/>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5.95pt,728.15pt" to="500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an exposure standard for the ingredient has not been established; or</w:t>
      </w:r>
    </w:p>
    <w:p>
      <w:pPr>
        <w:spacing w:before="116" w:after="888" w:line="278" w:lineRule="exact"/>
        <w:sectPr>
          <w:type w:val="nextPage"/>
          <w:pgSz w:w="11909" w:h="16838" w:orient="portrait"/>
          <w:pgMar w:bottom="1082" w:top="1140" w:right="1910" w:left="191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452</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spacing w:before="233" w:after="224" w:line="228" w:lineRule="exact"/>
        <w:ind w:right="0" w:left="72" w:firstLine="0"/>
        <w:jc w:val="left"/>
        <w:textAlignment w:val="baseline"/>
        <w:rPr>
          <w:rFonts w:ascii="Times New Roman" w:hAnsi="Times New Roman" w:eastAsia="Times New Roman"/>
          <w:color w:val="000000"/>
          <w:spacing w:val="3"/>
          <w:w w:val="100"/>
          <w:sz w:val="20"/>
          <w:vertAlign w:val="baseline"/>
          <w:lang w:val="en-US"/>
        </w:rPr>
      </w:pPr>
      <w:r>
        <w:rPr>
          <w:rFonts w:ascii="Times New Roman" w:hAnsi="Times New Roman" w:eastAsia="Times New Roman"/>
          <w:color w:val="000000"/>
          <w:spacing w:val="3"/>
          <w:w w:val="100"/>
          <w:sz w:val="20"/>
          <w:vertAlign w:val="baseline"/>
          <w:lang w:val="en-US"/>
        </w:rPr>
        <w:t xml:space="preserve">Schedule 8 Disclosure of ingredients in safety data sheet</w:t>
      </w:r>
    </w:p>
    <w:p>
      <w:pPr>
        <w:spacing w:before="153" w:after="40" w:line="365" w:lineRule="exact"/>
        <w:ind w:right="216" w:left="72" w:firstLine="1368"/>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5.95pt,103.9pt" to="500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(b) in any other case—must be disclosed by its chemical identity. </w:t>
      </w:r>
      <w:r>
        <w:rPr>
          <w:rFonts w:ascii="Times New Roman" w:hAnsi="Times New Roman" w:eastAsia="Times New Roman"/>
          <w:b w:val="true"/>
          <w:color w:val="000000"/>
          <w:spacing w:val="0"/>
          <w:w w:val="100"/>
          <w:sz w:val="20"/>
          <w:vertAlign w:val="baseline"/>
          <w:lang w:val="en-US"/>
        </w:rPr>
        <w:t xml:space="preserve">Table 8.2</w:t>
      </w:r>
    </w:p>
    <w:p>
      <w:pPr>
        <w:spacing w:before="86" w:after="0" w:line="230" w:lineRule="exact"/>
        <w:ind w:right="0" w:left="288" w:firstLine="0"/>
        <w:jc w:val="left"/>
        <w:textAlignment w:val="baseline"/>
        <w:rPr>
          <w:rFonts w:ascii="Times New Roman" w:hAnsi="Times New Roman" w:eastAsia="Times New Roman"/>
          <w:b w:val="true"/>
          <w:color w:val="000000"/>
          <w:spacing w:val="13"/>
          <w:w w:val="100"/>
          <w:sz w:val="20"/>
          <w:vertAlign w:val="baseline"/>
          <w:lang w:val="en-US"/>
        </w:rPr>
      </w:pPr>
      <w:r>
        <w:pict>
          <v:line strokeweight="0.5pt" strokecolor="#000000" from="104.9pt,150.25pt" to="496.6pt,150.25pt" style="position:absolute;mso-position-horizontal-relative:page;mso-position-vertical-relative:page;">
            <v:stroke dashstyle="solid"/>
          </v:line>
        </w:pict>
      </w:r>
      <w:r>
        <w:rPr>
          <w:rFonts w:ascii="Times New Roman" w:hAnsi="Times New Roman" w:eastAsia="Times New Roman"/>
          <w:b w:val="true"/>
          <w:color w:val="000000"/>
          <w:spacing w:val="13"/>
          <w:w w:val="100"/>
          <w:sz w:val="20"/>
          <w:vertAlign w:val="baseline"/>
          <w:lang w:val="en-US"/>
        </w:rPr>
        <w:t xml:space="preserve">Column 1 Column 2</w:t>
      </w:r>
    </w:p>
    <w:p>
      <w:pPr>
        <w:tabs>
          <w:tab w:val="left" w:leader="none" w:pos="1440"/>
        </w:tabs>
        <w:spacing w:before="54" w:after="44" w:line="230" w:lineRule="exact"/>
        <w:ind w:right="0" w:left="28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Item	</w:t>
      </w:r>
      <w:r>
        <w:rPr>
          <w:rFonts w:ascii="Times New Roman" w:hAnsi="Times New Roman" w:eastAsia="Times New Roman"/>
          <w:b w:val="true"/>
          <w:color w:val="000000"/>
          <w:spacing w:val="0"/>
          <w:w w:val="100"/>
          <w:sz w:val="20"/>
          <w:vertAlign w:val="baseline"/>
          <w:lang w:val="en-US"/>
        </w:rPr>
        <w:t xml:space="preserve">Hazard class and hazard category</w:t>
      </w:r>
    </w:p>
    <w:p>
      <w:pPr>
        <w:tabs>
          <w:tab w:val="left" w:leader="none" w:pos="1440"/>
        </w:tabs>
        <w:spacing w:before="86" w:after="0" w:line="228" w:lineRule="exact"/>
        <w:ind w:right="0" w:left="288"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104.9pt,182.65pt" to="496.6pt,182.6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Acute toxicity (category 4)</w:t>
      </w:r>
    </w:p>
    <w:p>
      <w:pPr>
        <w:tabs>
          <w:tab w:val="left" w:leader="none" w:pos="1440"/>
        </w:tabs>
        <w:spacing w:before="123" w:after="0" w:line="228" w:lineRule="exact"/>
        <w:ind w:right="0" w:left="28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Aspiration hazard (category 1)</w:t>
      </w:r>
    </w:p>
    <w:p>
      <w:pPr>
        <w:tabs>
          <w:tab w:val="left" w:leader="none" w:pos="1440"/>
        </w:tabs>
        <w:spacing w:before="122" w:after="0" w:line="228" w:lineRule="exact"/>
        <w:ind w:right="0" w:left="28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	</w:t>
      </w:r>
      <w:r>
        <w:rPr>
          <w:rFonts w:ascii="Times New Roman" w:hAnsi="Times New Roman" w:eastAsia="Times New Roman"/>
          <w:color w:val="000000"/>
          <w:spacing w:val="0"/>
          <w:w w:val="100"/>
          <w:sz w:val="20"/>
          <w:vertAlign w:val="baseline"/>
          <w:lang w:val="en-US"/>
        </w:rPr>
        <w:t xml:space="preserve">Serious eye damage or eye irritation (category 2)</w:t>
      </w:r>
    </w:p>
    <w:p>
      <w:pPr>
        <w:tabs>
          <w:tab w:val="left" w:leader="none" w:pos="1440"/>
        </w:tabs>
        <w:spacing w:before="122" w:after="0" w:line="228" w:lineRule="exact"/>
        <w:ind w:right="0" w:left="28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	</w:t>
      </w:r>
      <w:r>
        <w:rPr>
          <w:rFonts w:ascii="Times New Roman" w:hAnsi="Times New Roman" w:eastAsia="Times New Roman"/>
          <w:color w:val="000000"/>
          <w:spacing w:val="0"/>
          <w:w w:val="100"/>
          <w:sz w:val="20"/>
          <w:vertAlign w:val="baseline"/>
          <w:lang w:val="en-US"/>
        </w:rPr>
        <w:t xml:space="preserve">Skin corrosion or irritation (category 2)</w:t>
      </w:r>
    </w:p>
    <w:p>
      <w:pPr>
        <w:tabs>
          <w:tab w:val="left" w:leader="none" w:pos="1440"/>
        </w:tabs>
        <w:spacing w:before="123" w:after="37" w:line="228" w:lineRule="exact"/>
        <w:ind w:right="0" w:left="28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	</w:t>
      </w:r>
      <w:r>
        <w:rPr>
          <w:rFonts w:ascii="Times New Roman" w:hAnsi="Times New Roman" w:eastAsia="Times New Roman"/>
          <w:color w:val="000000"/>
          <w:spacing w:val="0"/>
          <w:w w:val="100"/>
          <w:sz w:val="20"/>
          <w:vertAlign w:val="baseline"/>
          <w:lang w:val="en-US"/>
        </w:rPr>
        <w:t xml:space="preserve">Specific target organ toxicity (single exposure) (category 3)</w:t>
      </w:r>
    </w:p>
    <w:p>
      <w:pPr>
        <w:spacing w:before="141"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pict>
          <v:line strokeweight="0.5pt" strokecolor="#000000" from="104.15pt,270.7pt" to="496.6pt,270.7pt" style="position:absolute;mso-position-horizontal-relative:page;mso-position-vertical-relative:page;">
            <v:stroke dashstyle="solid"/>
          </v:line>
        </w:pict>
      </w:r>
      <w:r>
        <w:rPr>
          <w:rFonts w:ascii="Times New Roman" w:hAnsi="Times New Roman" w:eastAsia="Times New Roman"/>
          <w:b w:val="true"/>
          <w:color w:val="000000"/>
          <w:spacing w:val="0"/>
          <w:w w:val="100"/>
          <w:sz w:val="24"/>
          <w:vertAlign w:val="baseline"/>
          <w:lang w:val="en-US"/>
        </w:rPr>
        <w:t xml:space="preserve">4 Disclosing proportions of ingredients</w:t>
      </w:r>
    </w:p>
    <w:p>
      <w:pPr>
        <w:numPr>
          <w:ilvl w:val="0"/>
          <w:numId w:val="1083"/>
        </w:numPr>
        <w:tabs>
          <w:tab w:val="clear" w:pos="360"/>
          <w:tab w:val="left" w:pos="1440"/>
        </w:tabs>
        <w:spacing w:before="122" w:after="0" w:line="274" w:lineRule="exact"/>
        <w:ind w:right="72" w:left="1440"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clause applies if an ingredient of a hazardous chemical must be disclosed under clause 2.</w:t>
      </w:r>
    </w:p>
    <w:p>
      <w:pPr>
        <w:numPr>
          <w:ilvl w:val="0"/>
          <w:numId w:val="1083"/>
        </w:numPr>
        <w:tabs>
          <w:tab w:val="clear" w:pos="360"/>
          <w:tab w:val="left" w:pos="1440"/>
        </w:tabs>
        <w:spacing w:before="124" w:after="0" w:line="274" w:lineRule="exact"/>
        <w:ind w:right="144" w:left="1440"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proportion of the ingredient to the hazardous chemical must be disclosed:</w:t>
      </w:r>
    </w:p>
    <w:p>
      <w:pPr>
        <w:numPr>
          <w:ilvl w:val="0"/>
          <w:numId w:val="1084"/>
        </w:numPr>
        <w:tabs>
          <w:tab w:val="clear" w:pos="432"/>
          <w:tab w:val="left" w:pos="2016"/>
        </w:tabs>
        <w:spacing w:before="122" w:after="0" w:line="276" w:lineRule="exact"/>
        <w:ind w:right="360" w:left="2016" w:hanging="432"/>
        <w:jc w:val="left"/>
        <w:textAlignment w:val="baseline"/>
        <w:rPr>
          <w:rFonts w:ascii="Times New Roman" w:hAnsi="Times New Roman" w:eastAsia="Times New Roman"/>
          <w:color w:val="000000"/>
          <w:spacing w:val="-2"/>
          <w:w w:val="100"/>
          <w:sz w:val="24"/>
          <w:vertAlign w:val="baseline"/>
          <w:lang w:val="en-US"/>
        </w:rPr>
      </w:pPr>
      <w:r>
        <w:rPr>
          <w:rFonts w:ascii="Times New Roman" w:hAnsi="Times New Roman" w:eastAsia="Times New Roman"/>
          <w:color w:val="000000"/>
          <w:spacing w:val="-2"/>
          <w:w w:val="100"/>
          <w:sz w:val="24"/>
          <w:vertAlign w:val="baseline"/>
          <w:lang w:val="en-US"/>
        </w:rPr>
        <w:t xml:space="preserve">if the exact proportion of the ingredient is not commercially confidential—as the exact proportion of the chemical, expressed as a percentage by weight or volume; or</w:t>
      </w:r>
    </w:p>
    <w:p>
      <w:pPr>
        <w:numPr>
          <w:ilvl w:val="0"/>
          <w:numId w:val="1084"/>
        </w:numPr>
        <w:tabs>
          <w:tab w:val="clear" w:pos="432"/>
          <w:tab w:val="left" w:pos="2016"/>
        </w:tabs>
        <w:spacing w:before="120" w:after="0" w:line="276" w:lineRule="exact"/>
        <w:ind w:right="360" w:left="201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exact proportion of the ingredient is commercially confidential—as 1 of the following ranges within which the exact proportion fits, expressed as a percentage by weight or volume:</w:t>
      </w:r>
    </w:p>
    <w:p>
      <w:pPr>
        <w:numPr>
          <w:ilvl w:val="0"/>
          <w:numId w:val="1085"/>
        </w:numPr>
        <w:tabs>
          <w:tab w:val="clear" w:pos="432"/>
          <w:tab w:val="left" w:pos="2448"/>
        </w:tabs>
        <w:spacing w:before="123" w:after="0" w:line="276" w:lineRule="exact"/>
        <w:ind w:right="0" w:left="2448" w:hanging="432"/>
        <w:jc w:val="left"/>
        <w:textAlignment w:val="baseline"/>
        <w:rPr>
          <w:rFonts w:ascii="Arial" w:hAnsi="Arial" w:eastAsia="Arial"/>
          <w:color w:val="000000"/>
          <w:spacing w:val="-2"/>
          <w:w w:val="100"/>
          <w:sz w:val="24"/>
          <w:vertAlign w:val="baseline"/>
          <w:lang w:val="en-US"/>
        </w:rPr>
      </w:pPr>
      <w:r>
        <w:rPr>
          <w:rFonts w:ascii="Arial" w:hAnsi="Arial" w:eastAsia="Arial"/>
          <w:color w:val="000000"/>
          <w:spacing w:val="-2"/>
          <w:w w:val="100"/>
          <w:sz w:val="24"/>
          <w:vertAlign w:val="baseline"/>
          <w:lang w:val="en-US"/>
        </w:rPr>
        <w:t xml:space="preserve">&lt;</w:t>
      </w:r>
      <w:r>
        <w:rPr>
          <w:rFonts w:ascii="Times New Roman" w:hAnsi="Times New Roman" w:eastAsia="Times New Roman"/>
          <w:color w:val="000000"/>
          <w:spacing w:val="-2"/>
          <w:w w:val="100"/>
          <w:sz w:val="24"/>
          <w:vertAlign w:val="baseline"/>
          <w:lang w:val="en-US"/>
        </w:rPr>
        <w:t xml:space="preserve">10%;</w:t>
      </w:r>
    </w:p>
    <w:p>
      <w:pPr>
        <w:numPr>
          <w:ilvl w:val="0"/>
          <w:numId w:val="1082"/>
        </w:numPr>
        <w:tabs>
          <w:tab w:val="clear" w:pos="432"/>
          <w:tab w:val="left" w:pos="2448"/>
        </w:tabs>
        <w:spacing w:before="121" w:after="0" w:line="272" w:lineRule="exact"/>
        <w:ind w:right="0" w:left="2448"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10 – 30%;</w:t>
      </w:r>
    </w:p>
    <w:p>
      <w:pPr>
        <w:numPr>
          <w:ilvl w:val="0"/>
          <w:numId w:val="1082"/>
        </w:numPr>
        <w:tabs>
          <w:tab w:val="clear" w:pos="432"/>
          <w:tab w:val="left" w:pos="2448"/>
        </w:tabs>
        <w:spacing w:before="122" w:after="0" w:line="272" w:lineRule="exact"/>
        <w:ind w:right="0" w:left="2448"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30 – 60%;</w:t>
      </w:r>
    </w:p>
    <w:p>
      <w:pPr>
        <w:numPr>
          <w:ilvl w:val="0"/>
          <w:numId w:val="1085"/>
        </w:numPr>
        <w:tabs>
          <w:tab w:val="clear" w:pos="432"/>
          <w:tab w:val="left" w:pos="2448"/>
        </w:tabs>
        <w:spacing w:before="122" w:after="0" w:line="276" w:lineRule="exact"/>
        <w:ind w:right="0" w:left="2448" w:hanging="432"/>
        <w:jc w:val="left"/>
        <w:textAlignment w:val="baseline"/>
        <w:rPr>
          <w:rFonts w:ascii="Arial" w:hAnsi="Arial" w:eastAsia="Arial"/>
          <w:color w:val="000000"/>
          <w:spacing w:val="-2"/>
          <w:w w:val="100"/>
          <w:sz w:val="24"/>
          <w:vertAlign w:val="baseline"/>
          <w:lang w:val="en-US"/>
        </w:rPr>
      </w:pPr>
      <w:r>
        <w:rPr>
          <w:rFonts w:ascii="Arial" w:hAnsi="Arial" w:eastAsia="Arial"/>
          <w:color w:val="000000"/>
          <w:spacing w:val="-2"/>
          <w:w w:val="100"/>
          <w:sz w:val="24"/>
          <w:vertAlign w:val="baseline"/>
          <w:lang w:val="en-US"/>
        </w:rPr>
        <w:t xml:space="preserve">&gt; </w:t>
      </w:r>
      <w:r>
        <w:rPr>
          <w:rFonts w:ascii="Times New Roman" w:hAnsi="Times New Roman" w:eastAsia="Times New Roman"/>
          <w:color w:val="000000"/>
          <w:spacing w:val="-2"/>
          <w:w w:val="100"/>
          <w:sz w:val="24"/>
          <w:vertAlign w:val="baseline"/>
          <w:lang w:val="en-US"/>
        </w:rPr>
        <w:t xml:space="preserve">60%;</w:t>
      </w:r>
    </w:p>
    <w:p>
      <w:pPr>
        <w:numPr>
          <w:ilvl w:val="0"/>
          <w:numId w:val="1082"/>
        </w:numPr>
        <w:tabs>
          <w:tab w:val="clear" w:pos="432"/>
          <w:tab w:val="left" w:pos="2448"/>
        </w:tabs>
        <w:spacing w:before="116" w:after="2949" w:line="278" w:lineRule="exact"/>
        <w:ind w:right="936" w:left="2448"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range that is narrower than the range set out in subparagraph (i), (ii), (iii) or (iv).</w:t>
      </w:r>
    </w:p>
    <w:p>
      <w:pPr>
        <w:spacing w:before="333"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4.05pt,0.3pt" style="position:absolute;mso-position-horizontal-relative:text;mso-position-vertical-relative:text;">
            <v:stroke dashstyle="solid"/>
          </v:line>
        </w:pict>
      </w:r>
    </w:p>
    <w:p>
      <w:pPr>
        <w:sectPr>
          <w:type w:val="nextPage"/>
          <w:pgSz w:w="11909" w:h="16838" w:orient="portrait"/>
          <w:pgMar w:bottom="1082" w:top="1140" w:right="1910" w:left="191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453</w:t>
      </w:r>
    </w:p>
    <w:p>
      <w:pPr>
        <w:sectPr>
          <w:type w:val="continuous"/>
          <w:pgSz w:w="11909" w:h="16838" w:orient="portrait"/>
          <w:pgMar w:bottom="1082" w:top="1140" w:right="5817" w:left="1972" w:header="720" w:footer="720"/>
          <w:titlePg w:val="false"/>
          <w:textDirection w:val="lrTb"/>
        </w:sectPr>
      </w:pPr>
    </w:p>
    <w:p>
      <w:pPr>
        <w:spacing w:before="6" w:after="0" w:line="226" w:lineRule="exact"/>
        <w:ind w:right="36"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spacing w:before="235" w:after="226" w:line="226" w:lineRule="exact"/>
        <w:ind w:right="36" w:left="72" w:firstLine="0"/>
        <w:jc w:val="left"/>
        <w:textAlignment w:val="baseline"/>
        <w:rPr>
          <w:rFonts w:ascii="Times New Roman" w:hAnsi="Times New Roman" w:eastAsia="Times New Roman"/>
          <w:color w:val="000000"/>
          <w:spacing w:val="3"/>
          <w:w w:val="100"/>
          <w:sz w:val="20"/>
          <w:vertAlign w:val="baseline"/>
          <w:lang w:val="en-US"/>
        </w:rPr>
      </w:pPr>
      <w:r>
        <w:rPr>
          <w:rFonts w:ascii="Times New Roman" w:hAnsi="Times New Roman" w:eastAsia="Times New Roman"/>
          <w:color w:val="000000"/>
          <w:spacing w:val="3"/>
          <w:w w:val="100"/>
          <w:sz w:val="20"/>
          <w:vertAlign w:val="baseline"/>
          <w:lang w:val="en-US"/>
        </w:rPr>
        <w:t xml:space="preserve">Schedule 9 Classification, packaging and labelling requirements</w:t>
      </w:r>
    </w:p>
    <w:p>
      <w:pPr>
        <w:spacing w:before="258" w:after="0" w:line="315" w:lineRule="exact"/>
        <w:ind w:right="36" w:left="72" w:firstLine="0"/>
        <w:jc w:val="center"/>
        <w:textAlignment w:val="baseline"/>
        <w:rPr>
          <w:rFonts w:ascii="Times New Roman" w:hAnsi="Times New Roman" w:eastAsia="Times New Roman"/>
          <w:b w:val="true"/>
          <w:color w:val="000000"/>
          <w:spacing w:val="3"/>
          <w:w w:val="100"/>
          <w:sz w:val="28"/>
          <w:vertAlign w:val="baseline"/>
          <w:lang w:val="en-US"/>
        </w:rPr>
      </w:pPr>
      <w:r>
        <w:pict>
          <v:line strokeweight="0.5pt" strokecolor="#000000" from="95.95pt,103.9pt" to="500pt,103.9pt" style="position:absolute;mso-position-horizontal-relative:page;mso-position-vertical-relative:page;">
            <v:stroke dashstyle="solid"/>
          </v:line>
        </w:pict>
      </w:r>
      <w:r>
        <w:rPr>
          <w:rFonts w:ascii="Times New Roman" w:hAnsi="Times New Roman" w:eastAsia="Times New Roman"/>
          <w:b w:val="true"/>
          <w:color w:val="000000"/>
          <w:spacing w:val="3"/>
          <w:w w:val="100"/>
          <w:sz w:val="28"/>
          <w:vertAlign w:val="baseline"/>
          <w:lang w:val="en-US"/>
        </w:rPr>
        <w:t xml:space="preserve">Schedule 9 Classification, packaging and labelling requirements</w:t>
      </w:r>
    </w:p>
    <w:p>
      <w:pPr>
        <w:spacing w:before="123" w:after="0" w:line="226" w:lineRule="exact"/>
        <w:ind w:right="36" w:left="72"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Regulations 329, 334 and 335</w:t>
      </w:r>
    </w:p>
    <w:p>
      <w:pPr>
        <w:tabs>
          <w:tab w:val="left" w:leader="none" w:pos="1368"/>
        </w:tabs>
        <w:spacing w:before="248" w:after="0" w:line="315" w:lineRule="exact"/>
        <w:ind w:right="36" w:left="72" w:firstLine="0"/>
        <w:jc w:val="left"/>
        <w:textAlignment w:val="baseline"/>
        <w:rPr>
          <w:rFonts w:ascii="Times New Roman" w:hAnsi="Times New Roman" w:eastAsia="Times New Roman"/>
          <w:b w:val="true"/>
          <w:color w:val="000000"/>
          <w:spacing w:val="0"/>
          <w:w w:val="100"/>
          <w:sz w:val="28"/>
          <w:vertAlign w:val="baseline"/>
          <w:lang w:val="en-US"/>
        </w:rPr>
      </w:pPr>
      <w:r>
        <w:rPr>
          <w:rFonts w:ascii="Times New Roman" w:hAnsi="Times New Roman" w:eastAsia="Times New Roman"/>
          <w:b w:val="true"/>
          <w:color w:val="000000"/>
          <w:spacing w:val="0"/>
          <w:w w:val="100"/>
          <w:sz w:val="28"/>
          <w:vertAlign w:val="baseline"/>
          <w:lang w:val="en-US"/>
        </w:rPr>
        <w:t xml:space="preserve">Part 1	</w:t>
      </w:r>
      <w:r>
        <w:rPr>
          <w:rFonts w:ascii="Times New Roman" w:hAnsi="Times New Roman" w:eastAsia="Times New Roman"/>
          <w:b w:val="true"/>
          <w:color w:val="000000"/>
          <w:spacing w:val="0"/>
          <w:w w:val="100"/>
          <w:sz w:val="28"/>
          <w:vertAlign w:val="baseline"/>
          <w:lang w:val="en-US"/>
        </w:rPr>
        <w:t xml:space="preserve">Correct classification</w:t>
      </w:r>
    </w:p>
    <w:p>
      <w:pPr>
        <w:spacing w:before="120" w:after="0" w:line="264" w:lineRule="exact"/>
        <w:ind w:right="36" w:left="36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 Correct classification of a substance, mixture or article</w:t>
      </w:r>
    </w:p>
    <w:p>
      <w:pPr>
        <w:spacing w:before="131" w:after="0" w:line="276" w:lineRule="exact"/>
        <w:ind w:right="3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substance or mixture (other than a research chemical, sample for analysis or waste product) is </w:t>
      </w:r>
      <w:r>
        <w:rPr>
          <w:rFonts w:ascii="Times New Roman" w:hAnsi="Times New Roman" w:eastAsia="Times New Roman"/>
          <w:b w:val="true"/>
          <w:i w:val="true"/>
          <w:color w:val="000000"/>
          <w:spacing w:val="0"/>
          <w:w w:val="100"/>
          <w:sz w:val="24"/>
          <w:vertAlign w:val="baseline"/>
          <w:lang w:val="en-US"/>
        </w:rPr>
        <w:t xml:space="preserve">correctly classified </w:t>
      </w:r>
      <w:r>
        <w:rPr>
          <w:rFonts w:ascii="Times New Roman" w:hAnsi="Times New Roman" w:eastAsia="Times New Roman"/>
          <w:color w:val="000000"/>
          <w:spacing w:val="0"/>
          <w:w w:val="100"/>
          <w:sz w:val="24"/>
          <w:vertAlign w:val="baseline"/>
          <w:lang w:val="en-US"/>
        </w:rPr>
        <w:t xml:space="preserve">if a determination is made about whether the substance or mixture can be classified into a hazard class under the GHS including a mixture classification referred to in Schedule 6.</w:t>
      </w:r>
    </w:p>
    <w:p>
      <w:pPr>
        <w:spacing w:before="124" w:after="0" w:line="225" w:lineRule="exact"/>
        <w:ind w:right="36"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6" w:after="0" w:line="226" w:lineRule="exact"/>
        <w:ind w:right="36"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The Schedule 6 tables replace some tables in the GHS.</w:t>
      </w:r>
    </w:p>
    <w:p>
      <w:pPr>
        <w:spacing w:before="119" w:after="0" w:line="275" w:lineRule="exact"/>
        <w:ind w:right="50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 substance or mixture that is a research chemical, sample for analysis or waste product is </w:t>
      </w:r>
      <w:r>
        <w:rPr>
          <w:rFonts w:ascii="Times New Roman" w:hAnsi="Times New Roman" w:eastAsia="Times New Roman"/>
          <w:b w:val="true"/>
          <w:i w:val="true"/>
          <w:color w:val="000000"/>
          <w:spacing w:val="0"/>
          <w:w w:val="100"/>
          <w:sz w:val="24"/>
          <w:vertAlign w:val="baseline"/>
          <w:lang w:val="en-US"/>
        </w:rPr>
        <w:t xml:space="preserve">correctly classified </w:t>
      </w:r>
      <w:r>
        <w:rPr>
          <w:rFonts w:ascii="Times New Roman" w:hAnsi="Times New Roman" w:eastAsia="Times New Roman"/>
          <w:color w:val="000000"/>
          <w:spacing w:val="0"/>
          <w:w w:val="100"/>
          <w:sz w:val="24"/>
          <w:vertAlign w:val="baseline"/>
          <w:lang w:val="en-US"/>
        </w:rPr>
        <w:t xml:space="preserve">if, so far as is reasonably practicable having regard to the known or suspected properties of the substance or mixture:</w:t>
      </w:r>
    </w:p>
    <w:p>
      <w:pPr>
        <w:numPr>
          <w:ilvl w:val="0"/>
          <w:numId w:val="1086"/>
        </w:numPr>
        <w:tabs>
          <w:tab w:val="clear" w:pos="360"/>
          <w:tab w:val="left" w:pos="1944"/>
        </w:tabs>
        <w:spacing w:before="126" w:after="0" w:line="273" w:lineRule="exact"/>
        <w:ind w:right="216"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determination is made about the identity of the substance or mixture; and</w:t>
      </w:r>
    </w:p>
    <w:p>
      <w:pPr>
        <w:numPr>
          <w:ilvl w:val="0"/>
          <w:numId w:val="1086"/>
        </w:numPr>
        <w:tabs>
          <w:tab w:val="clear" w:pos="360"/>
          <w:tab w:val="left" w:pos="1944"/>
        </w:tabs>
        <w:spacing w:before="126" w:after="0" w:line="273" w:lineRule="exact"/>
        <w:ind w:right="360" w:left="1944"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a determination is made about whether the substance or mixture can be classified into a hazard class under the GHS.</w:t>
      </w:r>
    </w:p>
    <w:p>
      <w:pPr>
        <w:spacing w:before="124" w:after="4876"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An article that contains a substance or mixture that may be released during the use, handling or storage of the article is </w:t>
      </w:r>
      <w:r>
        <w:rPr>
          <w:rFonts w:ascii="Times New Roman" w:hAnsi="Times New Roman" w:eastAsia="Times New Roman"/>
          <w:b w:val="true"/>
          <w:i w:val="true"/>
          <w:color w:val="000000"/>
          <w:spacing w:val="0"/>
          <w:w w:val="100"/>
          <w:sz w:val="24"/>
          <w:vertAlign w:val="baseline"/>
          <w:lang w:val="en-US"/>
        </w:rPr>
        <w:t xml:space="preserve">correctly classified </w:t>
      </w:r>
      <w:r>
        <w:rPr>
          <w:rFonts w:ascii="Times New Roman" w:hAnsi="Times New Roman" w:eastAsia="Times New Roman"/>
          <w:color w:val="000000"/>
          <w:spacing w:val="0"/>
          <w:w w:val="100"/>
          <w:sz w:val="24"/>
          <w:vertAlign w:val="baseline"/>
          <w:lang w:val="en-US"/>
        </w:rPr>
        <w:t xml:space="preserve">if the substance or mixture is correctly classified.</w:t>
      </w:r>
    </w:p>
    <w:p>
      <w:pPr>
        <w:spacing w:before="333"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4.05pt,0.3pt" style="position:absolute;mso-position-horizontal-relative:text;mso-position-vertical-relative:text;">
            <v:stroke dashstyle="solid"/>
          </v:line>
        </w:pict>
      </w:r>
    </w:p>
    <w:p>
      <w:pPr>
        <w:sectPr>
          <w:type w:val="nextPage"/>
          <w:pgSz w:w="11909" w:h="16838" w:orient="portrait"/>
          <w:pgMar w:bottom="1082" w:top="1140" w:right="1910" w:left="191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454</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spacing w:before="233" w:after="224" w:line="228" w:lineRule="exact"/>
        <w:ind w:right="0" w:left="72" w:firstLine="0"/>
        <w:jc w:val="left"/>
        <w:textAlignment w:val="baseline"/>
        <w:rPr>
          <w:rFonts w:ascii="Times New Roman" w:hAnsi="Times New Roman" w:eastAsia="Times New Roman"/>
          <w:color w:val="000000"/>
          <w:spacing w:val="3"/>
          <w:w w:val="100"/>
          <w:sz w:val="20"/>
          <w:vertAlign w:val="baseline"/>
          <w:lang w:val="en-US"/>
        </w:rPr>
      </w:pPr>
      <w:r>
        <w:rPr>
          <w:rFonts w:ascii="Times New Roman" w:hAnsi="Times New Roman" w:eastAsia="Times New Roman"/>
          <w:color w:val="000000"/>
          <w:spacing w:val="3"/>
          <w:w w:val="100"/>
          <w:sz w:val="20"/>
          <w:vertAlign w:val="baseline"/>
          <w:lang w:val="en-US"/>
        </w:rPr>
        <w:t xml:space="preserve">Schedule 9 Classification, packaging and labelling requirements</w:t>
      </w:r>
    </w:p>
    <w:p>
      <w:pPr>
        <w:tabs>
          <w:tab w:val="left" w:leader="none" w:pos="1368"/>
        </w:tabs>
        <w:spacing w:before="258" w:after="0" w:line="317" w:lineRule="exact"/>
        <w:ind w:right="0" w:left="72" w:firstLine="0"/>
        <w:jc w:val="left"/>
        <w:textAlignment w:val="baseline"/>
        <w:rPr>
          <w:rFonts w:ascii="Times New Roman" w:hAnsi="Times New Roman" w:eastAsia="Times New Roman"/>
          <w:b w:val="true"/>
          <w:color w:val="000000"/>
          <w:spacing w:val="0"/>
          <w:w w:val="100"/>
          <w:sz w:val="28"/>
          <w:vertAlign w:val="baseline"/>
          <w:lang w:val="en-US"/>
        </w:rPr>
      </w:pPr>
      <w:r>
        <w:pict>
          <v:line strokeweight="0.5pt" strokecolor="#000000" from="95.95pt,103.9pt" to="500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8"/>
          <w:vertAlign w:val="baseline"/>
          <w:lang w:val="en-US"/>
        </w:rPr>
        <w:t xml:space="preserve">Part 2	</w:t>
      </w:r>
      <w:r>
        <w:rPr>
          <w:rFonts w:ascii="Times New Roman" w:hAnsi="Times New Roman" w:eastAsia="Times New Roman"/>
          <w:b w:val="true"/>
          <w:color w:val="000000"/>
          <w:spacing w:val="0"/>
          <w:w w:val="100"/>
          <w:sz w:val="28"/>
          <w:vertAlign w:val="baseline"/>
          <w:lang w:val="en-US"/>
        </w:rPr>
        <w:t xml:space="preserve">Correct packing</w:t>
      </w:r>
    </w:p>
    <w:p>
      <w:pPr>
        <w:spacing w:before="118" w:after="0" w:line="274" w:lineRule="exact"/>
        <w:ind w:right="0" w:left="36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 Correctly packing hazardous chemicals</w:t>
      </w:r>
    </w:p>
    <w:p>
      <w:pPr>
        <w:spacing w:before="122" w:after="0" w:line="274"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hazardous chemical is </w:t>
      </w:r>
      <w:r>
        <w:rPr>
          <w:rFonts w:ascii="Times New Roman" w:hAnsi="Times New Roman" w:eastAsia="Times New Roman"/>
          <w:b w:val="true"/>
          <w:i w:val="true"/>
          <w:color w:val="000000"/>
          <w:spacing w:val="0"/>
          <w:w w:val="100"/>
          <w:sz w:val="24"/>
          <w:vertAlign w:val="baseline"/>
          <w:lang w:val="en-US"/>
        </w:rPr>
        <w:t xml:space="preserve">correctly packed </w:t>
      </w:r>
      <w:r>
        <w:rPr>
          <w:rFonts w:ascii="Times New Roman" w:hAnsi="Times New Roman" w:eastAsia="Times New Roman"/>
          <w:color w:val="000000"/>
          <w:spacing w:val="0"/>
          <w:w w:val="100"/>
          <w:sz w:val="24"/>
          <w:vertAlign w:val="baseline"/>
          <w:lang w:val="en-US"/>
        </w:rPr>
        <w:t xml:space="preserve">if the chemical is packed in a container that:</w:t>
      </w:r>
    </w:p>
    <w:p>
      <w:pPr>
        <w:numPr>
          <w:ilvl w:val="0"/>
          <w:numId w:val="1087"/>
        </w:numPr>
        <w:tabs>
          <w:tab w:val="clear" w:pos="360"/>
          <w:tab w:val="left" w:pos="1944"/>
        </w:tabs>
        <w:spacing w:before="126" w:after="0" w:line="272" w:lineRule="exact"/>
        <w:ind w:right="0"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in sound condition; and</w:t>
      </w:r>
    </w:p>
    <w:p>
      <w:pPr>
        <w:numPr>
          <w:ilvl w:val="0"/>
          <w:numId w:val="1087"/>
        </w:numPr>
        <w:tabs>
          <w:tab w:val="clear" w:pos="360"/>
          <w:tab w:val="left" w:pos="1944"/>
        </w:tabs>
        <w:spacing w:before="116" w:after="0" w:line="278" w:lineRule="exact"/>
        <w:ind w:right="360"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will safely contain the chemical for the time the chemical is likely to be packed; and</w:t>
      </w:r>
    </w:p>
    <w:p>
      <w:pPr>
        <w:numPr>
          <w:ilvl w:val="0"/>
          <w:numId w:val="1087"/>
        </w:numPr>
        <w:tabs>
          <w:tab w:val="clear" w:pos="360"/>
          <w:tab w:val="left" w:pos="1944"/>
        </w:tabs>
        <w:spacing w:before="116" w:after="0" w:line="278" w:lineRule="exact"/>
        <w:ind w:right="432" w:left="1944"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made of material that is compatible with, and will not be adversely affected by, the chemical; and</w:t>
      </w:r>
    </w:p>
    <w:p>
      <w:pPr>
        <w:numPr>
          <w:ilvl w:val="0"/>
          <w:numId w:val="1087"/>
        </w:numPr>
        <w:tabs>
          <w:tab w:val="clear" w:pos="360"/>
          <w:tab w:val="left" w:pos="1944"/>
        </w:tabs>
        <w:spacing w:before="116" w:after="0" w:line="278" w:lineRule="exact"/>
        <w:ind w:right="576"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does not usually contain food or beverages and cannot be mistakenly identified as containing food or beverages.</w:t>
      </w:r>
    </w:p>
    <w:p>
      <w:pPr>
        <w:spacing w:before="120" w:after="0"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Despite subclause (1), a hazardous chemical supplied by a retailer to a person, in a container provided by the person, is only </w:t>
      </w:r>
      <w:r>
        <w:rPr>
          <w:rFonts w:ascii="Times New Roman" w:hAnsi="Times New Roman" w:eastAsia="Times New Roman"/>
          <w:b w:val="true"/>
          <w:i w:val="true"/>
          <w:color w:val="000000"/>
          <w:spacing w:val="0"/>
          <w:w w:val="100"/>
          <w:sz w:val="24"/>
          <w:vertAlign w:val="baseline"/>
          <w:lang w:val="en-US"/>
        </w:rPr>
        <w:t xml:space="preserve">correctly packed </w:t>
      </w:r>
      <w:r>
        <w:rPr>
          <w:rFonts w:ascii="Times New Roman" w:hAnsi="Times New Roman" w:eastAsia="Times New Roman"/>
          <w:color w:val="000000"/>
          <w:spacing w:val="0"/>
          <w:w w:val="100"/>
          <w:sz w:val="24"/>
          <w:vertAlign w:val="baseline"/>
          <w:lang w:val="en-US"/>
        </w:rPr>
        <w:t xml:space="preserve">if:</w:t>
      </w:r>
    </w:p>
    <w:p>
      <w:pPr>
        <w:spacing w:before="122" w:after="0" w:line="274" w:lineRule="exact"/>
        <w:ind w:right="432" w:left="1944"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for a hazardous chemical with a classification that includes flammable gases or gases under pressure—the container:</w:t>
      </w:r>
    </w:p>
    <w:p>
      <w:pPr>
        <w:numPr>
          <w:ilvl w:val="0"/>
          <w:numId w:val="1088"/>
        </w:numPr>
        <w:tabs>
          <w:tab w:val="clear" w:pos="504"/>
          <w:tab w:val="left" w:pos="2448"/>
        </w:tabs>
        <w:spacing w:before="124" w:after="0" w:line="274" w:lineRule="exact"/>
        <w:ind w:right="1008" w:left="2448"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has a capacity less than the capacity stated for a hazardous chemical stored in bulk; and</w:t>
      </w:r>
    </w:p>
    <w:p>
      <w:pPr>
        <w:numPr>
          <w:ilvl w:val="0"/>
          <w:numId w:val="1088"/>
        </w:numPr>
        <w:tabs>
          <w:tab w:val="clear" w:pos="504"/>
          <w:tab w:val="left" w:pos="2448"/>
        </w:tabs>
        <w:spacing w:before="126" w:after="0" w:line="272" w:lineRule="exact"/>
        <w:ind w:right="0" w:left="2448"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complies with the ADG Code; and</w:t>
      </w:r>
    </w:p>
    <w:p>
      <w:pPr>
        <w:spacing w:before="122" w:after="0" w:line="272" w:lineRule="exact"/>
        <w:ind w:right="0" w:left="1584"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in any other case—the container:</w:t>
      </w:r>
    </w:p>
    <w:p>
      <w:pPr>
        <w:numPr>
          <w:ilvl w:val="0"/>
          <w:numId w:val="1089"/>
        </w:numPr>
        <w:tabs>
          <w:tab w:val="clear" w:pos="504"/>
          <w:tab w:val="left" w:pos="2448"/>
        </w:tabs>
        <w:spacing w:before="124" w:after="0" w:line="274" w:lineRule="exact"/>
        <w:ind w:right="72" w:left="2448"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has a capacity that does not exceed the capacity stated for a hazardous chemical stored in bulk; and</w:t>
      </w:r>
    </w:p>
    <w:p>
      <w:pPr>
        <w:numPr>
          <w:ilvl w:val="0"/>
          <w:numId w:val="1089"/>
        </w:numPr>
        <w:tabs>
          <w:tab w:val="clear" w:pos="504"/>
          <w:tab w:val="left" w:pos="2448"/>
        </w:tabs>
        <w:spacing w:before="124" w:after="0" w:line="274" w:lineRule="exact"/>
        <w:ind w:right="216" w:left="2448"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clearly marked with the product identifier or chemical identity; and</w:t>
      </w:r>
    </w:p>
    <w:p>
      <w:pPr>
        <w:numPr>
          <w:ilvl w:val="0"/>
          <w:numId w:val="1089"/>
        </w:numPr>
        <w:tabs>
          <w:tab w:val="clear" w:pos="504"/>
          <w:tab w:val="left" w:pos="2448"/>
        </w:tabs>
        <w:spacing w:before="126" w:after="3597" w:line="272" w:lineRule="exact"/>
        <w:ind w:right="0" w:left="2448"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complies with paragraphs (a) to (d) of subclause (1).</w:t>
      </w:r>
    </w:p>
    <w:p>
      <w:pPr>
        <w:spacing w:before="333"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4.05pt,0.3pt" style="position:absolute;mso-position-horizontal-relative:text;mso-position-vertical-relative:text;">
            <v:stroke dashstyle="solid"/>
          </v:line>
        </w:pict>
      </w:r>
    </w:p>
    <w:p>
      <w:pPr>
        <w:sectPr>
          <w:type w:val="nextPage"/>
          <w:pgSz w:w="11909" w:h="16838" w:orient="portrait"/>
          <w:pgMar w:bottom="1082" w:top="1140" w:right="1910" w:left="191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455</w:t>
      </w:r>
    </w:p>
    <w:p>
      <w:pPr>
        <w:sectPr>
          <w:type w:val="continuous"/>
          <w:pgSz w:w="11909" w:h="16838" w:orient="portrait"/>
          <w:pgMar w:bottom="1082" w:top="1140" w:right="5814" w:left="1975" w:header="720" w:footer="720"/>
          <w:titlePg w:val="false"/>
          <w:textDirection w:val="lrTb"/>
        </w:sectPr>
      </w:pPr>
    </w:p>
    <w:p>
      <w:pPr>
        <w:spacing w:before="6" w:after="0" w:line="225"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spacing w:before="236" w:after="227" w:line="225" w:lineRule="exact"/>
        <w:ind w:right="0" w:left="72" w:firstLine="0"/>
        <w:jc w:val="left"/>
        <w:textAlignment w:val="baseline"/>
        <w:rPr>
          <w:rFonts w:ascii="Times New Roman" w:hAnsi="Times New Roman" w:eastAsia="Times New Roman"/>
          <w:color w:val="000000"/>
          <w:spacing w:val="3"/>
          <w:w w:val="100"/>
          <w:sz w:val="20"/>
          <w:vertAlign w:val="baseline"/>
          <w:lang w:val="en-US"/>
        </w:rPr>
      </w:pPr>
      <w:r>
        <w:rPr>
          <w:rFonts w:ascii="Times New Roman" w:hAnsi="Times New Roman" w:eastAsia="Times New Roman"/>
          <w:color w:val="000000"/>
          <w:spacing w:val="3"/>
          <w:w w:val="100"/>
          <w:sz w:val="20"/>
          <w:vertAlign w:val="baseline"/>
          <w:lang w:val="en-US"/>
        </w:rPr>
        <w:t xml:space="preserve">Schedule 9 Classification, packaging and labelling requirements</w:t>
      </w:r>
    </w:p>
    <w:p>
      <w:pPr>
        <w:tabs>
          <w:tab w:val="left" w:leader="none" w:pos="1368"/>
        </w:tabs>
        <w:spacing w:before="258" w:after="0" w:line="317" w:lineRule="exact"/>
        <w:ind w:right="0" w:left="72" w:firstLine="0"/>
        <w:jc w:val="left"/>
        <w:textAlignment w:val="baseline"/>
        <w:rPr>
          <w:rFonts w:ascii="Times New Roman" w:hAnsi="Times New Roman" w:eastAsia="Times New Roman"/>
          <w:b w:val="true"/>
          <w:color w:val="000000"/>
          <w:spacing w:val="0"/>
          <w:w w:val="100"/>
          <w:sz w:val="28"/>
          <w:vertAlign w:val="baseline"/>
          <w:lang w:val="en-US"/>
        </w:rPr>
      </w:pPr>
      <w:r>
        <w:pict>
          <v:line strokeweight="0.5pt" strokecolor="#000000" from="95.95pt,103.9pt" to="500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8"/>
          <w:vertAlign w:val="baseline"/>
          <w:lang w:val="en-US"/>
        </w:rPr>
        <w:t xml:space="preserve">Part 3	</w:t>
      </w:r>
      <w:r>
        <w:rPr>
          <w:rFonts w:ascii="Times New Roman" w:hAnsi="Times New Roman" w:eastAsia="Times New Roman"/>
          <w:b w:val="true"/>
          <w:color w:val="000000"/>
          <w:spacing w:val="0"/>
          <w:w w:val="100"/>
          <w:sz w:val="28"/>
          <w:vertAlign w:val="baseline"/>
          <w:lang w:val="en-US"/>
        </w:rPr>
        <w:t xml:space="preserve">Correct labelling</w:t>
      </w:r>
    </w:p>
    <w:p>
      <w:pPr>
        <w:spacing w:before="121" w:after="0" w:line="225" w:lineRule="exact"/>
        <w:ind w:right="0" w:left="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1" w:after="0" w:line="230" w:lineRule="exact"/>
        <w:ind w:right="144" w:left="72"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More than 1 clause of this Part may apply to a hazardous chemical depending on the nature of the hazardous chemical, its container and other matters.</w:t>
      </w:r>
    </w:p>
    <w:p>
      <w:pPr>
        <w:spacing w:before="122" w:after="0" w:line="274" w:lineRule="exact"/>
        <w:ind w:right="0" w:left="36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3 Labelling hazardous chemicals—general</w:t>
      </w:r>
    </w:p>
    <w:p>
      <w:pPr>
        <w:spacing w:before="114" w:after="0" w:line="278" w:lineRule="exact"/>
        <w:ind w:right="72" w:left="144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hazardous chemical is </w:t>
      </w:r>
      <w:r>
        <w:rPr>
          <w:rFonts w:ascii="Times New Roman" w:hAnsi="Times New Roman" w:eastAsia="Times New Roman"/>
          <w:b w:val="true"/>
          <w:i w:val="true"/>
          <w:color w:val="000000"/>
          <w:spacing w:val="0"/>
          <w:w w:val="100"/>
          <w:sz w:val="24"/>
          <w:vertAlign w:val="baseline"/>
          <w:lang w:val="en-US"/>
        </w:rPr>
        <w:t xml:space="preserve">correctly labelled </w:t>
      </w:r>
      <w:r>
        <w:rPr>
          <w:rFonts w:ascii="Times New Roman" w:hAnsi="Times New Roman" w:eastAsia="Times New Roman"/>
          <w:color w:val="000000"/>
          <w:spacing w:val="0"/>
          <w:w w:val="100"/>
          <w:sz w:val="24"/>
          <w:vertAlign w:val="baseline"/>
          <w:lang w:val="en-US"/>
        </w:rPr>
        <w:t xml:space="preserve">if the chemical is packed in a container that has a label in English including the following:</w:t>
      </w:r>
    </w:p>
    <w:p>
      <w:pPr>
        <w:spacing w:before="122" w:after="0" w:line="272" w:lineRule="exact"/>
        <w:ind w:right="0" w:left="1584"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the product identifier;</w:t>
      </w:r>
    </w:p>
    <w:p>
      <w:pPr>
        <w:spacing w:before="124" w:after="0" w:line="274" w:lineRule="exact"/>
        <w:ind w:right="288"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the name, and the Australian address and business telephone number of:</w:t>
      </w:r>
    </w:p>
    <w:p>
      <w:pPr>
        <w:numPr>
          <w:ilvl w:val="0"/>
          <w:numId w:val="1090"/>
        </w:numPr>
        <w:tabs>
          <w:tab w:val="clear" w:pos="360"/>
          <w:tab w:val="left" w:pos="2448"/>
        </w:tabs>
        <w:spacing w:before="126" w:after="0" w:line="272" w:lineRule="exact"/>
        <w:ind w:right="0" w:left="208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manufacturer; or</w:t>
      </w:r>
    </w:p>
    <w:p>
      <w:pPr>
        <w:numPr>
          <w:ilvl w:val="0"/>
          <w:numId w:val="1090"/>
        </w:numPr>
        <w:tabs>
          <w:tab w:val="clear" w:pos="360"/>
          <w:tab w:val="left" w:pos="2448"/>
        </w:tabs>
        <w:spacing w:before="122" w:after="0" w:line="272" w:lineRule="exact"/>
        <w:ind w:right="0" w:left="208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importer;</w:t>
      </w:r>
    </w:p>
    <w:p>
      <w:pPr>
        <w:spacing w:before="124" w:after="0" w:line="274" w:lineRule="exact"/>
        <w:ind w:right="1008"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for each ingredient of the chemical—the identity and proportion disclosed in accordance with Schedule 8;</w:t>
      </w:r>
    </w:p>
    <w:p>
      <w:pPr>
        <w:spacing w:before="124" w:after="0" w:line="274" w:lineRule="exact"/>
        <w:ind w:right="144" w:left="1944"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any hazard pictogram consistent with the correct classification of the chemical;</w:t>
      </w:r>
    </w:p>
    <w:p>
      <w:pPr>
        <w:spacing w:before="124" w:after="0" w:line="274" w:lineRule="exact"/>
        <w:ind w:right="72"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 any hazard statement, signal word and precautionary statement consistent with the correct classification of the chemical;</w:t>
      </w:r>
    </w:p>
    <w:p>
      <w:pPr>
        <w:spacing w:before="124" w:after="0" w:line="275" w:lineRule="exact"/>
        <w:ind w:right="144"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 any information about the hazards, first aid and emergency procedures relevant to the chemical, not otherwise included in the hazard statement or precautionary statement referred to in paragraph (e);</w:t>
      </w:r>
    </w:p>
    <w:p>
      <w:pPr>
        <w:spacing w:before="126" w:after="0" w:line="272" w:lineRule="exact"/>
        <w:ind w:right="0" w:left="1584"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 if the chemical has an expiry date—the expiry date.</w:t>
      </w:r>
    </w:p>
    <w:p>
      <w:pPr>
        <w:spacing w:before="116" w:after="0" w:line="278" w:lineRule="exact"/>
        <w:ind w:right="216" w:left="1440" w:hanging="432"/>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(2) The label may include any other information that does not contradict or cast doubt on the matters referred to in subclause (1).</w:t>
      </w:r>
    </w:p>
    <w:p>
      <w:pPr>
        <w:spacing w:before="122" w:after="0" w:line="272" w:lineRule="exact"/>
        <w:ind w:right="0" w:left="72"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This clause is subject to clauses 4 to 10 of this Schedule.</w:t>
      </w:r>
    </w:p>
    <w:p>
      <w:pPr>
        <w:spacing w:before="126" w:after="0" w:line="274" w:lineRule="exact"/>
        <w:ind w:right="0" w:left="36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4 Labelling hazardous chemicals—small container</w:t>
      </w:r>
    </w:p>
    <w:p>
      <w:pPr>
        <w:numPr>
          <w:ilvl w:val="0"/>
          <w:numId w:val="1091"/>
        </w:numPr>
        <w:tabs>
          <w:tab w:val="clear" w:pos="360"/>
          <w:tab w:val="left" w:pos="1440"/>
        </w:tabs>
        <w:spacing w:before="116" w:after="0" w:line="276" w:lineRule="exact"/>
        <w:ind w:right="144" w:left="1440"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clause applies if a hazardous chemical is packed in a container that is too small for a label attached to it to include all the information referred to in clause 3(1).</w:t>
      </w:r>
    </w:p>
    <w:p>
      <w:pPr>
        <w:numPr>
          <w:ilvl w:val="0"/>
          <w:numId w:val="1091"/>
        </w:numPr>
        <w:tabs>
          <w:tab w:val="clear" w:pos="360"/>
          <w:tab w:val="left" w:pos="1440"/>
        </w:tabs>
        <w:spacing w:before="122" w:after="0" w:line="276" w:lineRule="exact"/>
        <w:ind w:right="648" w:left="1440"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hazardous chemical is </w:t>
      </w:r>
      <w:r>
        <w:rPr>
          <w:rFonts w:ascii="Times New Roman" w:hAnsi="Times New Roman" w:eastAsia="Times New Roman"/>
          <w:b w:val="true"/>
          <w:i w:val="true"/>
          <w:color w:val="000000"/>
          <w:spacing w:val="0"/>
          <w:w w:val="100"/>
          <w:sz w:val="24"/>
          <w:vertAlign w:val="baseline"/>
          <w:lang w:val="en-US"/>
        </w:rPr>
        <w:t xml:space="preserve">correctly labelled </w:t>
      </w:r>
      <w:r>
        <w:rPr>
          <w:rFonts w:ascii="Times New Roman" w:hAnsi="Times New Roman" w:eastAsia="Times New Roman"/>
          <w:color w:val="000000"/>
          <w:spacing w:val="0"/>
          <w:w w:val="100"/>
          <w:sz w:val="24"/>
          <w:vertAlign w:val="baseline"/>
          <w:lang w:val="en-US"/>
        </w:rPr>
        <w:t xml:space="preserve">if the chemical is packed in a container that has a label in English including the following:</w:t>
      </w:r>
    </w:p>
    <w:p>
      <w:pPr>
        <w:spacing w:before="122" w:after="1258" w:line="272" w:lineRule="exact"/>
        <w:ind w:right="0" w:left="1584"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5.95pt,728.15pt" to="500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the product identifier;</w:t>
      </w:r>
    </w:p>
    <w:p>
      <w:pPr>
        <w:spacing w:before="122" w:after="1258" w:line="272" w:lineRule="exact"/>
        <w:sectPr>
          <w:type w:val="nextPage"/>
          <w:pgSz w:w="11909" w:h="16838" w:orient="portrait"/>
          <w:pgMar w:bottom="1082" w:top="1140" w:right="1910" w:left="191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456</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spacing w:before="233" w:after="224" w:line="228" w:lineRule="exact"/>
        <w:ind w:right="0" w:left="72" w:firstLine="0"/>
        <w:jc w:val="left"/>
        <w:textAlignment w:val="baseline"/>
        <w:rPr>
          <w:rFonts w:ascii="Times New Roman" w:hAnsi="Times New Roman" w:eastAsia="Times New Roman"/>
          <w:color w:val="000000"/>
          <w:spacing w:val="3"/>
          <w:w w:val="100"/>
          <w:sz w:val="20"/>
          <w:vertAlign w:val="baseline"/>
          <w:lang w:val="en-US"/>
        </w:rPr>
      </w:pPr>
      <w:r>
        <w:rPr>
          <w:rFonts w:ascii="Times New Roman" w:hAnsi="Times New Roman" w:eastAsia="Times New Roman"/>
          <w:color w:val="000000"/>
          <w:spacing w:val="3"/>
          <w:w w:val="100"/>
          <w:sz w:val="20"/>
          <w:vertAlign w:val="baseline"/>
          <w:lang w:val="en-US"/>
        </w:rPr>
        <w:t xml:space="preserve">Schedule 9 Classification, packaging and labelling requirements</w:t>
      </w:r>
    </w:p>
    <w:p>
      <w:pPr>
        <w:spacing w:before="245" w:after="0" w:line="279" w:lineRule="exact"/>
        <w:ind w:right="288" w:left="1944"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5.95pt,103.9pt" to="500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(b) the name, and the Australian address and business telephone number of:</w:t>
      </w:r>
    </w:p>
    <w:p>
      <w:pPr>
        <w:numPr>
          <w:ilvl w:val="0"/>
          <w:numId w:val="1092"/>
        </w:numPr>
        <w:tabs>
          <w:tab w:val="clear" w:pos="360"/>
          <w:tab w:val="left" w:pos="2448"/>
        </w:tabs>
        <w:spacing w:before="120" w:after="0" w:line="273" w:lineRule="exact"/>
        <w:ind w:right="0" w:left="208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manufacturer; or</w:t>
      </w:r>
    </w:p>
    <w:p>
      <w:pPr>
        <w:numPr>
          <w:ilvl w:val="0"/>
          <w:numId w:val="1092"/>
        </w:numPr>
        <w:tabs>
          <w:tab w:val="clear" w:pos="360"/>
          <w:tab w:val="left" w:pos="2448"/>
        </w:tabs>
        <w:spacing w:before="126" w:after="0" w:line="273" w:lineRule="exact"/>
        <w:ind w:right="0" w:left="208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importer;</w:t>
      </w:r>
    </w:p>
    <w:p>
      <w:pPr>
        <w:spacing w:before="114" w:after="0" w:line="279" w:lineRule="exact"/>
        <w:ind w:right="504"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a hazard pictogram or hazard statement consistent with the correct classification of the chemical;</w:t>
      </w:r>
    </w:p>
    <w:p>
      <w:pPr>
        <w:spacing w:before="114" w:after="0" w:line="279" w:lineRule="exact"/>
        <w:ind w:right="720" w:left="1944"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any other information referred to in clause 3(1) that it is reasonably practicable to include.</w:t>
      </w:r>
    </w:p>
    <w:p>
      <w:pPr>
        <w:spacing w:before="115" w:after="0" w:line="279" w:lineRule="exact"/>
        <w:ind w:right="576" w:left="36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5 Labelling hazardous chemicals—research chemicals or samples for analysis</w:t>
      </w:r>
    </w:p>
    <w:p>
      <w:pPr>
        <w:numPr>
          <w:ilvl w:val="0"/>
          <w:numId w:val="1093"/>
        </w:numPr>
        <w:tabs>
          <w:tab w:val="clear" w:pos="432"/>
          <w:tab w:val="left" w:pos="1440"/>
        </w:tabs>
        <w:spacing w:before="113" w:after="0" w:line="279" w:lineRule="exact"/>
        <w:ind w:right="720" w:left="144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clause applies to a hazardous chemical that is a research chemical or sample for analysis.</w:t>
      </w:r>
    </w:p>
    <w:p>
      <w:pPr>
        <w:numPr>
          <w:ilvl w:val="0"/>
          <w:numId w:val="1093"/>
        </w:numPr>
        <w:tabs>
          <w:tab w:val="clear" w:pos="432"/>
          <w:tab w:val="left" w:pos="1440"/>
        </w:tabs>
        <w:spacing w:before="117" w:after="0" w:line="276" w:lineRule="exact"/>
        <w:ind w:right="576" w:left="144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hazardous chemical is </w:t>
      </w:r>
      <w:r>
        <w:rPr>
          <w:rFonts w:ascii="Times New Roman" w:hAnsi="Times New Roman" w:eastAsia="Times New Roman"/>
          <w:b w:val="true"/>
          <w:i w:val="true"/>
          <w:color w:val="000000"/>
          <w:spacing w:val="0"/>
          <w:w w:val="100"/>
          <w:sz w:val="24"/>
          <w:vertAlign w:val="baseline"/>
          <w:lang w:val="en-US"/>
        </w:rPr>
        <w:t xml:space="preserve">correctly labelled </w:t>
      </w:r>
      <w:r>
        <w:rPr>
          <w:rFonts w:ascii="Times New Roman" w:hAnsi="Times New Roman" w:eastAsia="Times New Roman"/>
          <w:color w:val="000000"/>
          <w:spacing w:val="0"/>
          <w:w w:val="100"/>
          <w:sz w:val="24"/>
          <w:vertAlign w:val="baseline"/>
          <w:lang w:val="en-US"/>
        </w:rPr>
        <w:t xml:space="preserve">if the chemical is packed in a container that has a label in English including the following:</w:t>
      </w:r>
    </w:p>
    <w:p>
      <w:pPr>
        <w:numPr>
          <w:ilvl w:val="0"/>
          <w:numId w:val="1094"/>
        </w:numPr>
        <w:tabs>
          <w:tab w:val="clear" w:pos="360"/>
          <w:tab w:val="left" w:pos="1944"/>
        </w:tabs>
        <w:spacing w:before="121" w:after="0" w:line="273" w:lineRule="exact"/>
        <w:ind w:right="0"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product identifier;</w:t>
      </w:r>
    </w:p>
    <w:p>
      <w:pPr>
        <w:numPr>
          <w:ilvl w:val="0"/>
          <w:numId w:val="1094"/>
        </w:numPr>
        <w:tabs>
          <w:tab w:val="clear" w:pos="360"/>
          <w:tab w:val="left" w:pos="1944"/>
        </w:tabs>
        <w:spacing w:before="124" w:after="0" w:line="274" w:lineRule="exact"/>
        <w:ind w:right="504"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hazard pictogram or hazard statement consistent with the correct classification of the chemical.</w:t>
      </w:r>
    </w:p>
    <w:p>
      <w:pPr>
        <w:spacing w:before="125" w:after="0" w:line="274" w:lineRule="exact"/>
        <w:ind w:right="0" w:left="72" w:firstLine="0"/>
        <w:jc w:val="center"/>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6 Labelling hazardous chemicals—decanted or transferred chemicals</w:t>
      </w:r>
    </w:p>
    <w:p>
      <w:pPr>
        <w:spacing w:before="120"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clause applies if:</w:t>
      </w:r>
    </w:p>
    <w:p>
      <w:pPr>
        <w:numPr>
          <w:ilvl w:val="0"/>
          <w:numId w:val="1095"/>
        </w:numPr>
        <w:tabs>
          <w:tab w:val="clear" w:pos="360"/>
          <w:tab w:val="left" w:pos="1944"/>
        </w:tabs>
        <w:spacing w:before="124" w:after="0" w:line="274" w:lineRule="exact"/>
        <w:ind w:right="720"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hazardous chemical is decanted or transferred from the container in which it is packed; and</w:t>
      </w:r>
    </w:p>
    <w:p>
      <w:pPr>
        <w:numPr>
          <w:ilvl w:val="0"/>
          <w:numId w:val="1095"/>
        </w:numPr>
        <w:tabs>
          <w:tab w:val="clear" w:pos="360"/>
          <w:tab w:val="left" w:pos="1944"/>
        </w:tabs>
        <w:spacing w:before="125" w:after="0" w:line="273" w:lineRule="exact"/>
        <w:ind w:right="0" w:left="1944" w:hanging="360"/>
        <w:jc w:val="left"/>
        <w:textAlignment w:val="baseline"/>
        <w:rPr>
          <w:rFonts w:ascii="Times New Roman" w:hAnsi="Times New Roman" w:eastAsia="Times New Roman"/>
          <w:color w:val="000000"/>
          <w:spacing w:val="-2"/>
          <w:w w:val="100"/>
          <w:sz w:val="24"/>
          <w:vertAlign w:val="baseline"/>
          <w:lang w:val="en-US"/>
        </w:rPr>
      </w:pPr>
      <w:r>
        <w:rPr>
          <w:rFonts w:ascii="Times New Roman" w:hAnsi="Times New Roman" w:eastAsia="Times New Roman"/>
          <w:color w:val="000000"/>
          <w:spacing w:val="-2"/>
          <w:w w:val="100"/>
          <w:sz w:val="24"/>
          <w:vertAlign w:val="baseline"/>
          <w:lang w:val="en-US"/>
        </w:rPr>
        <w:t xml:space="preserve">either:</w:t>
      </w:r>
    </w:p>
    <w:p>
      <w:pPr>
        <w:numPr>
          <w:ilvl w:val="0"/>
          <w:numId w:val="1096"/>
        </w:numPr>
        <w:tabs>
          <w:tab w:val="clear" w:pos="360"/>
          <w:tab w:val="left" w:pos="2448"/>
        </w:tabs>
        <w:spacing w:before="121" w:after="0" w:line="273" w:lineRule="exact"/>
        <w:ind w:right="0" w:left="208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will not be used immediately; or</w:t>
      </w:r>
    </w:p>
    <w:p>
      <w:pPr>
        <w:numPr>
          <w:ilvl w:val="0"/>
          <w:numId w:val="1096"/>
        </w:numPr>
        <w:tabs>
          <w:tab w:val="clear" w:pos="360"/>
          <w:tab w:val="left" w:pos="2448"/>
        </w:tabs>
        <w:spacing w:before="125" w:after="0" w:line="273" w:lineRule="exact"/>
        <w:ind w:right="0" w:left="208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is supplied to someone else.</w:t>
      </w:r>
    </w:p>
    <w:p>
      <w:pPr>
        <w:spacing w:before="118" w:after="0" w:line="276" w:lineRule="exact"/>
        <w:ind w:right="576" w:left="144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hazardous chemical is </w:t>
      </w:r>
      <w:r>
        <w:rPr>
          <w:rFonts w:ascii="Times New Roman" w:hAnsi="Times New Roman" w:eastAsia="Times New Roman"/>
          <w:b w:val="true"/>
          <w:i w:val="true"/>
          <w:color w:val="000000"/>
          <w:spacing w:val="0"/>
          <w:w w:val="100"/>
          <w:sz w:val="24"/>
          <w:vertAlign w:val="baseline"/>
          <w:lang w:val="en-US"/>
        </w:rPr>
        <w:t xml:space="preserve">correctly labelled </w:t>
      </w:r>
      <w:r>
        <w:rPr>
          <w:rFonts w:ascii="Times New Roman" w:hAnsi="Times New Roman" w:eastAsia="Times New Roman"/>
          <w:color w:val="000000"/>
          <w:spacing w:val="0"/>
          <w:w w:val="100"/>
          <w:sz w:val="24"/>
          <w:vertAlign w:val="baseline"/>
          <w:lang w:val="en-US"/>
        </w:rPr>
        <w:t xml:space="preserve">if the chemical is packed in a container that has a label in English including the following:</w:t>
      </w:r>
    </w:p>
    <w:p>
      <w:pPr>
        <w:numPr>
          <w:ilvl w:val="0"/>
          <w:numId w:val="1097"/>
        </w:numPr>
        <w:tabs>
          <w:tab w:val="clear" w:pos="360"/>
          <w:tab w:val="left" w:pos="1944"/>
        </w:tabs>
        <w:spacing w:before="125" w:after="0" w:line="273" w:lineRule="exact"/>
        <w:ind w:right="0"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product identifier;</w:t>
      </w:r>
    </w:p>
    <w:p>
      <w:pPr>
        <w:numPr>
          <w:ilvl w:val="0"/>
          <w:numId w:val="1097"/>
        </w:numPr>
        <w:tabs>
          <w:tab w:val="clear" w:pos="360"/>
          <w:tab w:val="left" w:pos="1944"/>
        </w:tabs>
        <w:spacing w:before="116" w:after="0" w:line="278" w:lineRule="exact"/>
        <w:ind w:right="504"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hazard pictogram or hazard statement consistent with the correct classification of the chemical.</w:t>
      </w:r>
    </w:p>
    <w:p>
      <w:pPr>
        <w:spacing w:before="121" w:after="0" w:line="274" w:lineRule="exact"/>
        <w:ind w:right="0" w:left="36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7 Labelling hazardous chemicals—known hazards</w:t>
      </w:r>
    </w:p>
    <w:p>
      <w:pPr>
        <w:spacing w:before="124"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clause applies to a hazardous chemical if:</w:t>
      </w:r>
    </w:p>
    <w:p>
      <w:pPr>
        <w:spacing w:before="121" w:after="926" w:line="273" w:lineRule="exact"/>
        <w:ind w:right="0" w:left="1584"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5.95pt,728.15pt" to="500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the chemical is not being supplied to another workplace; and</w:t>
      </w:r>
    </w:p>
    <w:p>
      <w:pPr>
        <w:spacing w:before="121" w:after="926" w:line="273" w:lineRule="exact"/>
        <w:sectPr>
          <w:type w:val="nextPage"/>
          <w:pgSz w:w="11909" w:h="16838" w:orient="portrait"/>
          <w:pgMar w:bottom="1082" w:top="1140" w:right="1910" w:left="191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457</w:t>
      </w:r>
    </w:p>
    <w:p>
      <w:pPr>
        <w:sectPr>
          <w:type w:val="continuous"/>
          <w:pgSz w:w="11909" w:h="16838" w:orient="portrait"/>
          <w:pgMar w:bottom="1082" w:top="1140" w:right="5812" w:left="1977" w:header="720" w:footer="720"/>
          <w:titlePg w:val="false"/>
          <w:textDirection w:val="lrTb"/>
        </w:sectPr>
      </w:pPr>
    </w:p>
    <w:p>
      <w:pPr>
        <w:spacing w:before="6" w:after="0" w:line="228"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spacing w:before="233" w:after="224" w:line="228" w:lineRule="exact"/>
        <w:ind w:right="0" w:left="72" w:firstLine="0"/>
        <w:jc w:val="left"/>
        <w:textAlignment w:val="baseline"/>
        <w:rPr>
          <w:rFonts w:ascii="Times New Roman" w:hAnsi="Times New Roman" w:eastAsia="Times New Roman"/>
          <w:color w:val="000000"/>
          <w:spacing w:val="3"/>
          <w:w w:val="100"/>
          <w:sz w:val="20"/>
          <w:vertAlign w:val="baseline"/>
          <w:lang w:val="en-US"/>
        </w:rPr>
      </w:pPr>
      <w:r>
        <w:rPr>
          <w:rFonts w:ascii="Times New Roman" w:hAnsi="Times New Roman" w:eastAsia="Times New Roman"/>
          <w:color w:val="000000"/>
          <w:spacing w:val="3"/>
          <w:w w:val="100"/>
          <w:sz w:val="20"/>
          <w:vertAlign w:val="baseline"/>
          <w:lang w:val="en-US"/>
        </w:rPr>
        <w:t xml:space="preserve">Schedule 9 Classification, packaging and labelling requirements</w:t>
      </w:r>
    </w:p>
    <w:p>
      <w:pPr>
        <w:spacing w:before="245" w:after="0" w:line="279" w:lineRule="exact"/>
        <w:ind w:right="216" w:left="1944" w:hanging="504"/>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5.95pt,103.9pt" to="500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(b) the hazards relating to the chemical are known to the workers involved in using, handling or storing the chemical.</w:t>
      </w:r>
    </w:p>
    <w:p>
      <w:pPr>
        <w:spacing w:before="117" w:after="0" w:line="276" w:lineRule="exact"/>
        <w:ind w:right="648" w:left="144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hazardous chemical is </w:t>
      </w:r>
      <w:r>
        <w:rPr>
          <w:rFonts w:ascii="Times New Roman" w:hAnsi="Times New Roman" w:eastAsia="Times New Roman"/>
          <w:b w:val="true"/>
          <w:i w:val="true"/>
          <w:color w:val="000000"/>
          <w:spacing w:val="0"/>
          <w:w w:val="100"/>
          <w:sz w:val="24"/>
          <w:vertAlign w:val="baseline"/>
          <w:lang w:val="en-US"/>
        </w:rPr>
        <w:t xml:space="preserve">correctly labelled </w:t>
      </w:r>
      <w:r>
        <w:rPr>
          <w:rFonts w:ascii="Times New Roman" w:hAnsi="Times New Roman" w:eastAsia="Times New Roman"/>
          <w:color w:val="000000"/>
          <w:spacing w:val="0"/>
          <w:w w:val="100"/>
          <w:sz w:val="24"/>
          <w:vertAlign w:val="baseline"/>
          <w:lang w:val="en-US"/>
        </w:rPr>
        <w:t xml:space="preserve">if the chemical is packed in a container that has a label in English including the following:</w:t>
      </w:r>
    </w:p>
    <w:p>
      <w:pPr>
        <w:numPr>
          <w:ilvl w:val="0"/>
          <w:numId w:val="1098"/>
        </w:numPr>
        <w:tabs>
          <w:tab w:val="clear" w:pos="360"/>
          <w:tab w:val="left" w:pos="1944"/>
        </w:tabs>
        <w:spacing w:before="126" w:after="0" w:line="273" w:lineRule="exact"/>
        <w:ind w:right="0"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product identifier;</w:t>
      </w:r>
    </w:p>
    <w:p>
      <w:pPr>
        <w:numPr>
          <w:ilvl w:val="0"/>
          <w:numId w:val="1098"/>
        </w:numPr>
        <w:tabs>
          <w:tab w:val="clear" w:pos="360"/>
          <w:tab w:val="left" w:pos="1944"/>
        </w:tabs>
        <w:spacing w:before="114" w:after="0" w:line="279" w:lineRule="exact"/>
        <w:ind w:right="504"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hazard pictogram or hazard statement consistent with the correct classification of the chemical.</w:t>
      </w:r>
    </w:p>
    <w:p>
      <w:pPr>
        <w:spacing w:before="120" w:after="0" w:line="274" w:lineRule="exact"/>
        <w:ind w:right="0" w:left="36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8 Labelling hazardous chemicals—waste products</w:t>
      </w:r>
    </w:p>
    <w:p>
      <w:pPr>
        <w:numPr>
          <w:ilvl w:val="0"/>
          <w:numId w:val="1099"/>
        </w:numPr>
        <w:tabs>
          <w:tab w:val="clear" w:pos="360"/>
          <w:tab w:val="left" w:pos="1440"/>
        </w:tabs>
        <w:spacing w:before="125" w:after="0" w:line="273" w:lineRule="exact"/>
        <w:ind w:right="216" w:left="1440"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clause applies to a waste product if it is reasonably likely that the waste product is a hazardous chemical.</w:t>
      </w:r>
    </w:p>
    <w:p>
      <w:pPr>
        <w:numPr>
          <w:ilvl w:val="0"/>
          <w:numId w:val="1099"/>
        </w:numPr>
        <w:tabs>
          <w:tab w:val="clear" w:pos="360"/>
          <w:tab w:val="left" w:pos="1440"/>
        </w:tabs>
        <w:spacing w:before="127" w:after="0" w:line="273" w:lineRule="exact"/>
        <w:ind w:right="144" w:left="1440"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waste product is </w:t>
      </w:r>
      <w:r>
        <w:rPr>
          <w:rFonts w:ascii="Times New Roman" w:hAnsi="Times New Roman" w:eastAsia="Times New Roman"/>
          <w:b w:val="true"/>
          <w:i w:val="true"/>
          <w:color w:val="000000"/>
          <w:spacing w:val="0"/>
          <w:w w:val="100"/>
          <w:sz w:val="24"/>
          <w:vertAlign w:val="baseline"/>
          <w:lang w:val="en-US"/>
        </w:rPr>
        <w:t xml:space="preserve">correctly labelled </w:t>
      </w:r>
      <w:r>
        <w:rPr>
          <w:rFonts w:ascii="Times New Roman" w:hAnsi="Times New Roman" w:eastAsia="Times New Roman"/>
          <w:color w:val="000000"/>
          <w:spacing w:val="0"/>
          <w:w w:val="100"/>
          <w:sz w:val="24"/>
          <w:vertAlign w:val="baseline"/>
          <w:lang w:val="en-US"/>
        </w:rPr>
        <w:t xml:space="preserve">if it is packed in a container that has a label in English including the following for the hazardous chemical:</w:t>
      </w:r>
    </w:p>
    <w:p>
      <w:pPr>
        <w:spacing w:before="125" w:after="0" w:line="273" w:lineRule="exact"/>
        <w:ind w:right="0" w:left="1440"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the product identifier;</w:t>
      </w:r>
    </w:p>
    <w:p>
      <w:pPr>
        <w:spacing w:before="116" w:after="0" w:line="278" w:lineRule="exact"/>
        <w:ind w:right="288" w:left="1944" w:hanging="504"/>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the name, and the Australian address and business telephone number of:</w:t>
      </w:r>
    </w:p>
    <w:p>
      <w:pPr>
        <w:numPr>
          <w:ilvl w:val="0"/>
          <w:numId w:val="1100"/>
        </w:numPr>
        <w:tabs>
          <w:tab w:val="clear" w:pos="360"/>
          <w:tab w:val="left" w:pos="2448"/>
        </w:tabs>
        <w:spacing w:before="121" w:after="0" w:line="273" w:lineRule="exact"/>
        <w:ind w:right="0" w:left="244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manufacturer; or</w:t>
      </w:r>
    </w:p>
    <w:p>
      <w:pPr>
        <w:numPr>
          <w:ilvl w:val="0"/>
          <w:numId w:val="1100"/>
        </w:numPr>
        <w:tabs>
          <w:tab w:val="clear" w:pos="360"/>
          <w:tab w:val="left" w:pos="2448"/>
        </w:tabs>
        <w:spacing w:before="125" w:after="0" w:line="273" w:lineRule="exact"/>
        <w:ind w:right="0" w:left="244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importer;</w:t>
      </w:r>
    </w:p>
    <w:p>
      <w:pPr>
        <w:spacing w:before="116" w:after="0" w:line="278" w:lineRule="exact"/>
        <w:ind w:right="288" w:left="1944" w:hanging="504"/>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a hazard pictogram and hazard statement consistent with the correct classification of the chemical.</w:t>
      </w:r>
    </w:p>
    <w:p>
      <w:pPr>
        <w:spacing w:before="121" w:after="0" w:line="274" w:lineRule="exact"/>
        <w:ind w:right="0" w:left="36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9 Labelling hazardous chemicals—explosives</w:t>
      </w:r>
    </w:p>
    <w:p>
      <w:pPr>
        <w:numPr>
          <w:ilvl w:val="0"/>
          <w:numId w:val="1101"/>
        </w:numPr>
        <w:tabs>
          <w:tab w:val="clear" w:pos="360"/>
          <w:tab w:val="left" w:pos="1440"/>
        </w:tabs>
        <w:spacing w:before="123" w:after="0" w:line="274" w:lineRule="exact"/>
        <w:ind w:right="288" w:left="1440"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clause applies to a hazardous chemical that may be classified in the explosives hazard class.</w:t>
      </w:r>
    </w:p>
    <w:p>
      <w:pPr>
        <w:numPr>
          <w:ilvl w:val="0"/>
          <w:numId w:val="1101"/>
        </w:numPr>
        <w:tabs>
          <w:tab w:val="clear" w:pos="360"/>
          <w:tab w:val="left" w:pos="1440"/>
        </w:tabs>
        <w:spacing w:before="124" w:after="0" w:line="274" w:lineRule="exact"/>
        <w:ind w:right="648" w:left="1440"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hazardous chemical is </w:t>
      </w:r>
      <w:r>
        <w:rPr>
          <w:rFonts w:ascii="Times New Roman" w:hAnsi="Times New Roman" w:eastAsia="Times New Roman"/>
          <w:b w:val="true"/>
          <w:i w:val="true"/>
          <w:color w:val="000000"/>
          <w:spacing w:val="0"/>
          <w:w w:val="100"/>
          <w:sz w:val="24"/>
          <w:vertAlign w:val="baseline"/>
          <w:lang w:val="en-US"/>
        </w:rPr>
        <w:t xml:space="preserve">correctly labelled </w:t>
      </w:r>
      <w:r>
        <w:rPr>
          <w:rFonts w:ascii="Times New Roman" w:hAnsi="Times New Roman" w:eastAsia="Times New Roman"/>
          <w:color w:val="000000"/>
          <w:spacing w:val="0"/>
          <w:w w:val="100"/>
          <w:sz w:val="24"/>
          <w:vertAlign w:val="baseline"/>
          <w:lang w:val="en-US"/>
        </w:rPr>
        <w:t xml:space="preserve">if the chemical is packed in a container that has a label in English that:</w:t>
      </w:r>
    </w:p>
    <w:p>
      <w:pPr>
        <w:numPr>
          <w:ilvl w:val="0"/>
          <w:numId w:val="1102"/>
        </w:numPr>
        <w:tabs>
          <w:tab w:val="clear" w:pos="360"/>
          <w:tab w:val="left" w:pos="1944"/>
        </w:tabs>
        <w:spacing w:before="124" w:after="0" w:line="274" w:lineRule="exact"/>
        <w:ind w:right="792"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complies with the Australian Code for the Transport of Explosives by Road and Rail; and</w:t>
      </w:r>
    </w:p>
    <w:p>
      <w:pPr>
        <w:numPr>
          <w:ilvl w:val="0"/>
          <w:numId w:val="1102"/>
        </w:numPr>
        <w:tabs>
          <w:tab w:val="clear" w:pos="360"/>
          <w:tab w:val="left" w:pos="1944"/>
        </w:tabs>
        <w:spacing w:before="125" w:after="0" w:line="273" w:lineRule="exact"/>
        <w:ind w:right="0"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includes the following:</w:t>
      </w:r>
    </w:p>
    <w:p>
      <w:pPr>
        <w:numPr>
          <w:ilvl w:val="0"/>
          <w:numId w:val="1103"/>
        </w:numPr>
        <w:tabs>
          <w:tab w:val="clear" w:pos="360"/>
          <w:tab w:val="left" w:pos="2448"/>
        </w:tabs>
        <w:spacing w:before="121" w:after="0" w:line="273" w:lineRule="exact"/>
        <w:ind w:right="0" w:left="244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proper shipping name and UN number;</w:t>
      </w:r>
    </w:p>
    <w:p>
      <w:pPr>
        <w:numPr>
          <w:ilvl w:val="0"/>
          <w:numId w:val="1103"/>
        </w:numPr>
        <w:tabs>
          <w:tab w:val="clear" w:pos="360"/>
          <w:tab w:val="left" w:pos="2448"/>
        </w:tabs>
        <w:spacing w:before="122" w:after="1560" w:line="276" w:lineRule="exact"/>
        <w:ind w:right="864" w:left="244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5.95pt,728.15pt" to="500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any hazard pictogram consistent with the correct classification of the chemical in relation to health hazards;</w:t>
      </w:r>
    </w:p>
    <w:p>
      <w:pPr>
        <w:spacing w:before="122" w:after="1560" w:line="276" w:lineRule="exact"/>
        <w:sectPr>
          <w:type w:val="nextPage"/>
          <w:pgSz w:w="11909" w:h="16838" w:orient="portrait"/>
          <w:pgMar w:bottom="1082" w:top="1140" w:right="1910" w:left="191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458</w:t>
      </w:r>
    </w:p>
    <w:p>
      <w:pPr>
        <w:sectPr>
          <w:type w:val="continuous"/>
          <w:pgSz w:w="11909" w:h="16838" w:orient="portrait"/>
          <w:pgMar w:bottom="1082" w:top="1140" w:right="5814" w:left="1975" w:header="720" w:footer="720"/>
          <w:titlePg w:val="false"/>
          <w:textDirection w:val="lrTb"/>
        </w:sectPr>
      </w:pPr>
    </w:p>
    <w:p>
      <w:pPr>
        <w:spacing w:before="6" w:after="0" w:line="228"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spacing w:before="233" w:after="224" w:line="228" w:lineRule="exact"/>
        <w:ind w:right="0" w:left="72" w:firstLine="0"/>
        <w:jc w:val="left"/>
        <w:textAlignment w:val="baseline"/>
        <w:rPr>
          <w:rFonts w:ascii="Times New Roman" w:hAnsi="Times New Roman" w:eastAsia="Times New Roman"/>
          <w:color w:val="000000"/>
          <w:spacing w:val="3"/>
          <w:w w:val="100"/>
          <w:sz w:val="20"/>
          <w:vertAlign w:val="baseline"/>
          <w:lang w:val="en-US"/>
        </w:rPr>
      </w:pPr>
      <w:r>
        <w:rPr>
          <w:rFonts w:ascii="Times New Roman" w:hAnsi="Times New Roman" w:eastAsia="Times New Roman"/>
          <w:color w:val="000000"/>
          <w:spacing w:val="3"/>
          <w:w w:val="100"/>
          <w:sz w:val="20"/>
          <w:vertAlign w:val="baseline"/>
          <w:lang w:val="en-US"/>
        </w:rPr>
        <w:t xml:space="preserve">Schedule 9 Classification, packaging and labelling requirements</w:t>
      </w:r>
    </w:p>
    <w:p>
      <w:pPr>
        <w:numPr>
          <w:ilvl w:val="0"/>
          <w:numId w:val="1089"/>
        </w:numPr>
        <w:tabs>
          <w:tab w:val="clear" w:pos="504"/>
          <w:tab w:val="left" w:pos="2448"/>
        </w:tabs>
        <w:spacing w:before="248" w:after="0" w:line="276" w:lineRule="exact"/>
        <w:ind w:right="864" w:left="2448" w:hanging="504"/>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5.95pt,103.9pt" to="500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any hazard statement consistent with the correct classification of the chemical in relation to health hazards;</w:t>
      </w:r>
    </w:p>
    <w:p>
      <w:pPr>
        <w:numPr>
          <w:ilvl w:val="0"/>
          <w:numId w:val="1089"/>
        </w:numPr>
        <w:tabs>
          <w:tab w:val="clear" w:pos="504"/>
          <w:tab w:val="left" w:pos="2448"/>
        </w:tabs>
        <w:spacing w:before="123" w:after="0" w:line="276" w:lineRule="exact"/>
        <w:ind w:right="288" w:left="2448"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precautionary statement consistent with the correct classification of the chemical in relation to health hazards.</w:t>
      </w:r>
    </w:p>
    <w:p>
      <w:pPr>
        <w:spacing w:before="120" w:after="0" w:line="274" w:lineRule="exact"/>
        <w:ind w:right="0" w:left="72" w:firstLine="0"/>
        <w:jc w:val="center"/>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10 Labelling hazardous chemicals—agricultural and veterinary chemicals</w:t>
      </w:r>
    </w:p>
    <w:p>
      <w:pPr>
        <w:spacing w:before="126" w:after="0" w:line="273" w:lineRule="exact"/>
        <w:ind w:right="144"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A hazardous chemical that is an agricultural or veterinary chemical is </w:t>
      </w:r>
      <w:r>
        <w:rPr>
          <w:rFonts w:ascii="Times New Roman" w:hAnsi="Times New Roman" w:eastAsia="Times New Roman"/>
          <w:b w:val="true"/>
          <w:i w:val="true"/>
          <w:color w:val="000000"/>
          <w:spacing w:val="0"/>
          <w:w w:val="100"/>
          <w:sz w:val="24"/>
          <w:vertAlign w:val="baseline"/>
          <w:lang w:val="en-US"/>
        </w:rPr>
        <w:t xml:space="preserve">correctly labelled </w:t>
      </w:r>
      <w:r>
        <w:rPr>
          <w:rFonts w:ascii="Times New Roman" w:hAnsi="Times New Roman" w:eastAsia="Times New Roman"/>
          <w:color w:val="000000"/>
          <w:spacing w:val="0"/>
          <w:w w:val="100"/>
          <w:sz w:val="24"/>
          <w:vertAlign w:val="baseline"/>
          <w:lang w:val="en-US"/>
        </w:rPr>
        <w:t xml:space="preserve">if:</w:t>
      </w:r>
    </w:p>
    <w:p>
      <w:pPr>
        <w:numPr>
          <w:ilvl w:val="0"/>
          <w:numId w:val="1104"/>
        </w:numPr>
        <w:tabs>
          <w:tab w:val="clear" w:pos="360"/>
          <w:tab w:val="left" w:pos="1944"/>
        </w:tabs>
        <w:spacing w:before="122" w:after="0" w:line="276" w:lineRule="exact"/>
        <w:ind w:right="72"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chemical is labelled in accordance with the requirements of the Australian Pesticides and Veterinary Medicines Authority; and</w:t>
      </w:r>
    </w:p>
    <w:p>
      <w:pPr>
        <w:numPr>
          <w:ilvl w:val="0"/>
          <w:numId w:val="1104"/>
        </w:numPr>
        <w:tabs>
          <w:tab w:val="clear" w:pos="360"/>
          <w:tab w:val="left" w:pos="1944"/>
        </w:tabs>
        <w:spacing w:before="120" w:after="0" w:line="273" w:lineRule="exact"/>
        <w:ind w:right="0"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label is in English and includes the following:</w:t>
      </w:r>
    </w:p>
    <w:p>
      <w:pPr>
        <w:numPr>
          <w:ilvl w:val="0"/>
          <w:numId w:val="1105"/>
        </w:numPr>
        <w:tabs>
          <w:tab w:val="clear" w:pos="360"/>
          <w:tab w:val="left" w:pos="2448"/>
        </w:tabs>
        <w:spacing w:before="116" w:after="0" w:line="278" w:lineRule="exact"/>
        <w:ind w:right="1008" w:left="244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hazard statement consistent with the correct classification of the chemical;</w:t>
      </w:r>
    </w:p>
    <w:p>
      <w:pPr>
        <w:numPr>
          <w:ilvl w:val="0"/>
          <w:numId w:val="1105"/>
        </w:numPr>
        <w:tabs>
          <w:tab w:val="clear" w:pos="360"/>
          <w:tab w:val="left" w:pos="2448"/>
        </w:tabs>
        <w:spacing w:before="116" w:after="0" w:line="278" w:lineRule="exact"/>
        <w:ind w:right="288" w:left="244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any precautionary statement consistent with the correct classification of the chemical.</w:t>
      </w:r>
    </w:p>
    <w:p>
      <w:pPr>
        <w:spacing w:before="120" w:after="5468" w:line="276"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In this clause, </w:t>
      </w:r>
      <w:r>
        <w:rPr>
          <w:rFonts w:ascii="Times New Roman" w:hAnsi="Times New Roman" w:eastAsia="Times New Roman"/>
          <w:b w:val="true"/>
          <w:i w:val="true"/>
          <w:color w:val="000000"/>
          <w:spacing w:val="0"/>
          <w:w w:val="100"/>
          <w:sz w:val="24"/>
          <w:vertAlign w:val="baseline"/>
          <w:lang w:val="en-US"/>
        </w:rPr>
        <w:t xml:space="preserve">agricultural or veterinary chemical </w:t>
      </w:r>
      <w:r>
        <w:rPr>
          <w:rFonts w:ascii="Times New Roman" w:hAnsi="Times New Roman" w:eastAsia="Times New Roman"/>
          <w:color w:val="000000"/>
          <w:spacing w:val="0"/>
          <w:w w:val="100"/>
          <w:sz w:val="24"/>
          <w:vertAlign w:val="baseline"/>
          <w:lang w:val="en-US"/>
        </w:rPr>
        <w:t xml:space="preserve">means an agricultural chemical product or veterinary chemical product under the </w:t>
      </w:r>
      <w:r>
        <w:rPr>
          <w:rFonts w:ascii="Times New Roman" w:hAnsi="Times New Roman" w:eastAsia="Times New Roman"/>
          <w:i w:val="true"/>
          <w:color w:val="000000"/>
          <w:spacing w:val="0"/>
          <w:w w:val="100"/>
          <w:sz w:val="24"/>
          <w:vertAlign w:val="baseline"/>
          <w:lang w:val="en-US"/>
        </w:rPr>
        <w:t xml:space="preserve">Agricultural and Veterinary Chemicals Code Act 1994 </w:t>
      </w:r>
      <w:r>
        <w:rPr>
          <w:rFonts w:ascii="Times New Roman" w:hAnsi="Times New Roman" w:eastAsia="Times New Roman"/>
          <w:color w:val="000000"/>
          <w:spacing w:val="0"/>
          <w:w w:val="100"/>
          <w:sz w:val="24"/>
          <w:vertAlign w:val="baseline"/>
          <w:lang w:val="en-US"/>
        </w:rPr>
        <w:t xml:space="preserve">of the Commonwealth.</w:t>
      </w:r>
    </w:p>
    <w:p>
      <w:pPr>
        <w:spacing w:before="333"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4.05pt,0.3pt" style="position:absolute;mso-position-horizontal-relative:text;mso-position-vertical-relative:text;">
            <v:stroke dashstyle="solid"/>
          </v:line>
        </w:pict>
      </w:r>
    </w:p>
    <w:p>
      <w:pPr>
        <w:sectPr>
          <w:type w:val="nextPage"/>
          <w:pgSz w:w="11909" w:h="16838" w:orient="portrait"/>
          <w:pgMar w:bottom="1082" w:top="1140" w:right="1910" w:left="191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459</w:t>
      </w:r>
    </w:p>
    <w:p>
      <w:pPr>
        <w:sectPr>
          <w:type w:val="continuous"/>
          <w:pgSz w:w="11909" w:h="16838" w:orient="portrait"/>
          <w:pgMar w:bottom="1082" w:top="1140" w:right="5812" w:left="1977" w:header="720" w:footer="720"/>
          <w:titlePg w:val="false"/>
          <w:textDirection w:val="lrTb"/>
        </w:sectPr>
      </w:pPr>
    </w:p>
    <w:p>
      <w:pPr>
        <w:spacing w:before="6" w:after="0" w:line="226" w:lineRule="exact"/>
        <w:ind w:right="0" w:left="144"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Model Work Health and Safety Regulations</w:t>
      </w:r>
    </w:p>
    <w:p>
      <w:pPr>
        <w:spacing w:before="235" w:after="226" w:line="226"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Schedule 10 Prohibited carcinogens, restricted carcinogens and restricted hazardous chemicals</w:t>
      </w:r>
    </w:p>
    <w:p>
      <w:pPr>
        <w:spacing w:before="251" w:after="0" w:line="321" w:lineRule="exact"/>
        <w:ind w:right="360" w:left="1656" w:hanging="1512"/>
        <w:jc w:val="left"/>
        <w:textAlignment w:val="baseline"/>
        <w:rPr>
          <w:rFonts w:ascii="Times New Roman" w:hAnsi="Times New Roman" w:eastAsia="Times New Roman"/>
          <w:b w:val="true"/>
          <w:color w:val="000000"/>
          <w:spacing w:val="0"/>
          <w:w w:val="100"/>
          <w:sz w:val="28"/>
          <w:vertAlign w:val="baseline"/>
          <w:lang w:val="en-US"/>
        </w:rPr>
      </w:pPr>
      <w:r>
        <w:pict>
          <v:line strokeweight="0.5pt" strokecolor="#000000" from="95.95pt,103.9pt" to="500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8"/>
          <w:vertAlign w:val="baseline"/>
          <w:lang w:val="en-US"/>
        </w:rPr>
        <w:t xml:space="preserve">Schedule 10 Prohibited carcinogens, restricted carcinogens and restricted hazardous chemicals</w:t>
      </w:r>
    </w:p>
    <w:p>
      <w:pPr>
        <w:spacing w:before="125" w:after="0" w:line="226" w:lineRule="exact"/>
        <w:ind w:right="0" w:left="72"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Regulations 340 and 380–384</w:t>
      </w:r>
    </w:p>
    <w:p>
      <w:pPr>
        <w:spacing w:before="124" w:after="0" w:line="227" w:lineRule="exact"/>
        <w:ind w:right="0" w:left="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21" w:after="0" w:line="230" w:lineRule="exact"/>
        <w:ind w:right="216" w:left="144" w:firstLine="0"/>
        <w:jc w:val="left"/>
        <w:textAlignment w:val="baseline"/>
        <w:rPr>
          <w:rFonts w:ascii="Times New Roman" w:hAnsi="Times New Roman" w:eastAsia="Times New Roman"/>
          <w:color w:val="000000"/>
          <w:spacing w:val="-2"/>
          <w:w w:val="100"/>
          <w:sz w:val="20"/>
          <w:vertAlign w:val="baseline"/>
          <w:lang w:val="en-US"/>
        </w:rPr>
      </w:pPr>
      <w:r>
        <w:rPr>
          <w:rFonts w:ascii="Times New Roman" w:hAnsi="Times New Roman" w:eastAsia="Times New Roman"/>
          <w:color w:val="000000"/>
          <w:spacing w:val="-2"/>
          <w:w w:val="100"/>
          <w:sz w:val="20"/>
          <w:vertAlign w:val="baseline"/>
          <w:lang w:val="en-US"/>
        </w:rPr>
        <w:t xml:space="preserve">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spacing w:before="244" w:after="33" w:line="227" w:lineRule="exact"/>
        <w:ind w:right="0" w:left="14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Table 10.1 Prohibited carcinogens</w:t>
      </w:r>
    </w:p>
    <w:p>
      <w:pPr>
        <w:tabs>
          <w:tab w:val="left" w:leader="none" w:pos="1440"/>
        </w:tabs>
        <w:spacing w:before="76" w:after="0" w:line="227" w:lineRule="exact"/>
        <w:ind w:right="0" w:left="144" w:firstLine="0"/>
        <w:jc w:val="left"/>
        <w:textAlignment w:val="baseline"/>
        <w:rPr>
          <w:rFonts w:ascii="Times New Roman" w:hAnsi="Times New Roman" w:eastAsia="Times New Roman"/>
          <w:b w:val="true"/>
          <w:color w:val="000000"/>
          <w:spacing w:val="-1"/>
          <w:w w:val="100"/>
          <w:sz w:val="20"/>
          <w:vertAlign w:val="baseline"/>
          <w:lang w:val="en-US"/>
        </w:rPr>
      </w:pPr>
      <w:r>
        <w:pict>
          <v:line strokeweight="0.5pt" strokecolor="#000000" from="99.35pt,250.1pt" to="496.6pt,250.1pt" style="position:absolute;mso-position-horizontal-relative:page;mso-position-vertical-relative:page;">
            <v:stroke dashstyle="solid"/>
          </v:line>
        </w:pict>
      </w:r>
      <w:r>
        <w:rPr>
          <w:rFonts w:ascii="Times New Roman" w:hAnsi="Times New Roman" w:eastAsia="Times New Roman"/>
          <w:b w:val="true"/>
          <w:color w:val="000000"/>
          <w:spacing w:val="-1"/>
          <w:w w:val="100"/>
          <w:sz w:val="20"/>
          <w:vertAlign w:val="baseline"/>
          <w:lang w:val="en-US"/>
        </w:rPr>
        <w:t xml:space="preserve">Column 1	</w:t>
      </w:r>
      <w:r>
        <w:rPr>
          <w:rFonts w:ascii="Times New Roman" w:hAnsi="Times New Roman" w:eastAsia="Times New Roman"/>
          <w:b w:val="true"/>
          <w:color w:val="000000"/>
          <w:spacing w:val="-1"/>
          <w:w w:val="100"/>
          <w:sz w:val="20"/>
          <w:vertAlign w:val="baseline"/>
          <w:lang w:val="en-US"/>
        </w:rPr>
        <w:t xml:space="preserve">Column 2</w:t>
      </w:r>
    </w:p>
    <w:p>
      <w:pPr>
        <w:tabs>
          <w:tab w:val="left" w:leader="none" w:pos="1440"/>
        </w:tabs>
        <w:spacing w:before="67" w:after="51" w:line="227" w:lineRule="exact"/>
        <w:ind w:right="0" w:left="14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Item	</w:t>
      </w:r>
      <w:r>
        <w:rPr>
          <w:rFonts w:ascii="Times New Roman" w:hAnsi="Times New Roman" w:eastAsia="Times New Roman"/>
          <w:b w:val="true"/>
          <w:color w:val="000000"/>
          <w:spacing w:val="0"/>
          <w:w w:val="100"/>
          <w:sz w:val="20"/>
          <w:vertAlign w:val="baseline"/>
          <w:lang w:val="en-US"/>
        </w:rPr>
        <w:t xml:space="preserve">Prohibited carcinogen [CAS number]</w:t>
      </w:r>
    </w:p>
    <w:p>
      <w:pPr>
        <w:tabs>
          <w:tab w:val="left" w:leader="none" w:pos="1440"/>
        </w:tabs>
        <w:spacing w:before="87" w:after="0" w:line="226" w:lineRule="exact"/>
        <w:ind w:right="0" w:left="144" w:firstLine="0"/>
        <w:jc w:val="left"/>
        <w:textAlignment w:val="baseline"/>
        <w:rPr>
          <w:rFonts w:ascii="Times New Roman" w:hAnsi="Times New Roman" w:eastAsia="Times New Roman"/>
          <w:color w:val="000000"/>
          <w:spacing w:val="-1"/>
          <w:w w:val="100"/>
          <w:sz w:val="20"/>
          <w:vertAlign w:val="baseline"/>
          <w:lang w:val="en-US"/>
        </w:rPr>
      </w:pPr>
      <w:r>
        <w:pict>
          <v:line strokeweight="0.5pt" strokecolor="#000000" from="99.35pt,282.7pt" to="496.6pt,282.7pt" style="position:absolute;mso-position-horizontal-relative:page;mso-position-vertical-relative:page;">
            <v:stroke dashstyle="solid"/>
          </v:line>
        </w:pict>
      </w:r>
      <w:r>
        <w:rPr>
          <w:rFonts w:ascii="Times New Roman" w:hAnsi="Times New Roman" w:eastAsia="Times New Roman"/>
          <w:color w:val="000000"/>
          <w:spacing w:val="-1"/>
          <w:w w:val="100"/>
          <w:sz w:val="20"/>
          <w:vertAlign w:val="baseline"/>
          <w:lang w:val="en-US"/>
        </w:rPr>
        <w:t xml:space="preserve">1	</w:t>
      </w:r>
      <w:r>
        <w:rPr>
          <w:rFonts w:ascii="Times New Roman" w:hAnsi="Times New Roman" w:eastAsia="Times New Roman"/>
          <w:color w:val="000000"/>
          <w:spacing w:val="-1"/>
          <w:w w:val="100"/>
          <w:sz w:val="20"/>
          <w:vertAlign w:val="baseline"/>
          <w:lang w:val="en-US"/>
        </w:rPr>
        <w:t xml:space="preserve">2-Acetylaminofluorene [53-96-3]</w:t>
      </w:r>
    </w:p>
    <w:p>
      <w:pPr>
        <w:tabs>
          <w:tab w:val="left" w:leader="none" w:pos="1440"/>
        </w:tabs>
        <w:spacing w:before="124" w:after="0" w:line="226"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Aflatoxins</w:t>
      </w:r>
    </w:p>
    <w:p>
      <w:pPr>
        <w:tabs>
          <w:tab w:val="left" w:leader="none" w:pos="1440"/>
        </w:tabs>
        <w:spacing w:before="125" w:after="0" w:line="226" w:lineRule="exact"/>
        <w:ind w:right="0" w:left="144"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3	</w:t>
      </w:r>
      <w:r>
        <w:rPr>
          <w:rFonts w:ascii="Times New Roman" w:hAnsi="Times New Roman" w:eastAsia="Times New Roman"/>
          <w:color w:val="000000"/>
          <w:spacing w:val="-1"/>
          <w:w w:val="100"/>
          <w:sz w:val="20"/>
          <w:vertAlign w:val="baseline"/>
          <w:lang w:val="en-US"/>
        </w:rPr>
        <w:t xml:space="preserve">4-Aminodiphenyl [92-67-1]</w:t>
      </w:r>
    </w:p>
    <w:p>
      <w:pPr>
        <w:tabs>
          <w:tab w:val="left" w:leader="none" w:pos="1440"/>
        </w:tabs>
        <w:spacing w:before="104" w:after="0" w:line="236" w:lineRule="exact"/>
        <w:ind w:right="1008" w:left="1368" w:hanging="1224"/>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	</w:t>
      </w:r>
      <w:r>
        <w:rPr>
          <w:rFonts w:ascii="Times New Roman" w:hAnsi="Times New Roman" w:eastAsia="Times New Roman"/>
          <w:color w:val="000000"/>
          <w:spacing w:val="0"/>
          <w:w w:val="100"/>
          <w:sz w:val="20"/>
          <w:vertAlign w:val="baseline"/>
          <w:lang w:val="en-US"/>
        </w:rPr>
        <w:t xml:space="preserve">Benzidine [92-87-5] and its salts (including benzidine dihydrochloride [531-85-1])</w:t>
      </w:r>
    </w:p>
    <w:p>
      <w:pPr>
        <w:tabs>
          <w:tab w:val="left" w:leader="none" w:pos="1440"/>
        </w:tabs>
        <w:spacing w:before="124" w:after="0" w:line="226"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	</w:t>
      </w:r>
      <w:r>
        <w:rPr>
          <w:rFonts w:ascii="Times New Roman" w:hAnsi="Times New Roman" w:eastAsia="Times New Roman"/>
          <w:color w:val="000000"/>
          <w:spacing w:val="0"/>
          <w:w w:val="100"/>
          <w:sz w:val="20"/>
          <w:vertAlign w:val="baseline"/>
          <w:lang w:val="en-US"/>
        </w:rPr>
        <w:t xml:space="preserve">bis(Chloromethyl) ether [542-88-1]</w:t>
      </w:r>
    </w:p>
    <w:p>
      <w:pPr>
        <w:tabs>
          <w:tab w:val="left" w:leader="none" w:pos="1440"/>
        </w:tabs>
        <w:spacing w:before="111" w:after="0" w:line="235" w:lineRule="exact"/>
        <w:ind w:right="1008" w:left="1368" w:hanging="1224"/>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	</w:t>
      </w:r>
      <w:r>
        <w:rPr>
          <w:rFonts w:ascii="Times New Roman" w:hAnsi="Times New Roman" w:eastAsia="Times New Roman"/>
          <w:color w:val="000000"/>
          <w:spacing w:val="0"/>
          <w:w w:val="100"/>
          <w:sz w:val="20"/>
          <w:vertAlign w:val="baseline"/>
          <w:lang w:val="en-US"/>
        </w:rPr>
        <w:t xml:space="preserve">Chloromethyl methyl ether [107-30-2] (technical grade which contains bis(chloromethyl) ether)</w:t>
      </w:r>
    </w:p>
    <w:p>
      <w:pPr>
        <w:tabs>
          <w:tab w:val="left" w:leader="none" w:pos="1440"/>
        </w:tabs>
        <w:spacing w:before="124" w:after="0" w:line="226"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7	</w:t>
      </w:r>
      <w:r>
        <w:rPr>
          <w:rFonts w:ascii="Times New Roman" w:hAnsi="Times New Roman" w:eastAsia="Times New Roman"/>
          <w:color w:val="000000"/>
          <w:spacing w:val="0"/>
          <w:w w:val="100"/>
          <w:sz w:val="20"/>
          <w:vertAlign w:val="baseline"/>
          <w:lang w:val="en-US"/>
        </w:rPr>
        <w:t xml:space="preserve">4-Dimethylaminoazobenzene [60-11-7] (Dimethyl Yellow)</w:t>
      </w:r>
    </w:p>
    <w:p>
      <w:pPr>
        <w:tabs>
          <w:tab w:val="left" w:leader="none" w:pos="1440"/>
        </w:tabs>
        <w:spacing w:before="125" w:after="0" w:line="226"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8	</w:t>
      </w:r>
      <w:r>
        <w:rPr>
          <w:rFonts w:ascii="Times New Roman" w:hAnsi="Times New Roman" w:eastAsia="Times New Roman"/>
          <w:color w:val="000000"/>
          <w:spacing w:val="0"/>
          <w:w w:val="100"/>
          <w:sz w:val="20"/>
          <w:vertAlign w:val="baseline"/>
          <w:lang w:val="en-US"/>
        </w:rPr>
        <w:t xml:space="preserve">2-Naphthylamine [91-59-8] and its salts</w:t>
      </w:r>
    </w:p>
    <w:p>
      <w:pPr>
        <w:tabs>
          <w:tab w:val="left" w:leader="none" w:pos="1440"/>
        </w:tabs>
        <w:spacing w:before="124" w:after="39" w:line="226" w:lineRule="exact"/>
        <w:ind w:right="0" w:left="144"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9	</w:t>
      </w:r>
      <w:r>
        <w:rPr>
          <w:rFonts w:ascii="Times New Roman" w:hAnsi="Times New Roman" w:eastAsia="Times New Roman"/>
          <w:color w:val="000000"/>
          <w:spacing w:val="-1"/>
          <w:w w:val="100"/>
          <w:sz w:val="20"/>
          <w:vertAlign w:val="baseline"/>
          <w:lang w:val="en-US"/>
        </w:rPr>
        <w:t xml:space="preserve">4-Nitrodiphenyl [92-93-3]</w:t>
      </w:r>
    </w:p>
    <w:p>
      <w:pPr>
        <w:spacing w:before="264" w:after="33" w:line="227" w:lineRule="exact"/>
        <w:ind w:right="0" w:left="144"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5.95pt,463.7pt" to="496.6pt,463.7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Table 10.2 Restricted carcinogens</w:t>
      </w:r>
    </w:p>
    <w:p>
      <w:pPr>
        <w:tabs>
          <w:tab w:val="left" w:leader="none" w:pos="4032"/>
        </w:tabs>
        <w:spacing w:before="80" w:after="0" w:line="227" w:lineRule="exact"/>
        <w:ind w:right="0" w:left="144" w:firstLine="0"/>
        <w:jc w:val="left"/>
        <w:textAlignment w:val="baseline"/>
        <w:rPr>
          <w:rFonts w:ascii="Times New Roman" w:hAnsi="Times New Roman" w:eastAsia="Times New Roman"/>
          <w:b w:val="true"/>
          <w:color w:val="000000"/>
          <w:spacing w:val="-1"/>
          <w:w w:val="100"/>
          <w:sz w:val="20"/>
          <w:vertAlign w:val="baseline"/>
          <w:lang w:val="en-US"/>
        </w:rPr>
      </w:pPr>
      <w:r>
        <w:pict>
          <v:line strokeweight="0.5pt" strokecolor="#000000" from="99.35pt,490.55pt" to="496.6pt,490.55pt" style="position:absolute;mso-position-horizontal-relative:page;mso-position-vertical-relative:page;">
            <v:stroke dashstyle="solid"/>
          </v:line>
        </w:pict>
      </w:r>
      <w:r>
        <w:rPr>
          <w:rFonts w:ascii="Times New Roman" w:hAnsi="Times New Roman" w:eastAsia="Times New Roman"/>
          <w:b w:val="true"/>
          <w:color w:val="000000"/>
          <w:spacing w:val="-1"/>
          <w:w w:val="100"/>
          <w:sz w:val="20"/>
          <w:vertAlign w:val="baseline"/>
          <w:lang w:val="en-US"/>
        </w:rPr>
        <w:t xml:space="preserve">Column 1 Column 2	</w:t>
      </w:r>
      <w:r>
        <w:rPr>
          <w:rFonts w:ascii="Times New Roman" w:hAnsi="Times New Roman" w:eastAsia="Times New Roman"/>
          <w:b w:val="true"/>
          <w:color w:val="000000"/>
          <w:spacing w:val="-1"/>
          <w:w w:val="100"/>
          <w:sz w:val="20"/>
          <w:vertAlign w:val="baseline"/>
          <w:lang w:val="en-US"/>
        </w:rPr>
        <w:t xml:space="preserve">Column 3</w:t>
      </w:r>
    </w:p>
    <w:p>
      <w:pPr>
        <w:tabs>
          <w:tab w:val="left" w:leader="none" w:pos="1440"/>
          <w:tab w:val="left" w:leader="none" w:pos="4032"/>
        </w:tabs>
        <w:spacing w:before="62" w:after="0" w:line="228" w:lineRule="exact"/>
        <w:ind w:right="0" w:left="14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Item	</w:t>
      </w:r>
      <w:r>
        <w:rPr>
          <w:rFonts w:ascii="Times New Roman" w:hAnsi="Times New Roman" w:eastAsia="Times New Roman"/>
          <w:b w:val="true"/>
          <w:color w:val="000000"/>
          <w:spacing w:val="0"/>
          <w:w w:val="100"/>
          <w:sz w:val="20"/>
          <w:vertAlign w:val="baseline"/>
          <w:lang w:val="en-US"/>
        </w:rPr>
        <w:t xml:space="preserve">Restricted carcinogen	</w:t>
      </w:r>
      <w:r>
        <w:rPr>
          <w:rFonts w:ascii="Times New Roman" w:hAnsi="Times New Roman" w:eastAsia="Times New Roman"/>
          <w:b w:val="true"/>
          <w:color w:val="000000"/>
          <w:spacing w:val="0"/>
          <w:w w:val="100"/>
          <w:sz w:val="20"/>
          <w:vertAlign w:val="baseline"/>
          <w:lang w:val="en-US"/>
        </w:rPr>
        <w:t xml:space="preserve">Restricted use</w:t>
      </w:r>
    </w:p>
    <w:p>
      <w:pPr>
        <w:spacing w:before="8" w:after="47" w:line="227" w:lineRule="exact"/>
        <w:ind w:right="0" w:left="1368" w:firstLine="0"/>
        <w:jc w:val="left"/>
        <w:textAlignment w:val="baseline"/>
        <w:rPr>
          <w:rFonts w:ascii="Times New Roman" w:hAnsi="Times New Roman" w:eastAsia="Times New Roman"/>
          <w:b w:val="true"/>
          <w:color w:val="000000"/>
          <w:spacing w:val="-2"/>
          <w:w w:val="100"/>
          <w:sz w:val="20"/>
          <w:vertAlign w:val="baseline"/>
          <w:lang w:val="en-US"/>
        </w:rPr>
      </w:pPr>
      <w:r>
        <w:rPr>
          <w:rFonts w:ascii="Times New Roman" w:hAnsi="Times New Roman" w:eastAsia="Times New Roman"/>
          <w:b w:val="true"/>
          <w:color w:val="000000"/>
          <w:spacing w:val="-2"/>
          <w:w w:val="100"/>
          <w:sz w:val="20"/>
          <w:vertAlign w:val="baseline"/>
          <w:lang w:val="en-US"/>
        </w:rPr>
        <w:t xml:space="preserve">[CAS Number]</w:t>
      </w:r>
    </w:p>
    <w:p>
      <w:pPr>
        <w:tabs>
          <w:tab w:val="left" w:leader="none" w:pos="1440"/>
          <w:tab w:val="left" w:leader="none" w:pos="4032"/>
        </w:tabs>
        <w:spacing w:before="87" w:after="0" w:line="226" w:lineRule="exact"/>
        <w:ind w:right="0" w:left="144" w:firstLine="0"/>
        <w:jc w:val="left"/>
        <w:textAlignment w:val="baseline"/>
        <w:rPr>
          <w:rFonts w:ascii="Times New Roman" w:hAnsi="Times New Roman" w:eastAsia="Times New Roman"/>
          <w:color w:val="000000"/>
          <w:spacing w:val="-1"/>
          <w:w w:val="100"/>
          <w:sz w:val="20"/>
          <w:vertAlign w:val="baseline"/>
          <w:lang w:val="en-US"/>
        </w:rPr>
      </w:pPr>
      <w:r>
        <w:pict>
          <v:line strokeweight="0.5pt" strokecolor="#000000" from="99.35pt,534.7pt" to="496.6pt,534.7pt" style="position:absolute;mso-position-horizontal-relative:page;mso-position-vertical-relative:page;">
            <v:stroke dashstyle="solid"/>
          </v:line>
        </w:pict>
      </w:r>
      <w:r>
        <w:rPr>
          <w:rFonts w:ascii="Times New Roman" w:hAnsi="Times New Roman" w:eastAsia="Times New Roman"/>
          <w:color w:val="000000"/>
          <w:spacing w:val="-1"/>
          <w:w w:val="100"/>
          <w:sz w:val="20"/>
          <w:vertAlign w:val="baseline"/>
          <w:lang w:val="en-US"/>
        </w:rPr>
        <w:t xml:space="preserve">1	</w:t>
      </w:r>
      <w:r>
        <w:rPr>
          <w:rFonts w:ascii="Times New Roman" w:hAnsi="Times New Roman" w:eastAsia="Times New Roman"/>
          <w:color w:val="000000"/>
          <w:spacing w:val="-1"/>
          <w:w w:val="100"/>
          <w:sz w:val="20"/>
          <w:vertAlign w:val="baseline"/>
          <w:lang w:val="en-US"/>
        </w:rPr>
        <w:t xml:space="preserve">Acrylonitrile [107-13-1]	</w:t>
      </w:r>
      <w:r>
        <w:rPr>
          <w:rFonts w:ascii="Times New Roman" w:hAnsi="Times New Roman" w:eastAsia="Times New Roman"/>
          <w:color w:val="000000"/>
          <w:spacing w:val="-1"/>
          <w:w w:val="100"/>
          <w:sz w:val="20"/>
          <w:vertAlign w:val="baseline"/>
          <w:lang w:val="en-US"/>
        </w:rPr>
        <w:t xml:space="preserve">All</w:t>
      </w:r>
    </w:p>
    <w:p>
      <w:pPr>
        <w:tabs>
          <w:tab w:val="left" w:leader="none" w:pos="1440"/>
          <w:tab w:val="left" w:leader="none" w:pos="4032"/>
        </w:tabs>
        <w:spacing w:before="120" w:after="0" w:line="226"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Benzene [71-43-2]	</w:t>
      </w:r>
      <w:r>
        <w:rPr>
          <w:rFonts w:ascii="Times New Roman" w:hAnsi="Times New Roman" w:eastAsia="Times New Roman"/>
          <w:color w:val="000000"/>
          <w:spacing w:val="0"/>
          <w:w w:val="100"/>
          <w:sz w:val="20"/>
          <w:vertAlign w:val="baseline"/>
          <w:lang w:val="en-US"/>
        </w:rPr>
        <w:t xml:space="preserve">All uses involving benzene as a feedstock</w:t>
      </w:r>
    </w:p>
    <w:p>
      <w:pPr>
        <w:spacing w:before="0" w:after="0" w:line="230" w:lineRule="exact"/>
        <w:ind w:right="720" w:left="3960"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containing more than 50% of benzene by volume</w:t>
      </w:r>
    </w:p>
    <w:p>
      <w:pPr>
        <w:spacing w:before="62" w:after="0" w:line="226" w:lineRule="exact"/>
        <w:ind w:right="0" w:left="396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Genuine research or analysis</w:t>
      </w:r>
    </w:p>
    <w:p>
      <w:pPr>
        <w:tabs>
          <w:tab w:val="left" w:leader="none" w:pos="1440"/>
        </w:tabs>
        <w:spacing w:before="126" w:after="0" w:line="226" w:lineRule="exact"/>
        <w:ind w:right="0" w:left="144" w:firstLine="0"/>
        <w:jc w:val="left"/>
        <w:textAlignment w:val="baseline"/>
        <w:rPr>
          <w:rFonts w:ascii="Times New Roman" w:hAnsi="Times New Roman" w:eastAsia="Times New Roman"/>
          <w:color w:val="000000"/>
          <w:spacing w:val="2"/>
          <w:w w:val="100"/>
          <w:sz w:val="20"/>
          <w:vertAlign w:val="baseline"/>
          <w:lang w:val="en-US"/>
        </w:rPr>
      </w:pPr>
      <w:r>
        <w:rPr>
          <w:rFonts w:ascii="Times New Roman" w:hAnsi="Times New Roman" w:eastAsia="Times New Roman"/>
          <w:color w:val="000000"/>
          <w:spacing w:val="2"/>
          <w:w w:val="100"/>
          <w:sz w:val="20"/>
          <w:vertAlign w:val="baseline"/>
          <w:lang w:val="en-US"/>
        </w:rPr>
        <w:t xml:space="preserve">3	</w:t>
      </w:r>
      <w:r>
        <w:rPr>
          <w:rFonts w:ascii="Times New Roman" w:hAnsi="Times New Roman" w:eastAsia="Times New Roman"/>
          <w:color w:val="000000"/>
          <w:spacing w:val="2"/>
          <w:w w:val="100"/>
          <w:sz w:val="20"/>
          <w:vertAlign w:val="baseline"/>
          <w:lang w:val="en-US"/>
        </w:rPr>
        <w:t xml:space="preserve">Cyclophosphamide [50-18-0] When used in preparation for therapeutic use in</w:t>
      </w:r>
    </w:p>
    <w:p>
      <w:pPr>
        <w:spacing w:before="0" w:after="0" w:line="229" w:lineRule="exact"/>
        <w:ind w:right="432" w:left="396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hospitals and oncological treatment facilities, and in manufacturing operations</w:t>
      </w:r>
    </w:p>
    <w:p>
      <w:pPr>
        <w:spacing w:before="62" w:after="1350" w:line="226" w:lineRule="exact"/>
        <w:ind w:right="0" w:left="396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Genuine research or analysis</w:t>
      </w:r>
    </w:p>
    <w:p>
      <w:pPr>
        <w:tabs>
          <w:tab w:val="left" w:leader="none" w:pos="3960"/>
        </w:tabs>
        <w:spacing w:before="430" w:after="0" w:line="179" w:lineRule="exact"/>
        <w:ind w:right="0" w:left="144" w:firstLine="0"/>
        <w:jc w:val="left"/>
        <w:textAlignment w:val="baseline"/>
        <w:rPr>
          <w:rFonts w:ascii="Times New Roman" w:hAnsi="Times New Roman" w:eastAsia="Times New Roman"/>
          <w:color w:val="000000"/>
          <w:spacing w:val="0"/>
          <w:w w:val="100"/>
          <w:sz w:val="16"/>
          <w:vertAlign w:val="baseline"/>
          <w:lang w:val="en-US"/>
        </w:rPr>
      </w:pPr>
      <w:r>
        <w:pict>
          <v:line strokeweight="0.5pt" strokecolor="#000000" from="95.95pt,728.15pt" to="500pt,728.15pt" style="position:absolute;mso-position-horizontal-relative:page;mso-position-vertical-relative:page;">
            <v:stroke dashstyle="solid"/>
          </v:line>
        </w:pict>
      </w: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460</w:t>
      </w:r>
    </w:p>
    <w:p>
      <w:pPr>
        <w:sectPr>
          <w:type w:val="nextPage"/>
          <w:pgSz w:w="11909" w:h="16838" w:orient="portrait"/>
          <w:pgMar w:bottom="1082" w:top="1140" w:right="1910" w:left="1919" w:header="720" w:footer="720"/>
          <w:titlePg w:val="false"/>
          <w:textDirection w:val="lrTb"/>
        </w:sectPr>
      </w:pPr>
    </w:p>
    <w:p>
      <w:pPr>
        <w:spacing w:before="6" w:after="0" w:line="227" w:lineRule="exact"/>
        <w:ind w:right="0" w:left="144"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Model Work Health and Safety Regulations</w:t>
      </w:r>
    </w:p>
    <w:p>
      <w:pPr>
        <w:spacing w:before="234" w:after="225" w:line="227"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Schedule 10 Prohibited carcinogens, restricted carcinogens and restricted hazardous chemicals</w:t>
      </w:r>
    </w:p>
    <w:p>
      <w:pPr>
        <w:tabs>
          <w:tab w:val="left" w:leader="none" w:pos="4032"/>
        </w:tabs>
        <w:spacing w:before="320" w:after="0" w:line="225" w:lineRule="exact"/>
        <w:ind w:right="0" w:left="144" w:firstLine="0"/>
        <w:jc w:val="left"/>
        <w:textAlignment w:val="baseline"/>
        <w:rPr>
          <w:rFonts w:ascii="Times New Roman" w:hAnsi="Times New Roman" w:eastAsia="Times New Roman"/>
          <w:b w:val="true"/>
          <w:color w:val="000000"/>
          <w:spacing w:val="-1"/>
          <w:w w:val="100"/>
          <w:sz w:val="20"/>
          <w:vertAlign w:val="baseline"/>
          <w:lang w:val="en-US"/>
        </w:rPr>
      </w:pPr>
      <w:r>
        <w:pict>
          <v:line strokeweight="0.5pt" strokecolor="#000000" from="95.95pt,103.9pt" to="500pt,103.9pt" style="position:absolute;mso-position-horizontal-relative:page;mso-position-vertical-relative:page;">
            <v:stroke dashstyle="solid"/>
          </v:line>
        </w:pict>
      </w:r>
      <w:r>
        <w:pict>
          <v:line strokeweight="0.5pt" strokecolor="#000000" from="99.35pt,115.9pt" to="496.6pt,115.9pt" style="position:absolute;mso-position-horizontal-relative:page;mso-position-vertical-relative:page;">
            <v:stroke dashstyle="solid"/>
          </v:line>
        </w:pict>
      </w:r>
      <w:r>
        <w:rPr>
          <w:rFonts w:ascii="Times New Roman" w:hAnsi="Times New Roman" w:eastAsia="Times New Roman"/>
          <w:b w:val="true"/>
          <w:color w:val="000000"/>
          <w:spacing w:val="-1"/>
          <w:w w:val="100"/>
          <w:sz w:val="20"/>
          <w:vertAlign w:val="baseline"/>
          <w:lang w:val="en-US"/>
        </w:rPr>
        <w:t xml:space="preserve">Column 1 Column 2	</w:t>
      </w:r>
      <w:r>
        <w:rPr>
          <w:rFonts w:ascii="Times New Roman" w:hAnsi="Times New Roman" w:eastAsia="Times New Roman"/>
          <w:b w:val="true"/>
          <w:color w:val="000000"/>
          <w:spacing w:val="-1"/>
          <w:w w:val="100"/>
          <w:sz w:val="20"/>
          <w:vertAlign w:val="baseline"/>
          <w:lang w:val="en-US"/>
        </w:rPr>
        <w:t xml:space="preserve">Column 3</w:t>
      </w:r>
    </w:p>
    <w:p>
      <w:pPr>
        <w:tabs>
          <w:tab w:val="left" w:leader="none" w:pos="1440"/>
          <w:tab w:val="left" w:leader="none" w:pos="4032"/>
        </w:tabs>
        <w:spacing w:before="64" w:after="0" w:line="228" w:lineRule="exact"/>
        <w:ind w:right="0" w:left="14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Item	</w:t>
      </w:r>
      <w:r>
        <w:rPr>
          <w:rFonts w:ascii="Times New Roman" w:hAnsi="Times New Roman" w:eastAsia="Times New Roman"/>
          <w:b w:val="true"/>
          <w:color w:val="000000"/>
          <w:spacing w:val="0"/>
          <w:w w:val="100"/>
          <w:sz w:val="20"/>
          <w:vertAlign w:val="baseline"/>
          <w:lang w:val="en-US"/>
        </w:rPr>
        <w:t xml:space="preserve">Restricted carcinogen	</w:t>
      </w:r>
      <w:r>
        <w:rPr>
          <w:rFonts w:ascii="Times New Roman" w:hAnsi="Times New Roman" w:eastAsia="Times New Roman"/>
          <w:b w:val="true"/>
          <w:color w:val="000000"/>
          <w:spacing w:val="0"/>
          <w:w w:val="100"/>
          <w:sz w:val="20"/>
          <w:vertAlign w:val="baseline"/>
          <w:lang w:val="en-US"/>
        </w:rPr>
        <w:t xml:space="preserve">Restricted use</w:t>
      </w:r>
    </w:p>
    <w:p>
      <w:pPr>
        <w:spacing w:before="8" w:after="40" w:line="225" w:lineRule="exact"/>
        <w:ind w:right="0" w:left="1368" w:firstLine="0"/>
        <w:jc w:val="left"/>
        <w:textAlignment w:val="baseline"/>
        <w:rPr>
          <w:rFonts w:ascii="Times New Roman" w:hAnsi="Times New Roman" w:eastAsia="Times New Roman"/>
          <w:b w:val="true"/>
          <w:color w:val="000000"/>
          <w:spacing w:val="-2"/>
          <w:w w:val="100"/>
          <w:sz w:val="20"/>
          <w:vertAlign w:val="baseline"/>
          <w:lang w:val="en-US"/>
        </w:rPr>
      </w:pPr>
      <w:r>
        <w:rPr>
          <w:rFonts w:ascii="Times New Roman" w:hAnsi="Times New Roman" w:eastAsia="Times New Roman"/>
          <w:b w:val="true"/>
          <w:color w:val="000000"/>
          <w:spacing w:val="-2"/>
          <w:w w:val="100"/>
          <w:sz w:val="20"/>
          <w:vertAlign w:val="baseline"/>
          <w:lang w:val="en-US"/>
        </w:rPr>
        <w:t xml:space="preserve">[CAS Number]</w:t>
      </w:r>
    </w:p>
    <w:p>
      <w:pPr>
        <w:tabs>
          <w:tab w:val="left" w:leader="none" w:pos="1440"/>
          <w:tab w:val="left" w:leader="none" w:pos="3960"/>
        </w:tabs>
        <w:spacing w:before="69" w:after="0" w:line="227"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9.35pt,159.85pt" to="496.6pt,159.8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4	</w:t>
      </w:r>
      <w:r>
        <w:rPr>
          <w:rFonts w:ascii="Times New Roman" w:hAnsi="Times New Roman" w:eastAsia="Times New Roman"/>
          <w:color w:val="000000"/>
          <w:spacing w:val="0"/>
          <w:w w:val="100"/>
          <w:sz w:val="20"/>
          <w:vertAlign w:val="baseline"/>
          <w:lang w:val="en-US"/>
        </w:rPr>
        <w:t xml:space="preserve">3,3'-Dichlorobenzidine [91</w:t>
        <w:softHyphen/>
      </w:r>
      <w:r>
        <w:rPr>
          <w:rFonts w:ascii="Times New Roman" w:hAnsi="Times New Roman" w:eastAsia="Times New Roman"/>
          <w:color w:val="000000"/>
          <w:spacing w:val="0"/>
          <w:w w:val="100"/>
          <w:sz w:val="20"/>
          <w:vertAlign w:val="baseline"/>
          <w:lang w:val="en-US"/>
        </w:rPr>
        <w:tab/>
      </w:r>
      <w:r>
        <w:rPr>
          <w:rFonts w:ascii="Times New Roman" w:hAnsi="Times New Roman" w:eastAsia="Times New Roman"/>
          <w:color w:val="000000"/>
          <w:spacing w:val="0"/>
          <w:w w:val="100"/>
          <w:sz w:val="20"/>
          <w:vertAlign w:val="baseline"/>
          <w:lang w:val="en-US"/>
        </w:rPr>
        <w:t xml:space="preserve">All</w:t>
      </w:r>
    </w:p>
    <w:p>
      <w:pPr>
        <w:spacing w:before="9" w:after="0" w:line="230"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94-1] and its salts (including</w:t>
        <w:br/>
      </w:r>
      <w:r>
        <w:rPr>
          <w:rFonts w:ascii="Times New Roman" w:hAnsi="Times New Roman" w:eastAsia="Times New Roman"/>
          <w:color w:val="000000"/>
          <w:spacing w:val="0"/>
          <w:w w:val="100"/>
          <w:sz w:val="20"/>
          <w:vertAlign w:val="baseline"/>
          <w:lang w:val="en-US"/>
        </w:rPr>
        <w:t xml:space="preserve">3,3'-Dichlorobenzidine</w:t>
        <w:br/>
      </w:r>
      <w:r>
        <w:rPr>
          <w:rFonts w:ascii="Times New Roman" w:hAnsi="Times New Roman" w:eastAsia="Times New Roman"/>
          <w:color w:val="000000"/>
          <w:spacing w:val="0"/>
          <w:w w:val="100"/>
          <w:sz w:val="20"/>
          <w:vertAlign w:val="baseline"/>
          <w:lang w:val="en-US"/>
        </w:rPr>
        <w:t xml:space="preserve">dihydrochloride</w:t>
      </w:r>
    </w:p>
    <w:p>
      <w:pPr>
        <w:spacing w:before="3" w:after="0" w:line="227" w:lineRule="exact"/>
        <w:ind w:right="0" w:left="1368"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[612-83-9])</w:t>
      </w:r>
    </w:p>
    <w:p>
      <w:pPr>
        <w:tabs>
          <w:tab w:val="left" w:leader="none" w:pos="1440"/>
          <w:tab w:val="left" w:leader="none" w:pos="3960"/>
        </w:tabs>
        <w:spacing w:before="124" w:after="0" w:line="227"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	</w:t>
      </w:r>
      <w:r>
        <w:rPr>
          <w:rFonts w:ascii="Times New Roman" w:hAnsi="Times New Roman" w:eastAsia="Times New Roman"/>
          <w:color w:val="000000"/>
          <w:spacing w:val="0"/>
          <w:w w:val="100"/>
          <w:sz w:val="20"/>
          <w:vertAlign w:val="baseline"/>
          <w:lang w:val="en-US"/>
        </w:rPr>
        <w:t xml:space="preserve">Diethyl sulfate [64-67-5]	</w:t>
      </w:r>
      <w:r>
        <w:rPr>
          <w:rFonts w:ascii="Times New Roman" w:hAnsi="Times New Roman" w:eastAsia="Times New Roman"/>
          <w:color w:val="000000"/>
          <w:spacing w:val="0"/>
          <w:w w:val="100"/>
          <w:sz w:val="20"/>
          <w:vertAlign w:val="baseline"/>
          <w:lang w:val="en-US"/>
        </w:rPr>
        <w:t xml:space="preserve">All</w:t>
      </w:r>
    </w:p>
    <w:p>
      <w:pPr>
        <w:tabs>
          <w:tab w:val="left" w:leader="none" w:pos="1440"/>
          <w:tab w:val="left" w:leader="none" w:pos="3960"/>
        </w:tabs>
        <w:spacing w:before="113" w:after="0" w:line="227"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	</w:t>
      </w:r>
      <w:r>
        <w:rPr>
          <w:rFonts w:ascii="Times New Roman" w:hAnsi="Times New Roman" w:eastAsia="Times New Roman"/>
          <w:color w:val="000000"/>
          <w:spacing w:val="0"/>
          <w:w w:val="100"/>
          <w:sz w:val="20"/>
          <w:vertAlign w:val="baseline"/>
          <w:lang w:val="en-US"/>
        </w:rPr>
        <w:t xml:space="preserve">Dimethyl sulfate	</w:t>
      </w:r>
      <w:r>
        <w:rPr>
          <w:rFonts w:ascii="Times New Roman" w:hAnsi="Times New Roman" w:eastAsia="Times New Roman"/>
          <w:color w:val="000000"/>
          <w:spacing w:val="0"/>
          <w:w w:val="100"/>
          <w:sz w:val="20"/>
          <w:vertAlign w:val="baseline"/>
          <w:lang w:val="en-US"/>
        </w:rPr>
        <w:t xml:space="preserve">All</w:t>
      </w:r>
    </w:p>
    <w:p>
      <w:pPr>
        <w:spacing w:before="9" w:after="114" w:line="227" w:lineRule="exact"/>
        <w:ind w:right="0" w:left="1368" w:firstLine="0"/>
        <w:jc w:val="left"/>
        <w:textAlignment w:val="baseline"/>
        <w:rPr>
          <w:rFonts w:ascii="Times New Roman" w:hAnsi="Times New Roman" w:eastAsia="Times New Roman"/>
          <w:color w:val="000000"/>
          <w:spacing w:val="-2"/>
          <w:w w:val="100"/>
          <w:sz w:val="20"/>
          <w:vertAlign w:val="baseline"/>
          <w:lang w:val="en-US"/>
        </w:rPr>
      </w:pPr>
      <w:r>
        <w:rPr>
          <w:rFonts w:ascii="Times New Roman" w:hAnsi="Times New Roman" w:eastAsia="Times New Roman"/>
          <w:color w:val="000000"/>
          <w:spacing w:val="-2"/>
          <w:w w:val="100"/>
          <w:sz w:val="20"/>
          <w:vertAlign w:val="baseline"/>
          <w:lang w:val="en-US"/>
        </w:rPr>
        <w:t xml:space="preserve">[77-78-1]</w:t>
      </w:r>
    </w:p>
    <w:tbl>
      <w:tblPr>
        <w:jc w:val="left"/>
        <w:tblLayout w:type="fixed"/>
        <w:tblCellMar>
          <w:left w:w="0" w:type="dxa"/>
          <w:right w:w="0" w:type="dxa"/>
        </w:tblCellMar>
      </w:tblPr>
      <w:tblGrid>
        <w:gridCol w:w="3893"/>
        <w:gridCol w:w="4187"/>
      </w:tblGrid>
      <w:tr>
        <w:trPr>
          <w:trHeight w:val="3350" w:hRule="exact"/>
        </w:trPr>
        <w:tc>
          <w:tcPr>
            <w:tcW w:w="3893" w:type="dxa"/>
            <w:tcBorders>
              <w:top w:val="none"/>
              <w:left w:val="none"/>
              <w:bottom w:val="none"/>
              <w:right w:val="none"/>
            </w:tcBorders>
            <w:textDirection w:val="lrTb"/>
            <w:vAlign w:val="top"/>
          </w:tcPr>
          <w:p>
            <w:pPr>
              <w:tabs>
                <w:tab w:val="left" w:leader="none" w:pos="1440"/>
              </w:tabs>
              <w:spacing w:before="0" w:after="0" w:line="227"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7	</w:t>
            </w:r>
            <w:r>
              <w:rPr>
                <w:rFonts w:ascii="Times New Roman" w:hAnsi="Times New Roman" w:eastAsia="Times New Roman"/>
                <w:color w:val="000000"/>
                <w:spacing w:val="0"/>
                <w:w w:val="100"/>
                <w:sz w:val="20"/>
                <w:vertAlign w:val="baseline"/>
                <w:lang w:val="en-US"/>
              </w:rPr>
              <w:t xml:space="preserve">Ethylene dibromide</w:t>
            </w:r>
          </w:p>
          <w:p>
            <w:pPr>
              <w:spacing w:before="3" w:after="0" w:line="227" w:lineRule="exact"/>
              <w:ind w:right="0" w:left="144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[106-93-4]</w:t>
            </w:r>
          </w:p>
          <w:p>
            <w:pPr>
              <w:tabs>
                <w:tab w:val="left" w:leader="none" w:pos="1440"/>
              </w:tabs>
              <w:spacing w:before="181" w:after="0" w:line="227"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8	</w:t>
            </w:r>
            <w:r>
              <w:rPr>
                <w:rFonts w:ascii="Times New Roman" w:hAnsi="Times New Roman" w:eastAsia="Times New Roman"/>
                <w:color w:val="000000"/>
                <w:spacing w:val="0"/>
                <w:w w:val="100"/>
                <w:sz w:val="20"/>
                <w:vertAlign w:val="baseline"/>
                <w:lang w:val="en-US"/>
              </w:rPr>
              <w:t xml:space="preserve">4,4'-Methylene</w:t>
            </w:r>
          </w:p>
          <w:p>
            <w:pPr>
              <w:spacing w:before="1" w:after="0" w:line="230" w:lineRule="exact"/>
              <w:ind w:right="0" w:left="576"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bis(2-chloroaniline)</w:t>
              <w:br/>
            </w:r>
            <w:r>
              <w:rPr>
                <w:rFonts w:ascii="Times New Roman" w:hAnsi="Times New Roman" w:eastAsia="Times New Roman"/>
                <w:color w:val="000000"/>
                <w:spacing w:val="0"/>
                <w:w w:val="100"/>
                <w:sz w:val="20"/>
                <w:vertAlign w:val="baseline"/>
                <w:lang w:val="en-US"/>
              </w:rPr>
              <w:t xml:space="preserve">[101-14-4] MOCA</w:t>
            </w:r>
          </w:p>
          <w:p>
            <w:pPr>
              <w:tabs>
                <w:tab w:val="left" w:leader="none" w:pos="1440"/>
              </w:tabs>
              <w:spacing w:before="121" w:after="0" w:line="230" w:lineRule="exact"/>
              <w:ind w:right="0" w:left="1440" w:hanging="122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9	</w:t>
            </w:r>
            <w:r>
              <w:rPr>
                <w:rFonts w:ascii="Times New Roman" w:hAnsi="Times New Roman" w:eastAsia="Times New Roman"/>
                <w:color w:val="000000"/>
                <w:spacing w:val="0"/>
                <w:w w:val="100"/>
                <w:sz w:val="20"/>
                <w:vertAlign w:val="baseline"/>
                <w:lang w:val="en-US"/>
              </w:rPr>
              <w:t xml:space="preserve">3-Propiolactone [57-57-8] (Beta-propiolactone)</w:t>
            </w:r>
          </w:p>
          <w:p>
            <w:pPr>
              <w:tabs>
                <w:tab w:val="left" w:leader="none" w:pos="1440"/>
              </w:tabs>
              <w:spacing w:before="119" w:after="0" w:line="231" w:lineRule="exact"/>
              <w:ind w:right="0" w:left="1440" w:hanging="122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	</w:t>
            </w:r>
            <w:r>
              <w:rPr>
                <w:rFonts w:ascii="Times New Roman" w:hAnsi="Times New Roman" w:eastAsia="Times New Roman"/>
                <w:color w:val="000000"/>
                <w:spacing w:val="0"/>
                <w:w w:val="100"/>
                <w:sz w:val="20"/>
                <w:vertAlign w:val="baseline"/>
                <w:lang w:val="en-US"/>
              </w:rPr>
              <w:t xml:space="preserve">o-Toluidine [95-53-4] and o-Toluidine hydrochloride</w:t>
            </w:r>
          </w:p>
          <w:p>
            <w:pPr>
              <w:spacing w:before="3" w:after="0" w:line="227" w:lineRule="exact"/>
              <w:ind w:right="0" w:left="144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[636-21-5]</w:t>
            </w:r>
          </w:p>
          <w:p>
            <w:pPr>
              <w:tabs>
                <w:tab w:val="left" w:leader="none" w:pos="1440"/>
              </w:tabs>
              <w:spacing w:before="111" w:after="33" w:line="235" w:lineRule="exact"/>
              <w:ind w:right="0" w:left="1440" w:hanging="122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11	</w:t>
            </w:r>
            <w:r>
              <w:rPr>
                <w:rFonts w:ascii="Times New Roman" w:hAnsi="Times New Roman" w:eastAsia="Times New Roman"/>
                <w:color w:val="000000"/>
                <w:spacing w:val="0"/>
                <w:w w:val="100"/>
                <w:sz w:val="20"/>
                <w:vertAlign w:val="baseline"/>
                <w:lang w:val="en-US"/>
              </w:rPr>
              <w:t xml:space="preserve">Vinyl chloride monomer [75</w:t>
              <w:softHyphen/>
            </w:r>
            <w:r>
              <w:rPr>
                <w:rFonts w:ascii="Times New Roman" w:hAnsi="Times New Roman" w:eastAsia="Times New Roman"/>
                <w:color w:val="000000"/>
                <w:spacing w:val="0"/>
                <w:w w:val="100"/>
                <w:sz w:val="20"/>
                <w:vertAlign w:val="baseline"/>
                <w:lang w:val="en-US"/>
              </w:rPr>
              <w:t xml:space="preserve">01-4]</w:t>
            </w:r>
          </w:p>
        </w:tc>
        <w:tc>
          <w:tcPr>
            <w:tcW w:w="4187" w:type="dxa"/>
            <w:tcBorders>
              <w:top w:val="none"/>
              <w:left w:val="none"/>
              <w:bottom w:val="none"/>
              <w:right w:val="none"/>
            </w:tcBorders>
            <w:textDirection w:val="lrTb"/>
            <w:vAlign w:val="top"/>
          </w:tcPr>
          <w:p>
            <w:pPr>
              <w:spacing w:before="0" w:after="0" w:line="262"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When used as a fumigant</w:t>
              <w:br/>
            </w:r>
            <w:r>
              <w:rPr>
                <w:rFonts w:ascii="Times New Roman" w:hAnsi="Times New Roman" w:eastAsia="Times New Roman"/>
                <w:color w:val="000000"/>
                <w:spacing w:val="0"/>
                <w:w w:val="100"/>
                <w:sz w:val="20"/>
                <w:vertAlign w:val="baseline"/>
                <w:lang w:val="en-US"/>
              </w:rPr>
              <w:t xml:space="preserve">Genuine research or analysis</w:t>
            </w:r>
          </w:p>
          <w:p>
            <w:pPr>
              <w:spacing w:before="123" w:after="0" w:line="227" w:lineRule="exact"/>
              <w:ind w:right="3572"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All</w:t>
            </w:r>
          </w:p>
          <w:p>
            <w:pPr>
              <w:spacing w:before="230" w:after="0" w:line="581" w:lineRule="exact"/>
              <w:ind w:right="0" w:left="0" w:firstLine="0"/>
              <w:jc w:val="left"/>
              <w:textAlignment w:val="baseline"/>
              <w:rPr>
                <w:rFonts w:ascii="Times New Roman" w:hAnsi="Times New Roman" w:eastAsia="Times New Roman"/>
                <w:color w:val="000000"/>
                <w:spacing w:val="44"/>
                <w:w w:val="100"/>
                <w:sz w:val="20"/>
                <w:vertAlign w:val="baseline"/>
                <w:lang w:val="en-US"/>
              </w:rPr>
            </w:pPr>
            <w:r>
              <w:rPr>
                <w:rFonts w:ascii="Times New Roman" w:hAnsi="Times New Roman" w:eastAsia="Times New Roman"/>
                <w:color w:val="000000"/>
                <w:spacing w:val="44"/>
                <w:w w:val="100"/>
                <w:sz w:val="20"/>
                <w:vertAlign w:val="baseline"/>
                <w:lang w:val="en-US"/>
              </w:rPr>
              <w:t xml:space="preserve">All</w:t>
              <w:br/>
            </w:r>
            <w:r>
              <w:rPr>
                <w:rFonts w:ascii="Times New Roman" w:hAnsi="Times New Roman" w:eastAsia="Times New Roman"/>
                <w:color w:val="000000"/>
                <w:spacing w:val="44"/>
                <w:w w:val="100"/>
                <w:sz w:val="20"/>
                <w:vertAlign w:val="baseline"/>
                <w:lang w:val="en-US"/>
              </w:rPr>
              <w:t xml:space="preserve">All</w:t>
            </w:r>
          </w:p>
          <w:p>
            <w:pPr>
              <w:spacing w:before="580" w:after="263" w:line="227" w:lineRule="exact"/>
              <w:ind w:right="3572"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All</w:t>
            </w:r>
          </w:p>
        </w:tc>
      </w:tr>
    </w:tbl>
    <w:p>
      <w:pPr>
        <w:spacing w:before="729" w:after="98" w:line="225" w:lineRule="exact"/>
        <w:ind w:right="0" w:left="144"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5.95pt,440.9pt" to="496.6pt,440.9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Table 10.3 Restricted hazardous chemicals</w:t>
      </w:r>
    </w:p>
    <w:p>
      <w:pPr>
        <w:tabs>
          <w:tab w:val="left" w:leader="none" w:pos="4032"/>
        </w:tabs>
        <w:spacing w:before="80" w:after="0" w:line="225" w:lineRule="exact"/>
        <w:ind w:right="0" w:left="144" w:firstLine="0"/>
        <w:jc w:val="left"/>
        <w:textAlignment w:val="baseline"/>
        <w:rPr>
          <w:rFonts w:ascii="Times New Roman" w:hAnsi="Times New Roman" w:eastAsia="Times New Roman"/>
          <w:b w:val="true"/>
          <w:color w:val="000000"/>
          <w:spacing w:val="-1"/>
          <w:w w:val="100"/>
          <w:sz w:val="20"/>
          <w:vertAlign w:val="baseline"/>
          <w:lang w:val="en-US"/>
        </w:rPr>
      </w:pPr>
      <w:r>
        <w:pict>
          <v:line strokeweight="0.5pt" strokecolor="#000000" from="99.35pt,494.15pt" to="496.6pt,494.15pt" style="position:absolute;mso-position-horizontal-relative:page;mso-position-vertical-relative:page;">
            <v:stroke dashstyle="solid"/>
          </v:line>
        </w:pict>
      </w:r>
      <w:r>
        <w:rPr>
          <w:rFonts w:ascii="Times New Roman" w:hAnsi="Times New Roman" w:eastAsia="Times New Roman"/>
          <w:b w:val="true"/>
          <w:color w:val="000000"/>
          <w:spacing w:val="-1"/>
          <w:w w:val="100"/>
          <w:sz w:val="20"/>
          <w:vertAlign w:val="baseline"/>
          <w:lang w:val="en-US"/>
        </w:rPr>
        <w:t xml:space="preserve">Column 1 Column 2	</w:t>
      </w:r>
      <w:r>
        <w:rPr>
          <w:rFonts w:ascii="Times New Roman" w:hAnsi="Times New Roman" w:eastAsia="Times New Roman"/>
          <w:b w:val="true"/>
          <w:color w:val="000000"/>
          <w:spacing w:val="-1"/>
          <w:w w:val="100"/>
          <w:sz w:val="20"/>
          <w:vertAlign w:val="baseline"/>
          <w:lang w:val="en-US"/>
        </w:rPr>
        <w:t xml:space="preserve">Column 3</w:t>
      </w:r>
    </w:p>
    <w:p>
      <w:pPr>
        <w:tabs>
          <w:tab w:val="left" w:leader="none" w:pos="1440"/>
          <w:tab w:val="left" w:leader="none" w:pos="4032"/>
        </w:tabs>
        <w:spacing w:before="63" w:after="0" w:line="225" w:lineRule="exact"/>
        <w:ind w:right="0" w:left="14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Item	</w:t>
      </w:r>
      <w:r>
        <w:rPr>
          <w:rFonts w:ascii="Times New Roman" w:hAnsi="Times New Roman" w:eastAsia="Times New Roman"/>
          <w:b w:val="true"/>
          <w:color w:val="000000"/>
          <w:spacing w:val="0"/>
          <w:w w:val="100"/>
          <w:sz w:val="20"/>
          <w:vertAlign w:val="baseline"/>
          <w:lang w:val="en-US"/>
        </w:rPr>
        <w:t xml:space="preserve">Restricted hazardous	</w:t>
      </w:r>
      <w:r>
        <w:rPr>
          <w:rFonts w:ascii="Times New Roman" w:hAnsi="Times New Roman" w:eastAsia="Times New Roman"/>
          <w:b w:val="true"/>
          <w:color w:val="000000"/>
          <w:spacing w:val="0"/>
          <w:w w:val="100"/>
          <w:sz w:val="20"/>
          <w:vertAlign w:val="baseline"/>
          <w:lang w:val="en-US"/>
        </w:rPr>
        <w:t xml:space="preserve">Restricted use</w:t>
      </w:r>
    </w:p>
    <w:p>
      <w:pPr>
        <w:spacing w:before="12" w:after="35"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chemical</w:t>
      </w:r>
    </w:p>
    <w:p>
      <w:pPr>
        <w:tabs>
          <w:tab w:val="left" w:leader="none" w:pos="1440"/>
        </w:tabs>
        <w:spacing w:before="83" w:after="0" w:line="227" w:lineRule="exact"/>
        <w:ind w:right="0" w:left="144" w:firstLine="0"/>
        <w:jc w:val="left"/>
        <w:textAlignment w:val="baseline"/>
        <w:rPr>
          <w:rFonts w:ascii="Times New Roman" w:hAnsi="Times New Roman" w:eastAsia="Times New Roman"/>
          <w:color w:val="000000"/>
          <w:spacing w:val="2"/>
          <w:w w:val="100"/>
          <w:sz w:val="20"/>
          <w:vertAlign w:val="baseline"/>
          <w:lang w:val="en-US"/>
        </w:rPr>
      </w:pPr>
      <w:r>
        <w:pict>
          <v:line strokeweight="0.5pt" strokecolor="#000000" from="99.35pt,538.1pt" to="496.6pt,538.1pt" style="position:absolute;mso-position-horizontal-relative:page;mso-position-vertical-relative:page;">
            <v:stroke dashstyle="solid"/>
          </v:line>
        </w:pict>
      </w:r>
      <w:r>
        <w:rPr>
          <w:rFonts w:ascii="Times New Roman" w:hAnsi="Times New Roman" w:eastAsia="Times New Roman"/>
          <w:color w:val="000000"/>
          <w:spacing w:val="2"/>
          <w:w w:val="100"/>
          <w:sz w:val="20"/>
          <w:vertAlign w:val="baseline"/>
          <w:lang w:val="en-US"/>
        </w:rPr>
        <w:t xml:space="preserve">1	</w:t>
      </w:r>
      <w:r>
        <w:rPr>
          <w:rFonts w:ascii="Times New Roman" w:hAnsi="Times New Roman" w:eastAsia="Times New Roman"/>
          <w:color w:val="000000"/>
          <w:spacing w:val="2"/>
          <w:w w:val="100"/>
          <w:sz w:val="20"/>
          <w:vertAlign w:val="baseline"/>
          <w:lang w:val="en-US"/>
        </w:rPr>
        <w:t xml:space="preserve">Antimony and its compounds For abrasive blasting at a concentration of</w:t>
      </w:r>
    </w:p>
    <w:p>
      <w:pPr>
        <w:spacing w:before="6" w:after="0" w:line="227" w:lineRule="exact"/>
        <w:ind w:right="0" w:left="396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greater than 0·1% as antimony</w:t>
      </w:r>
    </w:p>
    <w:p>
      <w:pPr>
        <w:tabs>
          <w:tab w:val="left" w:leader="none" w:pos="1440"/>
          <w:tab w:val="left" w:leader="none" w:pos="4032"/>
        </w:tabs>
        <w:spacing w:before="121" w:after="0" w:line="227"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Arsenic and its compounds	</w:t>
      </w:r>
      <w:r>
        <w:rPr>
          <w:rFonts w:ascii="Times New Roman" w:hAnsi="Times New Roman" w:eastAsia="Times New Roman"/>
          <w:color w:val="000000"/>
          <w:spacing w:val="0"/>
          <w:w w:val="100"/>
          <w:sz w:val="20"/>
          <w:vertAlign w:val="baseline"/>
          <w:lang w:val="en-US"/>
        </w:rPr>
        <w:t xml:space="preserve">For abrasive blasting at a concentration of</w:t>
      </w:r>
    </w:p>
    <w:p>
      <w:pPr>
        <w:spacing w:before="6" w:after="0" w:line="227" w:lineRule="exact"/>
        <w:ind w:right="0" w:left="396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greater than 0·1% as arsenic</w:t>
      </w:r>
    </w:p>
    <w:p>
      <w:pPr>
        <w:spacing w:before="61" w:after="0" w:line="227" w:lineRule="exact"/>
        <w:ind w:right="0" w:left="396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For spray painting</w:t>
      </w:r>
    </w:p>
    <w:p>
      <w:pPr>
        <w:tabs>
          <w:tab w:val="left" w:leader="none" w:pos="1440"/>
          <w:tab w:val="left" w:leader="none" w:pos="4032"/>
        </w:tabs>
        <w:spacing w:before="118" w:after="0" w:line="228"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	</w:t>
      </w:r>
      <w:r>
        <w:rPr>
          <w:rFonts w:ascii="Times New Roman" w:hAnsi="Times New Roman" w:eastAsia="Times New Roman"/>
          <w:color w:val="000000"/>
          <w:spacing w:val="0"/>
          <w:w w:val="100"/>
          <w:sz w:val="20"/>
          <w:vertAlign w:val="baseline"/>
          <w:lang w:val="en-US"/>
        </w:rPr>
        <w:t xml:space="preserve">Benzene (benzol), if the	</w:t>
      </w:r>
      <w:r>
        <w:rPr>
          <w:rFonts w:ascii="Times New Roman" w:hAnsi="Times New Roman" w:eastAsia="Times New Roman"/>
          <w:color w:val="000000"/>
          <w:spacing w:val="0"/>
          <w:w w:val="100"/>
          <w:sz w:val="20"/>
          <w:vertAlign w:val="baseline"/>
          <w:lang w:val="en-US"/>
        </w:rPr>
        <w:t xml:space="preserve">For spray painting</w:t>
      </w:r>
    </w:p>
    <w:p>
      <w:pPr>
        <w:spacing w:before="5" w:after="0" w:line="230"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substance contains more than</w:t>
        <w:br/>
      </w:r>
      <w:r>
        <w:rPr>
          <w:rFonts w:ascii="Times New Roman" w:hAnsi="Times New Roman" w:eastAsia="Times New Roman"/>
          <w:color w:val="000000"/>
          <w:spacing w:val="0"/>
          <w:w w:val="100"/>
          <w:sz w:val="20"/>
          <w:vertAlign w:val="baseline"/>
          <w:lang w:val="en-US"/>
        </w:rPr>
        <w:t xml:space="preserve">1% by volume</w:t>
      </w:r>
    </w:p>
    <w:p>
      <w:pPr>
        <w:tabs>
          <w:tab w:val="left" w:leader="none" w:pos="1440"/>
        </w:tabs>
        <w:spacing w:before="121" w:after="0" w:line="227" w:lineRule="exact"/>
        <w:ind w:right="0" w:left="144" w:firstLine="0"/>
        <w:jc w:val="left"/>
        <w:textAlignment w:val="baseline"/>
        <w:rPr>
          <w:rFonts w:ascii="Times New Roman" w:hAnsi="Times New Roman" w:eastAsia="Times New Roman"/>
          <w:color w:val="000000"/>
          <w:spacing w:val="2"/>
          <w:w w:val="100"/>
          <w:sz w:val="20"/>
          <w:vertAlign w:val="baseline"/>
          <w:lang w:val="en-US"/>
        </w:rPr>
      </w:pPr>
      <w:r>
        <w:rPr>
          <w:rFonts w:ascii="Times New Roman" w:hAnsi="Times New Roman" w:eastAsia="Times New Roman"/>
          <w:color w:val="000000"/>
          <w:spacing w:val="2"/>
          <w:w w:val="100"/>
          <w:sz w:val="20"/>
          <w:vertAlign w:val="baseline"/>
          <w:lang w:val="en-US"/>
        </w:rPr>
        <w:t xml:space="preserve">4	</w:t>
      </w:r>
      <w:r>
        <w:rPr>
          <w:rFonts w:ascii="Times New Roman" w:hAnsi="Times New Roman" w:eastAsia="Times New Roman"/>
          <w:color w:val="000000"/>
          <w:spacing w:val="2"/>
          <w:w w:val="100"/>
          <w:sz w:val="20"/>
          <w:vertAlign w:val="baseline"/>
          <w:lang w:val="en-US"/>
        </w:rPr>
        <w:t xml:space="preserve">Beryllium and its compounds For abrasive blasting at a concentration of</w:t>
      </w:r>
    </w:p>
    <w:p>
      <w:pPr>
        <w:spacing w:before="6" w:after="0" w:line="227" w:lineRule="exact"/>
        <w:ind w:right="0" w:left="396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greater than 0·1% as beryllium</w:t>
      </w:r>
    </w:p>
    <w:p>
      <w:pPr>
        <w:tabs>
          <w:tab w:val="left" w:leader="none" w:pos="1440"/>
        </w:tabs>
        <w:spacing w:before="120" w:after="0" w:line="227" w:lineRule="exact"/>
        <w:ind w:right="0" w:left="144" w:firstLine="0"/>
        <w:jc w:val="left"/>
        <w:textAlignment w:val="baseline"/>
        <w:rPr>
          <w:rFonts w:ascii="Times New Roman" w:hAnsi="Times New Roman" w:eastAsia="Times New Roman"/>
          <w:color w:val="000000"/>
          <w:spacing w:val="2"/>
          <w:w w:val="100"/>
          <w:sz w:val="20"/>
          <w:vertAlign w:val="baseline"/>
          <w:lang w:val="en-US"/>
        </w:rPr>
      </w:pPr>
      <w:r>
        <w:rPr>
          <w:rFonts w:ascii="Times New Roman" w:hAnsi="Times New Roman" w:eastAsia="Times New Roman"/>
          <w:color w:val="000000"/>
          <w:spacing w:val="2"/>
          <w:w w:val="100"/>
          <w:sz w:val="20"/>
          <w:vertAlign w:val="baseline"/>
          <w:lang w:val="en-US"/>
        </w:rPr>
        <w:t xml:space="preserve">5	</w:t>
      </w:r>
      <w:r>
        <w:rPr>
          <w:rFonts w:ascii="Times New Roman" w:hAnsi="Times New Roman" w:eastAsia="Times New Roman"/>
          <w:color w:val="000000"/>
          <w:spacing w:val="2"/>
          <w:w w:val="100"/>
          <w:sz w:val="20"/>
          <w:vertAlign w:val="baseline"/>
          <w:lang w:val="en-US"/>
        </w:rPr>
        <w:t xml:space="preserve">Cadmium and its compounds For abrasive blasting at a concentration of</w:t>
      </w:r>
    </w:p>
    <w:p>
      <w:pPr>
        <w:spacing w:before="2" w:after="408" w:line="227" w:lineRule="exact"/>
        <w:ind w:right="0" w:left="396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greater than 0·1% as cadmium</w:t>
      </w:r>
    </w:p>
    <w:p>
      <w:pPr>
        <w:tabs>
          <w:tab w:val="left" w:leader="none" w:pos="3960"/>
        </w:tabs>
        <w:spacing w:before="383" w:after="0" w:line="179" w:lineRule="exact"/>
        <w:ind w:right="0" w:left="144" w:firstLine="0"/>
        <w:jc w:val="left"/>
        <w:textAlignment w:val="baseline"/>
        <w:rPr>
          <w:rFonts w:ascii="Times New Roman" w:hAnsi="Times New Roman" w:eastAsia="Times New Roman"/>
          <w:color w:val="000000"/>
          <w:spacing w:val="0"/>
          <w:w w:val="100"/>
          <w:sz w:val="16"/>
          <w:vertAlign w:val="baseline"/>
          <w:lang w:val="en-US"/>
        </w:rPr>
      </w:pPr>
      <w:r>
        <w:pict>
          <v:line strokeweight="0.5pt" strokecolor="#000000" from="95.95pt,728.15pt" to="500pt,728.15pt" style="position:absolute;mso-position-horizontal-relative:page;mso-position-vertical-relative:page;">
            <v:stroke dashstyle="solid"/>
          </v:line>
        </w:pict>
      </w: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461</w:t>
      </w:r>
    </w:p>
    <w:p>
      <w:pPr>
        <w:sectPr>
          <w:type w:val="nextPage"/>
          <w:pgSz w:w="11909" w:h="16838" w:orient="portrait"/>
          <w:pgMar w:bottom="1082" w:top="1140" w:right="1910" w:left="1919" w:header="720" w:footer="720"/>
          <w:titlePg w:val="false"/>
          <w:textDirection w:val="lrTb"/>
        </w:sectPr>
      </w:pPr>
    </w:p>
    <w:p>
      <w:pPr>
        <w:spacing w:before="6" w:after="109"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tbl>
      <w:tblPr>
        <w:jc w:val="left"/>
        <w:tblLayout w:type="fixed"/>
        <w:tblCellMar>
          <w:left w:w="0" w:type="dxa"/>
          <w:right w:w="0" w:type="dxa"/>
        </w:tblCellMar>
      </w:tblPr>
      <w:tblGrid>
        <w:gridCol w:w="1124"/>
        <w:gridCol w:w="2779"/>
        <w:gridCol w:w="4177"/>
      </w:tblGrid>
      <w:tr>
        <w:trPr>
          <w:trHeight w:val="586" w:hRule="exact"/>
        </w:trPr>
        <w:tc>
          <w:tcPr>
            <w:tcW w:w="1124" w:type="dxa"/>
            <w:tcBorders>
              <w:top w:val="none"/>
              <w:left w:val="none"/>
              <w:bottom w:val="single" w:sz="4" w:color="000000"/>
              <w:right w:val="none"/>
            </w:tcBorders>
            <w:textDirection w:val="lrTb"/>
            <w:vAlign w:val="top"/>
          </w:tcPr>
          <w:p>
            <w:pPr>
              <w:spacing w:before="115" w:after="238" w:line="228"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Schedule 10</w:t>
            </w:r>
          </w:p>
        </w:tc>
        <w:tc>
          <w:tcPr>
            <w:tcW w:w="6956" w:type="dxa"/>
            <w:gridSpan w:val="2"/>
            <w:tcBorders>
              <w:top w:val="none"/>
              <w:left w:val="none"/>
              <w:bottom w:val="single" w:sz="4" w:color="000000"/>
              <w:right w:val="none"/>
            </w:tcBorders>
            <w:textDirection w:val="lrTb"/>
            <w:vAlign w:val="top"/>
          </w:tcPr>
          <w:p>
            <w:pPr>
              <w:spacing w:before="115" w:after="238" w:line="228" w:lineRule="exact"/>
              <w:ind w:right="361"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Prohibited carcinogens, restricted carcinogens and restricted hazardous chemicals</w:t>
            </w:r>
          </w:p>
        </w:tc>
      </w:tr>
      <w:tr>
        <w:trPr>
          <w:trHeight w:val="816" w:hRule="exact"/>
        </w:trPr>
        <w:tc>
          <w:tcPr>
            <w:tcW w:w="1124" w:type="dxa"/>
            <w:tcBorders>
              <w:top w:val="single" w:sz="4" w:color="000000"/>
              <w:left w:val="none"/>
              <w:bottom w:val="none"/>
              <w:right w:val="none"/>
            </w:tcBorders>
            <w:textDirection w:val="lrTb"/>
            <w:vAlign w:val="center"/>
          </w:tcPr>
          <w:p>
            <w:pPr>
              <w:spacing w:before="311" w:after="263" w:line="228" w:lineRule="exact"/>
              <w:ind w:right="522"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w:t>
            </w:r>
          </w:p>
        </w:tc>
        <w:tc>
          <w:tcPr>
            <w:tcW w:w="2779" w:type="dxa"/>
            <w:tcBorders>
              <w:top w:val="single" w:sz="4" w:color="000000"/>
              <w:left w:val="none"/>
              <w:bottom w:val="none"/>
              <w:right w:val="none"/>
            </w:tcBorders>
            <w:textDirection w:val="lrTb"/>
            <w:vAlign w:val="bottom"/>
          </w:tcPr>
          <w:p>
            <w:pPr>
              <w:spacing w:before="303" w:after="37" w:line="231" w:lineRule="exact"/>
              <w:ind w:right="0" w:left="28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Carbon disulphide (carbon bisulphide)</w:t>
            </w:r>
          </w:p>
        </w:tc>
        <w:tc>
          <w:tcPr>
            <w:tcW w:w="4177" w:type="dxa"/>
            <w:tcBorders>
              <w:top w:val="single" w:sz="4" w:color="000000"/>
              <w:left w:val="none"/>
              <w:bottom w:val="none"/>
              <w:right w:val="none"/>
            </w:tcBorders>
            <w:textDirection w:val="lrTb"/>
            <w:vAlign w:val="center"/>
          </w:tcPr>
          <w:p>
            <w:pPr>
              <w:spacing w:before="311" w:after="263" w:line="228" w:lineRule="exact"/>
              <w:ind w:right="0" w:left="9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For spray painting</w:t>
            </w:r>
          </w:p>
        </w:tc>
      </w:tr>
      <w:tr>
        <w:trPr>
          <w:trHeight w:val="350" w:hRule="exact"/>
        </w:trPr>
        <w:tc>
          <w:tcPr>
            <w:tcW w:w="1124" w:type="dxa"/>
            <w:tcBorders>
              <w:top w:val="none"/>
              <w:left w:val="none"/>
              <w:bottom w:val="none"/>
              <w:right w:val="none"/>
            </w:tcBorders>
            <w:textDirection w:val="lrTb"/>
            <w:vAlign w:val="center"/>
          </w:tcPr>
          <w:p>
            <w:pPr>
              <w:spacing w:before="76" w:after="42" w:line="228" w:lineRule="exact"/>
              <w:ind w:right="522"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7</w:t>
            </w:r>
          </w:p>
        </w:tc>
        <w:tc>
          <w:tcPr>
            <w:tcW w:w="2779" w:type="dxa"/>
            <w:tcBorders>
              <w:top w:val="none"/>
              <w:left w:val="none"/>
              <w:bottom w:val="none"/>
              <w:right w:val="none"/>
            </w:tcBorders>
            <w:textDirection w:val="lrTb"/>
            <w:vAlign w:val="center"/>
          </w:tcPr>
          <w:p>
            <w:pPr>
              <w:spacing w:before="76" w:after="42" w:line="228" w:lineRule="exact"/>
              <w:ind w:right="0" w:left="25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Chromate</w:t>
            </w:r>
          </w:p>
        </w:tc>
        <w:tc>
          <w:tcPr>
            <w:tcW w:w="4177" w:type="dxa"/>
            <w:tcBorders>
              <w:top w:val="none"/>
              <w:left w:val="none"/>
              <w:bottom w:val="none"/>
              <w:right w:val="none"/>
            </w:tcBorders>
            <w:textDirection w:val="lrTb"/>
            <w:vAlign w:val="center"/>
          </w:tcPr>
          <w:p>
            <w:pPr>
              <w:spacing w:before="76" w:after="42" w:line="228" w:lineRule="exact"/>
              <w:ind w:right="0" w:left="9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For wet abrasive blasting</w:t>
            </w:r>
          </w:p>
        </w:tc>
      </w:tr>
      <w:tr>
        <w:trPr>
          <w:trHeight w:val="293" w:hRule="exact"/>
        </w:trPr>
        <w:tc>
          <w:tcPr>
            <w:tcW w:w="1124" w:type="dxa"/>
            <w:tcBorders>
              <w:top w:val="none"/>
              <w:left w:val="none"/>
              <w:bottom w:val="none"/>
              <w:right w:val="none"/>
            </w:tcBorders>
            <w:textDirection w:val="lrTb"/>
            <w:vAlign w:val="center"/>
          </w:tcPr>
          <w:p>
            <w:pPr>
              <w:spacing w:before="76" w:after="0" w:line="208" w:lineRule="exact"/>
              <w:ind w:right="522"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8</w:t>
            </w:r>
          </w:p>
        </w:tc>
        <w:tc>
          <w:tcPr>
            <w:tcW w:w="2779" w:type="dxa"/>
            <w:tcBorders>
              <w:top w:val="none"/>
              <w:left w:val="none"/>
              <w:bottom w:val="none"/>
              <w:right w:val="none"/>
            </w:tcBorders>
            <w:textDirection w:val="lrTb"/>
            <w:vAlign w:val="center"/>
          </w:tcPr>
          <w:p>
            <w:pPr>
              <w:spacing w:before="72" w:after="0" w:line="212" w:lineRule="exact"/>
              <w:ind w:right="0" w:left="25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Chromium and its</w:t>
            </w:r>
          </w:p>
        </w:tc>
        <w:tc>
          <w:tcPr>
            <w:tcW w:w="4177" w:type="dxa"/>
            <w:tcBorders>
              <w:top w:val="none"/>
              <w:left w:val="none"/>
              <w:bottom w:val="none"/>
              <w:right w:val="none"/>
            </w:tcBorders>
            <w:textDirection w:val="lrTb"/>
            <w:vAlign w:val="center"/>
          </w:tcPr>
          <w:p>
            <w:pPr>
              <w:spacing w:before="72" w:after="0" w:line="212" w:lineRule="exact"/>
              <w:ind w:right="0" w:left="9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For abrasive blasting at a concentration of</w:t>
            </w:r>
          </w:p>
        </w:tc>
      </w:tr>
      <w:tr>
        <w:trPr>
          <w:trHeight w:val="519" w:hRule="exact"/>
        </w:trPr>
        <w:tc>
          <w:tcPr>
            <w:tcW w:w="1124"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779" w:type="dxa"/>
            <w:tcBorders>
              <w:top w:val="none"/>
              <w:left w:val="none"/>
              <w:bottom w:val="none"/>
              <w:right w:val="none"/>
            </w:tcBorders>
            <w:textDirection w:val="lrTb"/>
            <w:vAlign w:val="top"/>
          </w:tcPr>
          <w:p>
            <w:pPr>
              <w:spacing w:before="0" w:after="272" w:line="228" w:lineRule="exact"/>
              <w:ind w:right="0" w:left="25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compounds</w:t>
            </w:r>
          </w:p>
        </w:tc>
        <w:tc>
          <w:tcPr>
            <w:tcW w:w="4177" w:type="dxa"/>
            <w:tcBorders>
              <w:top w:val="none"/>
              <w:left w:val="none"/>
              <w:bottom w:val="none"/>
              <w:right w:val="none"/>
            </w:tcBorders>
            <w:textDirection w:val="lrTb"/>
            <w:vAlign w:val="top"/>
          </w:tcPr>
          <w:p>
            <w:pPr>
              <w:spacing w:before="0" w:after="42" w:line="230" w:lineRule="exact"/>
              <w:ind w:right="396"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greater than 0·5% (except as specified for wet blasting) as chromium</w:t>
            </w:r>
          </w:p>
        </w:tc>
      </w:tr>
      <w:tr>
        <w:trPr>
          <w:trHeight w:val="576" w:hRule="exact"/>
        </w:trPr>
        <w:tc>
          <w:tcPr>
            <w:tcW w:w="1124" w:type="dxa"/>
            <w:tcBorders>
              <w:top w:val="none"/>
              <w:left w:val="none"/>
              <w:bottom w:val="none"/>
              <w:right w:val="none"/>
            </w:tcBorders>
            <w:textDirection w:val="lrTb"/>
            <w:vAlign w:val="top"/>
          </w:tcPr>
          <w:p>
            <w:pPr>
              <w:spacing w:before="76" w:after="262" w:line="228" w:lineRule="exact"/>
              <w:ind w:right="522"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9</w:t>
            </w:r>
          </w:p>
        </w:tc>
        <w:tc>
          <w:tcPr>
            <w:tcW w:w="2779" w:type="dxa"/>
            <w:tcBorders>
              <w:top w:val="none"/>
              <w:left w:val="none"/>
              <w:bottom w:val="none"/>
              <w:right w:val="none"/>
            </w:tcBorders>
            <w:textDirection w:val="lrTb"/>
            <w:vAlign w:val="top"/>
          </w:tcPr>
          <w:p>
            <w:pPr>
              <w:spacing w:before="76" w:after="262" w:line="228" w:lineRule="exact"/>
              <w:ind w:right="0" w:left="25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Cobalt and its compounds</w:t>
            </w:r>
          </w:p>
        </w:tc>
        <w:tc>
          <w:tcPr>
            <w:tcW w:w="4177" w:type="dxa"/>
            <w:tcBorders>
              <w:top w:val="none"/>
              <w:left w:val="none"/>
              <w:bottom w:val="none"/>
              <w:right w:val="none"/>
            </w:tcBorders>
            <w:textDirection w:val="lrTb"/>
            <w:vAlign w:val="top"/>
          </w:tcPr>
          <w:p>
            <w:pPr>
              <w:spacing w:before="69" w:after="37" w:line="230" w:lineRule="exact"/>
              <w:ind w:right="684"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For abrasive blasting at a concentration of greater than 0·1% as cobalt</w:t>
            </w:r>
          </w:p>
        </w:tc>
      </w:tr>
      <w:tr>
        <w:trPr>
          <w:trHeight w:val="292" w:hRule="exact"/>
        </w:trPr>
        <w:tc>
          <w:tcPr>
            <w:tcW w:w="1124" w:type="dxa"/>
            <w:tcBorders>
              <w:top w:val="none"/>
              <w:left w:val="none"/>
              <w:bottom w:val="none"/>
              <w:right w:val="none"/>
            </w:tcBorders>
            <w:textDirection w:val="lrTb"/>
            <w:vAlign w:val="center"/>
          </w:tcPr>
          <w:p>
            <w:pPr>
              <w:spacing w:before="76" w:after="0" w:line="202" w:lineRule="exact"/>
              <w:ind w:right="522"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w:t>
            </w:r>
          </w:p>
        </w:tc>
        <w:tc>
          <w:tcPr>
            <w:tcW w:w="2779" w:type="dxa"/>
            <w:tcBorders>
              <w:top w:val="none"/>
              <w:left w:val="none"/>
              <w:bottom w:val="none"/>
              <w:right w:val="none"/>
            </w:tcBorders>
            <w:textDirection w:val="lrTb"/>
            <w:vAlign w:val="center"/>
          </w:tcPr>
          <w:p>
            <w:pPr>
              <w:spacing w:before="71" w:after="0" w:line="207" w:lineRule="exact"/>
              <w:ind w:right="0" w:left="25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Free silica (crystalline silicon</w:t>
            </w:r>
          </w:p>
        </w:tc>
        <w:tc>
          <w:tcPr>
            <w:tcW w:w="4177" w:type="dxa"/>
            <w:tcBorders>
              <w:top w:val="none"/>
              <w:left w:val="none"/>
              <w:bottom w:val="none"/>
              <w:right w:val="none"/>
            </w:tcBorders>
            <w:textDirection w:val="lrTb"/>
            <w:vAlign w:val="center"/>
          </w:tcPr>
          <w:p>
            <w:pPr>
              <w:spacing w:before="71" w:after="0" w:line="207" w:lineRule="exact"/>
              <w:ind w:right="0" w:left="9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For abrasive blasting at a concentration of</w:t>
            </w:r>
          </w:p>
        </w:tc>
      </w:tr>
      <w:tr>
        <w:trPr>
          <w:trHeight w:val="288" w:hRule="exact"/>
        </w:trPr>
        <w:tc>
          <w:tcPr>
            <w:tcW w:w="1124"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779" w:type="dxa"/>
            <w:tcBorders>
              <w:top w:val="none"/>
              <w:left w:val="none"/>
              <w:bottom w:val="none"/>
              <w:right w:val="none"/>
            </w:tcBorders>
            <w:textDirection w:val="lrTb"/>
            <w:vAlign w:val="center"/>
          </w:tcPr>
          <w:p>
            <w:pPr>
              <w:spacing w:before="0" w:after="32" w:line="228" w:lineRule="exact"/>
              <w:ind w:right="0" w:left="25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dioxide)</w:t>
            </w:r>
          </w:p>
        </w:tc>
        <w:tc>
          <w:tcPr>
            <w:tcW w:w="4177" w:type="dxa"/>
            <w:tcBorders>
              <w:top w:val="none"/>
              <w:left w:val="none"/>
              <w:bottom w:val="none"/>
              <w:right w:val="none"/>
            </w:tcBorders>
            <w:textDirection w:val="lrTb"/>
            <w:vAlign w:val="center"/>
          </w:tcPr>
          <w:p>
            <w:pPr>
              <w:spacing w:before="0" w:after="32" w:line="228" w:lineRule="exact"/>
              <w:ind w:right="0" w:left="9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greater than 1%</w:t>
            </w:r>
          </w:p>
        </w:tc>
      </w:tr>
      <w:tr>
        <w:trPr>
          <w:trHeight w:val="1042" w:hRule="exact"/>
        </w:trPr>
        <w:tc>
          <w:tcPr>
            <w:tcW w:w="1124" w:type="dxa"/>
            <w:tcBorders>
              <w:top w:val="none"/>
              <w:left w:val="none"/>
              <w:bottom w:val="none"/>
              <w:right w:val="none"/>
            </w:tcBorders>
            <w:textDirection w:val="lrTb"/>
            <w:vAlign w:val="top"/>
          </w:tcPr>
          <w:p>
            <w:pPr>
              <w:spacing w:before="76" w:after="733" w:line="228" w:lineRule="exact"/>
              <w:ind w:right="522"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11</w:t>
            </w:r>
          </w:p>
        </w:tc>
        <w:tc>
          <w:tcPr>
            <w:tcW w:w="2779" w:type="dxa"/>
            <w:tcBorders>
              <w:top w:val="none"/>
              <w:left w:val="none"/>
              <w:bottom w:val="none"/>
              <w:right w:val="none"/>
            </w:tcBorders>
            <w:textDirection w:val="lrTb"/>
            <w:vAlign w:val="top"/>
          </w:tcPr>
          <w:p>
            <w:pPr>
              <w:spacing w:before="76" w:after="733" w:line="228" w:lineRule="exact"/>
              <w:ind w:right="0" w:left="25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Lead and compounds</w:t>
            </w:r>
          </w:p>
        </w:tc>
        <w:tc>
          <w:tcPr>
            <w:tcW w:w="4177" w:type="dxa"/>
            <w:tcBorders>
              <w:top w:val="none"/>
              <w:left w:val="none"/>
              <w:bottom w:val="none"/>
              <w:right w:val="none"/>
            </w:tcBorders>
            <w:textDirection w:val="lrTb"/>
            <w:vAlign w:val="top"/>
          </w:tcPr>
          <w:p>
            <w:pPr>
              <w:spacing w:before="71" w:after="46" w:line="230" w:lineRule="exact"/>
              <w:ind w:right="324" w:left="10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For abrasive blasting at a concentration of greater than 0·1% as lead or which would expose the operator to levels in excess of those set in the regulations covering lead</w:t>
            </w:r>
          </w:p>
        </w:tc>
      </w:tr>
      <w:tr>
        <w:trPr>
          <w:trHeight w:val="350" w:hRule="exact"/>
        </w:trPr>
        <w:tc>
          <w:tcPr>
            <w:tcW w:w="1124" w:type="dxa"/>
            <w:tcBorders>
              <w:top w:val="none"/>
              <w:left w:val="none"/>
              <w:bottom w:val="none"/>
              <w:right w:val="none"/>
            </w:tcBorders>
            <w:textDirection w:val="lrTb"/>
            <w:vAlign w:val="center"/>
          </w:tcPr>
          <w:p>
            <w:pPr>
              <w:spacing w:before="76" w:after="37" w:line="228" w:lineRule="exact"/>
              <w:ind w:right="522"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12</w:t>
            </w:r>
          </w:p>
        </w:tc>
        <w:tc>
          <w:tcPr>
            <w:tcW w:w="2779" w:type="dxa"/>
            <w:tcBorders>
              <w:top w:val="none"/>
              <w:left w:val="none"/>
              <w:bottom w:val="none"/>
              <w:right w:val="none"/>
            </w:tcBorders>
            <w:textDirection w:val="lrTb"/>
            <w:vAlign w:val="center"/>
          </w:tcPr>
          <w:p>
            <w:pPr>
              <w:spacing w:before="76" w:after="37" w:line="228" w:lineRule="exact"/>
              <w:ind w:right="0" w:left="25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Lead carbonate</w:t>
            </w:r>
          </w:p>
        </w:tc>
        <w:tc>
          <w:tcPr>
            <w:tcW w:w="4177" w:type="dxa"/>
            <w:tcBorders>
              <w:top w:val="none"/>
              <w:left w:val="none"/>
              <w:bottom w:val="none"/>
              <w:right w:val="none"/>
            </w:tcBorders>
            <w:textDirection w:val="lrTb"/>
            <w:vAlign w:val="center"/>
          </w:tcPr>
          <w:p>
            <w:pPr>
              <w:spacing w:before="76" w:after="37" w:line="228" w:lineRule="exact"/>
              <w:ind w:right="0" w:left="9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For spray painting</w:t>
            </w:r>
          </w:p>
        </w:tc>
      </w:tr>
      <w:tr>
        <w:trPr>
          <w:trHeight w:val="807" w:hRule="exact"/>
        </w:trPr>
        <w:tc>
          <w:tcPr>
            <w:tcW w:w="1124" w:type="dxa"/>
            <w:tcBorders>
              <w:top w:val="none"/>
              <w:left w:val="none"/>
              <w:bottom w:val="none"/>
              <w:right w:val="none"/>
            </w:tcBorders>
            <w:textDirection w:val="lrTb"/>
            <w:vAlign w:val="top"/>
          </w:tcPr>
          <w:p>
            <w:pPr>
              <w:spacing w:before="76" w:after="493" w:line="228" w:lineRule="exact"/>
              <w:ind w:right="522"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13</w:t>
            </w:r>
          </w:p>
        </w:tc>
        <w:tc>
          <w:tcPr>
            <w:tcW w:w="2779" w:type="dxa"/>
            <w:tcBorders>
              <w:top w:val="none"/>
              <w:left w:val="none"/>
              <w:bottom w:val="none"/>
              <w:right w:val="none"/>
            </w:tcBorders>
            <w:textDirection w:val="lrTb"/>
            <w:vAlign w:val="top"/>
          </w:tcPr>
          <w:p>
            <w:pPr>
              <w:spacing w:before="70" w:after="37" w:line="230" w:lineRule="exact"/>
              <w:ind w:right="0" w:left="28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Methanol (methyl alcohol), if the substance contains more than 1% by volume</w:t>
            </w:r>
          </w:p>
        </w:tc>
        <w:tc>
          <w:tcPr>
            <w:tcW w:w="4177" w:type="dxa"/>
            <w:tcBorders>
              <w:top w:val="none"/>
              <w:left w:val="none"/>
              <w:bottom w:val="none"/>
              <w:right w:val="none"/>
            </w:tcBorders>
            <w:textDirection w:val="lrTb"/>
            <w:vAlign w:val="top"/>
          </w:tcPr>
          <w:p>
            <w:pPr>
              <w:spacing w:before="76" w:after="493" w:line="228" w:lineRule="exact"/>
              <w:ind w:right="0" w:left="9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For spray painting</w:t>
            </w:r>
          </w:p>
        </w:tc>
      </w:tr>
      <w:tr>
        <w:trPr>
          <w:trHeight w:val="585" w:hRule="exact"/>
        </w:trPr>
        <w:tc>
          <w:tcPr>
            <w:tcW w:w="1124" w:type="dxa"/>
            <w:tcBorders>
              <w:top w:val="none"/>
              <w:left w:val="none"/>
              <w:bottom w:val="none"/>
              <w:right w:val="none"/>
            </w:tcBorders>
            <w:textDirection w:val="lrTb"/>
            <w:vAlign w:val="top"/>
          </w:tcPr>
          <w:p>
            <w:pPr>
              <w:spacing w:before="76" w:after="277" w:line="228" w:lineRule="exact"/>
              <w:ind w:right="522"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14</w:t>
            </w:r>
          </w:p>
        </w:tc>
        <w:tc>
          <w:tcPr>
            <w:tcW w:w="2779" w:type="dxa"/>
            <w:tcBorders>
              <w:top w:val="none"/>
              <w:left w:val="none"/>
              <w:bottom w:val="none"/>
              <w:right w:val="none"/>
            </w:tcBorders>
            <w:textDirection w:val="lrTb"/>
            <w:vAlign w:val="top"/>
          </w:tcPr>
          <w:p>
            <w:pPr>
              <w:spacing w:before="76" w:after="277" w:line="228" w:lineRule="exact"/>
              <w:ind w:right="0" w:left="25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Nickel and its compounds</w:t>
            </w:r>
          </w:p>
        </w:tc>
        <w:tc>
          <w:tcPr>
            <w:tcW w:w="4177" w:type="dxa"/>
            <w:tcBorders>
              <w:top w:val="none"/>
              <w:left w:val="none"/>
              <w:bottom w:val="none"/>
              <w:right w:val="none"/>
            </w:tcBorders>
            <w:textDirection w:val="lrTb"/>
            <w:vAlign w:val="top"/>
          </w:tcPr>
          <w:p>
            <w:pPr>
              <w:spacing w:before="64" w:after="47" w:line="235" w:lineRule="exact"/>
              <w:ind w:right="684"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For abrasive blasting at a concentration of greater than 0·1% as nickel</w:t>
            </w:r>
          </w:p>
        </w:tc>
      </w:tr>
      <w:tr>
        <w:trPr>
          <w:trHeight w:val="346" w:hRule="exact"/>
        </w:trPr>
        <w:tc>
          <w:tcPr>
            <w:tcW w:w="1124" w:type="dxa"/>
            <w:tcBorders>
              <w:top w:val="none"/>
              <w:left w:val="none"/>
              <w:bottom w:val="none"/>
              <w:right w:val="none"/>
            </w:tcBorders>
            <w:textDirection w:val="lrTb"/>
            <w:vAlign w:val="center"/>
          </w:tcPr>
          <w:p>
            <w:pPr>
              <w:spacing w:before="72" w:after="41" w:line="228" w:lineRule="exact"/>
              <w:ind w:right="522"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15</w:t>
            </w:r>
          </w:p>
        </w:tc>
        <w:tc>
          <w:tcPr>
            <w:tcW w:w="2779" w:type="dxa"/>
            <w:tcBorders>
              <w:top w:val="none"/>
              <w:left w:val="none"/>
              <w:bottom w:val="none"/>
              <w:right w:val="none"/>
            </w:tcBorders>
            <w:textDirection w:val="lrTb"/>
            <w:vAlign w:val="center"/>
          </w:tcPr>
          <w:p>
            <w:pPr>
              <w:spacing w:before="72" w:after="41" w:line="228" w:lineRule="exact"/>
              <w:ind w:right="0" w:left="25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Nitrates</w:t>
            </w:r>
          </w:p>
        </w:tc>
        <w:tc>
          <w:tcPr>
            <w:tcW w:w="4177" w:type="dxa"/>
            <w:tcBorders>
              <w:top w:val="none"/>
              <w:left w:val="none"/>
              <w:bottom w:val="none"/>
              <w:right w:val="none"/>
            </w:tcBorders>
            <w:textDirection w:val="lrTb"/>
            <w:vAlign w:val="center"/>
          </w:tcPr>
          <w:p>
            <w:pPr>
              <w:spacing w:before="72" w:after="41" w:line="228" w:lineRule="exact"/>
              <w:ind w:right="0" w:left="9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For wet abrasive blasting</w:t>
            </w:r>
          </w:p>
        </w:tc>
      </w:tr>
      <w:tr>
        <w:trPr>
          <w:trHeight w:val="350" w:hRule="exact"/>
        </w:trPr>
        <w:tc>
          <w:tcPr>
            <w:tcW w:w="1124" w:type="dxa"/>
            <w:tcBorders>
              <w:top w:val="none"/>
              <w:left w:val="none"/>
              <w:bottom w:val="none"/>
              <w:right w:val="none"/>
            </w:tcBorders>
            <w:textDirection w:val="lrTb"/>
            <w:vAlign w:val="center"/>
          </w:tcPr>
          <w:p>
            <w:pPr>
              <w:spacing w:before="76" w:after="37" w:line="228" w:lineRule="exact"/>
              <w:ind w:right="522"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16</w:t>
            </w:r>
          </w:p>
        </w:tc>
        <w:tc>
          <w:tcPr>
            <w:tcW w:w="2779" w:type="dxa"/>
            <w:tcBorders>
              <w:top w:val="none"/>
              <w:left w:val="none"/>
              <w:bottom w:val="none"/>
              <w:right w:val="none"/>
            </w:tcBorders>
            <w:textDirection w:val="lrTb"/>
            <w:vAlign w:val="center"/>
          </w:tcPr>
          <w:p>
            <w:pPr>
              <w:spacing w:before="76" w:after="37" w:line="228" w:lineRule="exact"/>
              <w:ind w:right="0" w:left="25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Nitrites</w:t>
            </w:r>
          </w:p>
        </w:tc>
        <w:tc>
          <w:tcPr>
            <w:tcW w:w="4177" w:type="dxa"/>
            <w:tcBorders>
              <w:top w:val="none"/>
              <w:left w:val="none"/>
              <w:bottom w:val="none"/>
              <w:right w:val="none"/>
            </w:tcBorders>
            <w:textDirection w:val="lrTb"/>
            <w:vAlign w:val="center"/>
          </w:tcPr>
          <w:p>
            <w:pPr>
              <w:spacing w:before="76" w:after="37" w:line="228" w:lineRule="exact"/>
              <w:ind w:right="0" w:left="9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For wet abrasive blasting</w:t>
            </w:r>
          </w:p>
        </w:tc>
      </w:tr>
      <w:tr>
        <w:trPr>
          <w:trHeight w:val="288" w:hRule="exact"/>
        </w:trPr>
        <w:tc>
          <w:tcPr>
            <w:tcW w:w="1124" w:type="dxa"/>
            <w:tcBorders>
              <w:top w:val="none"/>
              <w:left w:val="none"/>
              <w:bottom w:val="none"/>
              <w:right w:val="none"/>
            </w:tcBorders>
            <w:textDirection w:val="lrTb"/>
            <w:vAlign w:val="center"/>
          </w:tcPr>
          <w:p>
            <w:pPr>
              <w:spacing w:before="76" w:after="0" w:line="203" w:lineRule="exact"/>
              <w:ind w:right="522"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17</w:t>
            </w:r>
          </w:p>
        </w:tc>
        <w:tc>
          <w:tcPr>
            <w:tcW w:w="2779" w:type="dxa"/>
            <w:tcBorders>
              <w:top w:val="none"/>
              <w:left w:val="none"/>
              <w:bottom w:val="none"/>
              <w:right w:val="none"/>
            </w:tcBorders>
            <w:textDirection w:val="lrTb"/>
            <w:vAlign w:val="center"/>
          </w:tcPr>
          <w:p>
            <w:pPr>
              <w:spacing w:before="72" w:after="0" w:line="207" w:lineRule="exact"/>
              <w:ind w:right="0" w:left="25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Radioactive substance of any</w:t>
            </w:r>
          </w:p>
        </w:tc>
        <w:tc>
          <w:tcPr>
            <w:tcW w:w="4177" w:type="dxa"/>
            <w:tcBorders>
              <w:top w:val="none"/>
              <w:left w:val="none"/>
              <w:bottom w:val="none"/>
              <w:right w:val="none"/>
            </w:tcBorders>
            <w:textDirection w:val="lrTb"/>
            <w:vAlign w:val="center"/>
          </w:tcPr>
          <w:p>
            <w:pPr>
              <w:spacing w:before="72" w:after="0" w:line="207" w:lineRule="exact"/>
              <w:ind w:right="0" w:left="9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For abrasive blasting, so far as is reasonably</w:t>
            </w:r>
          </w:p>
        </w:tc>
      </w:tr>
      <w:tr>
        <w:trPr>
          <w:trHeight w:val="543" w:hRule="exact"/>
        </w:trPr>
        <w:tc>
          <w:tcPr>
            <w:tcW w:w="1124"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779" w:type="dxa"/>
            <w:tcBorders>
              <w:top w:val="none"/>
              <w:left w:val="none"/>
              <w:bottom w:val="none"/>
              <w:right w:val="none"/>
            </w:tcBorders>
            <w:textDirection w:val="lrTb"/>
            <w:vAlign w:val="top"/>
          </w:tcPr>
          <w:p>
            <w:pPr>
              <w:spacing w:before="0" w:after="66" w:line="230"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kind where the level of</w:t>
              <w:br/>
            </w:r>
            <w:r>
              <w:rPr>
                <w:rFonts w:ascii="Times New Roman" w:hAnsi="Times New Roman" w:eastAsia="Times New Roman"/>
                <w:color w:val="000000"/>
                <w:spacing w:val="0"/>
                <w:w w:val="100"/>
                <w:sz w:val="20"/>
                <w:vertAlign w:val="baseline"/>
                <w:lang w:val="en-US"/>
              </w:rPr>
              <w:t xml:space="preserve">radiation exceeds 1 Bq/g</w:t>
            </w:r>
          </w:p>
        </w:tc>
        <w:tc>
          <w:tcPr>
            <w:tcW w:w="4177" w:type="dxa"/>
            <w:tcBorders>
              <w:top w:val="none"/>
              <w:left w:val="none"/>
              <w:bottom w:val="none"/>
              <w:right w:val="none"/>
            </w:tcBorders>
            <w:textDirection w:val="lrTb"/>
            <w:vAlign w:val="top"/>
          </w:tcPr>
          <w:p>
            <w:pPr>
              <w:spacing w:before="0" w:after="291" w:line="228" w:lineRule="exact"/>
              <w:ind w:right="0" w:left="9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practicable</w:t>
            </w:r>
          </w:p>
        </w:tc>
      </w:tr>
      <w:tr>
        <w:trPr>
          <w:trHeight w:val="331" w:hRule="exact"/>
        </w:trPr>
        <w:tc>
          <w:tcPr>
            <w:tcW w:w="1124" w:type="dxa"/>
            <w:tcBorders>
              <w:top w:val="none"/>
              <w:left w:val="none"/>
              <w:bottom w:val="none"/>
              <w:right w:val="none"/>
            </w:tcBorders>
            <w:textDirection w:val="lrTb"/>
            <w:vAlign w:val="center"/>
          </w:tcPr>
          <w:p>
            <w:pPr>
              <w:spacing w:before="57" w:after="41" w:line="228" w:lineRule="exact"/>
              <w:ind w:right="522"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18</w:t>
            </w:r>
          </w:p>
        </w:tc>
        <w:tc>
          <w:tcPr>
            <w:tcW w:w="2779" w:type="dxa"/>
            <w:tcBorders>
              <w:top w:val="none"/>
              <w:left w:val="none"/>
              <w:bottom w:val="none"/>
              <w:right w:val="none"/>
            </w:tcBorders>
            <w:textDirection w:val="lrTb"/>
            <w:vAlign w:val="center"/>
          </w:tcPr>
          <w:p>
            <w:pPr>
              <w:spacing w:before="57" w:after="41" w:line="228" w:lineRule="exact"/>
              <w:ind w:right="0" w:left="25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Tetrachloroethane</w:t>
            </w:r>
          </w:p>
        </w:tc>
        <w:tc>
          <w:tcPr>
            <w:tcW w:w="4177" w:type="dxa"/>
            <w:tcBorders>
              <w:top w:val="none"/>
              <w:left w:val="none"/>
              <w:bottom w:val="none"/>
              <w:right w:val="none"/>
            </w:tcBorders>
            <w:textDirection w:val="lrTb"/>
            <w:vAlign w:val="center"/>
          </w:tcPr>
          <w:p>
            <w:pPr>
              <w:spacing w:before="57" w:after="41" w:line="228" w:lineRule="exact"/>
              <w:ind w:right="0" w:left="9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For spray painting</w:t>
            </w:r>
          </w:p>
        </w:tc>
      </w:tr>
      <w:tr>
        <w:trPr>
          <w:trHeight w:val="581" w:hRule="exact"/>
        </w:trPr>
        <w:tc>
          <w:tcPr>
            <w:tcW w:w="1124" w:type="dxa"/>
            <w:tcBorders>
              <w:top w:val="none"/>
              <w:left w:val="none"/>
              <w:bottom w:val="none"/>
              <w:right w:val="none"/>
            </w:tcBorders>
            <w:textDirection w:val="lrTb"/>
            <w:vAlign w:val="top"/>
          </w:tcPr>
          <w:p>
            <w:pPr>
              <w:spacing w:before="76" w:after="267" w:line="228" w:lineRule="exact"/>
              <w:ind w:right="522"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19</w:t>
            </w:r>
          </w:p>
        </w:tc>
        <w:tc>
          <w:tcPr>
            <w:tcW w:w="2779" w:type="dxa"/>
            <w:tcBorders>
              <w:top w:val="none"/>
              <w:left w:val="none"/>
              <w:bottom w:val="none"/>
              <w:right w:val="none"/>
            </w:tcBorders>
            <w:textDirection w:val="lrTb"/>
            <w:vAlign w:val="top"/>
          </w:tcPr>
          <w:p>
            <w:pPr>
              <w:spacing w:before="68" w:after="41" w:line="231" w:lineRule="exact"/>
              <w:ind w:right="0" w:left="28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Tetrachloromethane (carbon tetrachloride)</w:t>
            </w:r>
          </w:p>
        </w:tc>
        <w:tc>
          <w:tcPr>
            <w:tcW w:w="4177" w:type="dxa"/>
            <w:tcBorders>
              <w:top w:val="none"/>
              <w:left w:val="none"/>
              <w:bottom w:val="none"/>
              <w:right w:val="none"/>
            </w:tcBorders>
            <w:textDirection w:val="lrTb"/>
            <w:vAlign w:val="top"/>
          </w:tcPr>
          <w:p>
            <w:pPr>
              <w:spacing w:before="76" w:after="267" w:line="228" w:lineRule="exact"/>
              <w:ind w:right="0" w:left="9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For spray painting</w:t>
            </w:r>
          </w:p>
        </w:tc>
      </w:tr>
      <w:tr>
        <w:trPr>
          <w:trHeight w:val="581" w:hRule="exact"/>
        </w:trPr>
        <w:tc>
          <w:tcPr>
            <w:tcW w:w="1124" w:type="dxa"/>
            <w:tcBorders>
              <w:top w:val="none"/>
              <w:left w:val="none"/>
              <w:bottom w:val="none"/>
              <w:right w:val="none"/>
            </w:tcBorders>
            <w:textDirection w:val="lrTb"/>
            <w:vAlign w:val="top"/>
          </w:tcPr>
          <w:p>
            <w:pPr>
              <w:spacing w:before="76" w:after="277" w:line="228" w:lineRule="exact"/>
              <w:ind w:right="522"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w:t>
            </w:r>
          </w:p>
        </w:tc>
        <w:tc>
          <w:tcPr>
            <w:tcW w:w="2779" w:type="dxa"/>
            <w:tcBorders>
              <w:top w:val="none"/>
              <w:left w:val="none"/>
              <w:bottom w:val="none"/>
              <w:right w:val="none"/>
            </w:tcBorders>
            <w:textDirection w:val="lrTb"/>
            <w:vAlign w:val="top"/>
          </w:tcPr>
          <w:p>
            <w:pPr>
              <w:spacing w:before="76" w:after="277" w:line="228" w:lineRule="exact"/>
              <w:ind w:right="0" w:left="25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Tin and its compounds</w:t>
            </w:r>
          </w:p>
        </w:tc>
        <w:tc>
          <w:tcPr>
            <w:tcW w:w="4177" w:type="dxa"/>
            <w:tcBorders>
              <w:top w:val="none"/>
              <w:left w:val="none"/>
              <w:bottom w:val="none"/>
              <w:right w:val="none"/>
            </w:tcBorders>
            <w:textDirection w:val="lrTb"/>
            <w:vAlign w:val="top"/>
          </w:tcPr>
          <w:p>
            <w:pPr>
              <w:spacing w:before="69" w:after="52" w:line="230" w:lineRule="exact"/>
              <w:ind w:right="684"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For abrasive blasting at a concentration of greater than 0·1% as tin</w:t>
            </w:r>
          </w:p>
        </w:tc>
      </w:tr>
      <w:tr>
        <w:trPr>
          <w:trHeight w:val="350" w:hRule="exact"/>
        </w:trPr>
        <w:tc>
          <w:tcPr>
            <w:tcW w:w="1124" w:type="dxa"/>
            <w:tcBorders>
              <w:top w:val="none"/>
              <w:left w:val="none"/>
              <w:bottom w:val="single" w:sz="4" w:color="000000"/>
              <w:right w:val="none"/>
            </w:tcBorders>
            <w:textDirection w:val="lrTb"/>
            <w:vAlign w:val="center"/>
          </w:tcPr>
          <w:p>
            <w:pPr>
              <w:spacing w:before="71" w:after="46" w:line="228" w:lineRule="exact"/>
              <w:ind w:right="522"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21</w:t>
            </w:r>
          </w:p>
        </w:tc>
        <w:tc>
          <w:tcPr>
            <w:tcW w:w="2779" w:type="dxa"/>
            <w:tcBorders>
              <w:top w:val="none"/>
              <w:left w:val="none"/>
              <w:bottom w:val="single" w:sz="4" w:color="000000"/>
              <w:right w:val="none"/>
            </w:tcBorders>
            <w:textDirection w:val="lrTb"/>
            <w:vAlign w:val="center"/>
          </w:tcPr>
          <w:p>
            <w:pPr>
              <w:spacing w:before="71" w:after="46" w:line="228" w:lineRule="exact"/>
              <w:ind w:right="0" w:left="25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Tributyl tin</w:t>
            </w:r>
          </w:p>
        </w:tc>
        <w:tc>
          <w:tcPr>
            <w:tcW w:w="4177" w:type="dxa"/>
            <w:tcBorders>
              <w:top w:val="none"/>
              <w:left w:val="none"/>
              <w:bottom w:val="single" w:sz="4" w:color="000000"/>
              <w:right w:val="none"/>
            </w:tcBorders>
            <w:textDirection w:val="lrTb"/>
            <w:vAlign w:val="center"/>
          </w:tcPr>
          <w:p>
            <w:pPr>
              <w:spacing w:before="71" w:after="46" w:line="228" w:lineRule="exact"/>
              <w:ind w:right="0" w:left="9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For spray painting</w:t>
            </w:r>
          </w:p>
        </w:tc>
      </w:tr>
    </w:tbl>
    <w:p>
      <w:pPr>
        <w:spacing w:before="0" w:after="513" w:line="20" w:lineRule="exact"/>
      </w:pPr>
    </w:p>
    <w:p>
      <w:pPr>
        <w:spacing w:before="4" w:after="0" w:line="225" w:lineRule="exact"/>
        <w:ind w:right="0" w:left="0" w:firstLine="0"/>
        <w:jc w:val="left"/>
        <w:textAlignment w:val="baseline"/>
        <w:rPr>
          <w:rFonts w:ascii="Times New Roman" w:hAnsi="Times New Roman" w:eastAsia="Times New Roman"/>
          <w:b w:val="true"/>
          <w:color w:val="000000"/>
          <w:spacing w:val="26"/>
          <w:w w:val="100"/>
          <w:sz w:val="20"/>
          <w:vertAlign w:val="baseline"/>
          <w:lang w:val="en-US"/>
        </w:rPr>
      </w:pPr>
      <w:r>
        <w:rPr>
          <w:rFonts w:ascii="Times New Roman" w:hAnsi="Times New Roman" w:eastAsia="Times New Roman"/>
          <w:b w:val="true"/>
          <w:color w:val="000000"/>
          <w:spacing w:val="26"/>
          <w:w w:val="100"/>
          <w:sz w:val="20"/>
          <w:vertAlign w:val="baseline"/>
          <w:lang w:val="en-US"/>
        </w:rPr>
        <w:t xml:space="preserve">Note</w:t>
      </w:r>
    </w:p>
    <w:p>
      <w:pPr>
        <w:spacing w:before="125" w:after="2667"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5.95pt,728.15pt" to="500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Regulation 382 deals with polychlorinated biphenyls (PCBs).</w:t>
      </w:r>
    </w:p>
    <w:p>
      <w:pPr>
        <w:spacing w:before="125" w:after="2667" w:line="228" w:lineRule="exact"/>
        <w:sectPr>
          <w:type w:val="nextPage"/>
          <w:pgSz w:w="11909" w:h="16838" w:orient="portrait"/>
          <w:pgMar w:bottom="1082" w:top="1140" w:right="1910" w:left="191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462</w:t>
      </w:r>
    </w:p>
    <w:p>
      <w:pPr>
        <w:sectPr>
          <w:type w:val="continuous"/>
          <w:pgSz w:w="11909" w:h="16838" w:orient="portrait"/>
          <w:pgMar w:bottom="1082" w:top="1140" w:right="5811" w:left="1978" w:header="720" w:footer="720"/>
          <w:titlePg w:val="false"/>
          <w:textDirection w:val="lrTb"/>
        </w:sectPr>
      </w:pPr>
    </w:p>
    <w:p>
      <w:pPr>
        <w:spacing w:before="0" w:after="224" w:line="347" w:lineRule="exact"/>
        <w:ind w:right="36"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</w:t>
        <w:br/>
      </w:r>
      <w:r>
        <w:rPr>
          <w:rFonts w:ascii="Times New Roman" w:hAnsi="Times New Roman" w:eastAsia="Times New Roman"/>
          <w:color w:val="000000"/>
          <w:spacing w:val="0"/>
          <w:w w:val="100"/>
          <w:sz w:val="20"/>
          <w:vertAlign w:val="baseline"/>
          <w:lang w:val="en-US"/>
        </w:rPr>
        <w:t xml:space="preserve">Schedule 11 Placard and manifest quantities</w:t>
      </w:r>
    </w:p>
    <w:p>
      <w:pPr>
        <w:spacing w:before="258" w:after="0" w:line="317" w:lineRule="exact"/>
        <w:ind w:right="36" w:left="72" w:firstLine="0"/>
        <w:jc w:val="left"/>
        <w:textAlignment w:val="baseline"/>
        <w:rPr>
          <w:rFonts w:ascii="Times New Roman" w:hAnsi="Times New Roman" w:eastAsia="Times New Roman"/>
          <w:b w:val="true"/>
          <w:color w:val="000000"/>
          <w:spacing w:val="0"/>
          <w:w w:val="100"/>
          <w:sz w:val="28"/>
          <w:vertAlign w:val="baseline"/>
          <w:lang w:val="en-US"/>
        </w:rPr>
      </w:pPr>
      <w:r>
        <w:pict>
          <v:line strokeweight="0.5pt" strokecolor="#000000" from="95.95pt,103.9pt" to="500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8"/>
          <w:vertAlign w:val="baseline"/>
          <w:lang w:val="en-US"/>
        </w:rPr>
        <w:t xml:space="preserve">Schedule 11 Placard and manifest quantities</w:t>
      </w:r>
    </w:p>
    <w:p>
      <w:pPr>
        <w:spacing w:before="121" w:after="0" w:line="228" w:lineRule="exact"/>
        <w:ind w:right="36" w:left="72"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Regulations 347–350, 361, 390 and 391</w:t>
      </w:r>
    </w:p>
    <w:p>
      <w:pPr>
        <w:spacing w:before="121" w:after="37" w:line="230" w:lineRule="exact"/>
        <w:ind w:right="36" w:left="72" w:firstLine="0"/>
        <w:jc w:val="left"/>
        <w:textAlignment w:val="baseline"/>
        <w:rPr>
          <w:rFonts w:ascii="Times New Roman" w:hAnsi="Times New Roman" w:eastAsia="Times New Roman"/>
          <w:b w:val="true"/>
          <w:color w:val="000000"/>
          <w:spacing w:val="-5"/>
          <w:w w:val="100"/>
          <w:sz w:val="21"/>
          <w:vertAlign w:val="baseline"/>
          <w:lang w:val="en-US"/>
        </w:rPr>
      </w:pPr>
      <w:r>
        <w:rPr>
          <w:rFonts w:ascii="Times New Roman" w:hAnsi="Times New Roman" w:eastAsia="Times New Roman"/>
          <w:b w:val="true"/>
          <w:color w:val="000000"/>
          <w:spacing w:val="-5"/>
          <w:w w:val="100"/>
          <w:sz w:val="21"/>
          <w:vertAlign w:val="baseline"/>
          <w:lang w:val="en-US"/>
        </w:rPr>
        <w:t xml:space="preserve">Table 11.1</w:t>
      </w:r>
    </w:p>
    <w:p>
      <w:pPr>
        <w:rPr>
          <w:sz w:val="2"/>
        </w:rPr>
      </w:pPr>
      <w:r>
        <w:pict>
          <v:line strokeweight="0.5pt" strokecolor="#000000" from="99.35pt,169.9pt" to="496.6pt,169.9pt" style="position:absolute;mso-position-horizontal-relative:page;mso-position-vertical-relative:page;">
            <v:stroke dashstyle="solid"/>
          </v:line>
        </w:pict>
      </w:r>
      <w:r>
        <w:pict>
          <v:line strokeweight="0.5pt" strokecolor="#000000" from="95.95pt,728.15pt" to="500pt,728.15pt" style="position:absolute;mso-position-horizontal-relative:page;mso-position-vertical-relative:page;">
            <v:stroke dashstyle="solid"/>
          </v:line>
        </w:pict>
      </w:r>
    </w:p>
    <w:tbl>
      <w:tblPr>
        <w:jc w:val="left"/>
        <w:tblLayout w:type="fixed"/>
        <w:tblCellMar>
          <w:left w:w="0" w:type="dxa"/>
          <w:right w:w="0" w:type="dxa"/>
        </w:tblCellMar>
      </w:tblPr>
      <w:tblGrid>
        <w:gridCol w:w="975"/>
        <w:gridCol w:w="1445"/>
        <w:gridCol w:w="2659"/>
        <w:gridCol w:w="1267"/>
        <w:gridCol w:w="1734"/>
      </w:tblGrid>
      <w:tr>
        <w:trPr>
          <w:trHeight w:val="813" w:hRule="exact"/>
        </w:trPr>
        <w:tc>
          <w:tcPr>
            <w:tcW w:w="975" w:type="dxa"/>
            <w:tcBorders>
              <w:top w:val="none"/>
              <w:left w:val="none"/>
              <w:bottom w:val="single" w:sz="4" w:color="000000"/>
              <w:right w:val="none"/>
            </w:tcBorders>
            <w:textDirection w:val="lrTb"/>
            <w:vAlign w:val="top"/>
          </w:tcPr>
          <w:p>
            <w:pPr>
              <w:spacing w:before="0" w:after="55" w:line="378" w:lineRule="exact"/>
              <w:ind w:right="0" w:left="144" w:firstLine="0"/>
              <w:jc w:val="left"/>
              <w:textAlignment w:val="baseline"/>
              <w:rPr>
                <w:rFonts w:ascii="Times New Roman" w:hAnsi="Times New Roman" w:eastAsia="Times New Roman"/>
                <w:b w:val="true"/>
                <w:color w:val="000000"/>
                <w:spacing w:val="0"/>
                <w:w w:val="100"/>
                <w:sz w:val="16"/>
                <w:vertAlign w:val="baseline"/>
                <w:lang w:val="en-US"/>
              </w:rPr>
            </w:pPr>
            <w:r>
              <w:rPr>
                <w:rFonts w:ascii="Times New Roman" w:hAnsi="Times New Roman" w:eastAsia="Times New Roman"/>
                <w:b w:val="true"/>
                <w:color w:val="000000"/>
                <w:spacing w:val="0"/>
                <w:w w:val="100"/>
                <w:sz w:val="16"/>
                <w:vertAlign w:val="baseline"/>
                <w:lang w:val="en-US"/>
              </w:rPr>
              <w:t xml:space="preserve">Column 1 Item</w:t>
            </w:r>
          </w:p>
        </w:tc>
        <w:tc>
          <w:tcPr>
            <w:tcW w:w="4104" w:type="dxa"/>
            <w:gridSpan w:val="2"/>
            <w:tcBorders>
              <w:top w:val="none"/>
              <w:left w:val="none"/>
              <w:bottom w:val="single" w:sz="4" w:color="000000"/>
              <w:right w:val="none"/>
            </w:tcBorders>
            <w:textDirection w:val="lrTb"/>
            <w:vAlign w:val="top"/>
          </w:tcPr>
          <w:p>
            <w:pPr>
              <w:tabs>
                <w:tab w:val="left" w:leader="none" w:pos="1872"/>
              </w:tabs>
              <w:spacing w:before="0" w:after="55" w:line="378" w:lineRule="exact"/>
              <w:ind w:right="0" w:left="144" w:firstLine="0"/>
              <w:jc w:val="left"/>
              <w:textAlignment w:val="baseline"/>
              <w:rPr>
                <w:rFonts w:ascii="Times New Roman" w:hAnsi="Times New Roman" w:eastAsia="Times New Roman"/>
                <w:b w:val="true"/>
                <w:color w:val="000000"/>
                <w:spacing w:val="0"/>
                <w:w w:val="100"/>
                <w:sz w:val="16"/>
                <w:vertAlign w:val="baseline"/>
                <w:lang w:val="en-US"/>
              </w:rPr>
            </w:pPr>
            <w:r>
              <w:rPr>
                <w:rFonts w:ascii="Times New Roman" w:hAnsi="Times New Roman" w:eastAsia="Times New Roman"/>
                <w:b w:val="true"/>
                <w:color w:val="000000"/>
                <w:spacing w:val="0"/>
                <w:w w:val="100"/>
                <w:sz w:val="16"/>
                <w:vertAlign w:val="baseline"/>
                <w:lang w:val="en-US"/>
              </w:rPr>
              <w:t xml:space="preserve">Column 2	</w:t>
            </w:r>
            <w:r>
              <w:rPr>
                <w:rFonts w:ascii="Times New Roman" w:hAnsi="Times New Roman" w:eastAsia="Times New Roman"/>
                <w:b w:val="true"/>
                <w:color w:val="000000"/>
                <w:spacing w:val="0"/>
                <w:w w:val="100"/>
                <w:sz w:val="16"/>
                <w:vertAlign w:val="baseline"/>
                <w:lang w:val="en-US"/>
              </w:rPr>
              <w:t xml:space="preserve">Column 3</w:t>
              <w:br/>
            </w:r>
            <w:r>
              <w:rPr>
                <w:rFonts w:ascii="Times New Roman" w:hAnsi="Times New Roman" w:eastAsia="Times New Roman"/>
                <w:b w:val="true"/>
                <w:color w:val="000000"/>
                <w:spacing w:val="0"/>
                <w:w w:val="100"/>
                <w:sz w:val="16"/>
                <w:vertAlign w:val="baseline"/>
                <w:lang w:val="en-US"/>
              </w:rPr>
              <w:t xml:space="preserve">Description of hazardous chemical</w:t>
            </w:r>
          </w:p>
        </w:tc>
        <w:tc>
          <w:tcPr>
            <w:tcW w:w="1267" w:type="dxa"/>
            <w:tcBorders>
              <w:top w:val="none"/>
              <w:left w:val="none"/>
              <w:bottom w:val="single" w:sz="4" w:color="000000"/>
              <w:right w:val="none"/>
            </w:tcBorders>
            <w:textDirection w:val="lrTb"/>
            <w:vAlign w:val="top"/>
          </w:tcPr>
          <w:p>
            <w:pPr>
              <w:spacing w:before="0" w:after="55" w:line="245" w:lineRule="exact"/>
              <w:ind w:right="0" w:left="108" w:firstLine="0"/>
              <w:jc w:val="left"/>
              <w:textAlignment w:val="baseline"/>
              <w:rPr>
                <w:rFonts w:ascii="Times New Roman" w:hAnsi="Times New Roman" w:eastAsia="Times New Roman"/>
                <w:b w:val="true"/>
                <w:color w:val="000000"/>
                <w:spacing w:val="0"/>
                <w:w w:val="100"/>
                <w:sz w:val="16"/>
                <w:vertAlign w:val="baseline"/>
                <w:lang w:val="en-US"/>
              </w:rPr>
            </w:pPr>
            <w:r>
              <w:rPr>
                <w:rFonts w:ascii="Times New Roman" w:hAnsi="Times New Roman" w:eastAsia="Times New Roman"/>
                <w:b w:val="true"/>
                <w:color w:val="000000"/>
                <w:spacing w:val="0"/>
                <w:w w:val="100"/>
                <w:sz w:val="16"/>
                <w:vertAlign w:val="baseline"/>
                <w:lang w:val="en-US"/>
              </w:rPr>
              <w:t xml:space="preserve">Column 4</w:t>
              <w:br/>
            </w:r>
            <w:r>
              <w:rPr>
                <w:rFonts w:ascii="Times New Roman" w:hAnsi="Times New Roman" w:eastAsia="Times New Roman"/>
                <w:b w:val="true"/>
                <w:color w:val="000000"/>
                <w:spacing w:val="0"/>
                <w:w w:val="100"/>
                <w:sz w:val="16"/>
                <w:vertAlign w:val="baseline"/>
                <w:lang w:val="en-US"/>
              </w:rPr>
              <w:t xml:space="preserve">Placard</w:t>
              <w:br/>
            </w:r>
            <w:r>
              <w:rPr>
                <w:rFonts w:ascii="Times New Roman" w:hAnsi="Times New Roman" w:eastAsia="Times New Roman"/>
                <w:b w:val="true"/>
                <w:color w:val="000000"/>
                <w:spacing w:val="0"/>
                <w:w w:val="100"/>
                <w:sz w:val="16"/>
                <w:vertAlign w:val="baseline"/>
                <w:lang w:val="en-US"/>
              </w:rPr>
              <w:t xml:space="preserve">quantity</w:t>
            </w:r>
          </w:p>
        </w:tc>
        <w:tc>
          <w:tcPr>
            <w:tcW w:w="1734" w:type="dxa"/>
            <w:tcBorders>
              <w:top w:val="none"/>
              <w:left w:val="none"/>
              <w:bottom w:val="single" w:sz="4" w:color="000000"/>
              <w:right w:val="none"/>
            </w:tcBorders>
            <w:textDirection w:val="lrTb"/>
            <w:vAlign w:val="top"/>
          </w:tcPr>
          <w:p>
            <w:pPr>
              <w:spacing w:before="0" w:after="55" w:line="245" w:lineRule="exact"/>
              <w:ind w:right="0" w:left="252" w:firstLine="0"/>
              <w:jc w:val="left"/>
              <w:textAlignment w:val="baseline"/>
              <w:rPr>
                <w:rFonts w:ascii="Times New Roman" w:hAnsi="Times New Roman" w:eastAsia="Times New Roman"/>
                <w:b w:val="true"/>
                <w:color w:val="000000"/>
                <w:spacing w:val="0"/>
                <w:w w:val="100"/>
                <w:sz w:val="16"/>
                <w:vertAlign w:val="baseline"/>
                <w:lang w:val="en-US"/>
              </w:rPr>
            </w:pPr>
            <w:r>
              <w:rPr>
                <w:rFonts w:ascii="Times New Roman" w:hAnsi="Times New Roman" w:eastAsia="Times New Roman"/>
                <w:b w:val="true"/>
                <w:color w:val="000000"/>
                <w:spacing w:val="0"/>
                <w:w w:val="100"/>
                <w:sz w:val="16"/>
                <w:vertAlign w:val="baseline"/>
                <w:lang w:val="en-US"/>
              </w:rPr>
              <w:t xml:space="preserve">Column 5</w:t>
              <w:br/>
            </w:r>
            <w:r>
              <w:rPr>
                <w:rFonts w:ascii="Times New Roman" w:hAnsi="Times New Roman" w:eastAsia="Times New Roman"/>
                <w:b w:val="true"/>
                <w:color w:val="000000"/>
                <w:spacing w:val="0"/>
                <w:w w:val="100"/>
                <w:sz w:val="16"/>
                <w:vertAlign w:val="baseline"/>
                <w:lang w:val="en-US"/>
              </w:rPr>
              <w:t xml:space="preserve">Manifest</w:t>
              <w:br/>
            </w:r>
            <w:r>
              <w:rPr>
                <w:rFonts w:ascii="Times New Roman" w:hAnsi="Times New Roman" w:eastAsia="Times New Roman"/>
                <w:b w:val="true"/>
                <w:color w:val="000000"/>
                <w:spacing w:val="0"/>
                <w:w w:val="100"/>
                <w:sz w:val="16"/>
                <w:vertAlign w:val="baseline"/>
                <w:lang w:val="en-US"/>
              </w:rPr>
              <w:t xml:space="preserve">quantity</w:t>
            </w:r>
          </w:p>
        </w:tc>
      </w:tr>
      <w:tr>
        <w:trPr>
          <w:trHeight w:val="873" w:hRule="exact"/>
        </w:trPr>
        <w:tc>
          <w:tcPr>
            <w:tcW w:w="975" w:type="dxa"/>
            <w:tcBorders>
              <w:top w:val="single" w:sz="4" w:color="000000"/>
              <w:left w:val="none"/>
              <w:bottom w:val="none"/>
              <w:right w:val="none"/>
            </w:tcBorders>
            <w:textDirection w:val="lrTb"/>
            <w:vAlign w:val="top"/>
          </w:tcPr>
          <w:p>
            <w:pPr>
              <w:spacing w:before="80" w:after="555" w:line="228" w:lineRule="exact"/>
              <w:ind w:right="0" w:left="17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w:t>
            </w:r>
          </w:p>
        </w:tc>
        <w:tc>
          <w:tcPr>
            <w:tcW w:w="1445" w:type="dxa"/>
            <w:tcBorders>
              <w:top w:val="single" w:sz="4" w:color="000000"/>
              <w:left w:val="none"/>
              <w:bottom w:val="none"/>
              <w:right w:val="none"/>
            </w:tcBorders>
            <w:textDirection w:val="lrTb"/>
            <w:vAlign w:val="top"/>
          </w:tcPr>
          <w:p>
            <w:pPr>
              <w:spacing w:before="72" w:after="329" w:line="231"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Flammable gases</w:t>
            </w:r>
          </w:p>
        </w:tc>
        <w:tc>
          <w:tcPr>
            <w:tcW w:w="2659" w:type="dxa"/>
            <w:tcBorders>
              <w:top w:val="single" w:sz="4" w:color="000000"/>
              <w:left w:val="none"/>
              <w:bottom w:val="none"/>
              <w:right w:val="none"/>
            </w:tcBorders>
            <w:textDirection w:val="lrTb"/>
            <w:vAlign w:val="top"/>
          </w:tcPr>
          <w:p>
            <w:pPr>
              <w:spacing w:before="80" w:after="0" w:line="228" w:lineRule="exact"/>
              <w:ind w:right="0" w:left="28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Category 1A, category</w:t>
            </w:r>
          </w:p>
          <w:p>
            <w:pPr>
              <w:spacing w:before="52" w:after="41" w:line="231" w:lineRule="exact"/>
              <w:ind w:right="0" w:left="28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1B or any combination of categories 1A and 1B</w:t>
            </w:r>
          </w:p>
        </w:tc>
        <w:tc>
          <w:tcPr>
            <w:tcW w:w="1267" w:type="dxa"/>
            <w:tcBorders>
              <w:top w:val="single" w:sz="4" w:color="000000"/>
              <w:left w:val="none"/>
              <w:bottom w:val="none"/>
              <w:right w:val="none"/>
            </w:tcBorders>
            <w:textDirection w:val="lrTb"/>
            <w:vAlign w:val="top"/>
          </w:tcPr>
          <w:p>
            <w:pPr>
              <w:spacing w:before="80" w:after="555" w:line="228"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200L</w:t>
            </w:r>
          </w:p>
        </w:tc>
        <w:tc>
          <w:tcPr>
            <w:tcW w:w="1734" w:type="dxa"/>
            <w:tcBorders>
              <w:top w:val="single" w:sz="4" w:color="000000"/>
              <w:left w:val="none"/>
              <w:bottom w:val="none"/>
              <w:right w:val="none"/>
            </w:tcBorders>
            <w:textDirection w:val="lrTb"/>
            <w:vAlign w:val="top"/>
          </w:tcPr>
          <w:p>
            <w:pPr>
              <w:spacing w:before="80" w:after="555" w:line="228" w:lineRule="exact"/>
              <w:ind w:right="0" w:left="23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5000L</w:t>
            </w:r>
          </w:p>
        </w:tc>
      </w:tr>
      <w:tr>
        <w:trPr>
          <w:trHeight w:val="581" w:hRule="exact"/>
        </w:trPr>
        <w:tc>
          <w:tcPr>
            <w:tcW w:w="975" w:type="dxa"/>
            <w:tcBorders>
              <w:top w:val="none"/>
              <w:left w:val="none"/>
              <w:bottom w:val="none"/>
              <w:right w:val="none"/>
            </w:tcBorders>
            <w:textDirection w:val="lrTb"/>
            <w:vAlign w:val="top"/>
          </w:tcPr>
          <w:p>
            <w:pPr>
              <w:spacing w:before="76" w:after="262" w:line="228" w:lineRule="exact"/>
              <w:ind w:right="0" w:left="17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w:t>
            </w:r>
          </w:p>
        </w:tc>
        <w:tc>
          <w:tcPr>
            <w:tcW w:w="1445" w:type="dxa"/>
            <w:tcBorders>
              <w:top w:val="none"/>
              <w:left w:val="none"/>
              <w:bottom w:val="none"/>
              <w:right w:val="none"/>
            </w:tcBorders>
            <w:textDirection w:val="lrTb"/>
            <w:vAlign w:val="top"/>
          </w:tcPr>
          <w:p>
            <w:pPr>
              <w:spacing w:before="68" w:after="36" w:line="231"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Gases under pressure</w:t>
            </w:r>
          </w:p>
        </w:tc>
        <w:tc>
          <w:tcPr>
            <w:tcW w:w="2659" w:type="dxa"/>
            <w:tcBorders>
              <w:top w:val="none"/>
              <w:left w:val="none"/>
              <w:bottom w:val="none"/>
              <w:right w:val="none"/>
            </w:tcBorders>
            <w:textDirection w:val="lrTb"/>
            <w:vAlign w:val="top"/>
          </w:tcPr>
          <w:p>
            <w:pPr>
              <w:spacing w:before="68" w:after="36" w:line="231" w:lineRule="exact"/>
              <w:ind w:right="648" w:left="25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With acute toxicity, categories 1, 2, 3 or 4</w:t>
            </w:r>
          </w:p>
        </w:tc>
        <w:tc>
          <w:tcPr>
            <w:tcW w:w="1267" w:type="dxa"/>
            <w:tcBorders>
              <w:top w:val="none"/>
              <w:left w:val="none"/>
              <w:bottom w:val="none"/>
              <w:right w:val="none"/>
            </w:tcBorders>
            <w:textDirection w:val="lrTb"/>
            <w:vAlign w:val="top"/>
          </w:tcPr>
          <w:p>
            <w:pPr>
              <w:spacing w:before="76" w:after="262" w:line="228"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50L</w:t>
            </w:r>
          </w:p>
        </w:tc>
        <w:tc>
          <w:tcPr>
            <w:tcW w:w="1734" w:type="dxa"/>
            <w:tcBorders>
              <w:top w:val="none"/>
              <w:left w:val="none"/>
              <w:bottom w:val="none"/>
              <w:right w:val="none"/>
            </w:tcBorders>
            <w:textDirection w:val="lrTb"/>
            <w:vAlign w:val="top"/>
          </w:tcPr>
          <w:p>
            <w:pPr>
              <w:spacing w:before="76" w:after="262" w:line="228" w:lineRule="exact"/>
              <w:ind w:right="0" w:left="23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500L</w:t>
            </w:r>
          </w:p>
        </w:tc>
      </w:tr>
      <w:tr>
        <w:trPr>
          <w:trHeight w:val="581" w:hRule="exact"/>
        </w:trPr>
        <w:tc>
          <w:tcPr>
            <w:tcW w:w="975" w:type="dxa"/>
            <w:tcBorders>
              <w:top w:val="none"/>
              <w:left w:val="none"/>
              <w:bottom w:val="none"/>
              <w:right w:val="none"/>
            </w:tcBorders>
            <w:textDirection w:val="lrTb"/>
            <w:vAlign w:val="top"/>
          </w:tcPr>
          <w:p>
            <w:pPr>
              <w:spacing w:before="76" w:after="272" w:line="228" w:lineRule="exact"/>
              <w:ind w:right="0" w:left="17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w:t>
            </w:r>
          </w:p>
        </w:tc>
        <w:tc>
          <w:tcPr>
            <w:tcW w:w="1445"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659" w:type="dxa"/>
            <w:tcBorders>
              <w:top w:val="none"/>
              <w:left w:val="none"/>
              <w:bottom w:val="none"/>
              <w:right w:val="none"/>
            </w:tcBorders>
            <w:textDirection w:val="lrTb"/>
            <w:vAlign w:val="top"/>
          </w:tcPr>
          <w:p>
            <w:pPr>
              <w:spacing w:before="69" w:after="47" w:line="230" w:lineRule="exact"/>
              <w:ind w:right="0" w:left="25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With skin corrosion categories 1A, 1B or 1C</w:t>
            </w:r>
          </w:p>
        </w:tc>
        <w:tc>
          <w:tcPr>
            <w:tcW w:w="1267" w:type="dxa"/>
            <w:tcBorders>
              <w:top w:val="none"/>
              <w:left w:val="none"/>
              <w:bottom w:val="none"/>
              <w:right w:val="none"/>
            </w:tcBorders>
            <w:textDirection w:val="lrTb"/>
            <w:vAlign w:val="top"/>
          </w:tcPr>
          <w:p>
            <w:pPr>
              <w:spacing w:before="76" w:after="272" w:line="228"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50L</w:t>
            </w:r>
          </w:p>
        </w:tc>
        <w:tc>
          <w:tcPr>
            <w:tcW w:w="1734" w:type="dxa"/>
            <w:tcBorders>
              <w:top w:val="none"/>
              <w:left w:val="none"/>
              <w:bottom w:val="none"/>
              <w:right w:val="none"/>
            </w:tcBorders>
            <w:textDirection w:val="lrTb"/>
            <w:vAlign w:val="top"/>
          </w:tcPr>
          <w:p>
            <w:pPr>
              <w:spacing w:before="76" w:after="272" w:line="228" w:lineRule="exact"/>
              <w:ind w:right="0" w:left="23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500L</w:t>
            </w:r>
          </w:p>
        </w:tc>
      </w:tr>
      <w:tr>
        <w:trPr>
          <w:trHeight w:val="581" w:hRule="exact"/>
        </w:trPr>
        <w:tc>
          <w:tcPr>
            <w:tcW w:w="975" w:type="dxa"/>
            <w:tcBorders>
              <w:top w:val="none"/>
              <w:left w:val="none"/>
              <w:bottom w:val="none"/>
              <w:right w:val="none"/>
            </w:tcBorders>
            <w:textDirection w:val="lrTb"/>
            <w:vAlign w:val="top"/>
          </w:tcPr>
          <w:p>
            <w:pPr>
              <w:spacing w:before="76" w:after="267" w:line="228" w:lineRule="exact"/>
              <w:ind w:right="0" w:left="17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w:t>
            </w:r>
          </w:p>
        </w:tc>
        <w:tc>
          <w:tcPr>
            <w:tcW w:w="1445"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659" w:type="dxa"/>
            <w:tcBorders>
              <w:top w:val="none"/>
              <w:left w:val="none"/>
              <w:bottom w:val="none"/>
              <w:right w:val="none"/>
            </w:tcBorders>
            <w:textDirection w:val="lrTb"/>
            <w:vAlign w:val="top"/>
          </w:tcPr>
          <w:p>
            <w:pPr>
              <w:spacing w:before="69" w:after="42" w:line="230" w:lineRule="exact"/>
              <w:ind w:right="0" w:left="25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Not specified elsewhere in this Table</w:t>
            </w:r>
          </w:p>
        </w:tc>
        <w:tc>
          <w:tcPr>
            <w:tcW w:w="1267" w:type="dxa"/>
            <w:tcBorders>
              <w:top w:val="none"/>
              <w:left w:val="none"/>
              <w:bottom w:val="none"/>
              <w:right w:val="none"/>
            </w:tcBorders>
            <w:textDirection w:val="lrTb"/>
            <w:vAlign w:val="top"/>
          </w:tcPr>
          <w:p>
            <w:pPr>
              <w:spacing w:before="76" w:after="267" w:line="228"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1000L</w:t>
            </w:r>
          </w:p>
        </w:tc>
        <w:tc>
          <w:tcPr>
            <w:tcW w:w="1734" w:type="dxa"/>
            <w:tcBorders>
              <w:top w:val="none"/>
              <w:left w:val="none"/>
              <w:bottom w:val="none"/>
              <w:right w:val="none"/>
            </w:tcBorders>
            <w:textDirection w:val="lrTb"/>
            <w:vAlign w:val="top"/>
          </w:tcPr>
          <w:p>
            <w:pPr>
              <w:spacing w:before="76" w:after="267" w:line="228" w:lineRule="exact"/>
              <w:ind w:right="0" w:left="23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10 000L</w:t>
            </w:r>
          </w:p>
        </w:tc>
      </w:tr>
      <w:tr>
        <w:trPr>
          <w:trHeight w:val="288" w:hRule="exact"/>
        </w:trPr>
        <w:tc>
          <w:tcPr>
            <w:tcW w:w="975" w:type="dxa"/>
            <w:tcBorders>
              <w:top w:val="none"/>
              <w:left w:val="none"/>
              <w:bottom w:val="none"/>
              <w:right w:val="none"/>
            </w:tcBorders>
            <w:textDirection w:val="lrTb"/>
            <w:vAlign w:val="center"/>
          </w:tcPr>
          <w:p>
            <w:pPr>
              <w:spacing w:before="71" w:after="0" w:line="207" w:lineRule="exact"/>
              <w:ind w:right="0" w:left="17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w:t>
            </w:r>
          </w:p>
        </w:tc>
        <w:tc>
          <w:tcPr>
            <w:tcW w:w="1445" w:type="dxa"/>
            <w:tcBorders>
              <w:top w:val="none"/>
              <w:left w:val="none"/>
              <w:bottom w:val="none"/>
              <w:right w:val="none"/>
            </w:tcBorders>
            <w:textDirection w:val="lrTb"/>
            <w:vAlign w:val="center"/>
          </w:tcPr>
          <w:p>
            <w:pPr>
              <w:spacing w:before="66" w:after="0" w:line="212" w:lineRule="exact"/>
              <w:ind w:right="0" w:left="15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Flammable</w:t>
            </w:r>
          </w:p>
        </w:tc>
        <w:tc>
          <w:tcPr>
            <w:tcW w:w="2659" w:type="dxa"/>
            <w:tcBorders>
              <w:top w:val="none"/>
              <w:left w:val="none"/>
              <w:bottom w:val="none"/>
              <w:right w:val="none"/>
            </w:tcBorders>
            <w:textDirection w:val="lrTb"/>
            <w:vAlign w:val="center"/>
          </w:tcPr>
          <w:p>
            <w:pPr>
              <w:spacing w:before="71" w:after="0" w:line="207" w:lineRule="exact"/>
              <w:ind w:right="0" w:left="2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Category 1</w:t>
            </w:r>
          </w:p>
        </w:tc>
        <w:tc>
          <w:tcPr>
            <w:tcW w:w="1267" w:type="dxa"/>
            <w:tcBorders>
              <w:top w:val="none"/>
              <w:left w:val="none"/>
              <w:bottom w:val="none"/>
              <w:right w:val="none"/>
            </w:tcBorders>
            <w:textDirection w:val="lrTb"/>
            <w:vAlign w:val="center"/>
          </w:tcPr>
          <w:p>
            <w:pPr>
              <w:spacing w:before="71" w:after="0" w:line="207"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50L</w:t>
            </w:r>
          </w:p>
        </w:tc>
        <w:tc>
          <w:tcPr>
            <w:tcW w:w="1734" w:type="dxa"/>
            <w:tcBorders>
              <w:top w:val="none"/>
              <w:left w:val="none"/>
              <w:bottom w:val="none"/>
              <w:right w:val="none"/>
            </w:tcBorders>
            <w:textDirection w:val="lrTb"/>
            <w:vAlign w:val="center"/>
          </w:tcPr>
          <w:p>
            <w:pPr>
              <w:spacing w:before="71" w:after="0" w:line="207" w:lineRule="exact"/>
              <w:ind w:right="0" w:left="23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500L</w:t>
            </w:r>
          </w:p>
        </w:tc>
      </w:tr>
      <w:tr>
        <w:trPr>
          <w:trHeight w:val="412" w:hRule="exact"/>
        </w:trPr>
        <w:tc>
          <w:tcPr>
            <w:tcW w:w="975" w:type="dxa"/>
            <w:tcBorders>
              <w:top w:val="none"/>
              <w:left w:val="none"/>
              <w:bottom w:val="none"/>
              <w:right w:val="none"/>
            </w:tcBorders>
            <w:textDirection w:val="lrTb"/>
            <w:vAlign w:val="center"/>
          </w:tcPr>
          <w:p>
            <w:pPr>
              <w:spacing w:before="133" w:after="46" w:line="228" w:lineRule="exact"/>
              <w:ind w:right="0" w:left="174" w:firstLine="0"/>
              <w:jc w:val="left"/>
              <w:textAlignment w:val="baseline"/>
              <w:rPr>
                <w:rFonts w:ascii="Times New Roman" w:hAnsi="Times New Roman" w:eastAsia="Times New Roman"/>
                <w:color w:val="000000"/>
                <w:spacing w:val="0"/>
                <w:w w:val="100"/>
                <w:sz w:val="15"/>
                <w:vertAlign w:val="superscript"/>
                <w:lang w:val="en-US"/>
              </w:rPr>
            </w:pPr>
            <w:r>
              <w:rPr>
                <w:rFonts w:ascii="Times New Roman" w:hAnsi="Times New Roman" w:eastAsia="Times New Roman"/>
                <w:color w:val="000000"/>
                <w:spacing w:val="0"/>
                <w:w w:val="100"/>
                <w:sz w:val="15"/>
                <w:vertAlign w:val="superscript"/>
                <w:lang w:val="en-US"/>
              </w:rPr>
              <w:t xml:space="preserve">6</w:t>
            </w:r>
            <w:r>
              <w:rPr>
                <w:rFonts w:ascii="Times New Roman" w:hAnsi="Times New Roman" w:eastAsia="Times New Roman"/>
                <w:color w:val="000000"/>
                <w:spacing w:val="0"/>
                <w:w w:val="100"/>
                <w:sz w:val="20"/>
                <w:vertAlign w:val="baseline"/>
                <w:lang w:val="en-US"/>
              </w:rPr>
              <w:t xml:space="preserve">
</w:t>
            </w:r>
          </w:p>
        </w:tc>
        <w:tc>
          <w:tcPr>
            <w:tcW w:w="1445" w:type="dxa"/>
            <w:tcBorders>
              <w:top w:val="none"/>
              <w:left w:val="none"/>
              <w:bottom w:val="none"/>
              <w:right w:val="none"/>
            </w:tcBorders>
            <w:textDirection w:val="lrTb"/>
            <w:vAlign w:val="top"/>
          </w:tcPr>
          <w:p>
            <w:pPr>
              <w:spacing w:before="0" w:after="166" w:line="228" w:lineRule="exact"/>
              <w:ind w:right="0" w:left="15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liquids</w:t>
            </w:r>
          </w:p>
        </w:tc>
        <w:tc>
          <w:tcPr>
            <w:tcW w:w="2659" w:type="dxa"/>
            <w:tcBorders>
              <w:top w:val="none"/>
              <w:left w:val="none"/>
              <w:bottom w:val="none"/>
              <w:right w:val="none"/>
            </w:tcBorders>
            <w:textDirection w:val="lrTb"/>
            <w:vAlign w:val="center"/>
          </w:tcPr>
          <w:p>
            <w:pPr>
              <w:spacing w:before="133" w:after="46" w:line="228" w:lineRule="exact"/>
              <w:ind w:right="0" w:left="2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Category 2</w:t>
            </w:r>
          </w:p>
        </w:tc>
        <w:tc>
          <w:tcPr>
            <w:tcW w:w="1267" w:type="dxa"/>
            <w:tcBorders>
              <w:top w:val="none"/>
              <w:left w:val="none"/>
              <w:bottom w:val="none"/>
              <w:right w:val="none"/>
            </w:tcBorders>
            <w:textDirection w:val="lrTb"/>
            <w:vAlign w:val="center"/>
          </w:tcPr>
          <w:p>
            <w:pPr>
              <w:spacing w:before="133" w:after="46" w:line="228"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250L</w:t>
            </w:r>
          </w:p>
        </w:tc>
        <w:tc>
          <w:tcPr>
            <w:tcW w:w="1734" w:type="dxa"/>
            <w:tcBorders>
              <w:top w:val="none"/>
              <w:left w:val="none"/>
              <w:bottom w:val="none"/>
              <w:right w:val="none"/>
            </w:tcBorders>
            <w:textDirection w:val="lrTb"/>
            <w:vAlign w:val="center"/>
          </w:tcPr>
          <w:p>
            <w:pPr>
              <w:spacing w:before="133" w:after="46" w:line="228" w:lineRule="exact"/>
              <w:ind w:right="0" w:left="23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2500L</w:t>
            </w:r>
          </w:p>
        </w:tc>
      </w:tr>
      <w:tr>
        <w:trPr>
          <w:trHeight w:val="346" w:hRule="exact"/>
        </w:trPr>
        <w:tc>
          <w:tcPr>
            <w:tcW w:w="975" w:type="dxa"/>
            <w:tcBorders>
              <w:top w:val="none"/>
              <w:left w:val="none"/>
              <w:bottom w:val="none"/>
              <w:right w:val="none"/>
            </w:tcBorders>
            <w:textDirection w:val="lrTb"/>
            <w:vAlign w:val="center"/>
          </w:tcPr>
          <w:p>
            <w:pPr>
              <w:spacing w:before="71" w:after="42" w:line="228" w:lineRule="exact"/>
              <w:ind w:right="0" w:left="17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7</w:t>
            </w:r>
          </w:p>
        </w:tc>
        <w:tc>
          <w:tcPr>
            <w:tcW w:w="1445"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659" w:type="dxa"/>
            <w:tcBorders>
              <w:top w:val="none"/>
              <w:left w:val="none"/>
              <w:bottom w:val="none"/>
              <w:right w:val="none"/>
            </w:tcBorders>
            <w:textDirection w:val="lrTb"/>
            <w:vAlign w:val="center"/>
          </w:tcPr>
          <w:p>
            <w:pPr>
              <w:spacing w:before="71" w:after="42" w:line="228" w:lineRule="exact"/>
              <w:ind w:right="0" w:left="2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Category 3</w:t>
            </w:r>
          </w:p>
        </w:tc>
        <w:tc>
          <w:tcPr>
            <w:tcW w:w="1267" w:type="dxa"/>
            <w:tcBorders>
              <w:top w:val="none"/>
              <w:left w:val="none"/>
              <w:bottom w:val="none"/>
              <w:right w:val="none"/>
            </w:tcBorders>
            <w:textDirection w:val="lrTb"/>
            <w:vAlign w:val="center"/>
          </w:tcPr>
          <w:p>
            <w:pPr>
              <w:spacing w:before="71" w:after="42" w:line="228"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1000L</w:t>
            </w:r>
          </w:p>
        </w:tc>
        <w:tc>
          <w:tcPr>
            <w:tcW w:w="1734" w:type="dxa"/>
            <w:tcBorders>
              <w:top w:val="none"/>
              <w:left w:val="none"/>
              <w:bottom w:val="none"/>
              <w:right w:val="none"/>
            </w:tcBorders>
            <w:textDirection w:val="lrTb"/>
            <w:vAlign w:val="center"/>
          </w:tcPr>
          <w:p>
            <w:pPr>
              <w:spacing w:before="71" w:after="42" w:line="228" w:lineRule="exact"/>
              <w:ind w:right="0" w:left="23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10 000L</w:t>
            </w:r>
          </w:p>
        </w:tc>
      </w:tr>
      <w:tr>
        <w:trPr>
          <w:trHeight w:val="1277" w:hRule="exact"/>
        </w:trPr>
        <w:tc>
          <w:tcPr>
            <w:tcW w:w="975" w:type="dxa"/>
            <w:tcBorders>
              <w:top w:val="none"/>
              <w:left w:val="none"/>
              <w:bottom w:val="none"/>
              <w:right w:val="none"/>
            </w:tcBorders>
            <w:textDirection w:val="lrTb"/>
            <w:vAlign w:val="top"/>
          </w:tcPr>
          <w:p>
            <w:pPr>
              <w:spacing w:before="76" w:after="973" w:line="228" w:lineRule="exact"/>
              <w:ind w:right="0" w:left="17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8</w:t>
            </w:r>
          </w:p>
        </w:tc>
        <w:tc>
          <w:tcPr>
            <w:tcW w:w="1445"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659" w:type="dxa"/>
            <w:tcBorders>
              <w:top w:val="none"/>
              <w:left w:val="none"/>
              <w:bottom w:val="none"/>
              <w:right w:val="none"/>
            </w:tcBorders>
            <w:textDirection w:val="lrTb"/>
            <w:vAlign w:val="top"/>
          </w:tcPr>
          <w:p>
            <w:pPr>
              <w:spacing w:before="71" w:after="56" w:line="230" w:lineRule="exact"/>
              <w:ind w:right="0" w:left="25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Any combination of chemicals from Items 5 to 7 where none of the items exceeds the quantities in columns 4 or 5 on their own</w:t>
            </w:r>
          </w:p>
        </w:tc>
        <w:tc>
          <w:tcPr>
            <w:tcW w:w="1267" w:type="dxa"/>
            <w:tcBorders>
              <w:top w:val="none"/>
              <w:left w:val="none"/>
              <w:bottom w:val="none"/>
              <w:right w:val="none"/>
            </w:tcBorders>
            <w:textDirection w:val="lrTb"/>
            <w:vAlign w:val="top"/>
          </w:tcPr>
          <w:p>
            <w:pPr>
              <w:spacing w:before="76" w:after="973" w:line="228"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1000L</w:t>
            </w:r>
          </w:p>
        </w:tc>
        <w:tc>
          <w:tcPr>
            <w:tcW w:w="1734" w:type="dxa"/>
            <w:tcBorders>
              <w:top w:val="none"/>
              <w:left w:val="none"/>
              <w:bottom w:val="none"/>
              <w:right w:val="none"/>
            </w:tcBorders>
            <w:textDirection w:val="lrTb"/>
            <w:vAlign w:val="top"/>
          </w:tcPr>
          <w:p>
            <w:pPr>
              <w:spacing w:before="76" w:after="973" w:line="228" w:lineRule="exact"/>
              <w:ind w:right="0" w:left="23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10 000L</w:t>
            </w:r>
          </w:p>
        </w:tc>
      </w:tr>
      <w:tr>
        <w:trPr>
          <w:trHeight w:val="350" w:hRule="exact"/>
        </w:trPr>
        <w:tc>
          <w:tcPr>
            <w:tcW w:w="975" w:type="dxa"/>
            <w:tcBorders>
              <w:top w:val="none"/>
              <w:left w:val="none"/>
              <w:bottom w:val="none"/>
              <w:right w:val="none"/>
            </w:tcBorders>
            <w:textDirection w:val="lrTb"/>
            <w:vAlign w:val="center"/>
          </w:tcPr>
          <w:p>
            <w:pPr>
              <w:spacing w:before="71" w:after="46" w:line="228" w:lineRule="exact"/>
              <w:ind w:right="0" w:left="17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9</w:t>
            </w:r>
          </w:p>
        </w:tc>
        <w:tc>
          <w:tcPr>
            <w:tcW w:w="1445"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659" w:type="dxa"/>
            <w:tcBorders>
              <w:top w:val="none"/>
              <w:left w:val="none"/>
              <w:bottom w:val="none"/>
              <w:right w:val="none"/>
            </w:tcBorders>
            <w:textDirection w:val="lrTb"/>
            <w:vAlign w:val="center"/>
          </w:tcPr>
          <w:p>
            <w:pPr>
              <w:spacing w:before="71" w:after="46" w:line="228" w:lineRule="exact"/>
              <w:ind w:right="0" w:left="2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Category 4</w:t>
            </w:r>
          </w:p>
        </w:tc>
        <w:tc>
          <w:tcPr>
            <w:tcW w:w="1267" w:type="dxa"/>
            <w:tcBorders>
              <w:top w:val="none"/>
              <w:left w:val="none"/>
              <w:bottom w:val="none"/>
              <w:right w:val="none"/>
            </w:tcBorders>
            <w:textDirection w:val="lrTb"/>
            <w:vAlign w:val="center"/>
          </w:tcPr>
          <w:p>
            <w:pPr>
              <w:spacing w:before="71" w:after="46" w:line="228"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10 000L</w:t>
            </w:r>
          </w:p>
        </w:tc>
        <w:tc>
          <w:tcPr>
            <w:tcW w:w="1734" w:type="dxa"/>
            <w:tcBorders>
              <w:top w:val="none"/>
              <w:left w:val="none"/>
              <w:bottom w:val="none"/>
              <w:right w:val="none"/>
            </w:tcBorders>
            <w:textDirection w:val="lrTb"/>
            <w:vAlign w:val="center"/>
          </w:tcPr>
          <w:p>
            <w:pPr>
              <w:spacing w:before="71" w:after="46" w:line="228" w:lineRule="exact"/>
              <w:ind w:right="0" w:left="23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100 000L</w:t>
            </w:r>
          </w:p>
        </w:tc>
      </w:tr>
      <w:tr>
        <w:trPr>
          <w:trHeight w:val="691" w:hRule="exact"/>
        </w:trPr>
        <w:tc>
          <w:tcPr>
            <w:tcW w:w="975" w:type="dxa"/>
            <w:tcBorders>
              <w:top w:val="none"/>
              <w:left w:val="none"/>
              <w:bottom w:val="none"/>
              <w:right w:val="none"/>
            </w:tcBorders>
            <w:textDirection w:val="lrTb"/>
            <w:vAlign w:val="top"/>
          </w:tcPr>
          <w:p>
            <w:pPr>
              <w:spacing w:before="71" w:after="0" w:line="228"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w:t>
            </w:r>
          </w:p>
          <w:p>
            <w:pPr>
              <w:spacing w:before="118" w:after="41" w:line="228"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11</w:t>
            </w:r>
          </w:p>
        </w:tc>
        <w:tc>
          <w:tcPr>
            <w:tcW w:w="1445" w:type="dxa"/>
            <w:tcBorders>
              <w:top w:val="none"/>
              <w:left w:val="none"/>
              <w:bottom w:val="none"/>
              <w:right w:val="none"/>
            </w:tcBorders>
            <w:textDirection w:val="lrTb"/>
            <w:vAlign w:val="top"/>
          </w:tcPr>
          <w:p>
            <w:pPr>
              <w:spacing w:before="63" w:after="161" w:line="231"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Self-reactive</w:t>
              <w:br/>
            </w:r>
            <w:r>
              <w:rPr>
                <w:rFonts w:ascii="Times New Roman" w:hAnsi="Times New Roman" w:eastAsia="Times New Roman"/>
                <w:color w:val="000000"/>
                <w:spacing w:val="0"/>
                <w:w w:val="100"/>
                <w:sz w:val="20"/>
                <w:vertAlign w:val="baseline"/>
                <w:lang w:val="en-US"/>
              </w:rPr>
              <w:t xml:space="preserve">substances</w:t>
            </w:r>
          </w:p>
        </w:tc>
        <w:tc>
          <w:tcPr>
            <w:tcW w:w="2659" w:type="dxa"/>
            <w:tcBorders>
              <w:top w:val="none"/>
              <w:left w:val="none"/>
              <w:bottom w:val="none"/>
              <w:right w:val="none"/>
            </w:tcBorders>
            <w:textDirection w:val="lrTb"/>
            <w:vAlign w:val="top"/>
          </w:tcPr>
          <w:p>
            <w:pPr>
              <w:spacing w:before="0" w:after="41" w:line="322" w:lineRule="exact"/>
              <w:ind w:right="0" w:left="25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Type A</w:t>
              <w:br/>
            </w:r>
            <w:r>
              <w:rPr>
                <w:rFonts w:ascii="Times New Roman" w:hAnsi="Times New Roman" w:eastAsia="Times New Roman"/>
                <w:color w:val="000000"/>
                <w:spacing w:val="0"/>
                <w:w w:val="100"/>
                <w:sz w:val="20"/>
                <w:vertAlign w:val="baseline"/>
                <w:lang w:val="en-US"/>
              </w:rPr>
              <w:t xml:space="preserve">Type B</w:t>
            </w:r>
          </w:p>
        </w:tc>
        <w:tc>
          <w:tcPr>
            <w:tcW w:w="1267" w:type="dxa"/>
            <w:tcBorders>
              <w:top w:val="none"/>
              <w:left w:val="none"/>
              <w:bottom w:val="none"/>
              <w:right w:val="none"/>
            </w:tcBorders>
            <w:textDirection w:val="lrTb"/>
            <w:vAlign w:val="top"/>
          </w:tcPr>
          <w:p>
            <w:pPr>
              <w:spacing w:before="0" w:after="41" w:line="322"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5kg or 5L 50kg or 50L</w:t>
            </w:r>
          </w:p>
        </w:tc>
        <w:tc>
          <w:tcPr>
            <w:tcW w:w="1734" w:type="dxa"/>
            <w:tcBorders>
              <w:top w:val="none"/>
              <w:left w:val="none"/>
              <w:bottom w:val="none"/>
              <w:right w:val="none"/>
            </w:tcBorders>
            <w:textDirection w:val="lrTb"/>
            <w:vAlign w:val="top"/>
          </w:tcPr>
          <w:p>
            <w:pPr>
              <w:spacing w:before="0" w:after="41" w:line="322" w:lineRule="exact"/>
              <w:ind w:right="0" w:left="25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50kg or 50L 500kg or 500L</w:t>
            </w:r>
          </w:p>
        </w:tc>
      </w:tr>
      <w:tr>
        <w:trPr>
          <w:trHeight w:val="586" w:hRule="exact"/>
        </w:trPr>
        <w:tc>
          <w:tcPr>
            <w:tcW w:w="975" w:type="dxa"/>
            <w:tcBorders>
              <w:top w:val="none"/>
              <w:left w:val="none"/>
              <w:bottom w:val="none"/>
              <w:right w:val="none"/>
            </w:tcBorders>
            <w:textDirection w:val="lrTb"/>
            <w:vAlign w:val="top"/>
          </w:tcPr>
          <w:p>
            <w:pPr>
              <w:spacing w:before="76" w:after="267" w:line="228" w:lineRule="exact"/>
              <w:ind w:right="0" w:left="17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12</w:t>
            </w:r>
          </w:p>
        </w:tc>
        <w:tc>
          <w:tcPr>
            <w:tcW w:w="1445"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659" w:type="dxa"/>
            <w:tcBorders>
              <w:top w:val="none"/>
              <w:left w:val="none"/>
              <w:bottom w:val="none"/>
              <w:right w:val="none"/>
            </w:tcBorders>
            <w:textDirection w:val="lrTb"/>
            <w:vAlign w:val="top"/>
          </w:tcPr>
          <w:p>
            <w:pPr>
              <w:spacing w:before="76" w:after="267" w:line="228" w:lineRule="exact"/>
              <w:ind w:right="0" w:left="2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Type C to F</w:t>
            </w:r>
          </w:p>
        </w:tc>
        <w:tc>
          <w:tcPr>
            <w:tcW w:w="1267" w:type="dxa"/>
            <w:tcBorders>
              <w:top w:val="none"/>
              <w:left w:val="none"/>
              <w:bottom w:val="none"/>
              <w:right w:val="none"/>
            </w:tcBorders>
            <w:textDirection w:val="lrTb"/>
            <w:vAlign w:val="top"/>
          </w:tcPr>
          <w:p>
            <w:pPr>
              <w:spacing w:before="63" w:after="36" w:line="236" w:lineRule="exact"/>
              <w:ind w:right="0" w:left="10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250kg</w:t>
              <w:br/>
            </w:r>
            <w:r>
              <w:rPr>
                <w:rFonts w:ascii="Times New Roman" w:hAnsi="Times New Roman" w:eastAsia="Times New Roman"/>
                <w:color w:val="000000"/>
                <w:spacing w:val="0"/>
                <w:w w:val="100"/>
                <w:sz w:val="20"/>
                <w:vertAlign w:val="baseline"/>
                <w:lang w:val="en-US"/>
              </w:rPr>
              <w:t xml:space="preserve">or 250L</w:t>
            </w:r>
          </w:p>
        </w:tc>
        <w:tc>
          <w:tcPr>
            <w:tcW w:w="1734" w:type="dxa"/>
            <w:tcBorders>
              <w:top w:val="none"/>
              <w:left w:val="none"/>
              <w:bottom w:val="none"/>
              <w:right w:val="none"/>
            </w:tcBorders>
            <w:textDirection w:val="lrTb"/>
            <w:vAlign w:val="top"/>
          </w:tcPr>
          <w:p>
            <w:pPr>
              <w:spacing w:before="63" w:after="36" w:line="236" w:lineRule="exact"/>
              <w:ind w:right="0" w:left="25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2500kg or</w:t>
              <w:br/>
            </w:r>
            <w:r>
              <w:rPr>
                <w:rFonts w:ascii="Times New Roman" w:hAnsi="Times New Roman" w:eastAsia="Times New Roman"/>
                <w:color w:val="000000"/>
                <w:spacing w:val="0"/>
                <w:w w:val="100"/>
                <w:sz w:val="20"/>
                <w:vertAlign w:val="baseline"/>
                <w:lang w:val="en-US"/>
              </w:rPr>
              <w:t xml:space="preserve">2500L</w:t>
            </w:r>
          </w:p>
        </w:tc>
      </w:tr>
      <w:tr>
        <w:trPr>
          <w:trHeight w:val="696" w:hRule="exact"/>
        </w:trPr>
        <w:tc>
          <w:tcPr>
            <w:tcW w:w="975" w:type="dxa"/>
            <w:tcBorders>
              <w:top w:val="none"/>
              <w:left w:val="none"/>
              <w:bottom w:val="none"/>
              <w:right w:val="none"/>
            </w:tcBorders>
            <w:textDirection w:val="lrTb"/>
            <w:vAlign w:val="top"/>
          </w:tcPr>
          <w:p>
            <w:pPr>
              <w:spacing w:before="71" w:after="0" w:line="228"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13</w:t>
            </w:r>
          </w:p>
          <w:p>
            <w:pPr>
              <w:spacing w:before="122" w:after="42" w:line="228"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14</w:t>
            </w:r>
          </w:p>
        </w:tc>
        <w:tc>
          <w:tcPr>
            <w:tcW w:w="1445" w:type="dxa"/>
            <w:tcBorders>
              <w:top w:val="none"/>
              <w:left w:val="none"/>
              <w:bottom w:val="none"/>
              <w:right w:val="none"/>
            </w:tcBorders>
            <w:textDirection w:val="lrTb"/>
            <w:vAlign w:val="top"/>
          </w:tcPr>
          <w:p>
            <w:pPr>
              <w:spacing w:before="59" w:after="162" w:line="235"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Flammable solids</w:t>
            </w:r>
          </w:p>
        </w:tc>
        <w:tc>
          <w:tcPr>
            <w:tcW w:w="2659" w:type="dxa"/>
            <w:tcBorders>
              <w:top w:val="none"/>
              <w:left w:val="none"/>
              <w:bottom w:val="none"/>
              <w:right w:val="none"/>
            </w:tcBorders>
            <w:textDirection w:val="lrTb"/>
            <w:vAlign w:val="top"/>
          </w:tcPr>
          <w:p>
            <w:pPr>
              <w:spacing w:before="0" w:after="42" w:line="324" w:lineRule="exact"/>
              <w:ind w:right="0" w:left="25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Category 1</w:t>
              <w:br/>
            </w:r>
            <w:r>
              <w:rPr>
                <w:rFonts w:ascii="Times New Roman" w:hAnsi="Times New Roman" w:eastAsia="Times New Roman"/>
                <w:color w:val="000000"/>
                <w:spacing w:val="0"/>
                <w:w w:val="100"/>
                <w:sz w:val="20"/>
                <w:vertAlign w:val="baseline"/>
                <w:lang w:val="en-US"/>
              </w:rPr>
              <w:t xml:space="preserve">Category 2</w:t>
            </w:r>
          </w:p>
        </w:tc>
        <w:tc>
          <w:tcPr>
            <w:tcW w:w="1267" w:type="dxa"/>
            <w:tcBorders>
              <w:top w:val="none"/>
              <w:left w:val="none"/>
              <w:bottom w:val="none"/>
              <w:right w:val="none"/>
            </w:tcBorders>
            <w:textDirection w:val="lrTb"/>
            <w:vAlign w:val="top"/>
          </w:tcPr>
          <w:p>
            <w:pPr>
              <w:spacing w:before="0" w:after="42" w:line="324"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250kg</w:t>
              <w:br/>
            </w:r>
            <w:r>
              <w:rPr>
                <w:rFonts w:ascii="Times New Roman" w:hAnsi="Times New Roman" w:eastAsia="Times New Roman"/>
                <w:color w:val="000000"/>
                <w:spacing w:val="0"/>
                <w:w w:val="100"/>
                <w:sz w:val="20"/>
                <w:vertAlign w:val="baseline"/>
                <w:lang w:val="en-US"/>
              </w:rPr>
              <w:t xml:space="preserve">1000kg</w:t>
            </w:r>
          </w:p>
        </w:tc>
        <w:tc>
          <w:tcPr>
            <w:tcW w:w="1734" w:type="dxa"/>
            <w:tcBorders>
              <w:top w:val="none"/>
              <w:left w:val="none"/>
              <w:bottom w:val="none"/>
              <w:right w:val="none"/>
            </w:tcBorders>
            <w:textDirection w:val="lrTb"/>
            <w:vAlign w:val="top"/>
          </w:tcPr>
          <w:p>
            <w:pPr>
              <w:spacing w:before="0" w:after="42" w:line="324" w:lineRule="exact"/>
              <w:ind w:right="0" w:left="25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2500kg</w:t>
              <w:br/>
            </w:r>
            <w:r>
              <w:rPr>
                <w:rFonts w:ascii="Times New Roman" w:hAnsi="Times New Roman" w:eastAsia="Times New Roman"/>
                <w:color w:val="000000"/>
                <w:spacing w:val="0"/>
                <w:w w:val="100"/>
                <w:sz w:val="20"/>
                <w:vertAlign w:val="baseline"/>
                <w:lang w:val="en-US"/>
              </w:rPr>
              <w:t xml:space="preserve">10 000kg</w:t>
            </w:r>
          </w:p>
        </w:tc>
      </w:tr>
      <w:tr>
        <w:trPr>
          <w:trHeight w:val="288" w:hRule="exact"/>
        </w:trPr>
        <w:tc>
          <w:tcPr>
            <w:tcW w:w="975" w:type="dxa"/>
            <w:tcBorders>
              <w:top w:val="none"/>
              <w:left w:val="none"/>
              <w:bottom w:val="none"/>
              <w:right w:val="none"/>
            </w:tcBorders>
            <w:textDirection w:val="lrTb"/>
            <w:vAlign w:val="center"/>
          </w:tcPr>
          <w:p>
            <w:pPr>
              <w:spacing w:before="76" w:after="0" w:line="207" w:lineRule="exact"/>
              <w:ind w:right="0" w:left="17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15</w:t>
            </w:r>
          </w:p>
        </w:tc>
        <w:tc>
          <w:tcPr>
            <w:tcW w:w="1445"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659" w:type="dxa"/>
            <w:tcBorders>
              <w:top w:val="none"/>
              <w:left w:val="none"/>
              <w:bottom w:val="none"/>
              <w:right w:val="none"/>
            </w:tcBorders>
            <w:textDirection w:val="lrTb"/>
            <w:vAlign w:val="center"/>
          </w:tcPr>
          <w:p>
            <w:pPr>
              <w:spacing w:before="71" w:after="0" w:line="212" w:lineRule="exact"/>
              <w:ind w:right="0" w:left="2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Any combination of</w:t>
            </w:r>
          </w:p>
        </w:tc>
        <w:tc>
          <w:tcPr>
            <w:tcW w:w="1267" w:type="dxa"/>
            <w:tcBorders>
              <w:top w:val="none"/>
              <w:left w:val="none"/>
              <w:bottom w:val="none"/>
              <w:right w:val="none"/>
            </w:tcBorders>
            <w:textDirection w:val="lrTb"/>
            <w:vAlign w:val="center"/>
          </w:tcPr>
          <w:p>
            <w:pPr>
              <w:spacing w:before="71" w:after="0" w:line="212"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1000kg or</w:t>
            </w:r>
          </w:p>
        </w:tc>
        <w:tc>
          <w:tcPr>
            <w:tcW w:w="1734" w:type="dxa"/>
            <w:tcBorders>
              <w:top w:val="none"/>
              <w:left w:val="none"/>
              <w:bottom w:val="none"/>
              <w:right w:val="none"/>
            </w:tcBorders>
            <w:textDirection w:val="lrTb"/>
            <w:vAlign w:val="center"/>
          </w:tcPr>
          <w:p>
            <w:pPr>
              <w:spacing w:before="71" w:after="0" w:line="212" w:lineRule="exact"/>
              <w:ind w:right="0" w:left="14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10 000kg or</w:t>
            </w:r>
          </w:p>
        </w:tc>
      </w:tr>
      <w:tr>
        <w:trPr>
          <w:trHeight w:val="230" w:hRule="exact"/>
        </w:trPr>
        <w:tc>
          <w:tcPr>
            <w:tcW w:w="975"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1445"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659" w:type="dxa"/>
            <w:tcBorders>
              <w:top w:val="none"/>
              <w:left w:val="none"/>
              <w:bottom w:val="none"/>
              <w:right w:val="none"/>
            </w:tcBorders>
            <w:textDirection w:val="lrTb"/>
            <w:vAlign w:val="center"/>
          </w:tcPr>
          <w:p>
            <w:pPr>
              <w:spacing w:before="0" w:after="0" w:line="212" w:lineRule="exact"/>
              <w:ind w:right="0" w:left="2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chemicals from Items 11 to</w:t>
            </w:r>
          </w:p>
        </w:tc>
        <w:tc>
          <w:tcPr>
            <w:tcW w:w="1267" w:type="dxa"/>
            <w:tcBorders>
              <w:top w:val="none"/>
              <w:left w:val="none"/>
              <w:bottom w:val="none"/>
              <w:right w:val="none"/>
            </w:tcBorders>
            <w:textDirection w:val="lrTb"/>
            <w:vAlign w:val="center"/>
          </w:tcPr>
          <w:p>
            <w:pPr>
              <w:spacing w:before="0" w:after="0" w:line="212"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1000L</w:t>
            </w:r>
          </w:p>
        </w:tc>
        <w:tc>
          <w:tcPr>
            <w:tcW w:w="1734" w:type="dxa"/>
            <w:tcBorders>
              <w:top w:val="none"/>
              <w:left w:val="none"/>
              <w:bottom w:val="none"/>
              <w:right w:val="none"/>
            </w:tcBorders>
            <w:textDirection w:val="lrTb"/>
            <w:vAlign w:val="center"/>
          </w:tcPr>
          <w:p>
            <w:pPr>
              <w:spacing w:before="0" w:after="0" w:line="212" w:lineRule="exact"/>
              <w:ind w:right="0" w:left="14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10 000L</w:t>
            </w:r>
          </w:p>
        </w:tc>
      </w:tr>
      <w:tr>
        <w:trPr>
          <w:trHeight w:val="754" w:hRule="exact"/>
        </w:trPr>
        <w:tc>
          <w:tcPr>
            <w:tcW w:w="975"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1445"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659" w:type="dxa"/>
            <w:tcBorders>
              <w:top w:val="none"/>
              <w:left w:val="none"/>
              <w:bottom w:val="none"/>
              <w:right w:val="none"/>
            </w:tcBorders>
            <w:textDirection w:val="lrTb"/>
            <w:vAlign w:val="top"/>
          </w:tcPr>
          <w:p>
            <w:pPr>
              <w:spacing w:before="0" w:after="41" w:line="230" w:lineRule="exact"/>
              <w:ind w:right="0" w:left="25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14 where none of the items exceeds the quantities in columns 4 or 5 on their own</w:t>
            </w:r>
          </w:p>
        </w:tc>
        <w:tc>
          <w:tcPr>
            <w:tcW w:w="1267"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1734"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r>
      <w:tr>
        <w:trPr>
          <w:trHeight w:val="1017" w:hRule="exact"/>
        </w:trPr>
        <w:tc>
          <w:tcPr>
            <w:tcW w:w="975" w:type="dxa"/>
            <w:tcBorders>
              <w:top w:val="none"/>
              <w:left w:val="none"/>
              <w:bottom w:val="none"/>
              <w:right w:val="none"/>
            </w:tcBorders>
            <w:textDirection w:val="lrTb"/>
            <w:vAlign w:val="top"/>
          </w:tcPr>
          <w:p>
            <w:pPr>
              <w:spacing w:before="76" w:after="709" w:line="228" w:lineRule="exact"/>
              <w:ind w:right="0" w:left="17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16</w:t>
            </w:r>
          </w:p>
        </w:tc>
        <w:tc>
          <w:tcPr>
            <w:tcW w:w="1445" w:type="dxa"/>
            <w:tcBorders>
              <w:top w:val="none"/>
              <w:left w:val="none"/>
              <w:bottom w:val="none"/>
              <w:right w:val="none"/>
            </w:tcBorders>
            <w:textDirection w:val="lrTb"/>
            <w:vAlign w:val="top"/>
          </w:tcPr>
          <w:p>
            <w:pPr>
              <w:spacing w:before="70" w:after="23" w:line="230"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Pyrophoric liquids and pyrophoric solids</w:t>
            </w:r>
          </w:p>
        </w:tc>
        <w:tc>
          <w:tcPr>
            <w:tcW w:w="2659" w:type="dxa"/>
            <w:tcBorders>
              <w:top w:val="none"/>
              <w:left w:val="none"/>
              <w:bottom w:val="none"/>
              <w:right w:val="none"/>
            </w:tcBorders>
            <w:textDirection w:val="lrTb"/>
            <w:vAlign w:val="top"/>
          </w:tcPr>
          <w:p>
            <w:pPr>
              <w:spacing w:before="76" w:after="709" w:line="228" w:lineRule="exact"/>
              <w:ind w:right="0" w:left="2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Category 1</w:t>
            </w:r>
          </w:p>
        </w:tc>
        <w:tc>
          <w:tcPr>
            <w:tcW w:w="1267" w:type="dxa"/>
            <w:tcBorders>
              <w:top w:val="none"/>
              <w:left w:val="none"/>
              <w:bottom w:val="none"/>
              <w:right w:val="none"/>
            </w:tcBorders>
            <w:textDirection w:val="lrTb"/>
            <w:vAlign w:val="top"/>
          </w:tcPr>
          <w:p>
            <w:pPr>
              <w:spacing w:before="76" w:after="709" w:line="228"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50kg or 50L</w:t>
            </w:r>
          </w:p>
        </w:tc>
        <w:tc>
          <w:tcPr>
            <w:tcW w:w="1734" w:type="dxa"/>
            <w:tcBorders>
              <w:top w:val="none"/>
              <w:left w:val="none"/>
              <w:bottom w:val="none"/>
              <w:right w:val="none"/>
            </w:tcBorders>
            <w:textDirection w:val="lrTb"/>
            <w:vAlign w:val="top"/>
          </w:tcPr>
          <w:p>
            <w:pPr>
              <w:spacing w:before="76" w:after="709" w:line="228" w:lineRule="exact"/>
              <w:ind w:right="0" w:left="14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500kg or 500L</w:t>
            </w:r>
          </w:p>
        </w:tc>
      </w:tr>
    </w:tbl>
    <w:p>
      <w:pPr>
        <w:spacing w:before="0" w:after="1384" w:line="20" w:lineRule="exact"/>
      </w:pPr>
    </w:p>
    <w:p>
      <w:pPr>
        <w:spacing w:before="0" w:after="1384" w:line="20" w:lineRule="exact"/>
        <w:sectPr>
          <w:type w:val="nextPage"/>
          <w:pgSz w:w="11909" w:h="16838" w:orient="portrait"/>
          <w:pgMar w:bottom="1082" w:top="1140" w:right="1910" w:left="191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463</w:t>
      </w:r>
    </w:p>
    <w:p>
      <w:pPr>
        <w:sectPr>
          <w:type w:val="continuous"/>
          <w:pgSz w:w="11909" w:h="16838" w:orient="portrait"/>
          <w:pgMar w:bottom="1082" w:top="1140" w:right="5817" w:left="1972" w:header="720" w:footer="720"/>
          <w:titlePg w:val="false"/>
          <w:textDirection w:val="lrTb"/>
        </w:sectPr>
      </w:pPr>
    </w:p>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pict>
          <v:shapetype id="_x0000_t34" coordsize="21600,21600" o:spt="202" path="m,l,21600r21600,l21600,xe">
            <v:stroke joinstyle="miter"/>
            <v:path gradientshapeok="t" o:connecttype="rect"/>
          </v:shapetype>
          <v:shape id="_x0000_s33" type="#_x0000_t34" filled="f" stroked="f" style="position:absolute;width:385.2pt;height:82.1pt;z-index:-999;margin-left:104.65pt;margin-top:425.4pt;mso-wrap-distance-left:0pt;mso-wrap-distance-right:0pt;mso-position-horizontal-relative:page;mso-position-vertical-relative:page">
            <w10:wrap type="square"/>
            <v:fill opacity="1" o:opacity2="1" recolor="f" rotate="f" type="solid"/>
            <v:textbox inset="0pt, 0pt, 0pt, 0pt">
              <w:txbxContent/>
            </v:textbox>
          </v:shape>
        </w:pict>
      </w:r>
      <w:r>
        <w:pict>
          <v:shapetype id="_x0000_t35" coordsize="21600,21600" o:spt="202" path="m,l,21600r21600,l21600,xe">
            <v:stroke joinstyle="miter"/>
            <v:path gradientshapeok="t" o:connecttype="rect"/>
          </v:shapetype>
          <v:shape id="_x0000_s34" type="#_x0000_t35" filled="f" stroked="f" style="position:absolute;width:404pt;height:46.6pt;z-index:-1;margin-left:95.95pt;margin-top:57pt;mso-wrap-distance-left:0pt;mso-wrap-distance-right:0pt;mso-position-horizontal-relative:page;mso-position-vertical-relative:page">
            <w10:wrap type="square" side="both"/>
            <v:fill opacity="1" o:opacity2="1" recolor="f" rotate="f" type="solid"/>
            <v:textbox inset="0pt, 0pt, 0pt, 0pt">
              <w:txbxContent>
                <w:p>
                  <w:pPr>
                    <w:spacing w:before="0" w:after="223" w:line="348"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</w:t>
                    <w:br/>
                  </w:r>
                  <w:r>
                    <w:rPr>
                      <w:rFonts w:ascii="Times New Roman" w:hAnsi="Times New Roman" w:eastAsia="Times New Roman"/>
                      <w:color w:val="000000"/>
                      <w:spacing w:val="0"/>
                      <w:w w:val="100"/>
                      <w:sz w:val="20"/>
                      <w:vertAlign w:val="baseline"/>
                      <w:lang w:val="en-US"/>
                    </w:rPr>
                    <w:t xml:space="preserve">Schedule 11 Placard and manifest quantities</w:t>
                  </w:r>
                </w:p>
              </w:txbxContent>
            </v:textbox>
          </v:shape>
        </w:pict>
      </w:r>
      <w:r>
        <w:pict>
          <v:shapetype id="_x0000_t36" coordsize="21600,21600" o:spt="202" path="m,l,21600r21600,l21600,xe">
            <v:stroke joinstyle="miter"/>
            <v:path gradientshapeok="t" o:connecttype="rect"/>
          </v:shapetype>
          <v:shape id="_x0000_s35" type="#_x0000_t36" filled="f" stroked="f" style="position:absolute;width:404pt;height:55.5pt;z-index:-1;margin-left:95.95pt;margin-top:103.6pt;mso-wrap-distance-left:0pt;mso-wrap-distance-right:0pt;mso-position-horizontal-relative:page;mso-position-vertical-relative:page">
            <w10:wrap type="square" side="both"/>
            <v:fill opacity="1" o:opacity2="1" recolor="f" rotate="f" type="solid"/>
            <v:textbox inset="0pt, 0pt, 0pt, 0pt">
              <w:txbxContent>
                <w:p>
                  <w:pPr>
                    <w:tabs>
                      <w:tab w:val="right" w:leader="none" w:pos="3528"/>
                      <w:tab w:val="left" w:leader="none" w:pos="5184"/>
                      <w:tab w:val="left" w:leader="none" w:pos="6624"/>
                    </w:tabs>
                    <w:spacing w:before="324" w:after="0" w:line="184" w:lineRule="exact"/>
                    <w:ind w:right="0" w:left="144" w:firstLine="0"/>
                    <w:jc w:val="left"/>
                    <w:textAlignment w:val="baseline"/>
                    <w:rPr>
                      <w:rFonts w:ascii="Times New Roman" w:hAnsi="Times New Roman" w:eastAsia="Times New Roman"/>
                      <w:b w:val="true"/>
                      <w:color w:val="000000"/>
                      <w:spacing w:val="0"/>
                      <w:w w:val="100"/>
                      <w:sz w:val="16"/>
                      <w:vertAlign w:val="baseline"/>
                      <w:lang w:val="en-US"/>
                    </w:rPr>
                  </w:pPr>
                  <w:r>
                    <w:rPr>
                      <w:rFonts w:ascii="Times New Roman" w:hAnsi="Times New Roman" w:eastAsia="Times New Roman"/>
                      <w:b w:val="true"/>
                      <w:color w:val="000000"/>
                      <w:spacing w:val="0"/>
                      <w:w w:val="100"/>
                      <w:sz w:val="16"/>
                      <w:vertAlign w:val="baseline"/>
                      <w:lang w:val="en-US"/>
                    </w:rPr>
                    <w:t xml:space="preserve">Column 1 Column 2	</w:t>
                  </w:r>
                  <w:r>
                    <w:rPr>
                      <w:rFonts w:ascii="Times New Roman" w:hAnsi="Times New Roman" w:eastAsia="Times New Roman"/>
                      <w:b w:val="true"/>
                      <w:color w:val="000000"/>
                      <w:spacing w:val="0"/>
                      <w:w w:val="100"/>
                      <w:sz w:val="16"/>
                      <w:vertAlign w:val="baseline"/>
                      <w:lang w:val="en-US"/>
                    </w:rPr>
                    <w:t xml:space="preserve">Column 3	</w:t>
                  </w:r>
                  <w:r>
                    <w:rPr>
                      <w:rFonts w:ascii="Times New Roman" w:hAnsi="Times New Roman" w:eastAsia="Times New Roman"/>
                      <w:b w:val="true"/>
                      <w:color w:val="000000"/>
                      <w:spacing w:val="0"/>
                      <w:w w:val="100"/>
                      <w:sz w:val="16"/>
                      <w:vertAlign w:val="baseline"/>
                      <w:lang w:val="en-US"/>
                    </w:rPr>
                    <w:t xml:space="preserve">Column 4	</w:t>
                  </w:r>
                  <w:r>
                    <w:rPr>
                      <w:rFonts w:ascii="Times New Roman" w:hAnsi="Times New Roman" w:eastAsia="Times New Roman"/>
                      <w:b w:val="true"/>
                      <w:color w:val="000000"/>
                      <w:spacing w:val="0"/>
                      <w:w w:val="100"/>
                      <w:sz w:val="16"/>
                      <w:vertAlign w:val="baseline"/>
                      <w:lang w:val="en-US"/>
                    </w:rPr>
                    <w:t xml:space="preserve">Column 5</w:t>
                  </w:r>
                </w:p>
                <w:p>
                  <w:pPr>
                    <w:tabs>
                      <w:tab w:val="left" w:leader="none" w:pos="6624"/>
                    </w:tabs>
                    <w:spacing w:before="54" w:after="0" w:line="184" w:lineRule="exact"/>
                    <w:ind w:right="0" w:left="5112" w:firstLine="0"/>
                    <w:jc w:val="left"/>
                    <w:textAlignment w:val="baseline"/>
                    <w:rPr>
                      <w:rFonts w:ascii="Times New Roman" w:hAnsi="Times New Roman" w:eastAsia="Times New Roman"/>
                      <w:b w:val="true"/>
                      <w:color w:val="000000"/>
                      <w:spacing w:val="0"/>
                      <w:w w:val="100"/>
                      <w:sz w:val="16"/>
                      <w:vertAlign w:val="baseline"/>
                      <w:lang w:val="en-US"/>
                    </w:rPr>
                  </w:pPr>
                  <w:r>
                    <w:rPr>
                      <w:rFonts w:ascii="Times New Roman" w:hAnsi="Times New Roman" w:eastAsia="Times New Roman"/>
                      <w:b w:val="true"/>
                      <w:color w:val="000000"/>
                      <w:spacing w:val="0"/>
                      <w:w w:val="100"/>
                      <w:sz w:val="16"/>
                      <w:vertAlign w:val="baseline"/>
                      <w:lang w:val="en-US"/>
                    </w:rPr>
                    <w:t xml:space="preserve">Placard	</w:t>
                  </w:r>
                  <w:r>
                    <w:rPr>
                      <w:rFonts w:ascii="Times New Roman" w:hAnsi="Times New Roman" w:eastAsia="Times New Roman"/>
                      <w:b w:val="true"/>
                      <w:color w:val="000000"/>
                      <w:spacing w:val="0"/>
                      <w:w w:val="100"/>
                      <w:sz w:val="16"/>
                      <w:vertAlign w:val="baseline"/>
                      <w:lang w:val="en-US"/>
                    </w:rPr>
                    <w:t xml:space="preserve">Manifest</w:t>
                  </w:r>
                </w:p>
                <w:p>
                  <w:pPr>
                    <w:tabs>
                      <w:tab w:val="right" w:leader="none" w:pos="3528"/>
                      <w:tab w:val="left" w:leader="none" w:pos="5184"/>
                      <w:tab w:val="left" w:leader="none" w:pos="6624"/>
                    </w:tabs>
                    <w:spacing w:before="59" w:after="107" w:line="184" w:lineRule="exact"/>
                    <w:ind w:right="0" w:left="144" w:firstLine="0"/>
                    <w:jc w:val="left"/>
                    <w:textAlignment w:val="baseline"/>
                    <w:rPr>
                      <w:rFonts w:ascii="Times New Roman" w:hAnsi="Times New Roman" w:eastAsia="Times New Roman"/>
                      <w:b w:val="true"/>
                      <w:color w:val="000000"/>
                      <w:spacing w:val="0"/>
                      <w:w w:val="100"/>
                      <w:sz w:val="16"/>
                      <w:vertAlign w:val="baseline"/>
                      <w:lang w:val="en-US"/>
                    </w:rPr>
                  </w:pPr>
                  <w:r>
                    <w:rPr>
                      <w:rFonts w:ascii="Times New Roman" w:hAnsi="Times New Roman" w:eastAsia="Times New Roman"/>
                      <w:b w:val="true"/>
                      <w:color w:val="000000"/>
                      <w:spacing w:val="0"/>
                      <w:w w:val="100"/>
                      <w:sz w:val="16"/>
                      <w:vertAlign w:val="baseline"/>
                      <w:lang w:val="en-US"/>
                    </w:rPr>
                    <w:t xml:space="preserve">Item	</w:t>
                  </w:r>
                  <w:r>
                    <w:rPr>
                      <w:rFonts w:ascii="Times New Roman" w:hAnsi="Times New Roman" w:eastAsia="Times New Roman"/>
                      <w:b w:val="true"/>
                      <w:color w:val="000000"/>
                      <w:spacing w:val="0"/>
                      <w:w w:val="100"/>
                      <w:sz w:val="16"/>
                      <w:vertAlign w:val="baseline"/>
                      <w:lang w:val="en-US"/>
                    </w:rPr>
                    <w:t xml:space="preserve">Description of hazardous chemical	</w:t>
                  </w:r>
                  <w:r>
                    <w:rPr>
                      <w:rFonts w:ascii="Times New Roman" w:hAnsi="Times New Roman" w:eastAsia="Times New Roman"/>
                      <w:b w:val="true"/>
                      <w:color w:val="000000"/>
                      <w:spacing w:val="0"/>
                      <w:w w:val="100"/>
                      <w:sz w:val="16"/>
                      <w:vertAlign w:val="baseline"/>
                      <w:lang w:val="en-US"/>
                    </w:rPr>
                    <w:t xml:space="preserve">quantity	</w:t>
                  </w:r>
                  <w:r>
                    <w:rPr>
                      <w:rFonts w:ascii="Times New Roman" w:hAnsi="Times New Roman" w:eastAsia="Times New Roman"/>
                      <w:b w:val="true"/>
                      <w:color w:val="000000"/>
                      <w:spacing w:val="0"/>
                      <w:w w:val="100"/>
                      <w:sz w:val="16"/>
                      <w:vertAlign w:val="baseline"/>
                      <w:lang w:val="en-US"/>
                    </w:rPr>
                    <w:t xml:space="preserve">quantity</w:t>
                  </w:r>
                </w:p>
              </w:txbxContent>
            </v:textbox>
          </v:shape>
        </w:pict>
      </w:r>
      <w:r>
        <w:pict>
          <v:shapetype id="_x0000_t37" coordsize="21600,21600" o:spt="202" path="m,l,21600r21600,l21600,xe">
            <v:stroke joinstyle="miter"/>
            <v:path gradientshapeok="t" o:connecttype="rect"/>
          </v:shapetype>
          <v:shape id="_x0000_s36" type="#_x0000_t37" filled="f" stroked="f" style="position:absolute;width:107.75pt;height:34.7pt;z-index:-1;margin-left:105.6pt;margin-top:159.1pt;mso-wrap-distance-left:0pt;mso-wrap-distance-right:0pt;mso-position-horizontal-relative:page;mso-position-vertical-relative:page">
            <w10:wrap type="square" side="both"/>
            <v:fill opacity="1" o:opacity2="1" recolor="f" rotate="f" type="solid"/>
            <v:textbox inset="0pt, 0pt, 0pt, 0pt">
              <w:txbxContent>
                <w:p>
                  <w:pPr>
                    <w:tabs>
                      <w:tab w:val="left" w:leader="none" w:pos="936"/>
                    </w:tabs>
                    <w:spacing w:before="5"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17	</w:t>
                  </w:r>
                  <w:r>
                    <w:rPr>
                      <w:rFonts w:ascii="Times New Roman" w:hAnsi="Times New Roman" w:eastAsia="Times New Roman"/>
                      <w:color w:val="000000"/>
                      <w:spacing w:val="0"/>
                      <w:w w:val="100"/>
                      <w:sz w:val="20"/>
                      <w:vertAlign w:val="baseline"/>
                      <w:lang w:val="en-US"/>
                    </w:rPr>
                    <w:t xml:space="preserve">Self-heating</w:t>
                  </w:r>
                </w:p>
                <w:p>
                  <w:pPr>
                    <w:spacing w:before="0" w:after="0" w:line="228" w:lineRule="exact"/>
                    <w:ind w:right="0" w:left="93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substances and mixtures</w:t>
                  </w:r>
                </w:p>
              </w:txbxContent>
            </v:textbox>
          </v:shape>
        </w:pict>
      </w:r>
      <w:r>
        <w:pict>
          <v:shapetype id="_x0000_t38" coordsize="21600,21600" o:spt="202" path="m,l,21600r21600,l21600,xe">
            <v:stroke joinstyle="miter"/>
            <v:path gradientshapeok="t" o:connecttype="rect"/>
          </v:shapetype>
          <v:shape id="_x0000_s37" type="#_x0000_t38" filled="f" stroked="f" style="position:absolute;width:162.45pt;height:23.4pt;z-index:-1;margin-left:230.65pt;margin-top:159.1pt;mso-wrap-distance-left:0pt;mso-wrap-distance-right:0pt;mso-position-horizontal-relative:page;mso-position-vertical-relative:page">
            <w10:wrap type="square" side="both"/>
            <v:fill opacity="1" o:opacity2="1" recolor="f" rotate="f" type="solid"/>
            <v:textbox inset="0pt, 0pt, 0pt, 0pt">
              <w:txbxContent>
                <w:p>
                  <w:pPr>
                    <w:tabs>
                      <w:tab w:val="right" w:leader="none" w:pos="3312"/>
                    </w:tabs>
                    <w:spacing w:before="6"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Category 1	</w:t>
                  </w:r>
                  <w:r>
                    <w:rPr>
                      <w:rFonts w:ascii="Times New Roman" w:hAnsi="Times New Roman" w:eastAsia="Times New Roman"/>
                      <w:color w:val="000000"/>
                      <w:spacing w:val="0"/>
                      <w:w w:val="100"/>
                      <w:sz w:val="20"/>
                      <w:vertAlign w:val="baseline"/>
                      <w:lang w:val="en-US"/>
                    </w:rPr>
                    <w:t xml:space="preserve">250kg or</w:t>
                  </w:r>
                </w:p>
                <w:p>
                  <w:pPr>
                    <w:spacing w:before="4" w:after="0" w:line="222" w:lineRule="exact"/>
                    <w:ind w:right="252"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250L </w:t>
                  </w:r>
                </w:p>
              </w:txbxContent>
            </v:textbox>
          </v:shape>
        </w:pict>
      </w:r>
      <w:r>
        <w:pict>
          <v:shapetype id="_x0000_t39" coordsize="21600,21600" o:spt="202" path="m,l,21600r21600,l21600,xe">
            <v:stroke joinstyle="miter"/>
            <v:path gradientshapeok="t" o:connecttype="rect"/>
          </v:shapetype>
          <v:shape id="_x0000_s38" type="#_x0000_t39" filled="f" stroked="f" style="position:absolute;width:69.6pt;height:40.55pt;z-index:-1;margin-left:420.25pt;margin-top:159.1pt;mso-wrap-distance-left:0pt;mso-wrap-distance-right:0pt;mso-position-horizontal-relative:page;mso-position-vertical-relative:page">
            <w10:wrap type="square" side="both"/>
            <v:fill opacity="1" o:opacity2="1" recolor="f" rotate="f" type="solid"/>
            <v:textbox inset="0pt, 0pt, 0pt, 0pt">
              <w:txbxContent>
                <w:p>
                  <w:pPr>
                    <w:spacing w:before="9" w:after="568" w:line="229" w:lineRule="exact"/>
                    <w:ind w:right="0" w:left="0" w:firstLine="0"/>
                    <w:jc w:val="left"/>
                    <w:textAlignment w:val="baseline"/>
                    <w:rPr>
                      <w:rFonts w:ascii="Times New Roman" w:hAnsi="Times New Roman" w:eastAsia="Times New Roman"/>
                      <w:color w:val="000000"/>
                      <w:spacing w:val="-7"/>
                      <w:w w:val="100"/>
                      <w:sz w:val="20"/>
                      <w:vertAlign w:val="baseline"/>
                      <w:lang w:val="en-US"/>
                    </w:rPr>
                  </w:pPr>
                  <w:r>
                    <w:rPr>
                      <w:rFonts w:ascii="Times New Roman" w:hAnsi="Times New Roman" w:eastAsia="Times New Roman"/>
                      <w:color w:val="000000"/>
                      <w:spacing w:val="-7"/>
                      <w:w w:val="100"/>
                      <w:sz w:val="20"/>
                      <w:vertAlign w:val="baseline"/>
                      <w:lang w:val="en-US"/>
                    </w:rPr>
                    <w:t xml:space="preserve">2500kg or 2500L</w:t>
                  </w:r>
                </w:p>
              </w:txbxContent>
            </v:textbox>
          </v:shape>
        </w:pict>
      </w:r>
      <w:r>
        <w:pict>
          <v:shapetype id="_x0000_t40" coordsize="21600,21600" o:spt="202" path="m,l,21600r21600,l21600,xe">
            <v:stroke joinstyle="miter"/>
            <v:path gradientshapeok="t" o:connecttype="rect"/>
          </v:shapetype>
          <v:shape id="_x0000_s39" type="#_x0000_t40" filled="f" stroked="f" style="position:absolute;width:69.6pt;height:23.2pt;z-index:-1;margin-left:420.25pt;margin-top:199.65pt;mso-wrap-distance-left:0pt;mso-wrap-distance-right:0pt;mso-position-horizontal-relative:page;mso-position-vertical-relative:page">
            <w10:wrap type="square" side="both"/>
            <v:fill opacity="1" o:opacity2="1" recolor="f" rotate="f" type="solid"/>
            <v:textbox inset="0pt, 0pt, 0pt, 0pt">
              <w:txbxContent>
                <w:p>
                  <w:pPr>
                    <w:spacing w:before="2"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10 000kg or</w:t>
                    <w:br/>
                  </w:r>
                  <w:r>
                    <w:rPr>
                      <w:rFonts w:ascii="Times New Roman" w:hAnsi="Times New Roman" w:eastAsia="Times New Roman"/>
                      <w:color w:val="000000"/>
                      <w:spacing w:val="0"/>
                      <w:w w:val="100"/>
                      <w:sz w:val="20"/>
                      <w:vertAlign w:val="baseline"/>
                      <w:lang w:val="en-US"/>
                    </w:rPr>
                    <w:t xml:space="preserve">10 000L</w:t>
                  </w:r>
                </w:p>
              </w:txbxContent>
            </v:textbox>
          </v:shape>
        </w:pict>
      </w:r>
      <w:r>
        <w:pict>
          <v:shapetype id="_x0000_t41" coordsize="21600,21600" o:spt="202" path="m,l,21600r21600,l21600,xe">
            <v:stroke joinstyle="miter"/>
            <v:path gradientshapeok="t" o:connecttype="rect"/>
          </v:shapetype>
          <v:shape id="_x0000_s40" type="#_x0000_t41" filled="f" stroked="f" style="position:absolute;width:292.55pt;height:23.1pt;z-index:-1;margin-left:105.6pt;margin-top:199.75pt;mso-wrap-distance-left:0pt;mso-wrap-distance-right:0pt;mso-position-horizontal-relative:page;mso-position-vertical-relative:page">
            <w10:wrap type="square" side="both"/>
            <v:fill opacity="1" o:opacity2="1" recolor="f" rotate="f" type="solid"/>
            <v:textbox inset="0pt, 0pt, 0pt, 0pt">
              <w:txbxContent>
                <w:p>
                  <w:pPr>
                    <w:tabs>
                      <w:tab w:val="left" w:leader="none" w:pos="2520"/>
                      <w:tab w:val="right" w:leader="none" w:pos="5904"/>
                    </w:tabs>
                    <w:spacing w:before="5"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18	</w:t>
                  </w:r>
                  <w:r>
                    <w:rPr>
                      <w:rFonts w:ascii="Times New Roman" w:hAnsi="Times New Roman" w:eastAsia="Times New Roman"/>
                      <w:color w:val="000000"/>
                      <w:spacing w:val="0"/>
                      <w:w w:val="100"/>
                      <w:sz w:val="20"/>
                      <w:vertAlign w:val="baseline"/>
                      <w:lang w:val="en-US"/>
                    </w:rPr>
                    <w:t xml:space="preserve">Category 2	</w:t>
                  </w:r>
                  <w:r>
                    <w:rPr>
                      <w:rFonts w:ascii="Times New Roman" w:hAnsi="Times New Roman" w:eastAsia="Times New Roman"/>
                      <w:color w:val="000000"/>
                      <w:spacing w:val="0"/>
                      <w:w w:val="100"/>
                      <w:sz w:val="20"/>
                      <w:vertAlign w:val="baseline"/>
                      <w:lang w:val="en-US"/>
                    </w:rPr>
                    <w:t xml:space="preserve">1000kg or</w:t>
                  </w:r>
                </w:p>
                <w:p>
                  <w:pPr>
                    <w:spacing w:before="0" w:after="0" w:line="221" w:lineRule="exact"/>
                    <w:ind w:right="252" w:left="0" w:firstLine="0"/>
                    <w:jc w:val="right"/>
                    <w:textAlignment w:val="baseline"/>
                    <w:rPr>
                      <w:rFonts w:ascii="Times New Roman" w:hAnsi="Times New Roman" w:eastAsia="Times New Roman"/>
                      <w:color w:val="000000"/>
                      <w:spacing w:val="-3"/>
                      <w:w w:val="100"/>
                      <w:sz w:val="20"/>
                      <w:vertAlign w:val="baseline"/>
                      <w:lang w:val="en-US"/>
                    </w:rPr>
                  </w:pPr>
                  <w:r>
                    <w:rPr>
                      <w:rFonts w:ascii="Times New Roman" w:hAnsi="Times New Roman" w:eastAsia="Times New Roman"/>
                      <w:color w:val="000000"/>
                      <w:spacing w:val="-3"/>
                      <w:w w:val="100"/>
                      <w:sz w:val="20"/>
                      <w:vertAlign w:val="baseline"/>
                      <w:lang w:val="en-US"/>
                    </w:rPr>
                    <w:t xml:space="preserve">1000L</w:t>
                  </w:r>
                </w:p>
              </w:txbxContent>
            </v:textbox>
          </v:shape>
        </w:pict>
      </w:r>
      <w:r>
        <w:pict>
          <v:shapetype id="_x0000_t42" coordsize="21600,21600" o:spt="202" path="m,l,21600r21600,l21600,xe">
            <v:stroke joinstyle="miter"/>
            <v:path gradientshapeok="t" o:connecttype="rect"/>
          </v:shapetype>
          <v:shape id="_x0000_s41" type="#_x0000_t42" filled="f" stroked="f" style="position:absolute;width:240pt;height:63.6pt;z-index:-1;margin-left:104.65pt;margin-top:222.85pt;mso-wrap-distance-left:0pt;mso-wrap-distance-right:0pt;mso-position-horizontal-relative:page;mso-position-vertical-relative:page">
            <w10:wrap type="square" side="both"/>
            <v:fill opacity="1" o:opacity2="1" recolor="f" rotate="f" type="solid"/>
            <v:textbox inset="0pt, 0pt, 0pt, 0pt">
              <w:txbxContent>
                <w:p>
                  <w:pPr>
                    <w:tabs>
                      <w:tab w:val="left" w:leader="none" w:pos="2520"/>
                    </w:tabs>
                    <w:spacing w:before="122" w:after="0" w:line="230" w:lineRule="exact"/>
                    <w:ind w:right="0" w:left="2520" w:hanging="252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19	</w:t>
                  </w:r>
                  <w:r>
                    <w:rPr>
                      <w:rFonts w:ascii="Times New Roman" w:hAnsi="Times New Roman" w:eastAsia="Times New Roman"/>
                      <w:color w:val="000000"/>
                      <w:spacing w:val="-1"/>
                      <w:w w:val="100"/>
                      <w:sz w:val="20"/>
                      <w:vertAlign w:val="baseline"/>
                      <w:lang w:val="en-US"/>
                    </w:rPr>
                    <w:t xml:space="preserve">Any combination of </w:t>
                  </w:r>
                  <w:r>
                    <w:rPr>
                      <w:rFonts w:ascii="Times New Roman" w:hAnsi="Times New Roman" w:eastAsia="Times New Roman"/>
                      <w:color w:val="000000"/>
                      <w:spacing w:val="-1"/>
                      <w:w w:val="100"/>
                      <w:sz w:val="20"/>
                      <w:vertAlign w:val="baseline"/>
                      <w:lang w:val="en-US"/>
                    </w:rPr>
                    <w:t xml:space="preserve">chemicals from Items 16 to </w:t>
                  </w:r>
                  <w:r>
                    <w:rPr>
                      <w:rFonts w:ascii="Times New Roman" w:hAnsi="Times New Roman" w:eastAsia="Times New Roman"/>
                      <w:color w:val="000000"/>
                      <w:spacing w:val="-1"/>
                      <w:w w:val="100"/>
                      <w:sz w:val="20"/>
                      <w:vertAlign w:val="baseline"/>
                      <w:lang w:val="en-US"/>
                    </w:rPr>
                    <w:t xml:space="preserve">18 where none of the items </w:t>
                  </w:r>
                  <w:r>
                    <w:rPr>
                      <w:rFonts w:ascii="Times New Roman" w:hAnsi="Times New Roman" w:eastAsia="Times New Roman"/>
                      <w:color w:val="000000"/>
                      <w:spacing w:val="-1"/>
                      <w:w w:val="100"/>
                      <w:sz w:val="20"/>
                      <w:vertAlign w:val="baseline"/>
                      <w:lang w:val="en-US"/>
                    </w:rPr>
                    <w:t xml:space="preserve">exceeds the quantities in </w:t>
                  </w:r>
                  <w:r>
                    <w:rPr>
                      <w:rFonts w:ascii="Times New Roman" w:hAnsi="Times New Roman" w:eastAsia="Times New Roman"/>
                      <w:color w:val="000000"/>
                      <w:spacing w:val="-1"/>
                      <w:w w:val="100"/>
                      <w:sz w:val="20"/>
                      <w:vertAlign w:val="baseline"/>
                      <w:lang w:val="en-US"/>
                    </w:rPr>
                    <w:t xml:space="preserve">columns 4 or 5 on their own</w:t>
                  </w:r>
                </w:p>
              </w:txbxContent>
            </v:textbox>
          </v:shape>
        </w:pict>
      </w:r>
      <w:r>
        <w:pict>
          <v:shapetype id="_x0000_t43" coordsize="21600,21600" o:spt="202" path="m,l,21600r21600,l21600,xe">
            <v:stroke joinstyle="miter"/>
            <v:path gradientshapeok="t" o:connecttype="rect"/>
          </v:shapetype>
          <v:shape id="_x0000_s42" type="#_x0000_t43" filled="f" stroked="f" style="position:absolute;width:114.7pt;height:51.95pt;z-index:-1;margin-left:104.65pt;margin-top:286.45pt;mso-wrap-distance-left:0pt;mso-wrap-distance-right:0pt;mso-position-horizontal-relative:page;mso-position-vertical-relative:page">
            <w10:wrap type="square" side="both"/>
            <v:fill opacity="1" o:opacity2="1" recolor="f" rotate="f" type="solid"/>
            <v:textbox inset="0pt, 0pt, 0pt, 0pt">
              <w:txbxContent>
                <w:p>
                  <w:pPr>
                    <w:tabs>
                      <w:tab w:val="left" w:leader="none" w:pos="1008"/>
                    </w:tabs>
                    <w:spacing w:before="117"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	</w:t>
                  </w:r>
                  <w:r>
                    <w:rPr>
                      <w:rFonts w:ascii="Times New Roman" w:hAnsi="Times New Roman" w:eastAsia="Times New Roman"/>
                      <w:color w:val="000000"/>
                      <w:spacing w:val="0"/>
                      <w:w w:val="100"/>
                      <w:sz w:val="20"/>
                      <w:vertAlign w:val="baseline"/>
                      <w:lang w:val="en-US"/>
                    </w:rPr>
                    <w:t xml:space="preserve">Substances</w:t>
                  </w:r>
                </w:p>
                <w:p>
                  <w:pPr>
                    <w:spacing w:before="5" w:after="0" w:line="192" w:lineRule="exact"/>
                    <w:ind w:right="0"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which in contact</w:t>
                  </w:r>
                </w:p>
                <w:p>
                  <w:pPr>
                    <w:tabs>
                      <w:tab w:val="left" w:leader="none" w:pos="1008"/>
                    </w:tabs>
                    <w:spacing w:before="0" w:after="0" w:line="247" w:lineRule="exact"/>
                    <w:ind w:right="0" w:left="0" w:firstLine="0"/>
                    <w:jc w:val="left"/>
                    <w:textAlignment w:val="baseline"/>
                    <w:rPr>
                      <w:rFonts w:ascii="Times New Roman" w:hAnsi="Times New Roman" w:eastAsia="Times New Roman"/>
                      <w:color w:val="000000"/>
                      <w:spacing w:val="-4"/>
                      <w:w w:val="100"/>
                      <w:sz w:val="20"/>
                      <w:vertAlign w:val="baseline"/>
                      <w:lang w:val="en-US"/>
                    </w:rPr>
                  </w:pPr>
                  <w:r>
                    <w:rPr>
                      <w:rFonts w:ascii="Times New Roman" w:hAnsi="Times New Roman" w:eastAsia="Times New Roman"/>
                      <w:color w:val="000000"/>
                      <w:spacing w:val="-4"/>
                      <w:w w:val="100"/>
                      <w:sz w:val="20"/>
                      <w:vertAlign w:val="baseline"/>
                      <w:lang w:val="en-US"/>
                    </w:rPr>
                    <w:t xml:space="preserve">21	</w:t>
                  </w:r>
                  <w:r>
                    <w:rPr>
                      <w:rFonts w:ascii="Times New Roman" w:hAnsi="Times New Roman" w:eastAsia="Times New Roman"/>
                      <w:color w:val="000000"/>
                      <w:spacing w:val="-4"/>
                      <w:w w:val="100"/>
                      <w:sz w:val="20"/>
                      <w:vertAlign w:val="baseline"/>
                      <w:lang w:val="en-US"/>
                    </w:rPr>
                    <w:t xml:space="preserve">with water emit</w:t>
                  </w:r>
                </w:p>
              </w:txbxContent>
            </v:textbox>
          </v:shape>
        </w:pict>
      </w:r>
      <w:r>
        <w:pict>
          <v:shapetype id="_x0000_t44" coordsize="21600,21600" o:spt="202" path="m,l,21600r21600,l21600,xe">
            <v:stroke joinstyle="miter"/>
            <v:path gradientshapeok="t" o:connecttype="rect"/>
          </v:shapetype>
          <v:shape id="_x0000_s43" type="#_x0000_t44" filled="f" stroked="f" style="position:absolute;width:240pt;height:57.75pt;z-index:-1;margin-left:104.65pt;margin-top:367.65pt;mso-wrap-distance-left:0pt;mso-wrap-distance-right:0pt;mso-position-horizontal-relative:page;mso-position-vertical-relative:page">
            <w10:wrap type="square" side="both"/>
            <v:fill opacity="1" o:opacity2="1" recolor="f" rotate="f" type="solid"/>
            <v:textbox inset="0pt, 0pt, 0pt, 0pt">
              <w:txbxContent>
                <w:p>
                  <w:pPr>
                    <w:tabs>
                      <w:tab w:val="left" w:leader="none" w:pos="2520"/>
                    </w:tabs>
                    <w:spacing w:before="5" w:after="0" w:line="227" w:lineRule="exact"/>
                    <w:ind w:right="0" w:left="2520" w:hanging="252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23	</w:t>
                  </w:r>
                  <w:r>
                    <w:rPr>
                      <w:rFonts w:ascii="Times New Roman" w:hAnsi="Times New Roman" w:eastAsia="Times New Roman"/>
                      <w:color w:val="000000"/>
                      <w:spacing w:val="-1"/>
                      <w:w w:val="100"/>
                      <w:sz w:val="20"/>
                      <w:vertAlign w:val="baseline"/>
                      <w:lang w:val="en-US"/>
                    </w:rPr>
                    <w:t xml:space="preserve">Any combination of chemicals from Items 20 to 22 where none of the items exceeds the quantities in columns 4 or 5 on their own</w:t>
                  </w:r>
                </w:p>
              </w:txbxContent>
            </v:textbox>
          </v:shape>
        </w:pict>
      </w:r>
      <w:r>
        <w:pict>
          <v:shapetype id="_x0000_t45" coordsize="21600,21600" o:spt="202" path="m,l,21600r21600,l21600,xe">
            <v:stroke joinstyle="miter"/>
            <v:path gradientshapeok="t" o:connecttype="rect"/>
          </v:shapetype>
          <v:shape id="_x0000_s44" type="#_x0000_t45" filled="f" stroked="f" style="position:absolute;width:240pt;height:63.6pt;z-index:-1;margin-left:104.65pt;margin-top:506.6pt;mso-wrap-distance-left:0pt;mso-wrap-distance-right:0pt;mso-position-horizontal-relative:page;mso-position-vertical-relative:page">
            <w10:wrap type="square" side="both"/>
            <v:fill opacity="1" o:opacity2="1" recolor="f" rotate="f" type="solid"/>
            <v:textbox inset="0pt, 0pt, 0pt, 0pt">
              <w:txbxContent>
                <w:p>
                  <w:pPr>
                    <w:tabs>
                      <w:tab w:val="left" w:leader="none" w:pos="2520"/>
                    </w:tabs>
                    <w:spacing w:before="5" w:after="103" w:line="230" w:lineRule="exact"/>
                    <w:ind w:right="0" w:left="2520" w:hanging="252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27	</w:t>
                  </w:r>
                  <w:r>
                    <w:rPr>
                      <w:rFonts w:ascii="Times New Roman" w:hAnsi="Times New Roman" w:eastAsia="Times New Roman"/>
                      <w:color w:val="000000"/>
                      <w:spacing w:val="-1"/>
                      <w:w w:val="100"/>
                      <w:sz w:val="20"/>
                      <w:vertAlign w:val="baseline"/>
                      <w:lang w:val="en-US"/>
                    </w:rPr>
                    <w:t xml:space="preserve">Any combination of chemicals from Items 24 to 26 where none of the items exceeds the quantities in columns 4 or 5 on their own</w:t>
                  </w:r>
                </w:p>
              </w:txbxContent>
            </v:textbox>
          </v:shape>
        </w:pict>
      </w:r>
      <w:r>
        <w:pict>
          <v:shapetype id="_x0000_t46" coordsize="21600,21600" o:spt="202" path="m,l,21600r21600,l21600,xe">
            <v:stroke joinstyle="miter"/>
            <v:path gradientshapeok="t" o:connecttype="rect"/>
          </v:shapetype>
          <v:shape id="_x0000_s45" type="#_x0000_t46" filled="f" stroked="f" style="position:absolute;width:111.6pt;height:23.15pt;z-index:-1;margin-left:357.6pt;margin-top:228.7pt;mso-wrap-distance-left:0pt;mso-wrap-distance-right:0pt;mso-position-horizontal-relative:page;mso-position-vertical-relative:page">
            <w10:wrap type="square" side="both"/>
            <v:fill opacity="1" o:opacity2="1" recolor="f" rotate="f" type="solid"/>
            <v:textbox inset="0pt, 0pt, 0pt, 0pt">
              <w:txbxContent>
                <w:p>
                  <w:pPr>
                    <w:tabs>
                      <w:tab w:val="left" w:leader="none" w:pos="1296"/>
                    </w:tabs>
                    <w:spacing w:before="0" w:after="0" w:line="224" w:lineRule="exact"/>
                    <w:ind w:right="0" w:left="0" w:firstLine="0"/>
                    <w:jc w:val="left"/>
                    <w:textAlignment w:val="baseline"/>
                    <w:rPr>
                      <w:rFonts w:ascii="Times New Roman" w:hAnsi="Times New Roman" w:eastAsia="Times New Roman"/>
                      <w:color w:val="000000"/>
                      <w:spacing w:val="-6"/>
                      <w:w w:val="100"/>
                      <w:sz w:val="20"/>
                      <w:vertAlign w:val="baseline"/>
                      <w:lang w:val="en-US"/>
                    </w:rPr>
                  </w:pPr>
                  <w:r>
                    <w:rPr>
                      <w:rFonts w:ascii="Times New Roman" w:hAnsi="Times New Roman" w:eastAsia="Times New Roman"/>
                      <w:color w:val="000000"/>
                      <w:spacing w:val="-6"/>
                      <w:w w:val="100"/>
                      <w:sz w:val="20"/>
                      <w:vertAlign w:val="baseline"/>
                      <w:lang w:val="en-US"/>
                    </w:rPr>
                    <w:t xml:space="preserve">1000kg or	</w:t>
                  </w:r>
                  <w:r>
                    <w:rPr>
                      <w:rFonts w:ascii="Times New Roman" w:hAnsi="Times New Roman" w:eastAsia="Times New Roman"/>
                      <w:color w:val="000000"/>
                      <w:spacing w:val="-6"/>
                      <w:w w:val="100"/>
                      <w:sz w:val="20"/>
                      <w:vertAlign w:val="baseline"/>
                      <w:lang w:val="en-US"/>
                    </w:rPr>
                    <w:t xml:space="preserve">10 000kg or</w:t>
                  </w:r>
                </w:p>
                <w:p>
                  <w:pPr>
                    <w:tabs>
                      <w:tab w:val="left" w:leader="none" w:pos="1296"/>
                    </w:tabs>
                    <w:spacing w:before="0"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1000L	</w:t>
                  </w:r>
                  <w:r>
                    <w:rPr>
                      <w:rFonts w:ascii="Times New Roman" w:hAnsi="Times New Roman" w:eastAsia="Times New Roman"/>
                      <w:color w:val="000000"/>
                      <w:spacing w:val="0"/>
                      <w:w w:val="100"/>
                      <w:sz w:val="20"/>
                      <w:vertAlign w:val="baseline"/>
                      <w:lang w:val="en-US"/>
                    </w:rPr>
                    <w:t xml:space="preserve">10 000L</w:t>
                  </w:r>
                </w:p>
              </w:txbxContent>
            </v:textbox>
          </v:shape>
        </w:pict>
      </w:r>
      <w:r>
        <w:pict>
          <v:shapetype id="_x0000_t47" coordsize="21600,21600" o:spt="202" path="m,l,21600r21600,l21600,xe">
            <v:stroke joinstyle="miter"/>
            <v:path gradientshapeok="t" o:connecttype="rect"/>
          </v:shapetype>
          <v:shape id="_x0000_s46" type="#_x0000_t47" filled="f" stroked="f" style="position:absolute;width:260.65pt;height:23.35pt;z-index:-1;margin-left:219.35pt;margin-top:286.45pt;mso-wrap-distance-left:0pt;mso-wrap-distance-right:0pt;mso-position-horizontal-relative:page;mso-position-vertical-relative:page">
            <w10:wrap type="square" side="both"/>
            <v:fill opacity="1" o:opacity2="1" recolor="f" rotate="f" type="solid"/>
            <v:textbox inset="0pt, 0pt, 0pt, 0pt">
              <w:txbxContent>
                <w:p>
                  <w:pPr>
                    <w:tabs>
                      <w:tab w:val="right" w:leader="none" w:pos="5256"/>
                    </w:tabs>
                    <w:spacing w:before="121" w:after="113" w:line="229"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Category 1	</w:t>
                  </w:r>
                  <w:r>
                    <w:rPr>
                      <w:rFonts w:ascii="Times New Roman" w:hAnsi="Times New Roman" w:eastAsia="Times New Roman"/>
                      <w:color w:val="000000"/>
                      <w:spacing w:val="0"/>
                      <w:w w:val="100"/>
                      <w:sz w:val="20"/>
                      <w:vertAlign w:val="baseline"/>
                      <w:lang w:val="en-US"/>
                    </w:rPr>
                    <w:t xml:space="preserve">50kg or 50L 500kg or 500L</w:t>
                  </w:r>
                </w:p>
              </w:txbxContent>
            </v:textbox>
          </v:shape>
        </w:pict>
      </w:r>
      <w:r>
        <w:pict>
          <v:shapetype id="_x0000_t48" coordsize="21600,21600" o:spt="202" path="m,l,21600r21600,l21600,xe">
            <v:stroke joinstyle="miter"/>
            <v:path gradientshapeok="t" o:connecttype="rect"/>
          </v:shapetype>
          <v:shape id="_x0000_s47" type="#_x0000_t48" filled="f" stroked="f" style="position:absolute;width:69.6pt;height:11.7pt;z-index:-1;margin-left:420.25pt;margin-top:309.8pt;mso-wrap-distance-left:0pt;mso-wrap-distance-right:0pt;mso-position-horizontal-relative:page;mso-position-vertical-relative:page">
            <w10:wrap type="square" side="both"/>
            <v:fill opacity="1" o:opacity2="1" recolor="f" rotate="f" type="solid"/>
            <v:textbox inset="0pt, 0pt, 0pt, 0pt">
              <w:txbxContent>
                <w:p>
                  <w:pPr>
                    <w:spacing w:before="4" w:after="0" w:line="222" w:lineRule="exact"/>
                    <w:ind w:right="0" w:left="0" w:firstLine="0"/>
                    <w:jc w:val="left"/>
                    <w:textAlignment w:val="baseline"/>
                    <w:rPr>
                      <w:rFonts w:ascii="Times New Roman" w:hAnsi="Times New Roman" w:eastAsia="Times New Roman"/>
                      <w:color w:val="000000"/>
                      <w:spacing w:val="-7"/>
                      <w:w w:val="100"/>
                      <w:sz w:val="20"/>
                      <w:vertAlign w:val="baseline"/>
                      <w:lang w:val="en-US"/>
                    </w:rPr>
                  </w:pPr>
                  <w:r>
                    <w:rPr>
                      <w:rFonts w:ascii="Times New Roman" w:hAnsi="Times New Roman" w:eastAsia="Times New Roman"/>
                      <w:color w:val="000000"/>
                      <w:spacing w:val="-7"/>
                      <w:w w:val="100"/>
                      <w:sz w:val="20"/>
                      <w:vertAlign w:val="baseline"/>
                      <w:lang w:val="en-US"/>
                    </w:rPr>
                    <w:t xml:space="preserve">2500kg or 2500L</w:t>
                  </w:r>
                </w:p>
              </w:txbxContent>
            </v:textbox>
          </v:shape>
        </w:pict>
      </w:r>
      <w:r>
        <w:pict>
          <v:shapetype id="_x0000_t49" coordsize="21600,21600" o:spt="202" path="m,l,21600r21600,l21600,xe">
            <v:stroke joinstyle="miter"/>
            <v:path gradientshapeok="t" o:connecttype="rect"/>
          </v:shapetype>
          <v:shape id="_x0000_s48" type="#_x0000_t49" filled="f" stroked="f" style="position:absolute;width:275.3pt;height:19.4pt;z-index:-1;margin-left:113.5pt;margin-top:311.3pt;mso-wrap-distance-left:0pt;mso-wrap-distance-right:0pt;mso-position-horizontal-relative:page;mso-position-vertical-relative:page">
            <w10:wrap type="square" side="both"/>
            <v:fill opacity="1" o:opacity2="1" recolor="f" rotate="f" type="solid"/>
            <v:textbox inset="0pt, 0pt, 0pt, 0pt">
              <w:txbxContent>
                <w:p>
                  <w:pPr>
                    <w:tabs>
                      <w:tab w:val="right" w:leader="none" w:pos="5400"/>
                    </w:tabs>
                    <w:spacing w:before="0" w:after="0" w:line="201"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 Category 2	</w:t>
                  </w:r>
                  <w:r>
                    <w:rPr>
                      <w:rFonts w:ascii="Times New Roman" w:hAnsi="Times New Roman" w:eastAsia="Times New Roman"/>
                      <w:color w:val="000000"/>
                      <w:spacing w:val="0"/>
                      <w:w w:val="100"/>
                      <w:sz w:val="20"/>
                      <w:vertAlign w:val="baseline"/>
                      <w:lang w:val="en-US"/>
                    </w:rPr>
                    <w:t xml:space="preserve">250kg</w:t>
                  </w:r>
                </w:p>
                <w:p>
                  <w:pPr>
                    <w:spacing w:before="4" w:after="0" w:line="178" w:lineRule="exact"/>
                    <w:ind w:right="0" w:left="0" w:firstLine="0"/>
                    <w:jc w:val="righ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or 250L</w:t>
                  </w:r>
                </w:p>
              </w:txbxContent>
            </v:textbox>
          </v:shape>
        </w:pict>
      </w:r>
      <w:r>
        <w:pict>
          <v:shapetype id="_x0000_t50" coordsize="21600,21600" o:spt="202" path="m,l,21600r21600,l21600,xe">
            <v:stroke joinstyle="miter"/>
            <v:path gradientshapeok="t" o:connecttype="rect"/>
          </v:shapetype>
          <v:shape id="_x0000_s49" type="#_x0000_t50" filled="f" stroked="f" style="position:absolute;width:293.5pt;height:29.25pt;z-index:-1;margin-left:104.65pt;margin-top:338.4pt;mso-wrap-distance-left:0pt;mso-wrap-distance-right:0pt;mso-position-horizontal-relative:page;mso-position-vertical-relative:page">
            <w10:wrap type="square" side="both"/>
            <v:fill opacity="1" o:opacity2="1" recolor="f" rotate="f" type="solid"/>
            <v:textbox inset="0pt, 0pt, 0pt, 0pt">
              <w:txbxContent>
                <w:p>
                  <w:pPr>
                    <w:tabs>
                      <w:tab w:val="left" w:leader="none" w:pos="2520"/>
                      <w:tab w:val="right" w:leader="none" w:pos="5904"/>
                    </w:tabs>
                    <w:spacing w:before="11"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22	</w:t>
                  </w:r>
                  <w:r>
                    <w:rPr>
                      <w:rFonts w:ascii="Times New Roman" w:hAnsi="Times New Roman" w:eastAsia="Times New Roman"/>
                      <w:color w:val="000000"/>
                      <w:spacing w:val="0"/>
                      <w:w w:val="100"/>
                      <w:sz w:val="20"/>
                      <w:vertAlign w:val="baseline"/>
                      <w:lang w:val="en-US"/>
                    </w:rPr>
                    <w:t xml:space="preserve">Category 3	</w:t>
                  </w:r>
                  <w:r>
                    <w:rPr>
                      <w:rFonts w:ascii="Times New Roman" w:hAnsi="Times New Roman" w:eastAsia="Times New Roman"/>
                      <w:color w:val="000000"/>
                      <w:spacing w:val="0"/>
                      <w:w w:val="100"/>
                      <w:sz w:val="20"/>
                      <w:vertAlign w:val="baseline"/>
                      <w:lang w:val="en-US"/>
                    </w:rPr>
                    <w:t xml:space="preserve">1000kg or</w:t>
                  </w:r>
                </w:p>
                <w:p>
                  <w:pPr>
                    <w:spacing w:before="0" w:after="108" w:line="229" w:lineRule="exact"/>
                    <w:ind w:right="252" w:left="0" w:firstLine="0"/>
                    <w:jc w:val="right"/>
                    <w:textAlignment w:val="baseline"/>
                    <w:rPr>
                      <w:rFonts w:ascii="Times New Roman" w:hAnsi="Times New Roman" w:eastAsia="Times New Roman"/>
                      <w:color w:val="000000"/>
                      <w:spacing w:val="-3"/>
                      <w:w w:val="100"/>
                      <w:sz w:val="20"/>
                      <w:vertAlign w:val="baseline"/>
                      <w:lang w:val="en-US"/>
                    </w:rPr>
                  </w:pPr>
                  <w:r>
                    <w:rPr>
                      <w:rFonts w:ascii="Times New Roman" w:hAnsi="Times New Roman" w:eastAsia="Times New Roman"/>
                      <w:color w:val="000000"/>
                      <w:spacing w:val="-3"/>
                      <w:w w:val="100"/>
                      <w:sz w:val="20"/>
                      <w:vertAlign w:val="baseline"/>
                      <w:lang w:val="en-US"/>
                    </w:rPr>
                    <w:t xml:space="preserve">1000L</w:t>
                  </w:r>
                </w:p>
              </w:txbxContent>
            </v:textbox>
          </v:shape>
        </w:pict>
      </w:r>
      <w:r>
        <w:pict>
          <v:shapetype id="_x0000_t51" coordsize="21600,21600" o:spt="202" path="m,l,21600r21600,l21600,xe">
            <v:stroke joinstyle="miter"/>
            <v:path gradientshapeok="t" o:connecttype="rect"/>
          </v:shapetype>
          <v:shape id="_x0000_s50" type="#_x0000_t51" filled="f" stroked="f" style="position:absolute;width:48pt;height:23.2pt;z-index:-1;margin-left:421.2pt;margin-top:338.6pt;mso-wrap-distance-left:0pt;mso-wrap-distance-right:0pt;mso-position-horizontal-relative:page;mso-position-vertical-relative:page">
            <w10:wrap type="square" side="both"/>
            <v:fill opacity="1" o:opacity2="1" recolor="f" rotate="f" type="solid"/>
            <v:textbox inset="0pt, 0pt, 0pt, 0pt">
              <w:txbxContent>
                <w:p>
                  <w:pPr>
                    <w:spacing w:before="2" w:after="0" w:line="227" w:lineRule="exact"/>
                    <w:ind w:right="0" w:left="0" w:firstLine="0"/>
                    <w:jc w:val="left"/>
                    <w:textAlignment w:val="baseline"/>
                    <w:rPr>
                      <w:rFonts w:ascii="Times New Roman" w:hAnsi="Times New Roman" w:eastAsia="Times New Roman"/>
                      <w:color w:val="000000"/>
                      <w:spacing w:val="-2"/>
                      <w:w w:val="100"/>
                      <w:sz w:val="20"/>
                      <w:vertAlign w:val="baseline"/>
                      <w:lang w:val="en-US"/>
                    </w:rPr>
                  </w:pPr>
                  <w:r>
                    <w:rPr>
                      <w:rFonts w:ascii="Times New Roman" w:hAnsi="Times New Roman" w:eastAsia="Times New Roman"/>
                      <w:color w:val="000000"/>
                      <w:spacing w:val="-2"/>
                      <w:w w:val="100"/>
                      <w:sz w:val="20"/>
                      <w:vertAlign w:val="baseline"/>
                      <w:lang w:val="en-US"/>
                    </w:rPr>
                    <w:t xml:space="preserve">10 000kg or 10 000L</w:t>
                  </w:r>
                </w:p>
              </w:txbxContent>
            </v:textbox>
          </v:shape>
        </w:pict>
      </w:r>
      <w:r>
        <w:pict>
          <v:shapetype id="_x0000_t52" coordsize="21600,21600" o:spt="202" path="m,l,21600r21600,l21600,xe">
            <v:stroke joinstyle="miter"/>
            <v:path gradientshapeok="t" o:connecttype="rect"/>
          </v:shapetype>
          <v:shape id="_x0000_s51" type="#_x0000_t52" filled="f" stroked="f" style="position:absolute;width:111.6pt;height:23.2pt;z-index:-1;margin-left:357.6pt;margin-top:367.65pt;mso-wrap-distance-left:0pt;mso-wrap-distance-right:0pt;mso-position-horizontal-relative:page;mso-position-vertical-relative:page">
            <w10:wrap type="square" side="both"/>
            <v:fill opacity="1" o:opacity2="1" recolor="f" rotate="f" type="solid"/>
            <v:textbox inset="0pt, 0pt, 0pt, 0pt">
              <w:txbxContent>
                <w:p>
                  <w:pPr>
                    <w:tabs>
                      <w:tab w:val="left" w:leader="none" w:pos="1296"/>
                    </w:tabs>
                    <w:spacing w:before="0" w:after="0" w:line="224" w:lineRule="exact"/>
                    <w:ind w:right="0" w:left="0" w:firstLine="0"/>
                    <w:jc w:val="left"/>
                    <w:textAlignment w:val="baseline"/>
                    <w:rPr>
                      <w:rFonts w:ascii="Times New Roman" w:hAnsi="Times New Roman" w:eastAsia="Times New Roman"/>
                      <w:color w:val="000000"/>
                      <w:spacing w:val="-6"/>
                      <w:w w:val="100"/>
                      <w:sz w:val="20"/>
                      <w:vertAlign w:val="baseline"/>
                      <w:lang w:val="en-US"/>
                    </w:rPr>
                  </w:pPr>
                  <w:r>
                    <w:rPr>
                      <w:rFonts w:ascii="Times New Roman" w:hAnsi="Times New Roman" w:eastAsia="Times New Roman"/>
                      <w:color w:val="000000"/>
                      <w:spacing w:val="-6"/>
                      <w:w w:val="100"/>
                      <w:sz w:val="20"/>
                      <w:vertAlign w:val="baseline"/>
                      <w:lang w:val="en-US"/>
                    </w:rPr>
                    <w:t xml:space="preserve">1000kg or	</w:t>
                  </w:r>
                  <w:r>
                    <w:rPr>
                      <w:rFonts w:ascii="Times New Roman" w:hAnsi="Times New Roman" w:eastAsia="Times New Roman"/>
                      <w:color w:val="000000"/>
                      <w:spacing w:val="-6"/>
                      <w:w w:val="100"/>
                      <w:sz w:val="20"/>
                      <w:vertAlign w:val="baseline"/>
                      <w:lang w:val="en-US"/>
                    </w:rPr>
                    <w:t xml:space="preserve">10 000kg or</w:t>
                  </w:r>
                </w:p>
                <w:p>
                  <w:pPr>
                    <w:tabs>
                      <w:tab w:val="left" w:leader="none" w:pos="1296"/>
                    </w:tabs>
                    <w:spacing w:before="0"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1000L	</w:t>
                  </w:r>
                  <w:r>
                    <w:rPr>
                      <w:rFonts w:ascii="Times New Roman" w:hAnsi="Times New Roman" w:eastAsia="Times New Roman"/>
                      <w:color w:val="000000"/>
                      <w:spacing w:val="0"/>
                      <w:w w:val="100"/>
                      <w:sz w:val="20"/>
                      <w:vertAlign w:val="baseline"/>
                      <w:lang w:val="en-US"/>
                    </w:rPr>
                    <w:t xml:space="preserve">10 000L</w:t>
                  </w:r>
                </w:p>
              </w:txbxContent>
            </v:textbox>
          </v:shape>
        </w:pict>
      </w:r>
      <w:r>
        <w:pict>
          <v:shapetype id="_x0000_t53" coordsize="21600,21600" o:spt="202" path="m,l,21600r21600,l21600,xe">
            <v:stroke joinstyle="miter"/>
            <v:path gradientshapeok="t" o:connecttype="rect"/>
          </v:shapetype>
          <v:shape id="_x0000_s52" type="#_x0000_t53" filled="f" stroked="f" style="position:absolute;width:93.1pt;height:24.6pt;z-index:-1;margin-left:104.65pt;margin-top:425.4pt;mso-wrap-distance-left:0pt;mso-wrap-distance-right:0pt;mso-position-horizontal-relative:page;mso-position-vertical-relative:page">
            <w10:wrap type="square" side="both"/>
            <v:fill opacity="1" o:opacity2="1" recolor="f" rotate="f" type="solid"/>
            <v:textbox inset="0pt, 0pt, 0pt, 0pt">
              <w:txbxContent>
                <w:p>
                  <w:pPr>
                    <w:tabs>
                      <w:tab w:val="left" w:leader="none" w:pos="936"/>
                    </w:tabs>
                    <w:spacing w:before="117"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24	</w:t>
                  </w:r>
                  <w:r>
                    <w:rPr>
                      <w:rFonts w:ascii="Times New Roman" w:hAnsi="Times New Roman" w:eastAsia="Times New Roman"/>
                      <w:color w:val="000000"/>
                      <w:spacing w:val="0"/>
                      <w:w w:val="100"/>
                      <w:sz w:val="20"/>
                      <w:vertAlign w:val="baseline"/>
                      <w:lang w:val="en-US"/>
                    </w:rPr>
                    <w:t xml:space="preserve">Oxidising</w:t>
                  </w:r>
                </w:p>
                <w:p>
                  <w:pPr>
                    <w:spacing w:before="6" w:after="0" w:line="173" w:lineRule="exact"/>
                    <w:ind w:right="0" w:left="936" w:firstLine="0"/>
                    <w:jc w:val="left"/>
                    <w:textAlignment w:val="baseline"/>
                    <w:rPr>
                      <w:rFonts w:ascii="Times New Roman" w:hAnsi="Times New Roman" w:eastAsia="Times New Roman"/>
                      <w:color w:val="000000"/>
                      <w:spacing w:val="-5"/>
                      <w:w w:val="100"/>
                      <w:sz w:val="20"/>
                      <w:vertAlign w:val="baseline"/>
                      <w:lang w:val="en-US"/>
                    </w:rPr>
                  </w:pPr>
                  <w:r>
                    <w:rPr>
                      <w:rFonts w:ascii="Times New Roman" w:hAnsi="Times New Roman" w:eastAsia="Times New Roman"/>
                      <w:color w:val="000000"/>
                      <w:spacing w:val="-5"/>
                      <w:w w:val="100"/>
                      <w:sz w:val="20"/>
                      <w:vertAlign w:val="baseline"/>
                      <w:lang w:val="en-US"/>
                    </w:rPr>
                    <w:t xml:space="preserve">liquids and</w:t>
                  </w:r>
                </w:p>
              </w:txbxContent>
            </v:textbox>
          </v:shape>
        </w:pict>
      </w:r>
      <w:r>
        <w:pict>
          <v:shapetype id="_x0000_t54" coordsize="21600,21600" o:spt="202" path="m,l,21600r21600,l21600,xe">
            <v:stroke joinstyle="miter"/>
            <v:path gradientshapeok="t" o:connecttype="rect"/>
          </v:shapetype>
          <v:shape id="_x0000_s53" type="#_x0000_t54" filled="f" stroked="f" style="position:absolute;width:294pt;height:56.6pt;z-index:-1;margin-left:104.65pt;margin-top:450pt;mso-wrap-distance-left:0pt;mso-wrap-distance-right:0pt;mso-position-horizontal-relative:page;mso-position-vertical-relative:page">
            <w10:wrap type="square" side="both"/>
            <v:fill opacity="1" o:opacity2="1" recolor="f" rotate="f" type="solid"/>
            <v:textbox inset="0pt, 0pt, 0pt, 0pt">
              <w:txbxContent>
                <w:p>
                  <w:pPr>
                    <w:tabs>
                      <w:tab w:val="left" w:leader="none" w:pos="2520"/>
                      <w:tab w:val="left" w:leader="none" w:pos="4968"/>
                    </w:tabs>
                    <w:spacing w:before="0" w:after="0" w:line="115"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25	</w:t>
                  </w:r>
                  <w:r>
                    <w:rPr>
                      <w:rFonts w:ascii="Times New Roman" w:hAnsi="Times New Roman" w:eastAsia="Times New Roman"/>
                      <w:color w:val="000000"/>
                      <w:spacing w:val="0"/>
                      <w:w w:val="100"/>
                      <w:sz w:val="20"/>
                      <w:vertAlign w:val="baseline"/>
                      <w:lang w:val="en-US"/>
                    </w:rPr>
                    <w:t xml:space="preserve">Category 2	</w:t>
                  </w:r>
                  <w:r>
                    <w:rPr>
                      <w:rFonts w:ascii="Times New Roman" w:hAnsi="Times New Roman" w:eastAsia="Times New Roman"/>
                      <w:color w:val="000000"/>
                      <w:spacing w:val="0"/>
                      <w:w w:val="100"/>
                      <w:sz w:val="20"/>
                      <w:vertAlign w:val="baseline"/>
                      <w:lang w:val="en-US"/>
                    </w:rPr>
                    <w:t xml:space="preserve">250kg</w:t>
                  </w:r>
                </w:p>
                <w:p>
                  <w:pPr>
                    <w:spacing w:before="0" w:after="0" w:line="116" w:lineRule="exact"/>
                    <w:ind w:right="0" w:left="93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oxidising solids</w:t>
                  </w:r>
                </w:p>
                <w:p>
                  <w:pPr>
                    <w:spacing w:before="0" w:after="0" w:line="175" w:lineRule="exact"/>
                    <w:ind w:right="144" w:left="0" w:firstLine="0"/>
                    <w:jc w:val="righ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or 250L</w:t>
                  </w:r>
                </w:p>
                <w:p>
                  <w:pPr>
                    <w:tabs>
                      <w:tab w:val="left" w:leader="none" w:pos="2520"/>
                      <w:tab w:val="left" w:leader="none" w:pos="4968"/>
                    </w:tabs>
                    <w:spacing w:before="119" w:after="0" w:line="229" w:lineRule="exact"/>
                    <w:ind w:right="0" w:left="0"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26	</w:t>
                  </w:r>
                  <w:r>
                    <w:rPr>
                      <w:rFonts w:ascii="Times New Roman" w:hAnsi="Times New Roman" w:eastAsia="Times New Roman"/>
                      <w:color w:val="000000"/>
                      <w:spacing w:val="-1"/>
                      <w:w w:val="100"/>
                      <w:sz w:val="20"/>
                      <w:vertAlign w:val="baseline"/>
                      <w:lang w:val="en-US"/>
                    </w:rPr>
                    <w:t xml:space="preserve">Category 3	</w:t>
                  </w:r>
                  <w:r>
                    <w:rPr>
                      <w:rFonts w:ascii="Times New Roman" w:hAnsi="Times New Roman" w:eastAsia="Times New Roman"/>
                      <w:color w:val="000000"/>
                      <w:spacing w:val="-1"/>
                      <w:w w:val="100"/>
                      <w:sz w:val="20"/>
                      <w:vertAlign w:val="baseline"/>
                      <w:lang w:val="en-US"/>
                    </w:rPr>
                    <w:t xml:space="preserve">1000kg or</w:t>
                  </w:r>
                </w:p>
                <w:p>
                  <w:pPr>
                    <w:spacing w:before="4" w:after="103" w:line="229" w:lineRule="exact"/>
                    <w:ind w:right="252" w:left="0" w:firstLine="0"/>
                    <w:jc w:val="right"/>
                    <w:textAlignment w:val="baseline"/>
                    <w:rPr>
                      <w:rFonts w:ascii="Times New Roman" w:hAnsi="Times New Roman" w:eastAsia="Times New Roman"/>
                      <w:color w:val="000000"/>
                      <w:spacing w:val="-3"/>
                      <w:w w:val="100"/>
                      <w:sz w:val="20"/>
                      <w:vertAlign w:val="baseline"/>
                      <w:lang w:val="en-US"/>
                    </w:rPr>
                  </w:pPr>
                  <w:r>
                    <w:rPr>
                      <w:rFonts w:ascii="Times New Roman" w:hAnsi="Times New Roman" w:eastAsia="Times New Roman"/>
                      <w:color w:val="000000"/>
                      <w:spacing w:val="-3"/>
                      <w:w w:val="100"/>
                      <w:sz w:val="20"/>
                      <w:vertAlign w:val="baseline"/>
                      <w:lang w:val="en-US"/>
                    </w:rPr>
                    <w:t xml:space="preserve">1000L</w:t>
                  </w:r>
                </w:p>
              </w:txbxContent>
            </v:textbox>
          </v:shape>
        </w:pict>
      </w:r>
      <w:r>
        <w:pict>
          <v:shapetype id="_x0000_t55" coordsize="21600,21600" o:spt="202" path="m,l,21600r21600,l21600,xe">
            <v:stroke joinstyle="miter"/>
            <v:path gradientshapeok="t" o:connecttype="rect"/>
          </v:shapetype>
          <v:shape id="_x0000_s54" type="#_x0000_t55" filled="f" stroked="f" style="position:absolute;width:69.6pt;height:57.8pt;z-index:-1;margin-left:420.25pt;margin-top:448.8pt;mso-wrap-distance-left:0pt;mso-wrap-distance-right:0pt;mso-position-horizontal-relative:page;mso-position-vertical-relative:page">
            <w10:wrap type="square" side="both"/>
            <v:fill opacity="1" o:opacity2="1" recolor="f" rotate="f" type="solid"/>
            <v:textbox inset="0pt, 0pt, 0pt, 0pt">
              <w:txbxContent>
                <w:p>
                  <w:pPr>
                    <w:spacing w:before="4" w:after="0" w:line="229" w:lineRule="exact"/>
                    <w:ind w:right="0" w:left="0" w:firstLine="0"/>
                    <w:jc w:val="left"/>
                    <w:textAlignment w:val="baseline"/>
                    <w:rPr>
                      <w:rFonts w:ascii="Times New Roman" w:hAnsi="Times New Roman" w:eastAsia="Times New Roman"/>
                      <w:color w:val="000000"/>
                      <w:spacing w:val="-7"/>
                      <w:w w:val="100"/>
                      <w:sz w:val="20"/>
                      <w:vertAlign w:val="baseline"/>
                      <w:lang w:val="en-US"/>
                    </w:rPr>
                  </w:pPr>
                  <w:r>
                    <w:rPr>
                      <w:rFonts w:ascii="Times New Roman" w:hAnsi="Times New Roman" w:eastAsia="Times New Roman"/>
                      <w:color w:val="000000"/>
                      <w:spacing w:val="-7"/>
                      <w:w w:val="100"/>
                      <w:sz w:val="20"/>
                      <w:vertAlign w:val="baseline"/>
                      <w:lang w:val="en-US"/>
                    </w:rPr>
                    <w:t xml:space="preserve">2500kg or 2500L</w:t>
                  </w:r>
                </w:p>
                <w:p>
                  <w:pPr>
                    <w:spacing w:before="341" w:after="103" w:line="235"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10 000kg or</w:t>
                    <w:br/>
                  </w:r>
                  <w:r>
                    <w:rPr>
                      <w:rFonts w:ascii="Times New Roman" w:hAnsi="Times New Roman" w:eastAsia="Times New Roman"/>
                      <w:color w:val="000000"/>
                      <w:spacing w:val="0"/>
                      <w:w w:val="100"/>
                      <w:sz w:val="20"/>
                      <w:vertAlign w:val="baseline"/>
                      <w:lang w:val="en-US"/>
                    </w:rPr>
                    <w:t xml:space="preserve">10 000L</w:t>
                  </w:r>
                </w:p>
              </w:txbxContent>
            </v:textbox>
          </v:shape>
        </w:pict>
      </w:r>
      <w:r>
        <w:pict>
          <v:shapetype id="_x0000_t56" coordsize="21600,21600" o:spt="202" path="m,l,21600r21600,l21600,xe">
            <v:stroke joinstyle="miter"/>
            <v:path gradientshapeok="t" o:connecttype="rect"/>
          </v:shapetype>
          <v:shape id="_x0000_s55" type="#_x0000_t56" filled="f" stroked="f" style="position:absolute;width:282.25pt;height:23.4pt;z-index:-1;margin-left:197.75pt;margin-top:425.4pt;mso-wrap-distance-left:0pt;mso-wrap-distance-right:0pt;mso-position-horizontal-relative:page;mso-position-vertical-relative:page">
            <w10:wrap type="square" side="both"/>
            <v:fill opacity="1" o:opacity2="1" recolor="f" rotate="f" type="solid"/>
            <v:textbox inset="0pt, 0pt, 0pt, 0pt">
              <w:txbxContent>
                <w:p>
                  <w:pPr>
                    <w:tabs>
                      <w:tab w:val="right" w:leader="none" w:pos="5688"/>
                    </w:tabs>
                    <w:spacing w:before="121" w:after="113" w:line="229" w:lineRule="exact"/>
                    <w:ind w:right="0" w:left="64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Category 1	</w:t>
                  </w:r>
                  <w:r>
                    <w:rPr>
                      <w:rFonts w:ascii="Times New Roman" w:hAnsi="Times New Roman" w:eastAsia="Times New Roman"/>
                      <w:color w:val="000000"/>
                      <w:spacing w:val="0"/>
                      <w:w w:val="100"/>
                      <w:sz w:val="20"/>
                      <w:vertAlign w:val="baseline"/>
                      <w:lang w:val="en-US"/>
                    </w:rPr>
                    <w:t xml:space="preserve">50kg or 50L 500kg or 500L</w:t>
                  </w:r>
                </w:p>
              </w:txbxContent>
            </v:textbox>
          </v:shape>
        </w:pict>
      </w:r>
      <w:r>
        <w:pict>
          <v:shapetype id="_x0000_t57" coordsize="21600,21600" o:spt="202" path="m,l,21600r21600,l21600,xe">
            <v:stroke joinstyle="miter"/>
            <v:path gradientshapeok="t" o:connecttype="rect"/>
          </v:shapetype>
          <v:shape id="_x0000_s56" type="#_x0000_t57" filled="f" stroked="f" style="position:absolute;width:111.6pt;height:23.2pt;z-index:-1;margin-left:357.6pt;margin-top:506.6pt;mso-wrap-distance-left:0pt;mso-wrap-distance-right:0pt;mso-position-horizontal-relative:page;mso-position-vertical-relative:page">
            <w10:wrap type="square" side="both"/>
            <v:fill opacity="1" o:opacity2="1" recolor="f" rotate="f" type="solid"/>
            <v:textbox inset="0pt, 0pt, 0pt, 0pt">
              <w:txbxContent>
                <w:p>
                  <w:pPr>
                    <w:tabs>
                      <w:tab w:val="left" w:leader="none" w:pos="1296"/>
                    </w:tabs>
                    <w:spacing w:before="0" w:after="0" w:line="224" w:lineRule="exact"/>
                    <w:ind w:right="0" w:left="0" w:firstLine="0"/>
                    <w:jc w:val="left"/>
                    <w:textAlignment w:val="baseline"/>
                    <w:rPr>
                      <w:rFonts w:ascii="Times New Roman" w:hAnsi="Times New Roman" w:eastAsia="Times New Roman"/>
                      <w:color w:val="000000"/>
                      <w:spacing w:val="-6"/>
                      <w:w w:val="100"/>
                      <w:sz w:val="20"/>
                      <w:vertAlign w:val="baseline"/>
                      <w:lang w:val="en-US"/>
                    </w:rPr>
                  </w:pPr>
                  <w:r>
                    <w:rPr>
                      <w:rFonts w:ascii="Times New Roman" w:hAnsi="Times New Roman" w:eastAsia="Times New Roman"/>
                      <w:color w:val="000000"/>
                      <w:spacing w:val="-6"/>
                      <w:w w:val="100"/>
                      <w:sz w:val="20"/>
                      <w:vertAlign w:val="baseline"/>
                      <w:lang w:val="en-US"/>
                    </w:rPr>
                    <w:t xml:space="preserve">1000kg or	</w:t>
                  </w:r>
                  <w:r>
                    <w:rPr>
                      <w:rFonts w:ascii="Times New Roman" w:hAnsi="Times New Roman" w:eastAsia="Times New Roman"/>
                      <w:color w:val="000000"/>
                      <w:spacing w:val="-6"/>
                      <w:w w:val="100"/>
                      <w:sz w:val="20"/>
                      <w:vertAlign w:val="baseline"/>
                      <w:lang w:val="en-US"/>
                    </w:rPr>
                    <w:t xml:space="preserve">10 000kg or</w:t>
                  </w:r>
                </w:p>
                <w:p>
                  <w:pPr>
                    <w:tabs>
                      <w:tab w:val="left" w:leader="none" w:pos="1296"/>
                    </w:tabs>
                    <w:spacing w:before="0"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1000L	</w:t>
                  </w:r>
                  <w:r>
                    <w:rPr>
                      <w:rFonts w:ascii="Times New Roman" w:hAnsi="Times New Roman" w:eastAsia="Times New Roman"/>
                      <w:color w:val="000000"/>
                      <w:spacing w:val="0"/>
                      <w:w w:val="100"/>
                      <w:sz w:val="20"/>
                      <w:vertAlign w:val="baseline"/>
                      <w:lang w:val="en-US"/>
                    </w:rPr>
                    <w:t xml:space="preserve">10 000L</w:t>
                  </w:r>
                </w:p>
              </w:txbxContent>
            </v:textbox>
          </v:shape>
        </w:pict>
      </w:r>
      <w:r>
        <w:pict>
          <v:shapetype id="_x0000_t58" coordsize="21600,21600" o:spt="202" path="m,l,21600r21600,l21600,xe">
            <v:stroke joinstyle="miter"/>
            <v:path gradientshapeok="t" o:connecttype="rect"/>
          </v:shapetype>
          <v:shape id="_x0000_s57" type="#_x0000_t58" filled="f" stroked="f" style="position:absolute;width:404pt;height:63.85pt;z-index:-1;margin-left:95.95pt;margin-top:570.2pt;mso-wrap-distance-left:0pt;mso-wrap-distance-right:0pt;mso-position-horizontal-relative:page;mso-position-vertical-relative:page">
            <w10:wrap type="square" side="both"/>
            <v:fill opacity="1" o:opacity2="1" recolor="f" rotate="f" type="solid"/>
            <v:textbox inset="0pt, 0pt, 0pt, 0pt">
              <w:txbxContent>
                <w:p>
                  <w:pPr>
                    <w:tabs>
                      <w:tab w:val="left" w:leader="none" w:pos="1152"/>
                      <w:tab w:val="left" w:leader="none" w:pos="2664"/>
                      <w:tab w:val="left" w:leader="none" w:pos="5256"/>
                      <w:tab w:val="left" w:leader="none" w:pos="6480"/>
                    </w:tabs>
                    <w:spacing w:before="4" w:after="0" w:line="229"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28	</w:t>
                  </w:r>
                  <w:r>
                    <w:rPr>
                      <w:rFonts w:ascii="Times New Roman" w:hAnsi="Times New Roman" w:eastAsia="Times New Roman"/>
                      <w:color w:val="000000"/>
                      <w:spacing w:val="0"/>
                      <w:w w:val="100"/>
                      <w:sz w:val="20"/>
                      <w:vertAlign w:val="baseline"/>
                      <w:lang w:val="en-US"/>
                    </w:rPr>
                    <w:t xml:space="preserve">Organic	</w:t>
                  </w:r>
                  <w:r>
                    <w:rPr>
                      <w:rFonts w:ascii="Times New Roman" w:hAnsi="Times New Roman" w:eastAsia="Times New Roman"/>
                      <w:color w:val="000000"/>
                      <w:spacing w:val="0"/>
                      <w:w w:val="100"/>
                      <w:sz w:val="20"/>
                      <w:vertAlign w:val="baseline"/>
                      <w:lang w:val="en-US"/>
                    </w:rPr>
                    <w:t xml:space="preserve">Type A	</w:t>
                  </w:r>
                  <w:r>
                    <w:rPr>
                      <w:rFonts w:ascii="Times New Roman" w:hAnsi="Times New Roman" w:eastAsia="Times New Roman"/>
                      <w:color w:val="000000"/>
                      <w:spacing w:val="0"/>
                      <w:w w:val="100"/>
                      <w:sz w:val="20"/>
                      <w:vertAlign w:val="baseline"/>
                      <w:lang w:val="en-US"/>
                    </w:rPr>
                    <w:t xml:space="preserve">5kg or 5L	</w:t>
                  </w:r>
                  <w:r>
                    <w:rPr>
                      <w:rFonts w:ascii="Times New Roman" w:hAnsi="Times New Roman" w:eastAsia="Times New Roman"/>
                      <w:color w:val="000000"/>
                      <w:spacing w:val="0"/>
                      <w:w w:val="100"/>
                      <w:sz w:val="20"/>
                      <w:vertAlign w:val="baseline"/>
                      <w:lang w:val="en-US"/>
                    </w:rPr>
                    <w:t xml:space="preserve">50kg or 50L</w:t>
                  </w:r>
                </w:p>
                <w:p>
                  <w:pPr>
                    <w:tabs>
                      <w:tab w:val="left" w:leader="none" w:pos="1152"/>
                      <w:tab w:val="left" w:leader="none" w:pos="2664"/>
                      <w:tab w:val="left" w:leader="none" w:pos="5256"/>
                    </w:tabs>
                    <w:spacing w:before="32" w:after="0" w:line="312" w:lineRule="exact"/>
                    <w:ind w:right="0" w:left="144" w:firstLine="0"/>
                    <w:jc w:val="left"/>
                    <w:textAlignment w:val="baseline"/>
                    <w:rPr>
                      <w:rFonts w:ascii="Times New Roman" w:hAnsi="Times New Roman" w:eastAsia="Times New Roman"/>
                      <w:color w:val="000000"/>
                      <w:spacing w:val="4"/>
                      <w:w w:val="100"/>
                      <w:sz w:val="20"/>
                      <w:vertAlign w:val="baseline"/>
                      <w:lang w:val="en-US"/>
                    </w:rPr>
                  </w:pPr>
                  <w:r>
                    <w:rPr>
                      <w:rFonts w:ascii="Times New Roman" w:hAnsi="Times New Roman" w:eastAsia="Times New Roman"/>
                      <w:color w:val="000000"/>
                      <w:spacing w:val="4"/>
                      <w:w w:val="100"/>
                      <w:sz w:val="20"/>
                      <w:vertAlign w:val="baseline"/>
                      <w:lang w:val="en-US"/>
                    </w:rPr>
                    <w:t xml:space="preserve">29	</w:t>
                  </w:r>
                  <w:r>
                    <w:rPr>
                      <w:rFonts w:ascii="Times New Roman" w:hAnsi="Times New Roman" w:eastAsia="Times New Roman"/>
                      <w:color w:val="000000"/>
                      <w:spacing w:val="4"/>
                      <w:w w:val="100"/>
                      <w:sz w:val="20"/>
                      <w:vertAlign w:val="baseline"/>
                      <w:lang w:val="en-US"/>
                    </w:rPr>
                    <w:t xml:space="preserve">peroxides	</w:t>
                  </w:r>
                  <w:r>
                    <w:rPr>
                      <w:rFonts w:ascii="Times New Roman" w:hAnsi="Times New Roman" w:eastAsia="Times New Roman"/>
                      <w:color w:val="000000"/>
                      <w:spacing w:val="4"/>
                      <w:w w:val="100"/>
                      <w:sz w:val="20"/>
                      <w:vertAlign w:val="baseline"/>
                      <w:lang w:val="en-US"/>
                    </w:rPr>
                    <w:t xml:space="preserve">Type B	</w:t>
                  </w:r>
                  <w:r>
                    <w:rPr>
                      <w:rFonts w:ascii="Times New Roman" w:hAnsi="Times New Roman" w:eastAsia="Times New Roman"/>
                      <w:color w:val="000000"/>
                      <w:spacing w:val="4"/>
                      <w:w w:val="100"/>
                      <w:sz w:val="20"/>
                      <w:vertAlign w:val="baseline"/>
                      <w:lang w:val="en-US"/>
                    </w:rPr>
                    <w:t xml:space="preserve">50kg or 50L 500kg or 500L</w:t>
                  </w:r>
                </w:p>
                <w:p>
                  <w:pPr>
                    <w:tabs>
                      <w:tab w:val="left" w:leader="none" w:pos="2664"/>
                      <w:tab w:val="left" w:leader="none" w:pos="5256"/>
                      <w:tab w:val="left" w:leader="none" w:pos="6480"/>
                    </w:tabs>
                    <w:spacing w:before="123" w:after="0" w:line="229"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30	</w:t>
                  </w:r>
                  <w:r>
                    <w:rPr>
                      <w:rFonts w:ascii="Times New Roman" w:hAnsi="Times New Roman" w:eastAsia="Times New Roman"/>
                      <w:color w:val="000000"/>
                      <w:spacing w:val="0"/>
                      <w:w w:val="100"/>
                      <w:sz w:val="20"/>
                      <w:vertAlign w:val="baseline"/>
                      <w:lang w:val="en-US"/>
                    </w:rPr>
                    <w:t xml:space="preserve">Type C to F	</w:t>
                  </w:r>
                  <w:r>
                    <w:rPr>
                      <w:rFonts w:ascii="Times New Roman" w:hAnsi="Times New Roman" w:eastAsia="Times New Roman"/>
                      <w:color w:val="000000"/>
                      <w:spacing w:val="0"/>
                      <w:w w:val="100"/>
                      <w:sz w:val="20"/>
                      <w:vertAlign w:val="baseline"/>
                      <w:lang w:val="en-US"/>
                    </w:rPr>
                    <w:t xml:space="preserve">250kg	</w:t>
                  </w:r>
                  <w:r>
                    <w:rPr>
                      <w:rFonts w:ascii="Times New Roman" w:hAnsi="Times New Roman" w:eastAsia="Times New Roman"/>
                      <w:color w:val="000000"/>
                      <w:spacing w:val="0"/>
                      <w:w w:val="100"/>
                      <w:sz w:val="20"/>
                      <w:vertAlign w:val="baseline"/>
                      <w:lang w:val="en-US"/>
                    </w:rPr>
                    <w:t xml:space="preserve">2500kg or 2500L</w:t>
                  </w:r>
                </w:p>
                <w:p>
                  <w:pPr>
                    <w:spacing w:before="7" w:after="103" w:line="229" w:lineRule="exact"/>
                    <w:ind w:right="0" w:left="5184"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or 250L</w:t>
                  </w:r>
                </w:p>
              </w:txbxContent>
            </v:textbox>
          </v:shape>
        </w:pict>
      </w:r>
      <w:r>
        <w:pict>
          <v:shapetype id="_x0000_t59" coordsize="21600,21600" o:spt="202" path="m,l,21600r21600,l21600,xe">
            <v:stroke joinstyle="miter"/>
            <v:path gradientshapeok="t" o:connecttype="rect"/>
          </v:shapetype>
          <v:shape id="_x0000_s58" type="#_x0000_t59" filled="f" stroked="f" style="position:absolute;width:404pt;height:93.8pt;z-index:-1;margin-left:95.95pt;margin-top:634.05pt;mso-wrap-distance-left:0pt;mso-wrap-distance-right:0pt;mso-position-horizontal-relative:page;mso-position-vertical-relative:page">
            <w10:wrap type="square" side="both"/>
            <v:fill opacity="1" o:opacity2="1" recolor="f" rotate="f" type="solid"/>
            <v:textbox inset="0pt, 0pt, 0pt, 0pt">
              <w:txbxContent>
                <w:tbl>
                  <w:tblPr>
                    <w:jc w:val="left"/>
                    <w:tblLayout w:type="fixed"/>
                    <w:tblCellMar>
                      <w:left w:w="0" w:type="dxa"/>
                      <w:right w:w="0" w:type="dxa"/>
                    </w:tblCellMar>
                  </w:tblPr>
                  <w:tblGrid>
                    <w:gridCol w:w="5067"/>
                    <w:gridCol w:w="1143"/>
                    <w:gridCol w:w="1870"/>
                  </w:tblGrid>
                  <w:tr>
                    <w:trPr>
                      <w:trHeight w:val="1372" w:hRule="exact"/>
                    </w:trPr>
                    <w:tc>
                      <w:tcPr>
                        <w:tcW w:w="5067" w:type="dxa"/>
                        <w:tcBorders>
                          <w:top w:val="none"/>
                          <w:left w:val="none"/>
                          <w:bottom w:val="none"/>
                          <w:right w:val="none"/>
                        </w:tcBorders>
                        <w:textDirection w:val="lrTb"/>
                        <w:vAlign w:val="top"/>
                      </w:tcPr>
                      <w:p>
                        <w:pPr>
                          <w:tabs>
                            <w:tab w:val="left" w:leader="none" w:pos="2664"/>
                          </w:tabs>
                          <w:spacing w:before="0" w:after="0" w:line="226" w:lineRule="exact"/>
                          <w:ind w:right="144" w:left="2664" w:hanging="2448"/>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31	</w:t>
                        </w:r>
                        <w:r>
                          <w:rPr>
                            <w:rFonts w:ascii="Times New Roman" w:hAnsi="Times New Roman" w:eastAsia="Times New Roman"/>
                            <w:color w:val="000000"/>
                            <w:spacing w:val="0"/>
                            <w:w w:val="100"/>
                            <w:sz w:val="20"/>
                            <w:vertAlign w:val="baseline"/>
                            <w:lang w:val="en-US"/>
                          </w:rPr>
                          <w:t xml:space="preserve">Any combination of chemicals from Items 29 and 30 where none of the items exceeds the quantities in columns 4 or 5 on their own</w:t>
                        </w:r>
                      </w:p>
                    </w:tc>
                    <w:tc>
                      <w:tcPr>
                        <w:tcW w:w="1143" w:type="dxa"/>
                        <w:tcBorders>
                          <w:top w:val="none"/>
                          <w:left w:val="none"/>
                          <w:bottom w:val="none"/>
                          <w:right w:val="none"/>
                        </w:tcBorders>
                        <w:textDirection w:val="lrTb"/>
                        <w:vAlign w:val="top"/>
                      </w:tcPr>
                      <w:p>
                        <w:pPr>
                          <w:spacing w:before="0" w:after="891" w:line="234" w:lineRule="exact"/>
                          <w:ind w:right="0" w:left="10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250kg or 250L</w:t>
                        </w:r>
                      </w:p>
                    </w:tc>
                    <w:tc>
                      <w:tcPr>
                        <w:tcW w:w="1870" w:type="dxa"/>
                        <w:tcBorders>
                          <w:top w:val="none"/>
                          <w:left w:val="none"/>
                          <w:bottom w:val="none"/>
                          <w:right w:val="none"/>
                        </w:tcBorders>
                        <w:textDirection w:val="lrTb"/>
                        <w:vAlign w:val="top"/>
                      </w:tcPr>
                      <w:p>
                        <w:pPr>
                          <w:spacing w:before="0" w:after="1121" w:line="229"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2500kg or 2500L</w:t>
                        </w:r>
                      </w:p>
                    </w:tc>
                  </w:tr>
                </w:tbl>
                <w:p>
                  <w:pPr>
                    <w:spacing w:before="0" w:after="484" w:line="20" w:lineRule="exact"/>
                  </w:pPr>
                </w:p>
              </w:txbxContent>
            </v:textbox>
          </v:shape>
        </w:pict>
      </w:r>
      <w:r>
        <w:pict>
          <v:shapetype id="_x0000_t60" coordsize="21600,21600" o:spt="202" path="m,l,21600r21600,l21600,xe">
            <v:stroke joinstyle="miter"/>
            <v:path gradientshapeok="t" o:connecttype="rect"/>
          </v:shapetype>
          <v:shape id="_x0000_s59" type="#_x0000_t60" filled="f" stroked="f" style="position:absolute;width:404pt;height:40.15pt;z-index:-1;margin-left:95.95pt;margin-top:727.85pt;mso-wrap-distance-left:0pt;mso-wrap-distance-right:0pt;mso-position-horizontal-relative:page;mso-position-vertical-relative:page">
            <w10:wrap type="square" side="both"/>
            <v:fill opacity="1" o:opacity2="1" recolor="f" rotate="f" type="solid"/>
            <v:textbox inset="0pt, 0pt, 0pt, 0pt">
              <w:txbxContent>
                <w:p>
                  <w:pPr>
                    <w:tabs>
                      <w:tab w:val="left" w:leader="none" w:pos="3960"/>
                    </w:tabs>
                    <w:spacing w:before="609" w:after="5" w:line="179" w:lineRule="exact"/>
                    <w:ind w:right="0" w:left="144"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464</w:t>
                  </w:r>
                </w:p>
              </w:txbxContent>
            </v:textbox>
          </v:shape>
        </w:pict>
      </w:r>
      <w:r>
        <w:pict>
          <v:line strokeweight="0.5pt" strokecolor="#000000" from="95.95pt,103.9pt" to="500pt,103.9pt" style="position:absolute;mso-position-horizontal-relative:page;mso-position-vertical-relative:page;">
            <v:stroke dashstyle="solid"/>
          </v:line>
        </w:pict>
      </w:r>
      <w:r>
        <w:pict>
          <v:line strokeweight="0.5pt" strokecolor="#000000" from="99.35pt,115.9pt" to="496.6pt,115.9pt" style="position:absolute;mso-position-horizontal-relative:page;mso-position-vertical-relative:page;">
            <v:stroke dashstyle="solid"/>
          </v:line>
        </w:pict>
      </w:r>
      <w:r>
        <w:pict>
          <v:line strokeweight="0.5pt" strokecolor="#000000" from="99.35pt,156pt" to="496.6pt,156pt" style="position:absolute;mso-position-horizontal-relative:page;mso-position-vertical-relative:page;">
            <v:stroke dashstyle="solid"/>
          </v:line>
        </w:pict>
      </w:r>
      <w:r>
        <w:pict>
          <v:line strokeweight="0.5pt" strokecolor="#000000" from="95.95pt,728.15pt" to="500pt,728.15pt" style="position:absolute;mso-position-horizontal-relative:page;mso-position-vertical-relative:page;">
            <v:stroke dashstyle="solid"/>
          </v:line>
        </w:pict>
      </w:r>
    </w:p>
    <w:p>
      <w:pPr>
        <w:sectPr>
          <w:type w:val="nextPage"/>
          <w:pgSz w:w="11909" w:h="16838" w:orient="portrait"/>
          <w:pgMar w:bottom="1096" w:top="852" w:right="1910" w:left="1919" w:header="720" w:footer="720"/>
          <w:titlePg w:val="false"/>
          <w:textDirection w:val="lrTb"/>
        </w:sectPr>
      </w:pPr>
    </w:p>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pict>
          <v:shapetype id="_x0000_t61" coordsize="21600,21600" o:spt="202" path="m,l,21600r21600,l21600,xe">
            <v:stroke joinstyle="miter"/>
            <v:path gradientshapeok="t" o:connecttype="rect"/>
          </v:shapetype>
          <v:shape id="_x0000_s60" type="#_x0000_t61" filled="f" stroked="f" style="position:absolute;width:404pt;height:46.6pt;z-index:-1;margin-left:95.95pt;margin-top:57pt;mso-wrap-distance-left:0pt;mso-wrap-distance-right:0pt;mso-position-horizontal-relative:page;mso-position-vertical-relative:page">
            <w10:wrap type="square" side="both"/>
            <v:fill opacity="1" o:opacity2="1" recolor="f" rotate="f" type="solid"/>
            <v:textbox inset="0pt, 0pt, 0pt, 0pt">
              <w:txbxContent>
                <w:p>
                  <w:pPr>
                    <w:spacing w:before="0" w:after="223" w:line="348"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</w:t>
                    <w:br/>
                  </w:r>
                  <w:r>
                    <w:rPr>
                      <w:rFonts w:ascii="Times New Roman" w:hAnsi="Times New Roman" w:eastAsia="Times New Roman"/>
                      <w:color w:val="000000"/>
                      <w:spacing w:val="0"/>
                      <w:w w:val="100"/>
                      <w:sz w:val="20"/>
                      <w:vertAlign w:val="baseline"/>
                      <w:lang w:val="en-US"/>
                    </w:rPr>
                    <w:t xml:space="preserve">Schedule 11 Placard and manifest quantities</w:t>
                  </w:r>
                </w:p>
              </w:txbxContent>
            </v:textbox>
          </v:shape>
        </w:pict>
      </w:r>
      <w:r>
        <w:pict>
          <v:shapetype id="_x0000_t62" coordsize="21600,21600" o:spt="202" path="m,l,21600r21600,l21600,xe">
            <v:stroke joinstyle="miter"/>
            <v:path gradientshapeok="t" o:connecttype="rect"/>
          </v:shapetype>
          <v:shape id="_x0000_s61" type="#_x0000_t62" filled="f" stroked="f" style="position:absolute;width:404pt;height:52.1pt;z-index:-1;margin-left:95.95pt;margin-top:103.6pt;mso-wrap-distance-left:0pt;mso-wrap-distance-right:0pt;mso-position-horizontal-relative:page;mso-position-vertical-relative:page">
            <w10:wrap type="square" side="both"/>
            <v:fill opacity="1" o:opacity2="1" recolor="f" rotate="f" type="solid"/>
            <v:textbox inset="0pt, 0pt, 0pt, 0pt">
              <w:txbxContent>
                <w:p>
                  <w:pPr>
                    <w:tabs>
                      <w:tab w:val="right" w:leader="none" w:pos="3528"/>
                      <w:tab w:val="left" w:leader="none" w:pos="5184"/>
                      <w:tab w:val="left" w:leader="none" w:pos="6624"/>
                    </w:tabs>
                    <w:spacing w:before="324" w:after="0" w:line="184" w:lineRule="exact"/>
                    <w:ind w:right="0" w:left="144" w:firstLine="0"/>
                    <w:jc w:val="left"/>
                    <w:textAlignment w:val="baseline"/>
                    <w:rPr>
                      <w:rFonts w:ascii="Times New Roman" w:hAnsi="Times New Roman" w:eastAsia="Times New Roman"/>
                      <w:b w:val="true"/>
                      <w:color w:val="000000"/>
                      <w:spacing w:val="0"/>
                      <w:w w:val="100"/>
                      <w:sz w:val="16"/>
                      <w:vertAlign w:val="baseline"/>
                      <w:lang w:val="en-US"/>
                    </w:rPr>
                  </w:pPr>
                  <w:r>
                    <w:rPr>
                      <w:rFonts w:ascii="Times New Roman" w:hAnsi="Times New Roman" w:eastAsia="Times New Roman"/>
                      <w:b w:val="true"/>
                      <w:color w:val="000000"/>
                      <w:spacing w:val="0"/>
                      <w:w w:val="100"/>
                      <w:sz w:val="16"/>
                      <w:vertAlign w:val="baseline"/>
                      <w:lang w:val="en-US"/>
                    </w:rPr>
                    <w:t xml:space="preserve">Column 1 Column 2	</w:t>
                  </w:r>
                  <w:r>
                    <w:rPr>
                      <w:rFonts w:ascii="Times New Roman" w:hAnsi="Times New Roman" w:eastAsia="Times New Roman"/>
                      <w:b w:val="true"/>
                      <w:color w:val="000000"/>
                      <w:spacing w:val="0"/>
                      <w:w w:val="100"/>
                      <w:sz w:val="16"/>
                      <w:vertAlign w:val="baseline"/>
                      <w:lang w:val="en-US"/>
                    </w:rPr>
                    <w:t xml:space="preserve">Column 3	</w:t>
                  </w:r>
                  <w:r>
                    <w:rPr>
                      <w:rFonts w:ascii="Times New Roman" w:hAnsi="Times New Roman" w:eastAsia="Times New Roman"/>
                      <w:b w:val="true"/>
                      <w:color w:val="000000"/>
                      <w:spacing w:val="0"/>
                      <w:w w:val="100"/>
                      <w:sz w:val="16"/>
                      <w:vertAlign w:val="baseline"/>
                      <w:lang w:val="en-US"/>
                    </w:rPr>
                    <w:t xml:space="preserve">Column 4	</w:t>
                  </w:r>
                  <w:r>
                    <w:rPr>
                      <w:rFonts w:ascii="Times New Roman" w:hAnsi="Times New Roman" w:eastAsia="Times New Roman"/>
                      <w:b w:val="true"/>
                      <w:color w:val="000000"/>
                      <w:spacing w:val="0"/>
                      <w:w w:val="100"/>
                      <w:sz w:val="16"/>
                      <w:vertAlign w:val="baseline"/>
                      <w:lang w:val="en-US"/>
                    </w:rPr>
                    <w:t xml:space="preserve">Column 5</w:t>
                  </w:r>
                </w:p>
                <w:p>
                  <w:pPr>
                    <w:tabs>
                      <w:tab w:val="left" w:leader="none" w:pos="6624"/>
                    </w:tabs>
                    <w:spacing w:before="54" w:after="0" w:line="184" w:lineRule="exact"/>
                    <w:ind w:right="0" w:left="5184" w:firstLine="0"/>
                    <w:jc w:val="left"/>
                    <w:textAlignment w:val="baseline"/>
                    <w:rPr>
                      <w:rFonts w:ascii="Times New Roman" w:hAnsi="Times New Roman" w:eastAsia="Times New Roman"/>
                      <w:b w:val="true"/>
                      <w:color w:val="000000"/>
                      <w:spacing w:val="0"/>
                      <w:w w:val="100"/>
                      <w:sz w:val="16"/>
                      <w:vertAlign w:val="baseline"/>
                      <w:lang w:val="en-US"/>
                    </w:rPr>
                  </w:pPr>
                  <w:r>
                    <w:rPr>
                      <w:rFonts w:ascii="Times New Roman" w:hAnsi="Times New Roman" w:eastAsia="Times New Roman"/>
                      <w:b w:val="true"/>
                      <w:color w:val="000000"/>
                      <w:spacing w:val="0"/>
                      <w:w w:val="100"/>
                      <w:sz w:val="16"/>
                      <w:vertAlign w:val="baseline"/>
                      <w:lang w:val="en-US"/>
                    </w:rPr>
                    <w:t xml:space="preserve">Placard	</w:t>
                  </w:r>
                  <w:r>
                    <w:rPr>
                      <w:rFonts w:ascii="Times New Roman" w:hAnsi="Times New Roman" w:eastAsia="Times New Roman"/>
                      <w:b w:val="true"/>
                      <w:color w:val="000000"/>
                      <w:spacing w:val="0"/>
                      <w:w w:val="100"/>
                      <w:sz w:val="16"/>
                      <w:vertAlign w:val="baseline"/>
                      <w:lang w:val="en-US"/>
                    </w:rPr>
                    <w:t xml:space="preserve">Manifest</w:t>
                  </w:r>
                </w:p>
                <w:p>
                  <w:pPr>
                    <w:tabs>
                      <w:tab w:val="right" w:leader="none" w:pos="3528"/>
                      <w:tab w:val="left" w:leader="none" w:pos="5184"/>
                      <w:tab w:val="left" w:leader="none" w:pos="6624"/>
                    </w:tabs>
                    <w:spacing w:before="59" w:after="49" w:line="184" w:lineRule="exact"/>
                    <w:ind w:right="0" w:left="144" w:firstLine="0"/>
                    <w:jc w:val="left"/>
                    <w:textAlignment w:val="baseline"/>
                    <w:rPr>
                      <w:rFonts w:ascii="Times New Roman" w:hAnsi="Times New Roman" w:eastAsia="Times New Roman"/>
                      <w:b w:val="true"/>
                      <w:color w:val="000000"/>
                      <w:spacing w:val="0"/>
                      <w:w w:val="100"/>
                      <w:sz w:val="16"/>
                      <w:vertAlign w:val="baseline"/>
                      <w:lang w:val="en-US"/>
                    </w:rPr>
                  </w:pPr>
                  <w:r>
                    <w:rPr>
                      <w:rFonts w:ascii="Times New Roman" w:hAnsi="Times New Roman" w:eastAsia="Times New Roman"/>
                      <w:b w:val="true"/>
                      <w:color w:val="000000"/>
                      <w:spacing w:val="0"/>
                      <w:w w:val="100"/>
                      <w:sz w:val="16"/>
                      <w:vertAlign w:val="baseline"/>
                      <w:lang w:val="en-US"/>
                    </w:rPr>
                    <w:t xml:space="preserve">Item	</w:t>
                  </w:r>
                  <w:r>
                    <w:rPr>
                      <w:rFonts w:ascii="Times New Roman" w:hAnsi="Times New Roman" w:eastAsia="Times New Roman"/>
                      <w:b w:val="true"/>
                      <w:color w:val="000000"/>
                      <w:spacing w:val="0"/>
                      <w:w w:val="100"/>
                      <w:sz w:val="16"/>
                      <w:vertAlign w:val="baseline"/>
                      <w:lang w:val="en-US"/>
                    </w:rPr>
                    <w:t xml:space="preserve">Description of hazardous chemical	</w:t>
                  </w:r>
                  <w:r>
                    <w:rPr>
                      <w:rFonts w:ascii="Times New Roman" w:hAnsi="Times New Roman" w:eastAsia="Times New Roman"/>
                      <w:b w:val="true"/>
                      <w:color w:val="000000"/>
                      <w:spacing w:val="0"/>
                      <w:w w:val="100"/>
                      <w:sz w:val="16"/>
                      <w:vertAlign w:val="baseline"/>
                      <w:lang w:val="en-US"/>
                    </w:rPr>
                    <w:t xml:space="preserve">quantity	</w:t>
                  </w:r>
                  <w:r>
                    <w:rPr>
                      <w:rFonts w:ascii="Times New Roman" w:hAnsi="Times New Roman" w:eastAsia="Times New Roman"/>
                      <w:b w:val="true"/>
                      <w:color w:val="000000"/>
                      <w:spacing w:val="0"/>
                      <w:w w:val="100"/>
                      <w:sz w:val="16"/>
                      <w:vertAlign w:val="baseline"/>
                      <w:lang w:val="en-US"/>
                    </w:rPr>
                    <w:t xml:space="preserve">quantity</w:t>
                  </w:r>
                </w:p>
              </w:txbxContent>
            </v:textbox>
          </v:shape>
        </w:pict>
      </w:r>
      <w:r>
        <w:pict>
          <v:shapetype id="_x0000_t63" coordsize="21600,21600" o:spt="202" path="m,l,21600r21600,l21600,xe">
            <v:stroke joinstyle="miter"/>
            <v:path gradientshapeok="t" o:connecttype="rect"/>
          </v:shapetype>
          <v:shape id="_x0000_s62" type="#_x0000_t63" filled="f" stroked="f" style="position:absolute;width:404pt;height:79pt;z-index:-1;margin-left:95.95pt;margin-top:155.7pt;mso-wrap-distance-left:0pt;mso-wrap-distance-right:0pt;mso-position-horizontal-relative:page;mso-position-vertical-relative:page">
            <w10:wrap type="square" side="both"/>
            <v:fill opacity="1" o:opacity2="1" recolor="f" rotate="f" type="solid"/>
            <v:textbox inset="0pt, 0pt, 0pt, 0pt">
              <w:txbxContent>
                <w:p>
                  <w:pPr>
                    <w:tabs>
                      <w:tab w:val="left" w:leader="none" w:pos="1152"/>
                      <w:tab w:val="left" w:leader="none" w:pos="2664"/>
                      <w:tab w:val="left" w:leader="none" w:pos="5256"/>
                    </w:tabs>
                    <w:spacing w:before="77" w:after="0" w:line="229" w:lineRule="exact"/>
                    <w:ind w:right="0" w:left="144" w:firstLine="0"/>
                    <w:jc w:val="left"/>
                    <w:textAlignment w:val="baseline"/>
                    <w:rPr>
                      <w:rFonts w:ascii="Times New Roman" w:hAnsi="Times New Roman" w:eastAsia="Times New Roman"/>
                      <w:color w:val="000000"/>
                      <w:spacing w:val="3"/>
                      <w:w w:val="100"/>
                      <w:sz w:val="20"/>
                      <w:vertAlign w:val="baseline"/>
                      <w:lang w:val="en-US"/>
                    </w:rPr>
                  </w:pPr>
                  <w:r>
                    <w:rPr>
                      <w:rFonts w:ascii="Times New Roman" w:hAnsi="Times New Roman" w:eastAsia="Times New Roman"/>
                      <w:color w:val="000000"/>
                      <w:spacing w:val="3"/>
                      <w:w w:val="100"/>
                      <w:sz w:val="20"/>
                      <w:vertAlign w:val="baseline"/>
                      <w:lang w:val="en-US"/>
                    </w:rPr>
                    <w:t xml:space="preserve">32	</w:t>
                  </w:r>
                  <w:r>
                    <w:rPr>
                      <w:rFonts w:ascii="Times New Roman" w:hAnsi="Times New Roman" w:eastAsia="Times New Roman"/>
                      <w:color w:val="000000"/>
                      <w:spacing w:val="3"/>
                      <w:w w:val="100"/>
                      <w:sz w:val="20"/>
                      <w:vertAlign w:val="baseline"/>
                      <w:lang w:val="en-US"/>
                    </w:rPr>
                    <w:t xml:space="preserve">Acute toxicity	</w:t>
                  </w:r>
                  <w:r>
                    <w:rPr>
                      <w:rFonts w:ascii="Times New Roman" w:hAnsi="Times New Roman" w:eastAsia="Times New Roman"/>
                      <w:color w:val="000000"/>
                      <w:spacing w:val="3"/>
                      <w:w w:val="100"/>
                      <w:sz w:val="20"/>
                      <w:vertAlign w:val="baseline"/>
                      <w:lang w:val="en-US"/>
                    </w:rPr>
                    <w:t xml:space="preserve">Category 1	</w:t>
                  </w:r>
                  <w:r>
                    <w:rPr>
                      <w:rFonts w:ascii="Times New Roman" w:hAnsi="Times New Roman" w:eastAsia="Times New Roman"/>
                      <w:color w:val="000000"/>
                      <w:spacing w:val="3"/>
                      <w:w w:val="100"/>
                      <w:sz w:val="20"/>
                      <w:vertAlign w:val="baseline"/>
                      <w:lang w:val="en-US"/>
                    </w:rPr>
                    <w:t xml:space="preserve">50kg or 50L 500kg or 500L</w:t>
                  </w:r>
                </w:p>
                <w:p>
                  <w:pPr>
                    <w:tabs>
                      <w:tab w:val="left" w:leader="none" w:pos="2664"/>
                      <w:tab w:val="left" w:leader="none" w:pos="5256"/>
                      <w:tab w:val="left" w:leader="none" w:pos="6480"/>
                    </w:tabs>
                    <w:spacing w:before="116" w:after="0" w:line="229"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33	</w:t>
                  </w:r>
                  <w:r>
                    <w:rPr>
                      <w:rFonts w:ascii="Times New Roman" w:hAnsi="Times New Roman" w:eastAsia="Times New Roman"/>
                      <w:color w:val="000000"/>
                      <w:spacing w:val="0"/>
                      <w:w w:val="100"/>
                      <w:sz w:val="20"/>
                      <w:vertAlign w:val="baseline"/>
                      <w:lang w:val="en-US"/>
                    </w:rPr>
                    <w:t xml:space="preserve">Category 2	</w:t>
                  </w:r>
                  <w:r>
                    <w:rPr>
                      <w:rFonts w:ascii="Times New Roman" w:hAnsi="Times New Roman" w:eastAsia="Times New Roman"/>
                      <w:color w:val="000000"/>
                      <w:spacing w:val="0"/>
                      <w:w w:val="100"/>
                      <w:sz w:val="20"/>
                      <w:vertAlign w:val="baseline"/>
                      <w:lang w:val="en-US"/>
                    </w:rPr>
                    <w:t xml:space="preserve">250kg	</w:t>
                  </w:r>
                  <w:r>
                    <w:rPr>
                      <w:rFonts w:ascii="Times New Roman" w:hAnsi="Times New Roman" w:eastAsia="Times New Roman"/>
                      <w:color w:val="000000"/>
                      <w:spacing w:val="0"/>
                      <w:w w:val="100"/>
                      <w:sz w:val="20"/>
                      <w:vertAlign w:val="baseline"/>
                      <w:lang w:val="en-US"/>
                    </w:rPr>
                    <w:t xml:space="preserve">2500kg or 2500L</w:t>
                  </w:r>
                </w:p>
                <w:p>
                  <w:pPr>
                    <w:spacing w:before="2" w:after="0" w:line="229" w:lineRule="exact"/>
                    <w:ind w:right="0" w:left="5184"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or 250L</w:t>
                  </w:r>
                </w:p>
                <w:p>
                  <w:pPr>
                    <w:tabs>
                      <w:tab w:val="left" w:leader="none" w:pos="2664"/>
                      <w:tab w:val="left" w:leader="none" w:pos="5256"/>
                      <w:tab w:val="left" w:leader="none" w:pos="6480"/>
                    </w:tabs>
                    <w:spacing w:before="119" w:after="0" w:line="225"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34	</w:t>
                  </w:r>
                  <w:r>
                    <w:rPr>
                      <w:rFonts w:ascii="Times New Roman" w:hAnsi="Times New Roman" w:eastAsia="Times New Roman"/>
                      <w:color w:val="000000"/>
                      <w:spacing w:val="0"/>
                      <w:w w:val="100"/>
                      <w:sz w:val="20"/>
                      <w:vertAlign w:val="baseline"/>
                      <w:lang w:val="en-US"/>
                    </w:rPr>
                    <w:t xml:space="preserve">Category 3	</w:t>
                  </w:r>
                  <w:r>
                    <w:rPr>
                      <w:rFonts w:ascii="Times New Roman" w:hAnsi="Times New Roman" w:eastAsia="Times New Roman"/>
                      <w:color w:val="000000"/>
                      <w:spacing w:val="0"/>
                      <w:w w:val="100"/>
                      <w:sz w:val="20"/>
                      <w:vertAlign w:val="baseline"/>
                      <w:lang w:val="en-US"/>
                    </w:rPr>
                    <w:t xml:space="preserve">1000kg or	</w:t>
                  </w:r>
                  <w:r>
                    <w:rPr>
                      <w:rFonts w:ascii="Times New Roman" w:hAnsi="Times New Roman" w:eastAsia="Times New Roman"/>
                      <w:color w:val="000000"/>
                      <w:spacing w:val="0"/>
                      <w:w w:val="100"/>
                      <w:sz w:val="20"/>
                      <w:vertAlign w:val="baseline"/>
                      <w:lang w:val="en-US"/>
                    </w:rPr>
                    <w:t xml:space="preserve">10 000kg or</w:t>
                  </w:r>
                </w:p>
                <w:p>
                  <w:pPr>
                    <w:tabs>
                      <w:tab w:val="left" w:leader="none" w:pos="6480"/>
                    </w:tabs>
                    <w:spacing w:before="0" w:after="115" w:line="225" w:lineRule="exact"/>
                    <w:ind w:right="0" w:left="5184" w:firstLine="0"/>
                    <w:jc w:val="left"/>
                    <w:textAlignment w:val="baseline"/>
                    <w:rPr>
                      <w:rFonts w:ascii="Times New Roman" w:hAnsi="Times New Roman" w:eastAsia="Times New Roman"/>
                      <w:color w:val="000000"/>
                      <w:spacing w:val="-3"/>
                      <w:w w:val="100"/>
                      <w:sz w:val="20"/>
                      <w:vertAlign w:val="baseline"/>
                      <w:lang w:val="en-US"/>
                    </w:rPr>
                  </w:pPr>
                  <w:r>
                    <w:rPr>
                      <w:rFonts w:ascii="Times New Roman" w:hAnsi="Times New Roman" w:eastAsia="Times New Roman"/>
                      <w:color w:val="000000"/>
                      <w:spacing w:val="-3"/>
                      <w:w w:val="100"/>
                      <w:sz w:val="20"/>
                      <w:vertAlign w:val="baseline"/>
                      <w:lang w:val="en-US"/>
                    </w:rPr>
                    <w:t xml:space="preserve">1000L	</w:t>
                  </w:r>
                  <w:r>
                    <w:rPr>
                      <w:rFonts w:ascii="Times New Roman" w:hAnsi="Times New Roman" w:eastAsia="Times New Roman"/>
                      <w:color w:val="000000"/>
                      <w:spacing w:val="-3"/>
                      <w:w w:val="100"/>
                      <w:sz w:val="20"/>
                      <w:vertAlign w:val="baseline"/>
                      <w:lang w:val="en-US"/>
                    </w:rPr>
                    <w:t xml:space="preserve">10 000L</w:t>
                  </w:r>
                </w:p>
              </w:txbxContent>
            </v:textbox>
          </v:shape>
        </w:pict>
      </w:r>
      <w:r>
        <w:pict>
          <v:shapetype id="_x0000_t64" coordsize="21600,21600" o:spt="202" path="m,l,21600r21600,l21600,xe">
            <v:stroke joinstyle="miter"/>
            <v:path gradientshapeok="t" o:connecttype="rect"/>
          </v:shapetype>
          <v:shape id="_x0000_s63" type="#_x0000_t64" filled="f" stroked="f" style="position:absolute;width:404pt;height:63.6pt;z-index:-1;margin-left:95.95pt;margin-top:234.7pt;mso-wrap-distance-left:0pt;mso-wrap-distance-right:0pt;mso-position-horizontal-relative:page;mso-position-vertical-relative:page">
            <w10:wrap type="square" side="both"/>
            <v:fill opacity="1" o:opacity2="1" recolor="f" rotate="f" type="solid"/>
            <v:textbox inset="0pt, 0pt, 0pt, 0pt">
              <w:txbxContent>
                <w:tbl>
                  <w:tblPr>
                    <w:jc w:val="left"/>
                    <w:tblLayout w:type="fixed"/>
                    <w:tblCellMar>
                      <w:left w:w="0" w:type="dxa"/>
                      <w:right w:w="0" w:type="dxa"/>
                    </w:tblCellMar>
                  </w:tblPr>
                  <w:tblGrid>
                    <w:gridCol w:w="5094"/>
                    <w:gridCol w:w="1180"/>
                    <w:gridCol w:w="1806"/>
                  </w:tblGrid>
                  <w:tr>
                    <w:trPr>
                      <w:trHeight w:val="1128" w:hRule="exact"/>
                    </w:trPr>
                    <w:tc>
                      <w:tcPr>
                        <w:tcW w:w="5094" w:type="dxa"/>
                        <w:tcBorders>
                          <w:top w:val="none"/>
                          <w:left w:val="none"/>
                          <w:bottom w:val="none"/>
                          <w:right w:val="none"/>
                        </w:tcBorders>
                        <w:textDirection w:val="lrTb"/>
                        <w:vAlign w:val="top"/>
                      </w:tcPr>
                      <w:p>
                        <w:pPr>
                          <w:tabs>
                            <w:tab w:val="left" w:leader="none" w:pos="2664"/>
                          </w:tabs>
                          <w:spacing w:before="0" w:after="0" w:line="224" w:lineRule="exact"/>
                          <w:ind w:right="144" w:left="2664" w:hanging="2448"/>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35	</w:t>
                        </w:r>
                        <w:r>
                          <w:rPr>
                            <w:rFonts w:ascii="Times New Roman" w:hAnsi="Times New Roman" w:eastAsia="Times New Roman"/>
                            <w:color w:val="000000"/>
                            <w:spacing w:val="0"/>
                            <w:w w:val="100"/>
                            <w:sz w:val="20"/>
                            <w:vertAlign w:val="baseline"/>
                            <w:lang w:val="en-US"/>
                          </w:rPr>
                          <w:t xml:space="preserve">Any combination of chemicals from Items 32 to 34 where none of the items exceeds the quantities in columns 4 or 5 on their own</w:t>
                        </w:r>
                      </w:p>
                    </w:tc>
                    <w:tc>
                      <w:tcPr>
                        <w:tcW w:w="1180" w:type="dxa"/>
                        <w:tcBorders>
                          <w:top w:val="none"/>
                          <w:left w:val="none"/>
                          <w:bottom w:val="none"/>
                          <w:right w:val="none"/>
                        </w:tcBorders>
                        <w:textDirection w:val="lrTb"/>
                        <w:vAlign w:val="top"/>
                      </w:tcPr>
                      <w:p>
                        <w:pPr>
                          <w:spacing w:before="0" w:after="660" w:line="230" w:lineRule="exact"/>
                          <w:ind w:right="0" w:left="10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1000kg or 1000L</w:t>
                        </w:r>
                      </w:p>
                    </w:tc>
                    <w:tc>
                      <w:tcPr>
                        <w:tcW w:w="1806" w:type="dxa"/>
                        <w:tcBorders>
                          <w:top w:val="none"/>
                          <w:left w:val="none"/>
                          <w:bottom w:val="none"/>
                          <w:right w:val="none"/>
                        </w:tcBorders>
                        <w:textDirection w:val="lrTb"/>
                        <w:vAlign w:val="top"/>
                      </w:tcPr>
                      <w:p>
                        <w:pPr>
                          <w:spacing w:before="0" w:after="660"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10 000kg or</w:t>
                          <w:br/>
                        </w:r>
                        <w:r>
                          <w:rPr>
                            <w:rFonts w:ascii="Times New Roman" w:hAnsi="Times New Roman" w:eastAsia="Times New Roman"/>
                            <w:color w:val="000000"/>
                            <w:spacing w:val="0"/>
                            <w:w w:val="100"/>
                            <w:sz w:val="20"/>
                            <w:vertAlign w:val="baseline"/>
                            <w:lang w:val="en-US"/>
                          </w:rPr>
                          <w:t xml:space="preserve">10 000L</w:t>
                        </w:r>
                      </w:p>
                    </w:tc>
                  </w:tr>
                </w:tbl>
                <w:p>
                  <w:pPr>
                    <w:spacing w:before="0" w:after="124" w:line="20" w:lineRule="exact"/>
                  </w:pPr>
                </w:p>
              </w:txbxContent>
            </v:textbox>
          </v:shape>
        </w:pict>
      </w:r>
      <w:r>
        <w:pict>
          <v:shapetype id="_x0000_t65" coordsize="21600,21600" o:spt="202" path="m,l,21600r21600,l21600,xe">
            <v:stroke joinstyle="miter"/>
            <v:path gradientshapeok="t" o:connecttype="rect"/>
          </v:shapetype>
          <v:shape id="_x0000_s64" type="#_x0000_t65" filled="f" stroked="f" style="position:absolute;width:404pt;height:104.4pt;z-index:-1;margin-left:95.95pt;margin-top:298.3pt;mso-wrap-distance-left:0pt;mso-wrap-distance-right:0pt;mso-position-horizontal-relative:page;mso-position-vertical-relative:page">
            <w10:wrap type="square" side="both"/>
            <v:fill opacity="1" o:opacity2="1" recolor="f" rotate="f" type="solid"/>
            <v:textbox inset="0pt, 0pt, 0pt, 0pt">
              <w:txbxContent>
                <w:p>
                  <w:pPr>
                    <w:tabs>
                      <w:tab w:val="left" w:leader="none" w:pos="1152"/>
                      <w:tab w:val="left" w:leader="none" w:pos="2664"/>
                      <w:tab w:val="left" w:leader="none" w:pos="5256"/>
                    </w:tabs>
                    <w:spacing w:before="4" w:after="0" w:line="229" w:lineRule="exact"/>
                    <w:ind w:right="0" w:left="144" w:firstLine="0"/>
                    <w:jc w:val="left"/>
                    <w:textAlignment w:val="baseline"/>
                    <w:rPr>
                      <w:rFonts w:ascii="Times New Roman" w:hAnsi="Times New Roman" w:eastAsia="Times New Roman"/>
                      <w:color w:val="000000"/>
                      <w:spacing w:val="3"/>
                      <w:w w:val="100"/>
                      <w:sz w:val="20"/>
                      <w:vertAlign w:val="baseline"/>
                      <w:lang w:val="en-US"/>
                    </w:rPr>
                  </w:pPr>
                  <w:r>
                    <w:rPr>
                      <w:rFonts w:ascii="Times New Roman" w:hAnsi="Times New Roman" w:eastAsia="Times New Roman"/>
                      <w:color w:val="000000"/>
                      <w:spacing w:val="3"/>
                      <w:w w:val="100"/>
                      <w:sz w:val="20"/>
                      <w:vertAlign w:val="baseline"/>
                      <w:lang w:val="en-US"/>
                    </w:rPr>
                    <w:t xml:space="preserve">36	</w:t>
                  </w:r>
                  <w:r>
                    <w:rPr>
                      <w:rFonts w:ascii="Times New Roman" w:hAnsi="Times New Roman" w:eastAsia="Times New Roman"/>
                      <w:color w:val="000000"/>
                      <w:spacing w:val="3"/>
                      <w:w w:val="100"/>
                      <w:sz w:val="20"/>
                      <w:vertAlign w:val="baseline"/>
                      <w:lang w:val="en-US"/>
                    </w:rPr>
                    <w:t xml:space="preserve">Skin corrosion	</w:t>
                  </w:r>
                  <w:r>
                    <w:rPr>
                      <w:rFonts w:ascii="Times New Roman" w:hAnsi="Times New Roman" w:eastAsia="Times New Roman"/>
                      <w:color w:val="000000"/>
                      <w:spacing w:val="3"/>
                      <w:w w:val="100"/>
                      <w:sz w:val="20"/>
                      <w:vertAlign w:val="baseline"/>
                      <w:lang w:val="en-US"/>
                    </w:rPr>
                    <w:t xml:space="preserve">Category 1A	</w:t>
                  </w:r>
                  <w:r>
                    <w:rPr>
                      <w:rFonts w:ascii="Times New Roman" w:hAnsi="Times New Roman" w:eastAsia="Times New Roman"/>
                      <w:color w:val="000000"/>
                      <w:spacing w:val="3"/>
                      <w:w w:val="100"/>
                      <w:sz w:val="20"/>
                      <w:vertAlign w:val="baseline"/>
                      <w:lang w:val="en-US"/>
                    </w:rPr>
                    <w:t xml:space="preserve">50kg or 50L 500kg or 500L</w:t>
                  </w:r>
                </w:p>
                <w:p>
                  <w:pPr>
                    <w:tabs>
                      <w:tab w:val="left" w:leader="none" w:pos="2664"/>
                      <w:tab w:val="left" w:leader="none" w:pos="5256"/>
                      <w:tab w:val="left" w:leader="none" w:pos="6480"/>
                    </w:tabs>
                    <w:spacing w:before="116" w:after="0" w:line="229"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37	</w:t>
                  </w:r>
                  <w:r>
                    <w:rPr>
                      <w:rFonts w:ascii="Times New Roman" w:hAnsi="Times New Roman" w:eastAsia="Times New Roman"/>
                      <w:color w:val="000000"/>
                      <w:spacing w:val="0"/>
                      <w:w w:val="100"/>
                      <w:sz w:val="20"/>
                      <w:vertAlign w:val="baseline"/>
                      <w:lang w:val="en-US"/>
                    </w:rPr>
                    <w:t xml:space="preserve">Category 1B	</w:t>
                  </w:r>
                  <w:r>
                    <w:rPr>
                      <w:rFonts w:ascii="Times New Roman" w:hAnsi="Times New Roman" w:eastAsia="Times New Roman"/>
                      <w:color w:val="000000"/>
                      <w:spacing w:val="0"/>
                      <w:w w:val="100"/>
                      <w:sz w:val="20"/>
                      <w:vertAlign w:val="baseline"/>
                      <w:lang w:val="en-US"/>
                    </w:rPr>
                    <w:t xml:space="preserve">250kg	</w:t>
                  </w:r>
                  <w:r>
                    <w:rPr>
                      <w:rFonts w:ascii="Times New Roman" w:hAnsi="Times New Roman" w:eastAsia="Times New Roman"/>
                      <w:color w:val="000000"/>
                      <w:spacing w:val="0"/>
                      <w:w w:val="100"/>
                      <w:sz w:val="20"/>
                      <w:vertAlign w:val="baseline"/>
                      <w:lang w:val="en-US"/>
                    </w:rPr>
                    <w:t xml:space="preserve">2500kg or 2500L</w:t>
                  </w:r>
                </w:p>
                <w:p>
                  <w:pPr>
                    <w:spacing w:before="7" w:after="0" w:line="229" w:lineRule="exact"/>
                    <w:ind w:right="0" w:left="5184"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or 250L</w:t>
                  </w:r>
                </w:p>
                <w:p>
                  <w:pPr>
                    <w:tabs>
                      <w:tab w:val="left" w:leader="none" w:pos="2664"/>
                      <w:tab w:val="left" w:leader="none" w:pos="5256"/>
                      <w:tab w:val="left" w:leader="none" w:pos="6480"/>
                    </w:tabs>
                    <w:spacing w:before="114" w:after="0" w:line="225"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38	</w:t>
                  </w:r>
                  <w:r>
                    <w:rPr>
                      <w:rFonts w:ascii="Times New Roman" w:hAnsi="Times New Roman" w:eastAsia="Times New Roman"/>
                      <w:color w:val="000000"/>
                      <w:spacing w:val="0"/>
                      <w:w w:val="100"/>
                      <w:sz w:val="20"/>
                      <w:vertAlign w:val="baseline"/>
                      <w:lang w:val="en-US"/>
                    </w:rPr>
                    <w:t xml:space="preserve">Category 1C	</w:t>
                  </w:r>
                  <w:r>
                    <w:rPr>
                      <w:rFonts w:ascii="Times New Roman" w:hAnsi="Times New Roman" w:eastAsia="Times New Roman"/>
                      <w:color w:val="000000"/>
                      <w:spacing w:val="0"/>
                      <w:w w:val="100"/>
                      <w:sz w:val="20"/>
                      <w:vertAlign w:val="baseline"/>
                      <w:lang w:val="en-US"/>
                    </w:rPr>
                    <w:t xml:space="preserve">1000kg or	</w:t>
                  </w:r>
                  <w:r>
                    <w:rPr>
                      <w:rFonts w:ascii="Times New Roman" w:hAnsi="Times New Roman" w:eastAsia="Times New Roman"/>
                      <w:color w:val="000000"/>
                      <w:spacing w:val="0"/>
                      <w:w w:val="100"/>
                      <w:sz w:val="20"/>
                      <w:vertAlign w:val="baseline"/>
                      <w:lang w:val="en-US"/>
                    </w:rPr>
                    <w:t xml:space="preserve">10 000kg or</w:t>
                  </w:r>
                </w:p>
                <w:p>
                  <w:pPr>
                    <w:tabs>
                      <w:tab w:val="left" w:leader="none" w:pos="6480"/>
                    </w:tabs>
                    <w:spacing w:before="0" w:after="0" w:line="225" w:lineRule="exact"/>
                    <w:ind w:right="0" w:left="5184" w:firstLine="0"/>
                    <w:jc w:val="left"/>
                    <w:textAlignment w:val="baseline"/>
                    <w:rPr>
                      <w:rFonts w:ascii="Times New Roman" w:hAnsi="Times New Roman" w:eastAsia="Times New Roman"/>
                      <w:color w:val="000000"/>
                      <w:spacing w:val="-3"/>
                      <w:w w:val="100"/>
                      <w:sz w:val="20"/>
                      <w:vertAlign w:val="baseline"/>
                      <w:lang w:val="en-US"/>
                    </w:rPr>
                  </w:pPr>
                  <w:r>
                    <w:rPr>
                      <w:rFonts w:ascii="Times New Roman" w:hAnsi="Times New Roman" w:eastAsia="Times New Roman"/>
                      <w:color w:val="000000"/>
                      <w:spacing w:val="-3"/>
                      <w:w w:val="100"/>
                      <w:sz w:val="20"/>
                      <w:vertAlign w:val="baseline"/>
                      <w:lang w:val="en-US"/>
                    </w:rPr>
                    <w:t xml:space="preserve">1000L	</w:t>
                  </w:r>
                  <w:r>
                    <w:rPr>
                      <w:rFonts w:ascii="Times New Roman" w:hAnsi="Times New Roman" w:eastAsia="Times New Roman"/>
                      <w:color w:val="000000"/>
                      <w:spacing w:val="-3"/>
                      <w:w w:val="100"/>
                      <w:sz w:val="20"/>
                      <w:vertAlign w:val="baseline"/>
                      <w:lang w:val="en-US"/>
                    </w:rPr>
                    <w:t xml:space="preserve">10 000L</w:t>
                  </w:r>
                </w:p>
                <w:p>
                  <w:pPr>
                    <w:tabs>
                      <w:tab w:val="left" w:leader="none" w:pos="1152"/>
                      <w:tab w:val="left" w:leader="none" w:pos="2664"/>
                      <w:tab w:val="left" w:leader="none" w:pos="5256"/>
                      <w:tab w:val="left" w:leader="none" w:pos="6480"/>
                    </w:tabs>
                    <w:spacing w:before="129" w:after="0" w:line="226"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39	</w:t>
                  </w:r>
                  <w:r>
                    <w:rPr>
                      <w:rFonts w:ascii="Times New Roman" w:hAnsi="Times New Roman" w:eastAsia="Times New Roman"/>
                      <w:color w:val="000000"/>
                      <w:spacing w:val="0"/>
                      <w:w w:val="100"/>
                      <w:sz w:val="20"/>
                      <w:vertAlign w:val="baseline"/>
                      <w:lang w:val="en-US"/>
                    </w:rPr>
                    <w:t xml:space="preserve">Corrosive to	</w:t>
                  </w:r>
                  <w:r>
                    <w:rPr>
                      <w:rFonts w:ascii="Times New Roman" w:hAnsi="Times New Roman" w:eastAsia="Times New Roman"/>
                      <w:color w:val="000000"/>
                      <w:spacing w:val="0"/>
                      <w:w w:val="100"/>
                      <w:sz w:val="20"/>
                      <w:vertAlign w:val="baseline"/>
                      <w:lang w:val="en-US"/>
                    </w:rPr>
                    <w:t xml:space="preserve">Category 1	</w:t>
                  </w:r>
                  <w:r>
                    <w:rPr>
                      <w:rFonts w:ascii="Times New Roman" w:hAnsi="Times New Roman" w:eastAsia="Times New Roman"/>
                      <w:color w:val="000000"/>
                      <w:spacing w:val="0"/>
                      <w:w w:val="100"/>
                      <w:sz w:val="20"/>
                      <w:vertAlign w:val="baseline"/>
                      <w:lang w:val="en-US"/>
                    </w:rPr>
                    <w:t xml:space="preserve">1000kg or	</w:t>
                  </w:r>
                  <w:r>
                    <w:rPr>
                      <w:rFonts w:ascii="Times New Roman" w:hAnsi="Times New Roman" w:eastAsia="Times New Roman"/>
                      <w:color w:val="000000"/>
                      <w:spacing w:val="0"/>
                      <w:w w:val="100"/>
                      <w:sz w:val="20"/>
                      <w:vertAlign w:val="baseline"/>
                      <w:lang w:val="en-US"/>
                    </w:rPr>
                    <w:t xml:space="preserve">10 000kg or</w:t>
                  </w:r>
                </w:p>
                <w:p>
                  <w:pPr>
                    <w:tabs>
                      <w:tab w:val="left" w:leader="none" w:pos="5256"/>
                      <w:tab w:val="left" w:leader="none" w:pos="6480"/>
                    </w:tabs>
                    <w:spacing w:before="0" w:after="126" w:line="224" w:lineRule="exact"/>
                    <w:ind w:right="0" w:left="115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metals	</w:t>
                  </w:r>
                  <w:r>
                    <w:rPr>
                      <w:rFonts w:ascii="Times New Roman" w:hAnsi="Times New Roman" w:eastAsia="Times New Roman"/>
                      <w:color w:val="000000"/>
                      <w:spacing w:val="0"/>
                      <w:w w:val="100"/>
                      <w:sz w:val="20"/>
                      <w:vertAlign w:val="baseline"/>
                      <w:lang w:val="en-US"/>
                    </w:rPr>
                    <w:t xml:space="preserve">1000L	</w:t>
                  </w:r>
                  <w:r>
                    <w:rPr>
                      <w:rFonts w:ascii="Times New Roman" w:hAnsi="Times New Roman" w:eastAsia="Times New Roman"/>
                      <w:color w:val="000000"/>
                      <w:spacing w:val="0"/>
                      <w:w w:val="100"/>
                      <w:sz w:val="20"/>
                      <w:vertAlign w:val="baseline"/>
                      <w:lang w:val="en-US"/>
                    </w:rPr>
                    <w:t xml:space="preserve">10 000L</w:t>
                  </w:r>
                </w:p>
              </w:txbxContent>
            </v:textbox>
          </v:shape>
        </w:pict>
      </w:r>
      <w:r>
        <w:pict>
          <v:shapetype id="_x0000_t66" coordsize="21600,21600" o:spt="202" path="m,l,21600r21600,l21600,xe">
            <v:stroke joinstyle="miter"/>
            <v:path gradientshapeok="t" o:connecttype="rect"/>
          </v:shapetype>
          <v:shape id="_x0000_s65" type="#_x0000_t66" filled="f" stroked="f" style="position:absolute;width:404pt;height:63.6pt;z-index:-1;margin-left:95.95pt;margin-top:402.7pt;mso-wrap-distance-left:0pt;mso-wrap-distance-right:0pt;mso-position-horizontal-relative:page;mso-position-vertical-relative:page">
            <w10:wrap type="square" side="both"/>
            <v:fill opacity="1" o:opacity2="1" recolor="f" rotate="f" type="solid"/>
            <v:textbox inset="0pt, 0pt, 0pt, 0pt">
              <w:txbxContent>
                <w:tbl>
                  <w:tblPr>
                    <w:jc w:val="left"/>
                    <w:tblLayout w:type="fixed"/>
                    <w:tblCellMar>
                      <w:left w:w="0" w:type="dxa"/>
                      <w:right w:w="0" w:type="dxa"/>
                    </w:tblCellMar>
                  </w:tblPr>
                  <w:tblGrid>
                    <w:gridCol w:w="5094"/>
                    <w:gridCol w:w="1180"/>
                    <w:gridCol w:w="1806"/>
                  </w:tblGrid>
                  <w:tr>
                    <w:trPr>
                      <w:trHeight w:val="1128" w:hRule="exact"/>
                    </w:trPr>
                    <w:tc>
                      <w:tcPr>
                        <w:tcW w:w="5094" w:type="dxa"/>
                        <w:tcBorders>
                          <w:top w:val="none"/>
                          <w:left w:val="none"/>
                          <w:bottom w:val="none"/>
                          <w:right w:val="none"/>
                        </w:tcBorders>
                        <w:textDirection w:val="lrTb"/>
                        <w:vAlign w:val="top"/>
                      </w:tcPr>
                      <w:p>
                        <w:pPr>
                          <w:tabs>
                            <w:tab w:val="left" w:leader="none" w:pos="2664"/>
                          </w:tabs>
                          <w:spacing w:before="0" w:after="0" w:line="223" w:lineRule="exact"/>
                          <w:ind w:right="144" w:left="2664" w:hanging="2448"/>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40	</w:t>
                        </w:r>
                        <w:r>
                          <w:rPr>
                            <w:rFonts w:ascii="Times New Roman" w:hAnsi="Times New Roman" w:eastAsia="Times New Roman"/>
                            <w:color w:val="000000"/>
                            <w:spacing w:val="0"/>
                            <w:w w:val="100"/>
                            <w:sz w:val="20"/>
                            <w:vertAlign w:val="baseline"/>
                            <w:lang w:val="en-US"/>
                          </w:rPr>
                          <w:t xml:space="preserve">Any combination of chemicals from Items 36 to 39 where none of the items exceeds the quantities in columns 4 or 5 on their own</w:t>
                        </w:r>
                      </w:p>
                    </w:tc>
                    <w:tc>
                      <w:tcPr>
                        <w:tcW w:w="1180" w:type="dxa"/>
                        <w:tcBorders>
                          <w:top w:val="none"/>
                          <w:left w:val="none"/>
                          <w:bottom w:val="none"/>
                          <w:right w:val="none"/>
                        </w:tcBorders>
                        <w:textDirection w:val="lrTb"/>
                        <w:vAlign w:val="top"/>
                      </w:tcPr>
                      <w:p>
                        <w:pPr>
                          <w:spacing w:before="0" w:after="655" w:line="230" w:lineRule="exact"/>
                          <w:ind w:right="0" w:left="10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1000kg or 1000L</w:t>
                        </w:r>
                      </w:p>
                    </w:tc>
                    <w:tc>
                      <w:tcPr>
                        <w:tcW w:w="1806" w:type="dxa"/>
                        <w:tcBorders>
                          <w:top w:val="none"/>
                          <w:left w:val="none"/>
                          <w:bottom w:val="none"/>
                          <w:right w:val="none"/>
                        </w:tcBorders>
                        <w:textDirection w:val="lrTb"/>
                        <w:vAlign w:val="top"/>
                      </w:tcPr>
                      <w:p>
                        <w:pPr>
                          <w:spacing w:before="0" w:after="655"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10 000kg or</w:t>
                          <w:br/>
                        </w:r>
                        <w:r>
                          <w:rPr>
                            <w:rFonts w:ascii="Times New Roman" w:hAnsi="Times New Roman" w:eastAsia="Times New Roman"/>
                            <w:color w:val="000000"/>
                            <w:spacing w:val="0"/>
                            <w:w w:val="100"/>
                            <w:sz w:val="20"/>
                            <w:vertAlign w:val="baseline"/>
                            <w:lang w:val="en-US"/>
                          </w:rPr>
                          <w:t xml:space="preserve">10 000L</w:t>
                        </w:r>
                      </w:p>
                    </w:tc>
                  </w:tr>
                </w:tbl>
                <w:p>
                  <w:pPr>
                    <w:spacing w:before="0" w:after="124" w:line="20" w:lineRule="exact"/>
                  </w:pPr>
                </w:p>
              </w:txbxContent>
            </v:textbox>
          </v:shape>
        </w:pict>
      </w:r>
      <w:r>
        <w:pict>
          <v:shapetype id="_x0000_t67" coordsize="21600,21600" o:spt="202" path="m,l,21600r21600,l21600,xe">
            <v:stroke joinstyle="miter"/>
            <v:path gradientshapeok="t" o:connecttype="rect"/>
          </v:shapetype>
          <v:shape id="_x0000_s66" type="#_x0000_t67" filled="f" stroked="f" style="position:absolute;width:113.5pt;height:98.05pt;z-index:-1;margin-left:230.4pt;margin-top:466.3pt;mso-wrap-distance-left:0pt;mso-wrap-distance-right:0pt;mso-position-horizontal-relative:page;mso-position-vertical-relative:page">
            <w10:wrap type="square" side="both"/>
            <v:fill opacity="1" o:opacity2="1" recolor="f" rotate="f" type="solid"/>
            <v:textbox inset="0pt, 0pt, 0pt, 0pt">
              <w:txbxContent>
                <w:p>
                  <w:pPr>
                    <w:spacing w:before="581"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Any combination of chemicals from items 10, 28 and 41 where none of the items exceeds the quantities in columns 4 or 5 on their own</w:t>
                  </w:r>
                </w:p>
              </w:txbxContent>
            </v:textbox>
          </v:shape>
        </w:pict>
      </w:r>
      <w:r>
        <w:pict>
          <v:shapetype id="_x0000_t68" coordsize="21600,21600" o:spt="202" path="m,l,21600r21600,l21600,xe">
            <v:stroke joinstyle="miter"/>
            <v:path gradientshapeok="t" o:connecttype="rect"/>
          </v:shapetype>
          <v:shape id="_x0000_s67" type="#_x0000_t68" filled="f" stroked="f" style="position:absolute;width:113.5pt;height:115.8pt;z-index:-1;margin-left:356.75pt;margin-top:466.3pt;mso-wrap-distance-left:0pt;mso-wrap-distance-right:0pt;mso-position-horizontal-relative:page;mso-position-vertical-relative:page">
            <w10:wrap type="square" side="both"/>
            <v:fill opacity="1" o:opacity2="1" recolor="f" rotate="f" type="solid"/>
            <v:textbox inset="0pt, 0pt, 0pt, 0pt">
              <w:txbxContent>
                <w:p>
                  <w:pPr>
                    <w:tabs>
                      <w:tab w:val="left" w:leader="none" w:pos="1296"/>
                    </w:tabs>
                    <w:spacing w:before="4" w:after="0" w:line="229" w:lineRule="exact"/>
                    <w:ind w:right="0" w:left="0" w:firstLine="0"/>
                    <w:jc w:val="left"/>
                    <w:textAlignment w:val="baseline"/>
                    <w:rPr>
                      <w:rFonts w:ascii="Times New Roman" w:hAnsi="Times New Roman" w:eastAsia="Times New Roman"/>
                      <w:color w:val="000000"/>
                      <w:spacing w:val="-5"/>
                      <w:w w:val="100"/>
                      <w:sz w:val="20"/>
                      <w:vertAlign w:val="baseline"/>
                      <w:lang w:val="en-US"/>
                    </w:rPr>
                  </w:pPr>
                  <w:r>
                    <w:rPr>
                      <w:rFonts w:ascii="Times New Roman" w:hAnsi="Times New Roman" w:eastAsia="Times New Roman"/>
                      <w:color w:val="000000"/>
                      <w:spacing w:val="-5"/>
                      <w:w w:val="100"/>
                      <w:sz w:val="20"/>
                      <w:vertAlign w:val="baseline"/>
                      <w:lang w:val="en-US"/>
                    </w:rPr>
                    <w:t xml:space="preserve">5kg or 5L	</w:t>
                  </w:r>
                  <w:r>
                    <w:rPr>
                      <w:rFonts w:ascii="Times New Roman" w:hAnsi="Times New Roman" w:eastAsia="Times New Roman"/>
                      <w:color w:val="000000"/>
                      <w:spacing w:val="-5"/>
                      <w:w w:val="100"/>
                      <w:sz w:val="20"/>
                      <w:vertAlign w:val="baseline"/>
                      <w:lang w:val="en-US"/>
                    </w:rPr>
                    <w:t xml:space="preserve">50kg or 50L</w:t>
                  </w:r>
                </w:p>
                <w:p>
                  <w:pPr>
                    <w:tabs>
                      <w:tab w:val="left" w:leader="none" w:pos="1296"/>
                    </w:tabs>
                    <w:spacing w:before="352" w:after="0" w:line="229" w:lineRule="exact"/>
                    <w:ind w:right="0" w:left="0" w:firstLine="0"/>
                    <w:jc w:val="left"/>
                    <w:textAlignment w:val="baseline"/>
                    <w:rPr>
                      <w:rFonts w:ascii="Times New Roman" w:hAnsi="Times New Roman" w:eastAsia="Times New Roman"/>
                      <w:color w:val="000000"/>
                      <w:spacing w:val="-5"/>
                      <w:w w:val="100"/>
                      <w:sz w:val="20"/>
                      <w:vertAlign w:val="baseline"/>
                      <w:lang w:val="en-US"/>
                    </w:rPr>
                  </w:pPr>
                  <w:r>
                    <w:rPr>
                      <w:rFonts w:ascii="Times New Roman" w:hAnsi="Times New Roman" w:eastAsia="Times New Roman"/>
                      <w:color w:val="000000"/>
                      <w:spacing w:val="-5"/>
                      <w:w w:val="100"/>
                      <w:sz w:val="20"/>
                      <w:vertAlign w:val="baseline"/>
                      <w:lang w:val="en-US"/>
                    </w:rPr>
                    <w:t xml:space="preserve">5kg or 5L	</w:t>
                  </w:r>
                  <w:r>
                    <w:rPr>
                      <w:rFonts w:ascii="Times New Roman" w:hAnsi="Times New Roman" w:eastAsia="Times New Roman"/>
                      <w:color w:val="000000"/>
                      <w:spacing w:val="-5"/>
                      <w:w w:val="100"/>
                      <w:sz w:val="20"/>
                      <w:vertAlign w:val="baseline"/>
                      <w:lang w:val="en-US"/>
                    </w:rPr>
                    <w:t xml:space="preserve">50kg or 50L</w:t>
                  </w:r>
                </w:p>
                <w:p>
                  <w:pPr>
                    <w:tabs>
                      <w:tab w:val="left" w:leader="none" w:pos="1296"/>
                    </w:tabs>
                    <w:spacing w:before="1273" w:after="0" w:line="222"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5000L	</w:t>
                  </w:r>
                  <w:r>
                    <w:rPr>
                      <w:rFonts w:ascii="Times New Roman" w:hAnsi="Times New Roman" w:eastAsia="Times New Roman"/>
                      <w:color w:val="000000"/>
                      <w:spacing w:val="0"/>
                      <w:w w:val="100"/>
                      <w:sz w:val="20"/>
                      <w:vertAlign w:val="baseline"/>
                      <w:lang w:val="en-US"/>
                    </w:rPr>
                    <w:t xml:space="preserve">10 000L</w:t>
                  </w:r>
                </w:p>
              </w:txbxContent>
            </v:textbox>
          </v:shape>
        </w:pict>
      </w:r>
      <w:r>
        <w:pict>
          <v:shapetype id="_x0000_t69" coordsize="21600,21600" o:spt="202" path="m,l,21600r21600,l21600,xe">
            <v:stroke joinstyle="miter"/>
            <v:path gradientshapeok="t" o:connecttype="rect"/>
          </v:shapetype>
          <v:shape id="_x0000_s68" type="#_x0000_t69" filled="f" stroked="f" style="position:absolute;width:90.7pt;height:51.95pt;z-index:-1;margin-left:104.65pt;margin-top:466.3pt;mso-wrap-distance-left:0pt;mso-wrap-distance-right:0pt;mso-position-horizontal-relative:page;mso-position-vertical-relative:page">
            <w10:wrap type="square" side="both"/>
            <v:fill opacity="1" o:opacity2="1" recolor="f" rotate="f" type="solid"/>
            <v:textbox inset="0pt, 0pt, 0pt, 0pt">
              <w:txbxContent>
                <w:p>
                  <w:pPr>
                    <w:tabs>
                      <w:tab w:val="right" w:leader="none" w:pos="1728"/>
                    </w:tabs>
                    <w:spacing w:before="0"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41	</w:t>
                  </w:r>
                  <w:r>
                    <w:rPr>
                      <w:rFonts w:ascii="Times New Roman" w:hAnsi="Times New Roman" w:eastAsia="Times New Roman"/>
                      <w:color w:val="000000"/>
                      <w:spacing w:val="0"/>
                      <w:w w:val="100"/>
                      <w:sz w:val="20"/>
                      <w:vertAlign w:val="baseline"/>
                      <w:lang w:val="en-US"/>
                    </w:rPr>
                    <w:t xml:space="preserve">Unstable</w:t>
                  </w:r>
                </w:p>
                <w:p>
                  <w:pPr>
                    <w:spacing w:before="5" w:after="0" w:line="229" w:lineRule="exact"/>
                    <w:ind w:right="0" w:left="936" w:firstLine="0"/>
                    <w:jc w:val="left"/>
                    <w:textAlignment w:val="baseline"/>
                    <w:rPr>
                      <w:rFonts w:ascii="Times New Roman" w:hAnsi="Times New Roman" w:eastAsia="Times New Roman"/>
                      <w:color w:val="000000"/>
                      <w:spacing w:val="-6"/>
                      <w:w w:val="100"/>
                      <w:sz w:val="20"/>
                      <w:vertAlign w:val="baseline"/>
                      <w:lang w:val="en-US"/>
                    </w:rPr>
                  </w:pPr>
                  <w:r>
                    <w:rPr>
                      <w:rFonts w:ascii="Times New Roman" w:hAnsi="Times New Roman" w:eastAsia="Times New Roman"/>
                      <w:color w:val="000000"/>
                      <w:spacing w:val="-6"/>
                      <w:w w:val="100"/>
                      <w:sz w:val="20"/>
                      <w:vertAlign w:val="baseline"/>
                      <w:lang w:val="en-US"/>
                    </w:rPr>
                    <w:t xml:space="preserve">explosives</w:t>
                  </w:r>
                </w:p>
                <w:p>
                  <w:pPr>
                    <w:tabs>
                      <w:tab w:val="right" w:leader="none" w:pos="1728"/>
                    </w:tabs>
                    <w:spacing w:before="118"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42	</w:t>
                  </w:r>
                  <w:r>
                    <w:rPr>
                      <w:rFonts w:ascii="Times New Roman" w:hAnsi="Times New Roman" w:eastAsia="Times New Roman"/>
                      <w:color w:val="000000"/>
                      <w:spacing w:val="0"/>
                      <w:w w:val="100"/>
                      <w:sz w:val="20"/>
                      <w:vertAlign w:val="baseline"/>
                      <w:lang w:val="en-US"/>
                    </w:rPr>
                    <w:t xml:space="preserve">Unstable</w:t>
                  </w:r>
                </w:p>
                <w:p>
                  <w:pPr>
                    <w:spacing w:before="0" w:after="0" w:line="217" w:lineRule="exact"/>
                    <w:ind w:right="0" w:left="93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chemicals</w:t>
                  </w:r>
                </w:p>
              </w:txbxContent>
            </v:textbox>
          </v:shape>
        </w:pict>
      </w:r>
      <w:r>
        <w:pict>
          <v:shapetype id="_x0000_t70" coordsize="21600,21600" o:spt="202" path="m,l,21600r21600,l21600,xe">
            <v:stroke joinstyle="miter"/>
            <v:path gradientshapeok="t" o:connecttype="rect"/>
          </v:shapetype>
          <v:shape id="_x0000_s69" type="#_x0000_t70" filled="f" stroked="f" style="position:absolute;width:239.5pt;height:46.2pt;z-index:-1;margin-left:104.65pt;margin-top:570.25pt;mso-wrap-distance-left:0pt;mso-wrap-distance-right:0pt;mso-position-horizontal-relative:page;mso-position-vertical-relative:page">
            <w10:wrap type="square" side="both"/>
            <v:fill opacity="1" o:opacity2="1" recolor="f" rotate="f" type="solid"/>
            <v:textbox inset="0pt, 0pt, 0pt, 0pt">
              <w:txbxContent>
                <w:p>
                  <w:pPr>
                    <w:tabs>
                      <w:tab w:val="left" w:leader="none" w:pos="936"/>
                      <w:tab w:val="left" w:leader="none" w:pos="2520"/>
                    </w:tabs>
                    <w:spacing w:before="4" w:after="0" w:line="229"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43	</w:t>
                  </w:r>
                  <w:r>
                    <w:rPr>
                      <w:rFonts w:ascii="Times New Roman" w:hAnsi="Times New Roman" w:eastAsia="Times New Roman"/>
                      <w:color w:val="000000"/>
                      <w:spacing w:val="0"/>
                      <w:w w:val="100"/>
                      <w:sz w:val="20"/>
                      <w:vertAlign w:val="baseline"/>
                      <w:lang w:val="en-US"/>
                    </w:rPr>
                    <w:t xml:space="preserve">Aerosols	</w:t>
                  </w:r>
                  <w:r>
                    <w:rPr>
                      <w:rFonts w:ascii="Times New Roman" w:hAnsi="Times New Roman" w:eastAsia="Times New Roman"/>
                      <w:color w:val="000000"/>
                      <w:spacing w:val="0"/>
                      <w:w w:val="100"/>
                      <w:sz w:val="20"/>
                      <w:vertAlign w:val="baseline"/>
                      <w:lang w:val="en-US"/>
                    </w:rPr>
                    <w:t xml:space="preserve">Category 1, category 2,</w:t>
                  </w:r>
                </w:p>
                <w:p>
                  <w:pPr>
                    <w:spacing w:before="1" w:after="0" w:line="229" w:lineRule="exact"/>
                    <w:ind w:right="0" w:left="25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category 3 or any</w:t>
                  </w:r>
                </w:p>
                <w:p>
                  <w:pPr>
                    <w:spacing w:before="0" w:after="0" w:line="229" w:lineRule="exact"/>
                    <w:ind w:right="0" w:left="25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combination of categories 1, 2 and 3</w:t>
                  </w:r>
                </w:p>
              </w:txbxContent>
            </v:textbox>
          </v:shape>
        </w:pict>
      </w:r>
      <w:r>
        <w:pict>
          <v:shapetype id="_x0000_t71" coordsize="21600,21600" o:spt="202" path="m,l,21600r21600,l21600,xe">
            <v:stroke joinstyle="miter"/>
            <v:path gradientshapeok="t" o:connecttype="rect"/>
          </v:shapetype>
          <v:shape id="_x0000_s70" type="#_x0000_t71" filled="f" stroked="f" style="position:absolute;width:404pt;height:63.65pt;z-index:-1;margin-left:95.95pt;margin-top:616.45pt;mso-wrap-distance-left:0pt;mso-wrap-distance-right:0pt;mso-position-horizontal-relative:page;mso-position-vertical-relative:page">
            <w10:wrap type="square" side="both"/>
            <v:fill opacity="1" o:opacity2="1" recolor="f" rotate="f" type="solid"/>
            <v:textbox inset="0pt, 0pt, 0pt, 0pt">
              <w:txbxContent>
                <w:p>
                  <w:pPr>
                    <w:spacing w:before="188" w:after="0" w:line="225" w:lineRule="exact"/>
                    <w:ind w:right="0" w:left="14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Notes</w:t>
                  </w:r>
                </w:p>
                <w:p>
                  <w:pPr>
                    <w:tabs>
                      <w:tab w:val="left" w:leader="none" w:pos="576"/>
                    </w:tabs>
                    <w:spacing w:before="61" w:after="0" w:line="231" w:lineRule="exact"/>
                    <w:ind w:right="360" w:left="576" w:hanging="432"/>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In item 2, Gases under pressure with acute toxicity, category 4 only applies up to a LC50 of 5000 ppmV. This is equivalent to dangerous goods of Division 2.3.</w:t>
                  </w:r>
                </w:p>
                <w:p>
                  <w:pPr>
                    <w:tabs>
                      <w:tab w:val="left" w:leader="none" w:pos="576"/>
                    </w:tabs>
                    <w:spacing w:before="63" w:after="36" w:line="229"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Item 43 includes flammable aerosols..</w:t>
                  </w:r>
                </w:p>
              </w:txbxContent>
            </v:textbox>
          </v:shape>
        </w:pict>
      </w:r>
      <w:r>
        <w:pict>
          <v:shapetype id="_x0000_t72" coordsize="21600,21600" o:spt="202" path="m,l,21600r21600,l21600,xe">
            <v:stroke joinstyle="miter"/>
            <v:path gradientshapeok="t" o:connecttype="rect"/>
          </v:shapetype>
          <v:shape id="_x0000_s71" type="#_x0000_t72" filled="f" stroked="f" style="position:absolute;width:404pt;height:87.9pt;z-index:-1;margin-left:95.95pt;margin-top:680.1pt;mso-wrap-distance-left:0pt;mso-wrap-distance-right:0pt;mso-position-horizontal-relative:page;mso-position-vertical-relative:page">
            <w10:wrap type="square" side="both"/>
            <v:fill opacity="1" o:opacity2="1" recolor="f" rotate="f" type="solid"/>
            <v:textbox inset="0pt, 0pt, 0pt, 0pt">
              <w:txbxContent>
                <w:p>
                  <w:pPr>
                    <w:tabs>
                      <w:tab w:val="left" w:leader="none" w:pos="3960"/>
                    </w:tabs>
                    <w:spacing w:before="1564" w:after="5" w:line="179" w:lineRule="exact"/>
                    <w:ind w:right="0" w:left="144"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465</w:t>
                  </w:r>
                </w:p>
              </w:txbxContent>
            </v:textbox>
          </v:shape>
        </w:pict>
      </w:r>
      <w:r>
        <w:pict>
          <v:line strokeweight="0.5pt" strokecolor="#000000" from="95.95pt,103.9pt" to="500pt,103.9pt" style="position:absolute;mso-position-horizontal-relative:page;mso-position-vertical-relative:page;">
            <v:stroke dashstyle="solid"/>
          </v:line>
        </w:pict>
      </w:r>
      <w:r>
        <w:pict>
          <v:line strokeweight="0.5pt" strokecolor="#000000" from="99.35pt,115.9pt" to="496.6pt,115.9pt" style="position:absolute;mso-position-horizontal-relative:page;mso-position-vertical-relative:page;">
            <v:stroke dashstyle="solid"/>
          </v:line>
        </w:pict>
      </w:r>
      <w:r>
        <w:pict>
          <v:line strokeweight="0.5pt" strokecolor="#000000" from="99.35pt,156pt" to="496.6pt,156pt" style="position:absolute;mso-position-horizontal-relative:page;mso-position-vertical-relative:page;">
            <v:stroke dashstyle="solid"/>
          </v:line>
        </w:pict>
      </w:r>
      <w:r>
        <w:pict>
          <v:line strokeweight="0.5pt" strokecolor="#000000" from="99.35pt,618.95pt" to="496.6pt,618.95pt" style="position:absolute;mso-position-horizontal-relative:page;mso-position-vertical-relative:page;">
            <v:stroke dashstyle="solid"/>
          </v:line>
        </w:pict>
      </w:r>
      <w:r>
        <w:pict>
          <v:line strokeweight="0.5pt" strokecolor="#000000" from="95.95pt,680.4pt" to="496.6pt,680.4pt" style="position:absolute;mso-position-horizontal-relative:page;mso-position-vertical-relative:page;">
            <v:stroke dashstyle="solid"/>
          </v:line>
        </w:pict>
      </w:r>
      <w:r>
        <w:pict>
          <v:line strokeweight="0.5pt" strokecolor="#000000" from="95.95pt,728.15pt" to="500pt,728.15pt" style="position:absolute;mso-position-horizontal-relative:page;mso-position-vertical-relative:page;">
            <v:stroke dashstyle="solid"/>
          </v:line>
        </w:pict>
      </w:r>
    </w:p>
    <w:p>
      <w:pPr>
        <w:sectPr>
          <w:type w:val="nextPage"/>
          <w:pgSz w:w="11909" w:h="16838" w:orient="portrait"/>
          <w:pgMar w:bottom="1096" w:top="852" w:right="1910" w:left="1919" w:header="720" w:footer="720"/>
          <w:titlePg w:val="false"/>
          <w:textDirection w:val="lrTb"/>
        </w:sectPr>
      </w:pPr>
    </w:p>
    <w:p>
      <w:pPr>
        <w:spacing w:before="0" w:after="225" w:line="34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</w:t>
        <w:br/>
      </w:r>
      <w:r>
        <w:rPr>
          <w:rFonts w:ascii="Times New Roman" w:hAnsi="Times New Roman" w:eastAsia="Times New Roman"/>
          <w:color w:val="000000"/>
          <w:spacing w:val="0"/>
          <w:w w:val="100"/>
          <w:sz w:val="20"/>
          <w:vertAlign w:val="baseline"/>
          <w:lang w:val="en-US"/>
        </w:rPr>
        <w:t xml:space="preserve">Schedule 11 Placard and manifest quantities</w:t>
      </w:r>
    </w:p>
    <w:p>
      <w:pPr>
        <w:spacing w:before="251"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pict>
          <v:line strokeweight="0.5pt" strokecolor="#000000" from="97.9pt,103.9pt" to="498.9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4"/>
          <w:vertAlign w:val="baseline"/>
          <w:lang w:val="en-US"/>
        </w:rPr>
        <w:t xml:space="preserve">1 Determination of classification of flammable liquids</w:t>
      </w:r>
    </w:p>
    <w:p>
      <w:pPr>
        <w:spacing w:before="124" w:after="0" w:line="275" w:lineRule="exact"/>
        <w:ind w:right="216" w:left="1368" w:firstLine="0"/>
        <w:jc w:val="left"/>
        <w:textAlignment w:val="baseline"/>
        <w:rPr>
          <w:rFonts w:ascii="Times New Roman" w:hAnsi="Times New Roman" w:eastAsia="Times New Roman"/>
          <w:color w:val="000000"/>
          <w:spacing w:val="-2"/>
          <w:w w:val="100"/>
          <w:sz w:val="24"/>
          <w:vertAlign w:val="baseline"/>
          <w:lang w:val="en-US"/>
        </w:rPr>
      </w:pPr>
      <w:r>
        <w:rPr>
          <w:rFonts w:ascii="Times New Roman" w:hAnsi="Times New Roman" w:eastAsia="Times New Roman"/>
          <w:color w:val="000000"/>
          <w:spacing w:val="-2"/>
          <w:w w:val="100"/>
          <w:sz w:val="24"/>
          <w:vertAlign w:val="baseline"/>
          <w:lang w:val="en-US"/>
        </w:rPr>
        <w:t xml:space="preserve">For the purposes of this table, if a flammable liquid category 4 is used, handled or stored in the same spill compound as one or more flammable liquids of categories 1, 2 or 3, the total quantity of flammable liquids categories 1, 2 or 3 must be determined as if the flammable liquid category 4 had the same classification as the flammable liquid in the spill compound with the lowest flash point.</w:t>
      </w:r>
    </w:p>
    <w:p>
      <w:pPr>
        <w:spacing w:before="125" w:after="0" w:line="226" w:lineRule="exact"/>
        <w:ind w:right="0" w:left="86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Example</w:t>
      </w:r>
    </w:p>
    <w:p>
      <w:pPr>
        <w:spacing w:before="123" w:after="9009" w:line="230" w:lineRule="exact"/>
        <w:ind w:right="72" w:left="86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For placarding and manifest purposes, a spill compound containing 1000L of flammable liquid category 1 and 1000L of flammable liquid category 4 is considered to contain 2000L of flammable liquid category 1</w:t>
      </w:r>
    </w:p>
    <w:p>
      <w:pPr>
        <w:spacing w:before="333"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1.05pt,0.3pt" style="position:absolute;mso-position-horizontal-relative:text;mso-position-vertical-relative:text;">
            <v:stroke dashstyle="solid"/>
          </v:line>
        </w:pict>
      </w:r>
    </w:p>
    <w:p>
      <w:pPr>
        <w:sectPr>
          <w:type w:val="nextPage"/>
          <w:pgSz w:w="11909" w:h="16838" w:orient="portrait"/>
          <w:pgMar w:bottom="1082" w:top="1140" w:right="1931" w:left="1958"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466</w:t>
      </w:r>
    </w:p>
    <w:p>
      <w:pPr>
        <w:sectPr>
          <w:type w:val="continuous"/>
          <w:pgSz w:w="11909" w:h="16838" w:orient="portrait"/>
          <w:pgMar w:bottom="1082" w:top="1140" w:right="5811" w:left="1978" w:header="720" w:footer="720"/>
          <w:titlePg w:val="false"/>
          <w:textDirection w:val="lrTb"/>
        </w:sectPr>
      </w:pPr>
    </w:p>
    <w:p>
      <w:pPr>
        <w:spacing w:before="0" w:after="225" w:line="34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</w:t>
        <w:br/>
      </w:r>
      <w:r>
        <w:rPr>
          <w:rFonts w:ascii="Times New Roman" w:hAnsi="Times New Roman" w:eastAsia="Times New Roman"/>
          <w:color w:val="000000"/>
          <w:spacing w:val="0"/>
          <w:w w:val="100"/>
          <w:sz w:val="20"/>
          <w:vertAlign w:val="baseline"/>
          <w:lang w:val="en-US"/>
        </w:rPr>
        <w:t xml:space="preserve">Schedule 12 Manifest requirements</w:t>
      </w:r>
    </w:p>
    <w:p>
      <w:pPr>
        <w:spacing w:before="258" w:after="0" w:line="317" w:lineRule="exact"/>
        <w:ind w:right="0" w:left="0" w:firstLine="0"/>
        <w:jc w:val="left"/>
        <w:textAlignment w:val="baseline"/>
        <w:rPr>
          <w:rFonts w:ascii="Times New Roman" w:hAnsi="Times New Roman" w:eastAsia="Times New Roman"/>
          <w:b w:val="true"/>
          <w:color w:val="000000"/>
          <w:spacing w:val="0"/>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8"/>
          <w:vertAlign w:val="baseline"/>
          <w:lang w:val="en-US"/>
        </w:rPr>
        <w:t xml:space="preserve">Schedule 12 Manifest requirements</w:t>
      </w:r>
    </w:p>
    <w:p>
      <w:pPr>
        <w:spacing w:before="121" w:after="0" w:line="227" w:lineRule="exact"/>
        <w:ind w:right="0"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Regulation 347(2)</w:t>
      </w:r>
    </w:p>
    <w:p>
      <w:pPr>
        <w:spacing w:before="120"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 Manifest—general information</w:t>
      </w:r>
    </w:p>
    <w:p>
      <w:pPr>
        <w:spacing w:before="125" w:after="0" w:line="272"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manifest of hazardous chemicals must include:</w:t>
      </w:r>
    </w:p>
    <w:p>
      <w:pPr>
        <w:numPr>
          <w:ilvl w:val="0"/>
          <w:numId w:val="1106"/>
        </w:numPr>
        <w:tabs>
          <w:tab w:val="clear" w:pos="360"/>
          <w:tab w:val="left" w:pos="1872"/>
        </w:tabs>
        <w:spacing w:before="114" w:after="0" w:line="279" w:lineRule="exact"/>
        <w:ind w:right="129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of the person conducting the business or undertaking; and</w:t>
      </w:r>
    </w:p>
    <w:p>
      <w:pPr>
        <w:numPr>
          <w:ilvl w:val="0"/>
          <w:numId w:val="1106"/>
        </w:numPr>
        <w:tabs>
          <w:tab w:val="clear" w:pos="360"/>
          <w:tab w:val="left" w:pos="1872"/>
        </w:tabs>
        <w:spacing w:before="121"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address of the workplace; and</w:t>
      </w:r>
    </w:p>
    <w:p>
      <w:pPr>
        <w:numPr>
          <w:ilvl w:val="0"/>
          <w:numId w:val="1106"/>
        </w:numPr>
        <w:tabs>
          <w:tab w:val="clear" w:pos="360"/>
          <w:tab w:val="left" w:pos="1872"/>
        </w:tabs>
        <w:spacing w:before="126" w:after="0" w:line="273"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date the manifest was last amended or, if it has not been amended, the date it was prepared; and</w:t>
      </w:r>
    </w:p>
    <w:p>
      <w:pPr>
        <w:numPr>
          <w:ilvl w:val="0"/>
          <w:numId w:val="1106"/>
        </w:numPr>
        <w:tabs>
          <w:tab w:val="clear" w:pos="360"/>
          <w:tab w:val="left" w:pos="1872"/>
        </w:tabs>
        <w:spacing w:before="123"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business hours and after hours telephone numbers for at least 2 persons who may be contacted if there is a notifiable incident at the workplace.</w:t>
      </w:r>
    </w:p>
    <w:p>
      <w:pPr>
        <w:spacing w:before="121"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 Manifest—bulk storage and containers</w:t>
      </w:r>
    </w:p>
    <w:p>
      <w:pPr>
        <w:spacing w:before="114" w:after="0" w:line="278"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clause applies if a hazardous chemical is stored at a workplace in bulk or in a container.</w:t>
      </w:r>
    </w:p>
    <w:p>
      <w:pPr>
        <w:spacing w:before="116" w:after="0" w:line="278" w:lineRule="exact"/>
        <w:ind w:right="72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For each hazardous chemical stored in bulk other than in a container, the manifest of hazardous chemicals must include:</w:t>
      </w:r>
    </w:p>
    <w:p>
      <w:pPr>
        <w:numPr>
          <w:ilvl w:val="0"/>
          <w:numId w:val="1107"/>
        </w:numPr>
        <w:tabs>
          <w:tab w:val="clear" w:pos="360"/>
          <w:tab w:val="left" w:pos="1872"/>
        </w:tabs>
        <w:spacing w:before="122"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of the chemical; and</w:t>
      </w:r>
    </w:p>
    <w:p>
      <w:pPr>
        <w:numPr>
          <w:ilvl w:val="0"/>
          <w:numId w:val="1107"/>
        </w:numPr>
        <w:tabs>
          <w:tab w:val="clear" w:pos="360"/>
          <w:tab w:val="left" w:pos="1872"/>
        </w:tabs>
        <w:spacing w:before="126"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quantity of the chemical stored.</w:t>
      </w:r>
    </w:p>
    <w:p>
      <w:pPr>
        <w:spacing w:before="116" w:after="0" w:line="278"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For each container storing the hazardous chemical, the manifest of hazardous chemicals must include:</w:t>
      </w:r>
    </w:p>
    <w:p>
      <w:pPr>
        <w:numPr>
          <w:ilvl w:val="0"/>
          <w:numId w:val="1108"/>
        </w:numPr>
        <w:tabs>
          <w:tab w:val="clear" w:pos="360"/>
          <w:tab w:val="left" w:pos="1872"/>
        </w:tabs>
        <w:spacing w:before="122"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identification number or code of the container; and</w:t>
      </w:r>
    </w:p>
    <w:p>
      <w:pPr>
        <w:numPr>
          <w:ilvl w:val="0"/>
          <w:numId w:val="1108"/>
        </w:numPr>
        <w:tabs>
          <w:tab w:val="clear" w:pos="360"/>
          <w:tab w:val="left" w:pos="1872"/>
        </w:tabs>
        <w:spacing w:before="126"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type and capacity of the container; and</w:t>
      </w:r>
    </w:p>
    <w:p>
      <w:pPr>
        <w:numPr>
          <w:ilvl w:val="0"/>
          <w:numId w:val="1108"/>
        </w:numPr>
        <w:tabs>
          <w:tab w:val="clear" w:pos="360"/>
          <w:tab w:val="left" w:pos="1872"/>
        </w:tabs>
        <w:spacing w:before="116" w:after="0" w:line="278" w:lineRule="exact"/>
        <w:ind w:right="72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a fixed vertical tank used to store fire risk hazardous chemicals—the diameter of the tank.</w:t>
      </w:r>
    </w:p>
    <w:p>
      <w:pPr>
        <w:spacing w:before="122"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3 Manifest—identification of hazardous chemical</w:t>
      </w:r>
    </w:p>
    <w:p>
      <w:pPr>
        <w:spacing w:before="124" w:after="0" w:line="272"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manifest of hazardous chemicals must include:</w:t>
      </w:r>
    </w:p>
    <w:p>
      <w:pPr>
        <w:spacing w:before="118" w:after="0" w:line="276"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for a hazardous chemical, other than a flammable liquid category 4, unstable explosive, organic peroxide type A or self-reactive substance type A:</w:t>
      </w:r>
    </w:p>
    <w:p>
      <w:pPr>
        <w:numPr>
          <w:ilvl w:val="0"/>
          <w:numId w:val="1109"/>
        </w:numPr>
        <w:tabs>
          <w:tab w:val="clear" w:pos="360"/>
          <w:tab w:val="left" w:pos="2376"/>
        </w:tabs>
        <w:spacing w:before="124" w:after="0" w:line="274" w:lineRule="exact"/>
        <w:ind w:right="288"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proper shipping name as stated in Table 3.2.3 of the ADG Code for the chemical; and</w:t>
      </w:r>
    </w:p>
    <w:p>
      <w:pPr>
        <w:numPr>
          <w:ilvl w:val="0"/>
          <w:numId w:val="1109"/>
        </w:numPr>
        <w:tabs>
          <w:tab w:val="clear" w:pos="360"/>
          <w:tab w:val="left" w:pos="2376"/>
        </w:tabs>
        <w:spacing w:before="124" w:after="927" w:line="274" w:lineRule="exact"/>
        <w:ind w:right="72" w:left="2376"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UN number as stated in Table 3.2.3 of the ADG Code for the hazardous chemical; and</w:t>
      </w:r>
    </w:p>
    <w:p>
      <w:pPr>
        <w:spacing w:before="124" w:after="927"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467</w:t>
      </w:r>
    </w:p>
    <w:p>
      <w:pPr>
        <w:sectPr>
          <w:type w:val="continuous"/>
          <w:pgSz w:w="11909" w:h="16838" w:orient="portrait"/>
          <w:pgMar w:bottom="1082" w:top="1140" w:right="5812" w:left="1977" w:header="720" w:footer="720"/>
          <w:titlePg w:val="false"/>
          <w:textDirection w:val="lrTb"/>
        </w:sectPr>
      </w:pPr>
    </w:p>
    <w:p>
      <w:pPr>
        <w:spacing w:before="0" w:after="225" w:line="34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</w:t>
        <w:br/>
      </w:r>
      <w:r>
        <w:rPr>
          <w:rFonts w:ascii="Times New Roman" w:hAnsi="Times New Roman" w:eastAsia="Times New Roman"/>
          <w:color w:val="000000"/>
          <w:spacing w:val="0"/>
          <w:w w:val="100"/>
          <w:sz w:val="20"/>
          <w:vertAlign w:val="baseline"/>
          <w:lang w:val="en-US"/>
        </w:rPr>
        <w:t xml:space="preserve">Schedule 12 Manifest requirements</w:t>
      </w:r>
    </w:p>
    <w:p>
      <w:pPr>
        <w:spacing w:before="244" w:after="0" w:line="279" w:lineRule="exact"/>
        <w:ind w:right="72" w:left="2376" w:hanging="432"/>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(iii) the class and division of the hazardous chemical as stated in Table 3.2.3 of the ADG Code; and</w:t>
      </w:r>
    </w:p>
    <w:p>
      <w:pPr>
        <w:spacing w:before="121" w:after="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for a flammable liquid category 4:</w:t>
      </w:r>
    </w:p>
    <w:p>
      <w:pPr>
        <w:numPr>
          <w:ilvl w:val="0"/>
          <w:numId w:val="1110"/>
        </w:numPr>
        <w:tabs>
          <w:tab w:val="clear" w:pos="432"/>
          <w:tab w:val="left" w:pos="2376"/>
        </w:tabs>
        <w:spacing w:before="127" w:after="0" w:line="272" w:lineRule="exact"/>
        <w:ind w:right="0" w:left="1944"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product identifier; and</w:t>
      </w:r>
    </w:p>
    <w:p>
      <w:pPr>
        <w:numPr>
          <w:ilvl w:val="0"/>
          <w:numId w:val="1110"/>
        </w:numPr>
        <w:tabs>
          <w:tab w:val="clear" w:pos="432"/>
          <w:tab w:val="left" w:pos="2376"/>
        </w:tabs>
        <w:spacing w:before="121" w:after="0" w:line="272" w:lineRule="exact"/>
        <w:ind w:right="0" w:left="1944"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words 'combustible liquid'; and</w:t>
      </w:r>
    </w:p>
    <w:p>
      <w:pPr>
        <w:spacing w:before="126" w:after="0" w:line="273" w:lineRule="exact"/>
        <w:ind w:right="504" w:left="1944"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for an unstable explosive, organic peroxide type A or self-reactive substance type A:</w:t>
      </w:r>
    </w:p>
    <w:p>
      <w:pPr>
        <w:numPr>
          <w:ilvl w:val="0"/>
          <w:numId w:val="1111"/>
        </w:numPr>
        <w:tabs>
          <w:tab w:val="clear" w:pos="432"/>
          <w:tab w:val="left" w:pos="2376"/>
        </w:tabs>
        <w:spacing w:before="126" w:after="0" w:line="273" w:lineRule="exact"/>
        <w:ind w:right="36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name of the hazardous chemical stated in the ADG Code, Appendix A; and</w:t>
      </w:r>
    </w:p>
    <w:p>
      <w:pPr>
        <w:numPr>
          <w:ilvl w:val="0"/>
          <w:numId w:val="1111"/>
        </w:numPr>
        <w:tabs>
          <w:tab w:val="clear" w:pos="432"/>
          <w:tab w:val="left" w:pos="2376"/>
        </w:tabs>
        <w:spacing w:before="8" w:after="0" w:line="393" w:lineRule="exact"/>
        <w:ind w:right="792" w:left="360" w:firstLine="1584"/>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the words 'goods too dangerous to be transported'. </w:t>
      </w:r>
      <w:r>
        <w:rPr>
          <w:rFonts w:ascii="Times New Roman" w:hAnsi="Times New Roman" w:eastAsia="Times New Roman"/>
          <w:b w:val="true"/>
          <w:color w:val="000000"/>
          <w:spacing w:val="-1"/>
          <w:w w:val="100"/>
          <w:sz w:val="24"/>
          <w:vertAlign w:val="baseline"/>
          <w:lang w:val="en-US"/>
        </w:rPr>
        <w:t xml:space="preserve">4 Manifest—storage area for packaged hazardous chemicals</w:t>
      </w:r>
    </w:p>
    <w:p>
      <w:pPr>
        <w:spacing w:before="125" w:after="0" w:line="272"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clause applies if:</w:t>
      </w:r>
    </w:p>
    <w:p>
      <w:pPr>
        <w:spacing w:before="121" w:after="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a storage area:</w:t>
      </w:r>
    </w:p>
    <w:p>
      <w:pPr>
        <w:numPr>
          <w:ilvl w:val="0"/>
          <w:numId w:val="1112"/>
        </w:numPr>
        <w:tabs>
          <w:tab w:val="clear" w:pos="432"/>
          <w:tab w:val="left" w:pos="2376"/>
        </w:tabs>
        <w:spacing w:before="116" w:after="0" w:line="278" w:lineRule="exact"/>
        <w:ind w:right="36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contains, or is likely to contain, a packaged hazardous chemical, or a hazardous chemical in an IBC; and</w:t>
      </w:r>
    </w:p>
    <w:p>
      <w:pPr>
        <w:numPr>
          <w:ilvl w:val="0"/>
          <w:numId w:val="1112"/>
        </w:numPr>
        <w:tabs>
          <w:tab w:val="clear" w:pos="432"/>
          <w:tab w:val="left" w:pos="2376"/>
        </w:tabs>
        <w:spacing w:before="122" w:after="0" w:line="272" w:lineRule="exact"/>
        <w:ind w:right="0" w:left="2376" w:hanging="432"/>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is required under these Regulations to have a placard; and</w:t>
      </w:r>
    </w:p>
    <w:p>
      <w:pPr>
        <w:spacing w:before="124" w:after="0" w:line="274" w:lineRule="exact"/>
        <w:ind w:right="144" w:left="1944"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the hazardous chemicals are dangerous goods under the ADG Code.</w:t>
      </w:r>
    </w:p>
    <w:p>
      <w:pPr>
        <w:spacing w:before="126" w:after="0" w:line="272"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manifest of hazardous chemicals must include:</w:t>
      </w:r>
    </w:p>
    <w:p>
      <w:pPr>
        <w:spacing w:before="122" w:after="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the identification number or code for the storage area; and</w:t>
      </w:r>
    </w:p>
    <w:p>
      <w:pPr>
        <w:spacing w:before="124" w:after="0" w:line="275" w:lineRule="exact"/>
        <w:ind w:right="360" w:left="1944" w:hanging="432"/>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for hazardous chemicals with an assigned class specified in Table 3.2.3 of the ADG Code—the largest quantity of each class of hazardous chemicals likely to be kept in the storage area; and</w:t>
      </w:r>
    </w:p>
    <w:p>
      <w:pPr>
        <w:spacing w:before="124" w:after="0" w:line="274" w:lineRule="exact"/>
        <w:ind w:right="72" w:left="1944" w:hanging="432"/>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for the specified hazardous chemicals that are likely to be kept in the storage area:</w:t>
      </w:r>
    </w:p>
    <w:p>
      <w:pPr>
        <w:numPr>
          <w:ilvl w:val="0"/>
          <w:numId w:val="1113"/>
        </w:numPr>
        <w:tabs>
          <w:tab w:val="clear" w:pos="432"/>
          <w:tab w:val="left" w:pos="2376"/>
        </w:tabs>
        <w:spacing w:before="124" w:after="0" w:line="274" w:lineRule="exact"/>
        <w:ind w:right="288"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proper shipping name of the hazardous chemical as specified in Table 3.2.3 of the ADG Code; and</w:t>
      </w:r>
    </w:p>
    <w:p>
      <w:pPr>
        <w:numPr>
          <w:ilvl w:val="0"/>
          <w:numId w:val="1113"/>
        </w:numPr>
        <w:tabs>
          <w:tab w:val="clear" w:pos="432"/>
          <w:tab w:val="left" w:pos="2376"/>
        </w:tabs>
        <w:spacing w:before="124" w:after="0" w:line="274" w:lineRule="exact"/>
        <w:ind w:right="144"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class to which the hazardous chemical is assigned as specified in Table 3.2.3 of the ADG Code; and</w:t>
      </w:r>
    </w:p>
    <w:p>
      <w:pPr>
        <w:numPr>
          <w:ilvl w:val="0"/>
          <w:numId w:val="1113"/>
        </w:numPr>
        <w:tabs>
          <w:tab w:val="clear" w:pos="432"/>
          <w:tab w:val="left" w:pos="2376"/>
        </w:tabs>
        <w:spacing w:before="124" w:after="0" w:line="274" w:lineRule="exact"/>
        <w:ind w:right="72" w:left="2376" w:hanging="432"/>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largest quantity of the hazardous chemical likely to be kept in the storage area; and</w:t>
      </w:r>
    </w:p>
    <w:p>
      <w:pPr>
        <w:spacing w:before="122" w:after="769" w:line="276" w:lineRule="exact"/>
        <w:ind w:right="72" w:left="1944" w:hanging="432"/>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(d) for an unstable explosive, organic peroxide type A or self-reactive substance type A that is likely to be kept in the storage area:</w:t>
      </w:r>
    </w:p>
    <w:p>
      <w:pPr>
        <w:spacing w:before="122" w:after="769"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468</w:t>
      </w:r>
    </w:p>
    <w:p>
      <w:pPr>
        <w:sectPr>
          <w:type w:val="continuous"/>
          <w:pgSz w:w="11909" w:h="16838" w:orient="portrait"/>
          <w:pgMar w:bottom="1082" w:top="1140" w:right="5814" w:left="1975" w:header="720" w:footer="720"/>
          <w:titlePg w:val="false"/>
          <w:textDirection w:val="lrTb"/>
        </w:sectPr>
      </w:pPr>
    </w:p>
    <w:p>
      <w:pPr>
        <w:spacing w:before="0" w:after="225" w:line="34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</w:t>
        <w:br/>
      </w:r>
      <w:r>
        <w:rPr>
          <w:rFonts w:ascii="Times New Roman" w:hAnsi="Times New Roman" w:eastAsia="Times New Roman"/>
          <w:color w:val="000000"/>
          <w:spacing w:val="0"/>
          <w:w w:val="100"/>
          <w:sz w:val="20"/>
          <w:vertAlign w:val="baseline"/>
          <w:lang w:val="en-US"/>
        </w:rPr>
        <w:t xml:space="preserve">Schedule 12 Manifest requirements</w:t>
      </w:r>
    </w:p>
    <w:p>
      <w:pPr>
        <w:numPr>
          <w:ilvl w:val="0"/>
          <w:numId w:val="1114"/>
        </w:numPr>
        <w:tabs>
          <w:tab w:val="clear" w:pos="504"/>
          <w:tab w:val="left" w:pos="2376"/>
        </w:tabs>
        <w:spacing w:before="251" w:after="0" w:line="272" w:lineRule="exact"/>
        <w:ind w:right="0" w:left="2376" w:hanging="504"/>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name of the hazardous chemical; and</w:t>
      </w:r>
    </w:p>
    <w:p>
      <w:pPr>
        <w:numPr>
          <w:ilvl w:val="0"/>
          <w:numId w:val="1114"/>
        </w:numPr>
        <w:tabs>
          <w:tab w:val="clear" w:pos="504"/>
          <w:tab w:val="left" w:pos="2376"/>
        </w:tabs>
        <w:spacing w:before="127" w:after="0" w:line="272" w:lineRule="exact"/>
        <w:ind w:right="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words 'goods too dangerous to be transported'; and</w:t>
      </w:r>
    </w:p>
    <w:p>
      <w:pPr>
        <w:numPr>
          <w:ilvl w:val="0"/>
          <w:numId w:val="1114"/>
        </w:numPr>
        <w:tabs>
          <w:tab w:val="clear" w:pos="504"/>
          <w:tab w:val="left" w:pos="2376"/>
        </w:tabs>
        <w:spacing w:before="114" w:after="0" w:line="279" w:lineRule="exact"/>
        <w:ind w:right="0" w:left="2376" w:hanging="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largest quantity of the hazardous chemical likely to be kept in the storage area; and</w:t>
      </w:r>
    </w:p>
    <w:p>
      <w:pPr>
        <w:numPr>
          <w:ilvl w:val="0"/>
          <w:numId w:val="1115"/>
        </w:numPr>
        <w:tabs>
          <w:tab w:val="clear" w:pos="288"/>
          <w:tab w:val="left" w:pos="1872"/>
        </w:tabs>
        <w:spacing w:before="117" w:after="0" w:line="276" w:lineRule="exact"/>
        <w:ind w:right="36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hazardous chemicals with an assigned class specified in Table 3.2.3 of the ADG Code—the class to which the hazardous chemical is assigned; and</w:t>
      </w:r>
    </w:p>
    <w:p>
      <w:pPr>
        <w:numPr>
          <w:ilvl w:val="0"/>
          <w:numId w:val="1115"/>
        </w:numPr>
        <w:tabs>
          <w:tab w:val="clear" w:pos="288"/>
          <w:tab w:val="left" w:pos="1872"/>
        </w:tabs>
        <w:spacing w:before="126" w:after="0" w:line="273" w:lineRule="exact"/>
        <w:ind w:right="504"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flammable liquids category 4—the words 'combustible liquid'.</w:t>
      </w:r>
    </w:p>
    <w:p>
      <w:pPr>
        <w:spacing w:before="126" w:after="0" w:line="273" w:lineRule="exact"/>
        <w:ind w:right="50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In this clause, </w:t>
      </w:r>
      <w:r>
        <w:rPr>
          <w:rFonts w:ascii="Times New Roman" w:hAnsi="Times New Roman" w:eastAsia="Times New Roman"/>
          <w:b w:val="true"/>
          <w:i w:val="true"/>
          <w:color w:val="000000"/>
          <w:spacing w:val="0"/>
          <w:w w:val="100"/>
          <w:sz w:val="24"/>
          <w:vertAlign w:val="baseline"/>
          <w:lang w:val="en-US"/>
        </w:rPr>
        <w:t xml:space="preserve">specified hazardous chemicals </w:t>
      </w:r>
      <w:r>
        <w:rPr>
          <w:rFonts w:ascii="Times New Roman" w:hAnsi="Times New Roman" w:eastAsia="Times New Roman"/>
          <w:color w:val="000000"/>
          <w:spacing w:val="0"/>
          <w:w w:val="100"/>
          <w:sz w:val="24"/>
          <w:vertAlign w:val="baseline"/>
          <w:lang w:val="en-US"/>
        </w:rPr>
        <w:t xml:space="preserve">means any of the following:</w:t>
      </w:r>
    </w:p>
    <w:p>
      <w:pPr>
        <w:numPr>
          <w:ilvl w:val="0"/>
          <w:numId w:val="1116"/>
        </w:numPr>
        <w:tabs>
          <w:tab w:val="clear" w:pos="288"/>
          <w:tab w:val="left" w:pos="1872"/>
        </w:tabs>
        <w:spacing w:before="127" w:after="0" w:line="272"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flammable liquid category 1;</w:t>
      </w:r>
    </w:p>
    <w:p>
      <w:pPr>
        <w:numPr>
          <w:ilvl w:val="0"/>
          <w:numId w:val="1116"/>
        </w:numPr>
        <w:tabs>
          <w:tab w:val="clear" w:pos="288"/>
          <w:tab w:val="left" w:pos="1872"/>
        </w:tabs>
        <w:spacing w:before="121" w:after="0" w:line="272"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self-reactive substances type B;</w:t>
      </w:r>
    </w:p>
    <w:p>
      <w:pPr>
        <w:numPr>
          <w:ilvl w:val="0"/>
          <w:numId w:val="1116"/>
        </w:numPr>
        <w:tabs>
          <w:tab w:val="clear" w:pos="288"/>
          <w:tab w:val="left" w:pos="1872"/>
        </w:tabs>
        <w:spacing w:before="116" w:after="0" w:line="278" w:lineRule="exact"/>
        <w:ind w:right="36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substances which in contact with water emit flammable gas category 1;</w:t>
      </w:r>
    </w:p>
    <w:p>
      <w:pPr>
        <w:numPr>
          <w:ilvl w:val="0"/>
          <w:numId w:val="1116"/>
        </w:numPr>
        <w:tabs>
          <w:tab w:val="clear" w:pos="288"/>
          <w:tab w:val="left" w:pos="1872"/>
        </w:tabs>
        <w:spacing w:before="122" w:after="0" w:line="272"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pyrophoric liquids category 1;</w:t>
      </w:r>
    </w:p>
    <w:p>
      <w:pPr>
        <w:numPr>
          <w:ilvl w:val="0"/>
          <w:numId w:val="1116"/>
        </w:numPr>
        <w:tabs>
          <w:tab w:val="clear" w:pos="288"/>
          <w:tab w:val="left" w:pos="1872"/>
        </w:tabs>
        <w:spacing w:before="126" w:after="0" w:line="272"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pyrophoric solids category 1;</w:t>
      </w:r>
    </w:p>
    <w:p>
      <w:pPr>
        <w:numPr>
          <w:ilvl w:val="0"/>
          <w:numId w:val="1116"/>
        </w:numPr>
        <w:tabs>
          <w:tab w:val="clear" w:pos="288"/>
          <w:tab w:val="left" w:pos="1872"/>
        </w:tabs>
        <w:spacing w:before="122" w:after="0" w:line="272"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organic peroxides type B;</w:t>
      </w:r>
    </w:p>
    <w:p>
      <w:pPr>
        <w:numPr>
          <w:ilvl w:val="0"/>
          <w:numId w:val="1116"/>
        </w:numPr>
        <w:tabs>
          <w:tab w:val="clear" w:pos="288"/>
          <w:tab w:val="left" w:pos="1872"/>
        </w:tabs>
        <w:spacing w:before="126" w:after="0" w:line="272"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acute toxicity category 1;</w:t>
      </w:r>
    </w:p>
    <w:p>
      <w:pPr>
        <w:numPr>
          <w:ilvl w:val="0"/>
          <w:numId w:val="1116"/>
        </w:numPr>
        <w:tabs>
          <w:tab w:val="clear" w:pos="288"/>
          <w:tab w:val="left" w:pos="1872"/>
        </w:tabs>
        <w:spacing w:before="122" w:after="0" w:line="272"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oxidising solids category 1;</w:t>
      </w:r>
    </w:p>
    <w:p>
      <w:pPr>
        <w:numPr>
          <w:ilvl w:val="0"/>
          <w:numId w:val="1116"/>
        </w:numPr>
        <w:tabs>
          <w:tab w:val="clear" w:pos="288"/>
          <w:tab w:val="left" w:pos="1872"/>
        </w:tabs>
        <w:spacing w:before="126" w:after="0" w:line="272"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oxidising liquids category 1;</w:t>
      </w:r>
    </w:p>
    <w:p>
      <w:pPr>
        <w:numPr>
          <w:ilvl w:val="0"/>
          <w:numId w:val="1116"/>
        </w:numPr>
        <w:tabs>
          <w:tab w:val="clear" w:pos="288"/>
          <w:tab w:val="left" w:pos="1872"/>
        </w:tabs>
        <w:spacing w:before="122" w:after="0" w:line="272" w:lineRule="exact"/>
        <w:ind w:right="0"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skin corrosion category 1A;</w:t>
      </w:r>
    </w:p>
    <w:p>
      <w:pPr>
        <w:numPr>
          <w:ilvl w:val="0"/>
          <w:numId w:val="1116"/>
        </w:numPr>
        <w:tabs>
          <w:tab w:val="clear" w:pos="288"/>
          <w:tab w:val="left" w:pos="1872"/>
        </w:tabs>
        <w:spacing w:before="124" w:after="0" w:line="274" w:lineRule="exact"/>
        <w:ind w:right="72"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gases under pressure with acute toxicity categories 1, 2 or 3 or skin corrosion categories 1A, 1B or 1C.</w:t>
      </w:r>
    </w:p>
    <w:p>
      <w:pPr>
        <w:spacing w:before="126"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5 Manifest—hazardous chemicals being manufactured</w:t>
      </w:r>
    </w:p>
    <w:p>
      <w:pPr>
        <w:spacing w:before="114" w:after="0" w:line="278" w:lineRule="exact"/>
        <w:ind w:right="216"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each area in which hazardous chemicals are manufactured, the manifest must include:</w:t>
      </w:r>
    </w:p>
    <w:p>
      <w:pPr>
        <w:numPr>
          <w:ilvl w:val="0"/>
          <w:numId w:val="1117"/>
        </w:numPr>
        <w:tabs>
          <w:tab w:val="clear" w:pos="288"/>
          <w:tab w:val="left" w:pos="1872"/>
        </w:tabs>
        <w:spacing w:before="122" w:after="0" w:line="272"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identification number or code of the area; and</w:t>
      </w:r>
    </w:p>
    <w:p>
      <w:pPr>
        <w:numPr>
          <w:ilvl w:val="0"/>
          <w:numId w:val="1117"/>
        </w:numPr>
        <w:tabs>
          <w:tab w:val="clear" w:pos="288"/>
          <w:tab w:val="left" w:pos="1872"/>
        </w:tabs>
        <w:spacing w:before="124" w:after="0" w:line="274" w:lineRule="exact"/>
        <w:ind w:right="216"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description of the hazardous chemicals manufactured in the area; and</w:t>
      </w:r>
    </w:p>
    <w:p>
      <w:pPr>
        <w:numPr>
          <w:ilvl w:val="0"/>
          <w:numId w:val="1117"/>
        </w:numPr>
        <w:tabs>
          <w:tab w:val="clear" w:pos="288"/>
          <w:tab w:val="left" w:pos="1872"/>
        </w:tabs>
        <w:spacing w:before="124" w:after="1479" w:line="274" w:lineRule="exact"/>
        <w:ind w:right="360" w:left="1872" w:hanging="288"/>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average and largest quantity of each hazardous chemical likely to be manufactured in the area.</w:t>
      </w:r>
    </w:p>
    <w:p>
      <w:pPr>
        <w:spacing w:before="124" w:after="1479"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469</w:t>
      </w:r>
    </w:p>
    <w:p>
      <w:pPr>
        <w:sectPr>
          <w:type w:val="continuous"/>
          <w:pgSz w:w="11909" w:h="16838" w:orient="portrait"/>
          <w:pgMar w:bottom="1082" w:top="1140" w:right="5812" w:left="1977" w:header="720" w:footer="720"/>
          <w:titlePg w:val="false"/>
          <w:textDirection w:val="lrTb"/>
        </w:sectPr>
      </w:pPr>
    </w:p>
    <w:p>
      <w:pPr>
        <w:spacing w:before="0" w:after="225" w:line="34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</w:t>
        <w:br/>
      </w:r>
      <w:r>
        <w:rPr>
          <w:rFonts w:ascii="Times New Roman" w:hAnsi="Times New Roman" w:eastAsia="Times New Roman"/>
          <w:color w:val="000000"/>
          <w:spacing w:val="0"/>
          <w:w w:val="100"/>
          <w:sz w:val="20"/>
          <w:vertAlign w:val="baseline"/>
          <w:lang w:val="en-US"/>
        </w:rPr>
        <w:t xml:space="preserve">Schedule 12 Manifest requirements</w:t>
      </w:r>
    </w:p>
    <w:p>
      <w:pPr>
        <w:spacing w:before="251"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4"/>
          <w:vertAlign w:val="baseline"/>
          <w:lang w:val="en-US"/>
        </w:rPr>
        <w:t xml:space="preserve">6 Manifest—hazardous chemicals in transit</w:t>
      </w:r>
    </w:p>
    <w:p>
      <w:pPr>
        <w:spacing w:before="124" w:after="0" w:line="273"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clause applies to hazardous chemicals at a workplace if the hazardous chemicals are:</w:t>
      </w:r>
    </w:p>
    <w:p>
      <w:pPr>
        <w:numPr>
          <w:ilvl w:val="0"/>
          <w:numId w:val="1118"/>
        </w:numPr>
        <w:tabs>
          <w:tab w:val="clear" w:pos="432"/>
          <w:tab w:val="left" w:pos="1944"/>
        </w:tabs>
        <w:spacing w:before="126" w:after="0" w:line="273" w:lineRule="exact"/>
        <w:ind w:right="864" w:left="1944"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dangerous goods under the ADG Code in transit at the workplace; and</w:t>
      </w:r>
    </w:p>
    <w:p>
      <w:pPr>
        <w:numPr>
          <w:ilvl w:val="0"/>
          <w:numId w:val="1118"/>
        </w:numPr>
        <w:tabs>
          <w:tab w:val="clear" w:pos="432"/>
          <w:tab w:val="left" w:pos="1944"/>
        </w:tabs>
        <w:spacing w:before="123" w:after="0" w:line="276" w:lineRule="exact"/>
        <w:ind w:right="288" w:left="1944"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accompanied by dangerous goods transport documents (the </w:t>
      </w:r>
      <w:r>
        <w:rPr>
          <w:rFonts w:ascii="Times New Roman" w:hAnsi="Times New Roman" w:eastAsia="Times New Roman"/>
          <w:b w:val="true"/>
          <w:i w:val="true"/>
          <w:color w:val="000000"/>
          <w:spacing w:val="0"/>
          <w:w w:val="100"/>
          <w:sz w:val="24"/>
          <w:vertAlign w:val="baseline"/>
          <w:lang w:val="en-US"/>
        </w:rPr>
        <w:t xml:space="preserve">transport documents</w:t>
      </w:r>
      <w:r>
        <w:rPr>
          <w:rFonts w:ascii="Times New Roman" w:hAnsi="Times New Roman" w:eastAsia="Times New Roman"/>
          <w:color w:val="000000"/>
          <w:spacing w:val="0"/>
          <w:w w:val="100"/>
          <w:sz w:val="24"/>
          <w:vertAlign w:val="baseline"/>
          <w:lang w:val="en-US"/>
        </w:rPr>
        <w:t xml:space="preserve">) in relation to the hazardous chemicals that comply with the ADG Code.</w:t>
      </w:r>
    </w:p>
    <w:p>
      <w:pPr>
        <w:spacing w:before="116" w:after="0" w:line="277" w:lineRule="exact"/>
        <w:ind w:right="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person conducting a business or undertaking at the workplace is taken to comply with clauses 4 and 5 in relation to the hazardous chemicals if the manifest includes a compilation of the transport documents.</w:t>
      </w:r>
    </w:p>
    <w:p>
      <w:pPr>
        <w:spacing w:before="121"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7 Manifest—plan of workplace</w:t>
      </w:r>
    </w:p>
    <w:p>
      <w:pPr>
        <w:spacing w:before="114" w:after="0" w:line="278" w:lineRule="exact"/>
        <w:ind w:right="72"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manifest of hazardous chemicals at a workplace must include a scale plan of the workplace that:</w:t>
      </w:r>
    </w:p>
    <w:p>
      <w:pPr>
        <w:spacing w:before="122" w:after="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shows the location of:</w:t>
      </w:r>
    </w:p>
    <w:p>
      <w:pPr>
        <w:numPr>
          <w:ilvl w:val="0"/>
          <w:numId w:val="1119"/>
        </w:numPr>
        <w:tabs>
          <w:tab w:val="clear" w:pos="432"/>
          <w:tab w:val="left" w:pos="2376"/>
        </w:tabs>
        <w:spacing w:before="124" w:after="0" w:line="274" w:lineRule="exact"/>
        <w:ind w:right="288"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containers and other storage of hazardous chemicals in bulk; and</w:t>
      </w:r>
    </w:p>
    <w:p>
      <w:pPr>
        <w:numPr>
          <w:ilvl w:val="0"/>
          <w:numId w:val="1119"/>
        </w:numPr>
        <w:tabs>
          <w:tab w:val="clear" w:pos="432"/>
          <w:tab w:val="left" w:pos="2376"/>
        </w:tabs>
        <w:spacing w:before="124" w:after="0" w:line="274" w:lineRule="exact"/>
        <w:ind w:right="576"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storage areas for packaged hazardous chemicals and IBCs; and</w:t>
      </w:r>
    </w:p>
    <w:p>
      <w:pPr>
        <w:numPr>
          <w:ilvl w:val="0"/>
          <w:numId w:val="1119"/>
        </w:numPr>
        <w:tabs>
          <w:tab w:val="clear" w:pos="432"/>
          <w:tab w:val="left" w:pos="2376"/>
        </w:tabs>
        <w:spacing w:before="124" w:after="0" w:line="274" w:lineRule="exact"/>
        <w:ind w:right="216"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each area where hazardous chemicals are manufactured or generated; and</w:t>
      </w:r>
    </w:p>
    <w:p>
      <w:pPr>
        <w:spacing w:before="126" w:after="0" w:line="272"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includes a description in words of the location of:</w:t>
      </w:r>
    </w:p>
    <w:p>
      <w:pPr>
        <w:numPr>
          <w:ilvl w:val="0"/>
          <w:numId w:val="1120"/>
        </w:numPr>
        <w:tabs>
          <w:tab w:val="clear" w:pos="432"/>
          <w:tab w:val="left" w:pos="2376"/>
        </w:tabs>
        <w:spacing w:before="122" w:after="0" w:line="272"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things referred to in paragraph (a); and</w:t>
      </w:r>
    </w:p>
    <w:p>
      <w:pPr>
        <w:numPr>
          <w:ilvl w:val="0"/>
          <w:numId w:val="1120"/>
        </w:numPr>
        <w:tabs>
          <w:tab w:val="clear" w:pos="432"/>
          <w:tab w:val="left" w:pos="2376"/>
        </w:tabs>
        <w:spacing w:before="126" w:after="0" w:line="272"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hazardous chemicals in transit; and</w:t>
      </w:r>
    </w:p>
    <w:p>
      <w:pPr>
        <w:spacing w:before="118" w:after="0" w:line="276" w:lineRule="exact"/>
        <w:ind w:right="72" w:left="1944"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provides the identification number or code, and a legend for the identification numbers and codes, for the things referred to in paragraph (a); and</w:t>
      </w:r>
    </w:p>
    <w:p>
      <w:pPr>
        <w:spacing w:before="126" w:after="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shows the location of:</w:t>
      </w:r>
    </w:p>
    <w:p>
      <w:pPr>
        <w:numPr>
          <w:ilvl w:val="0"/>
          <w:numId w:val="1121"/>
        </w:numPr>
        <w:tabs>
          <w:tab w:val="clear" w:pos="432"/>
          <w:tab w:val="left" w:pos="2376"/>
        </w:tabs>
        <w:spacing w:before="116" w:after="0" w:line="278" w:lineRule="exact"/>
        <w:ind w:right="36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main entrance and other places of entry to and exit from the workplace; and</w:t>
      </w:r>
    </w:p>
    <w:p>
      <w:pPr>
        <w:numPr>
          <w:ilvl w:val="0"/>
          <w:numId w:val="1121"/>
        </w:numPr>
        <w:tabs>
          <w:tab w:val="clear" w:pos="432"/>
          <w:tab w:val="left" w:pos="2376"/>
        </w:tabs>
        <w:spacing w:before="116" w:after="0" w:line="278" w:lineRule="exact"/>
        <w:ind w:right="864"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essential site services, including fire services and isolation points for fuel and power; and</w:t>
      </w:r>
    </w:p>
    <w:p>
      <w:pPr>
        <w:numPr>
          <w:ilvl w:val="0"/>
          <w:numId w:val="1121"/>
        </w:numPr>
        <w:tabs>
          <w:tab w:val="clear" w:pos="432"/>
          <w:tab w:val="left" w:pos="2376"/>
        </w:tabs>
        <w:spacing w:before="122" w:after="0" w:line="272"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all drains on the site; and</w:t>
      </w:r>
    </w:p>
    <w:p>
      <w:pPr>
        <w:numPr>
          <w:ilvl w:val="0"/>
          <w:numId w:val="1121"/>
        </w:numPr>
        <w:tabs>
          <w:tab w:val="clear" w:pos="432"/>
          <w:tab w:val="left" w:pos="2376"/>
        </w:tabs>
        <w:spacing w:before="126" w:after="889" w:line="272" w:lineRule="exact"/>
        <w:ind w:right="0" w:left="2376" w:hanging="432"/>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manifest; and</w:t>
      </w:r>
    </w:p>
    <w:p>
      <w:pPr>
        <w:spacing w:before="126" w:after="889" w:line="272"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470</w:t>
      </w:r>
    </w:p>
    <w:p>
      <w:pPr>
        <w:sectPr>
          <w:type w:val="continuous"/>
          <w:pgSz w:w="11909" w:h="16838" w:orient="portrait"/>
          <w:pgMar w:bottom="1082" w:top="1140" w:right="5812" w:left="1977" w:header="720" w:footer="720"/>
          <w:titlePg w:val="false"/>
          <w:textDirection w:val="lrTb"/>
        </w:sectPr>
      </w:pPr>
    </w:p>
    <w:p>
      <w:pPr>
        <w:spacing w:before="0" w:after="225" w:line="34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</w:t>
        <w:br/>
      </w:r>
      <w:r>
        <w:rPr>
          <w:rFonts w:ascii="Times New Roman" w:hAnsi="Times New Roman" w:eastAsia="Times New Roman"/>
          <w:color w:val="000000"/>
          <w:spacing w:val="0"/>
          <w:w w:val="100"/>
          <w:sz w:val="20"/>
          <w:vertAlign w:val="baseline"/>
          <w:lang w:val="en-US"/>
        </w:rPr>
        <w:t xml:space="preserve">Schedule 12 Manifest requirements</w:t>
      </w:r>
    </w:p>
    <w:p>
      <w:pPr>
        <w:numPr>
          <w:ilvl w:val="0"/>
          <w:numId w:val="1122"/>
        </w:numPr>
        <w:tabs>
          <w:tab w:val="clear" w:pos="288"/>
          <w:tab w:val="left" w:pos="1872"/>
        </w:tabs>
        <w:spacing w:before="251"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includes the direction of true north; and</w:t>
      </w:r>
    </w:p>
    <w:p>
      <w:pPr>
        <w:numPr>
          <w:ilvl w:val="0"/>
          <w:numId w:val="1122"/>
        </w:numPr>
        <w:tabs>
          <w:tab w:val="clear" w:pos="288"/>
          <w:tab w:val="left" w:pos="1872"/>
        </w:tabs>
        <w:spacing w:before="126" w:after="11276" w:line="273" w:lineRule="exact"/>
        <w:ind w:right="504"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describes the nature of the occupancy of adjoining sites or premises.</w:t>
      </w:r>
    </w:p>
    <w:p>
      <w:pPr>
        <w:spacing w:before="333"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1.05pt,0.3pt" style="position:absolute;mso-position-horizontal-relative:text;mso-position-vertical-relative:text;">
            <v:stroke dashstyle="solid"/>
          </v:line>
        </w:pict>
      </w:r>
    </w:p>
    <w:p>
      <w:pPr>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471</w:t>
      </w:r>
    </w:p>
    <w:p>
      <w:pPr>
        <w:sectPr>
          <w:type w:val="continuous"/>
          <w:pgSz w:w="11909" w:h="16838" w:orient="portrait"/>
          <w:pgMar w:bottom="1082" w:top="1140" w:right="5819" w:left="1970" w:header="720" w:footer="720"/>
          <w:titlePg w:val="false"/>
          <w:textDirection w:val="lrTb"/>
        </w:sectPr>
      </w:pPr>
    </w:p>
    <w:p>
      <w:pPr>
        <w:spacing w:before="0" w:after="225" w:line="34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</w:t>
        <w:br/>
      </w:r>
      <w:r>
        <w:rPr>
          <w:rFonts w:ascii="Times New Roman" w:hAnsi="Times New Roman" w:eastAsia="Times New Roman"/>
          <w:color w:val="000000"/>
          <w:spacing w:val="0"/>
          <w:w w:val="100"/>
          <w:sz w:val="20"/>
          <w:vertAlign w:val="baseline"/>
          <w:lang w:val="en-US"/>
        </w:rPr>
        <w:t xml:space="preserve">Schedule 13 Placard requirements</w:t>
      </w:r>
    </w:p>
    <w:p>
      <w:pPr>
        <w:spacing w:before="258" w:after="0" w:line="317" w:lineRule="exact"/>
        <w:ind w:right="0" w:left="0" w:firstLine="0"/>
        <w:jc w:val="left"/>
        <w:textAlignment w:val="baseline"/>
        <w:rPr>
          <w:rFonts w:ascii="Times New Roman" w:hAnsi="Times New Roman" w:eastAsia="Times New Roman"/>
          <w:b w:val="true"/>
          <w:color w:val="000000"/>
          <w:spacing w:val="0"/>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8"/>
          <w:vertAlign w:val="baseline"/>
          <w:lang w:val="en-US"/>
        </w:rPr>
        <w:t xml:space="preserve">Schedule 13 Placard requirements</w:t>
      </w:r>
    </w:p>
    <w:p>
      <w:pPr>
        <w:spacing w:before="121" w:after="0" w:line="227" w:lineRule="exact"/>
        <w:ind w:right="0"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Regulations 349(2) and 350(2)</w:t>
      </w:r>
    </w:p>
    <w:p>
      <w:pPr>
        <w:spacing w:before="120"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 Displaying placards</w:t>
      </w:r>
    </w:p>
    <w:p>
      <w:pPr>
        <w:numPr>
          <w:ilvl w:val="0"/>
          <w:numId w:val="1123"/>
        </w:numPr>
        <w:tabs>
          <w:tab w:val="clear" w:pos="360"/>
          <w:tab w:val="left" w:pos="1368"/>
        </w:tabs>
        <w:spacing w:before="122" w:after="0" w:line="276" w:lineRule="exact"/>
        <w:ind w:right="72"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This clause applies if a person conducting a business or undertaking at a workplace must display a placard at the workplace in relation to a hazardous chemical.</w:t>
      </w:r>
    </w:p>
    <w:p>
      <w:pPr>
        <w:numPr>
          <w:ilvl w:val="0"/>
          <w:numId w:val="1123"/>
        </w:numPr>
        <w:tabs>
          <w:tab w:val="clear" w:pos="360"/>
          <w:tab w:val="left" w:pos="1368"/>
        </w:tabs>
        <w:spacing w:before="120" w:after="0" w:line="273" w:lineRule="exact"/>
        <w:ind w:right="0"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person must ensure that the placard is:</w:t>
      </w:r>
    </w:p>
    <w:p>
      <w:pPr>
        <w:spacing w:before="126"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clearly legible by persons approaching the placard; and</w:t>
      </w:r>
    </w:p>
    <w:p>
      <w:pPr>
        <w:spacing w:before="114" w:after="0" w:line="279" w:lineRule="exact"/>
        <w:ind w:right="792" w:left="1872" w:hanging="360"/>
        <w:jc w:val="both"/>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(b) separate from any other sign or writing that contradicts, qualifies or distracts attention from the placard; and</w:t>
      </w:r>
    </w:p>
    <w:p>
      <w:pPr>
        <w:spacing w:before="114" w:after="0" w:line="279"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if a placard quantity of the hazardous chemical is contained in a building:</w:t>
      </w:r>
    </w:p>
    <w:p>
      <w:pPr>
        <w:numPr>
          <w:ilvl w:val="0"/>
          <w:numId w:val="1124"/>
        </w:numPr>
        <w:tabs>
          <w:tab w:val="clear" w:pos="360"/>
          <w:tab w:val="left" w:pos="2376"/>
        </w:tabs>
        <w:spacing w:before="119" w:after="0" w:line="274" w:lineRule="exact"/>
        <w:ind w:right="216"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located as close as is reasonably practicable to the main entrance of the building; and</w:t>
      </w:r>
    </w:p>
    <w:p>
      <w:pPr>
        <w:numPr>
          <w:ilvl w:val="0"/>
          <w:numId w:val="1124"/>
        </w:numPr>
        <w:tabs>
          <w:tab w:val="clear" w:pos="360"/>
          <w:tab w:val="left" w:pos="2376"/>
        </w:tabs>
        <w:spacing w:before="122" w:after="0" w:line="276" w:lineRule="exact"/>
        <w:ind w:right="14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located at the entrance to each room or walled section of the building in which the hazardous chemical is used, handled or stored; and</w:t>
      </w:r>
    </w:p>
    <w:p>
      <w:pPr>
        <w:spacing w:before="118"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if the hazardous chemical is contained in a container or outside storage area—located next to the container or outside storage area; and</w:t>
      </w:r>
    </w:p>
    <w:p>
      <w:pPr>
        <w:spacing w:before="124" w:after="0" w:line="274" w:lineRule="exact"/>
        <w:ind w:right="792" w:left="1872" w:hanging="360"/>
        <w:jc w:val="both"/>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(e) for a placard to which clause 3 applies—located at each entrance to the workplace where an emergency service</w:t>
      </w:r>
    </w:p>
    <w:p>
      <w:pPr>
        <w:spacing w:before="5" w:after="0" w:line="273"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organisation may enter the workplace; and</w:t>
      </w:r>
    </w:p>
    <w:p>
      <w:pPr>
        <w:spacing w:before="118" w:after="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 for a placard to which clause 4 applies—located on or next to each container or storage area in which the hazardous chemicals are stored; and</w:t>
      </w:r>
    </w:p>
    <w:p>
      <w:pPr>
        <w:spacing w:before="122" w:after="0" w:line="276" w:lineRule="exact"/>
        <w:ind w:right="36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 for a placard to which clause 6 applies—located at each entrance to a storage area in which the hazardous chemicals are stored.</w:t>
      </w:r>
    </w:p>
    <w:p>
      <w:pPr>
        <w:spacing w:before="121"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 Maintaining placards</w:t>
      </w:r>
    </w:p>
    <w:p>
      <w:pPr>
        <w:spacing w:before="124"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person who is required to display a placard must:</w:t>
      </w:r>
    </w:p>
    <w:p>
      <w:pPr>
        <w:spacing w:before="12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amend the placard as soon as practicable if:</w:t>
      </w:r>
    </w:p>
    <w:p>
      <w:pPr>
        <w:numPr>
          <w:ilvl w:val="0"/>
          <w:numId w:val="1125"/>
        </w:numPr>
        <w:tabs>
          <w:tab w:val="clear" w:pos="360"/>
          <w:tab w:val="left" w:pos="2376"/>
        </w:tabs>
        <w:spacing w:before="124" w:after="0" w:line="274" w:lineRule="exact"/>
        <w:ind w:right="14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type or quantity of hazardous chemical used, handled or stored at the workplace changes; and</w:t>
      </w:r>
    </w:p>
    <w:p>
      <w:pPr>
        <w:numPr>
          <w:ilvl w:val="0"/>
          <w:numId w:val="1125"/>
        </w:numPr>
        <w:tabs>
          <w:tab w:val="clear" w:pos="360"/>
          <w:tab w:val="left" w:pos="2376"/>
        </w:tabs>
        <w:spacing w:before="124" w:after="734" w:line="274" w:lineRule="exact"/>
        <w:ind w:right="576" w:left="2376"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the change requires the information displayed on the placard to be amended; and</w:t>
      </w:r>
    </w:p>
    <w:p>
      <w:pPr>
        <w:spacing w:before="124" w:after="734"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472</w:t>
      </w:r>
    </w:p>
    <w:p>
      <w:pPr>
        <w:sectPr>
          <w:type w:val="continuous"/>
          <w:pgSz w:w="11909" w:h="16838" w:orient="portrait"/>
          <w:pgMar w:bottom="1082" w:top="1140" w:right="5812" w:left="1977" w:header="720" w:footer="720"/>
          <w:titlePg w:val="false"/>
          <w:textDirection w:val="lrTb"/>
        </w:sectPr>
      </w:pPr>
    </w:p>
    <w:p>
      <w:pPr>
        <w:spacing w:before="0" w:after="226" w:line="34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</w:t>
        <w:br/>
      </w:r>
      <w:r>
        <w:rPr>
          <w:rFonts w:ascii="Times New Roman" w:hAnsi="Times New Roman" w:eastAsia="Times New Roman"/>
          <w:color w:val="000000"/>
          <w:spacing w:val="0"/>
          <w:w w:val="100"/>
          <w:sz w:val="20"/>
          <w:vertAlign w:val="baseline"/>
          <w:lang w:val="en-US"/>
        </w:rPr>
        <w:t xml:space="preserve">Schedule 13 Placard requirements</w:t>
      </w:r>
    </w:p>
    <w:p>
      <w:pPr>
        <w:spacing w:before="251" w:after="0" w:line="272"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(b) ensure that the placard is:</w:t>
      </w:r>
    </w:p>
    <w:p>
      <w:pPr>
        <w:numPr>
          <w:ilvl w:val="0"/>
          <w:numId w:val="1126"/>
        </w:numPr>
        <w:tabs>
          <w:tab w:val="clear" w:pos="504"/>
          <w:tab w:val="left" w:pos="2376"/>
        </w:tabs>
        <w:spacing w:before="127"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kept clean; and</w:t>
      </w:r>
    </w:p>
    <w:p>
      <w:pPr>
        <w:numPr>
          <w:ilvl w:val="0"/>
          <w:numId w:val="1126"/>
        </w:numPr>
        <w:tabs>
          <w:tab w:val="clear" w:pos="504"/>
          <w:tab w:val="left" w:pos="2376"/>
        </w:tabs>
        <w:spacing w:before="121"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maintained in good repair; and</w:t>
      </w:r>
    </w:p>
    <w:p>
      <w:pPr>
        <w:numPr>
          <w:ilvl w:val="0"/>
          <w:numId w:val="1126"/>
        </w:numPr>
        <w:tabs>
          <w:tab w:val="clear" w:pos="504"/>
          <w:tab w:val="left" w:pos="2376"/>
        </w:tabs>
        <w:spacing w:before="127" w:after="0" w:line="272" w:lineRule="exact"/>
        <w:ind w:right="0" w:left="187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not covered or obscured.</w:t>
      </w:r>
    </w:p>
    <w:p>
      <w:pPr>
        <w:spacing w:before="121"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3 Outer warning placards—requirements</w:t>
      </w:r>
    </w:p>
    <w:p>
      <w:pPr>
        <w:spacing w:before="121"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clause applies if a person conducting a business or undertaking at a workplace must display an outer warning placard at the workplace in relation to a hazardous chemical.</w:t>
      </w:r>
    </w:p>
    <w:p>
      <w:pPr>
        <w:spacing w:before="125" w:after="0" w:line="228"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17" w:after="0" w:line="231" w:lineRule="exact"/>
        <w:ind w:right="72" w:left="1368"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Regulation 349 sets out when an outer warning placard is required, and states that it is not required for retail fuel outlets.</w:t>
      </w:r>
    </w:p>
    <w:p>
      <w:pPr>
        <w:spacing w:before="121" w:after="0" w:line="272"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outer warning placard must:</w:t>
      </w:r>
    </w:p>
    <w:p>
      <w:pPr>
        <w:numPr>
          <w:ilvl w:val="0"/>
          <w:numId w:val="1127"/>
        </w:numPr>
        <w:tabs>
          <w:tab w:val="clear" w:pos="360"/>
          <w:tab w:val="left" w:pos="1872"/>
        </w:tabs>
        <w:spacing w:before="121"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comply with the form shown in figure 13.1; and</w:t>
      </w:r>
    </w:p>
    <w:p>
      <w:pPr>
        <w:numPr>
          <w:ilvl w:val="0"/>
          <w:numId w:val="1127"/>
        </w:numPr>
        <w:tabs>
          <w:tab w:val="clear" w:pos="360"/>
          <w:tab w:val="left" w:pos="1872"/>
        </w:tabs>
        <w:spacing w:before="126" w:after="256" w:line="273" w:lineRule="exact"/>
        <w:ind w:right="57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display the word 'HAZCHEM' in red letters on a white or silver background.</w:t>
      </w:r>
    </w:p>
    <w:p>
      <w:pPr>
        <w:spacing w:before="4" w:after="0" w:line="228" w:lineRule="exact"/>
        <w:ind w:right="0" w:left="1368" w:firstLine="0"/>
        <w:jc w:val="left"/>
        <w:textAlignment w:val="baseline"/>
        <w:rPr>
          <w:rFonts w:ascii="Times New Roman" w:hAnsi="Times New Roman" w:eastAsia="Times New Roman"/>
          <w:b w:val="true"/>
          <w:color w:val="000000"/>
          <w:spacing w:val="2"/>
          <w:w w:val="100"/>
          <w:sz w:val="20"/>
          <w:vertAlign w:val="baseline"/>
          <w:lang w:val="en-US"/>
        </w:rPr>
      </w:pPr>
      <w:r>
        <w:pict>
          <v:shapetype id="_x0000_t73" coordsize="21600,21600" o:spt="202" path="m,l,21600r21600,l21600,xe">
            <v:stroke joinstyle="miter"/>
            <v:path gradientshapeok="t" o:connecttype="rect"/>
          </v:shapetype>
          <v:shape id="_x0000_s72" type="#_x0000_t73" filled="f" stroked="f" style="position:absolute;width:401pt;height:69.2pt;z-index:-999;margin-left:97.45pt;margin-top:389.2pt;mso-wrap-distance-left:0pt;mso-wrap-distance-right:0pt;mso-position-horizontal-relative:page;mso-position-vertical-relative:page">
            <w10:wrap type="square"/>
            <v:fill opacity="1" o:opacity2="1" recolor="f" rotate="f" type="solid"/>
            <v:textbox inset="0pt, 0pt, 0pt, 0pt">
              <w:txbxContent/>
            </v:textbox>
          </v:shape>
        </w:pict>
      </w:r>
      <w:r>
        <w:pict>
          <v:shapetype id="_x0000_t74" coordsize="21600,21600" o:spt="202" path="m,l,21600r21600,l21600,xe">
            <v:stroke joinstyle="miter"/>
            <v:path gradientshapeok="t" o:connecttype="rect"/>
          </v:shapetype>
          <v:shape id="_x0000_s73" type="#_x0000_t74" filled="f" stroked="f" style="position:absolute;width:290.65pt;height:61.3pt;z-index:-999;margin-left:142.8pt;margin-top:389.2pt;mso-wrap-distance-left:0pt;mso-wrap-distance-right:0pt;mso-position-horizontal-relative:page;mso-position-vertical-relative:page">
            <w10:wrap type="square" side="both"/>
            <v:fill opacity="1" o:opacity2="1" recolor="f" rotate="f" type="solid"/>
            <v:textbox inset="0pt, 0pt, 0pt, 0pt">
              <w:txbxContent>
                <w:p>
                  <w:pPr>
                    <w:spacing w:before="0" w:after="0" w:line="240" w:lineRule="auto"/>
                    <w:ind w:right="0" w:left="0"/>
                    <w:jc w:val="left"/>
                    <w:textAlignment w:val="baseline"/>
                  </w:pPr>
                  <w:r>
                    <w:drawing>
                      <wp:inline>
                        <wp:extent cx="3691255" cy="778510"/>
                        <wp:docPr name="Picture" id="1"/>
                        <a:graphic>
                          <a:graphicData uri="http://schemas.openxmlformats.org/drawingml/2006/picture">
                            <pic:pic>
                              <pic:nvPicPr>
                                <pic:cNvPr id="1" name="Picture"/>
                                <pic:cNvPicPr preferRelativeResize="false"/>
                              </pic:nvPicPr>
                              <pic:blipFill>
                                <a:blip r:embed="prId1"/>
                                <a:stretch>
                                  <a:fillRect/>
                                </a:stretch>
                              </pic:blipFill>
                              <pic:spPr>
                                <a:xfrm>
                                  <a:off x="0" y="0"/>
                                  <a:ext cx="3691255" cy="778510"/>
                                </a:xfrm>
                                <a:prstGeom prst="rect"/>
                              </pic:spPr>
                            </pic:pic>
                          </a:graphicData>
                        </a:graphic>
                      </wp:inline>
                    </w:drawing>
                  </w:r>
                </w:p>
              </w:txbxContent>
            </v:textbox>
          </v:shape>
        </w:pict>
      </w:r>
      <w:r>
        <w:pict>
          <v:shapetype id="_x0000_t75" coordsize="21600,21600" o:spt="202" path="m,l,21600r21600,l21600,xe">
            <v:stroke joinstyle="miter"/>
            <v:path gradientshapeok="t" o:connecttype="rect"/>
          </v:shapetype>
          <v:shape id="_x0000_s74" type="#_x0000_t75" filled="f" stroked="f" style="position:absolute;width:41.8pt;height:10.35pt;z-index:-1;margin-left:207.95pt;margin-top:441.85pt;mso-wrap-distance-left:0pt;mso-wrap-distance-right:0pt;mso-position-horizontal-relative:page;mso-position-vertical-relative:page">
            <w10:wrap type="square" side="both"/>
            <v:fill opacity="1" o:opacity2="1" recolor="f" rotate="f" type="solid"/>
            <v:textbox inset="0pt, 0pt, 0pt, 0pt">
              <w:txbxContent>
                <w:p>
                  <w:pPr>
                    <w:spacing w:before="2" w:after="0" w:line="204" w:lineRule="exact"/>
                    <w:ind w:right="0" w:left="0" w:firstLine="0"/>
                    <w:jc w:val="left"/>
                    <w:textAlignment w:val="baseline"/>
                    <w:rPr>
                      <w:rFonts w:ascii="Arial" w:hAnsi="Arial" w:eastAsia="Arial"/>
                      <w:color w:val="000000"/>
                      <w:spacing w:val="0"/>
                      <w:w w:val="100"/>
                      <w:sz w:val="18"/>
                      <w:vertAlign w:val="baseline"/>
                      <w:lang w:val="en-US"/>
                    </w:rPr>
                  </w:pPr>
                  <w:r>
                    <w:rPr>
                      <w:rFonts w:ascii="Arial" w:hAnsi="Arial" w:eastAsia="Arial"/>
                      <w:color w:val="000000"/>
                      <w:spacing w:val="0"/>
                      <w:w w:val="100"/>
                      <w:sz w:val="18"/>
                      <w:vertAlign w:val="baseline"/>
                      <w:lang w:val="en-US"/>
                    </w:rPr>
                    <w:t xml:space="preserve">600 mm</w:t>
                  </w:r>
                </w:p>
              </w:txbxContent>
            </v:textbox>
          </v:shape>
        </w:pict>
      </w:r>
      <w:r>
        <w:rPr>
          <w:rFonts w:ascii="Times New Roman" w:hAnsi="Times New Roman" w:eastAsia="Times New Roman"/>
          <w:b w:val="true"/>
          <w:color w:val="000000"/>
          <w:spacing w:val="2"/>
          <w:w w:val="100"/>
          <w:sz w:val="20"/>
          <w:vertAlign w:val="baseline"/>
          <w:lang w:val="en-US"/>
        </w:rPr>
        <w:t xml:space="preserve">Figure 13.1 Form and dimensions of outer warning placard</w:t>
      </w:r>
    </w:p>
    <w:p>
      <w:pPr>
        <w:spacing w:before="115" w:after="0" w:line="276" w:lineRule="exact"/>
        <w:ind w:right="216"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In this clause, </w:t>
      </w:r>
      <w:r>
        <w:rPr>
          <w:rFonts w:ascii="Times New Roman" w:hAnsi="Times New Roman" w:eastAsia="Times New Roman"/>
          <w:b w:val="true"/>
          <w:i w:val="true"/>
          <w:color w:val="000000"/>
          <w:spacing w:val="0"/>
          <w:w w:val="100"/>
          <w:sz w:val="24"/>
          <w:vertAlign w:val="baseline"/>
          <w:lang w:val="en-US"/>
        </w:rPr>
        <w:t xml:space="preserve">red </w:t>
      </w:r>
      <w:r>
        <w:rPr>
          <w:rFonts w:ascii="Times New Roman" w:hAnsi="Times New Roman" w:eastAsia="Times New Roman"/>
          <w:color w:val="000000"/>
          <w:spacing w:val="0"/>
          <w:w w:val="100"/>
          <w:sz w:val="24"/>
          <w:vertAlign w:val="baseline"/>
          <w:lang w:val="en-US"/>
        </w:rPr>
        <w:t xml:space="preserve">means the colour 'signal red' in accordance with AS 2700S–1996 (R13) (Colour standards for general purposes— signal red).</w:t>
      </w:r>
    </w:p>
    <w:p>
      <w:pPr>
        <w:spacing w:before="126"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4 Placards for particular hazardous chemicals stored in bulk</w:t>
      </w:r>
    </w:p>
    <w:p>
      <w:pPr>
        <w:spacing w:before="116" w:after="0" w:line="276" w:lineRule="exact"/>
        <w:ind w:right="72"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clause applies if a person conducting a business or undertaking at a workplace must display a placard at the workplace in relation to the storage in bulk of any of the following hazardous chemicals:</w:t>
      </w:r>
    </w:p>
    <w:p>
      <w:pPr>
        <w:numPr>
          <w:ilvl w:val="0"/>
          <w:numId w:val="1128"/>
        </w:numPr>
        <w:tabs>
          <w:tab w:val="clear" w:pos="360"/>
          <w:tab w:val="left" w:pos="1872"/>
        </w:tabs>
        <w:spacing w:before="124" w:after="0" w:line="274" w:lineRule="exact"/>
        <w:ind w:right="100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gases under pressure, including flammable gases and flammable aerosols;</w:t>
      </w:r>
    </w:p>
    <w:p>
      <w:pPr>
        <w:numPr>
          <w:ilvl w:val="0"/>
          <w:numId w:val="1128"/>
        </w:numPr>
        <w:tabs>
          <w:tab w:val="clear" w:pos="360"/>
          <w:tab w:val="left" w:pos="1872"/>
        </w:tabs>
        <w:spacing w:before="126" w:after="0" w:line="272"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flammable liquids category 1, 2 or 3;</w:t>
      </w:r>
    </w:p>
    <w:p>
      <w:pPr>
        <w:numPr>
          <w:ilvl w:val="0"/>
          <w:numId w:val="1128"/>
        </w:numPr>
        <w:tabs>
          <w:tab w:val="clear" w:pos="360"/>
          <w:tab w:val="left" w:pos="1872"/>
        </w:tabs>
        <w:spacing w:before="118" w:after="0" w:line="276"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flammable solids category 1 or 2, self-reactive substances types B to F, self-heating substances category 1 or 2 or substances that, in contact with water, emit flammable gases;</w:t>
      </w:r>
    </w:p>
    <w:p>
      <w:pPr>
        <w:numPr>
          <w:ilvl w:val="0"/>
          <w:numId w:val="1128"/>
        </w:numPr>
        <w:tabs>
          <w:tab w:val="clear" w:pos="360"/>
          <w:tab w:val="left" w:pos="1872"/>
        </w:tabs>
        <w:spacing w:before="124" w:after="773" w:line="274"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organic peroxides types B to F, oxidising solids and oxidising liquids category 1, 2 or 3;</w:t>
      </w:r>
    </w:p>
    <w:p>
      <w:pPr>
        <w:spacing w:before="124" w:after="773"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473</w:t>
      </w:r>
    </w:p>
    <w:p>
      <w:pPr>
        <w:sectPr>
          <w:type w:val="continuous"/>
          <w:pgSz w:w="11909" w:h="16838" w:orient="portrait"/>
          <w:pgMar w:bottom="1082" w:top="1140" w:right="5817" w:left="1972" w:header="720" w:footer="720"/>
          <w:titlePg w:val="false"/>
          <w:textDirection w:val="lrTb"/>
        </w:sectPr>
      </w:pPr>
    </w:p>
    <w:p>
      <w:pPr>
        <w:spacing w:before="0" w:after="225" w:line="34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</w:t>
        <w:br/>
      </w:r>
      <w:r>
        <w:rPr>
          <w:rFonts w:ascii="Times New Roman" w:hAnsi="Times New Roman" w:eastAsia="Times New Roman"/>
          <w:color w:val="000000"/>
          <w:spacing w:val="0"/>
          <w:w w:val="100"/>
          <w:sz w:val="20"/>
          <w:vertAlign w:val="baseline"/>
          <w:lang w:val="en-US"/>
        </w:rPr>
        <w:t xml:space="preserve">Schedule 13 Placard requirements</w:t>
      </w:r>
    </w:p>
    <w:p>
      <w:pPr>
        <w:numPr>
          <w:ilvl w:val="0"/>
          <w:numId w:val="1122"/>
        </w:numPr>
        <w:tabs>
          <w:tab w:val="clear" w:pos="288"/>
          <w:tab w:val="left" w:pos="1872"/>
        </w:tabs>
        <w:spacing w:before="251"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acute toxicity category 1, 2 or 3;</w:t>
      </w:r>
    </w:p>
    <w:p>
      <w:pPr>
        <w:numPr>
          <w:ilvl w:val="0"/>
          <w:numId w:val="1122"/>
        </w:numPr>
        <w:tabs>
          <w:tab w:val="clear" w:pos="288"/>
          <w:tab w:val="left" w:pos="1872"/>
        </w:tabs>
        <w:spacing w:before="126" w:after="0" w:line="273" w:lineRule="exact"/>
        <w:ind w:right="216"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skin corrosion category 1A, 1B or 1C and corrosive to metals category 1.</w:t>
      </w:r>
    </w:p>
    <w:p>
      <w:pPr>
        <w:spacing w:before="126"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placard must:</w:t>
      </w:r>
    </w:p>
    <w:p>
      <w:pPr>
        <w:numPr>
          <w:ilvl w:val="0"/>
          <w:numId w:val="1129"/>
        </w:numPr>
        <w:tabs>
          <w:tab w:val="clear" w:pos="288"/>
          <w:tab w:val="left" w:pos="1872"/>
        </w:tabs>
        <w:spacing w:before="120" w:after="0" w:line="273" w:lineRule="exact"/>
        <w:ind w:right="0"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comply with the template in figure 13.2; and</w:t>
      </w:r>
    </w:p>
    <w:p>
      <w:pPr>
        <w:numPr>
          <w:ilvl w:val="0"/>
          <w:numId w:val="1129"/>
        </w:numPr>
        <w:tabs>
          <w:tab w:val="clear" w:pos="288"/>
          <w:tab w:val="left" w:pos="1872"/>
        </w:tabs>
        <w:spacing w:before="126" w:after="0" w:line="273" w:lineRule="exact"/>
        <w:ind w:right="288"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subject to subclause (4)(b) and (c), have dimensions not less than those shown in figure 13.2.</w:t>
      </w:r>
    </w:p>
    <w:p>
      <w:pPr>
        <w:spacing w:before="126" w:after="0" w:line="273" w:lineRule="exact"/>
        <w:ind w:right="79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placard must include the following in figure 13.2 for the hazardous chemical:</w:t>
      </w:r>
    </w:p>
    <w:p>
      <w:pPr>
        <w:numPr>
          <w:ilvl w:val="0"/>
          <w:numId w:val="1130"/>
        </w:numPr>
        <w:tabs>
          <w:tab w:val="clear" w:pos="288"/>
          <w:tab w:val="left" w:pos="1872"/>
        </w:tabs>
        <w:spacing w:before="126" w:after="0" w:line="273" w:lineRule="exact"/>
        <w:ind w:right="576" w:left="1872" w:hanging="288"/>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in space (p)—the proper shipping name for the hazardous chemical as specified in Table 3.2.3 of the ADG Code;</w:t>
      </w:r>
    </w:p>
    <w:p>
      <w:pPr>
        <w:numPr>
          <w:ilvl w:val="0"/>
          <w:numId w:val="1130"/>
        </w:numPr>
        <w:tabs>
          <w:tab w:val="clear" w:pos="288"/>
          <w:tab w:val="left" w:pos="1872"/>
        </w:tabs>
        <w:spacing w:before="126" w:after="0" w:line="273" w:lineRule="exact"/>
        <w:ind w:right="288" w:left="1872" w:hanging="288"/>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space (q)—the UN Number for the hazardous chemical as specified in Table 3.2.3 of the ADG Code;</w:t>
      </w:r>
    </w:p>
    <w:p>
      <w:pPr>
        <w:numPr>
          <w:ilvl w:val="0"/>
          <w:numId w:val="1130"/>
        </w:numPr>
        <w:tabs>
          <w:tab w:val="clear" w:pos="288"/>
          <w:tab w:val="left" w:pos="1872"/>
        </w:tabs>
        <w:spacing w:before="116" w:after="0" w:line="278" w:lineRule="exact"/>
        <w:ind w:right="72"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space (r)—the Hazchem Code for the hazardous chemical as specified in Table 3.2.3 of the ADG Code;</w:t>
      </w:r>
    </w:p>
    <w:p>
      <w:pPr>
        <w:numPr>
          <w:ilvl w:val="0"/>
          <w:numId w:val="1130"/>
        </w:numPr>
        <w:tabs>
          <w:tab w:val="clear" w:pos="288"/>
          <w:tab w:val="left" w:pos="1872"/>
        </w:tabs>
        <w:spacing w:before="118" w:after="0" w:line="276" w:lineRule="exact"/>
        <w:ind w:right="288" w:left="1872" w:hanging="288"/>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space (s)—the class label and subsidiary risk label for the hazardous chemical as specified in Table 3.2.3 of the ADG Code.</w:t>
      </w:r>
    </w:p>
    <w:p>
      <w:pPr>
        <w:spacing w:before="191" w:after="0" w:line="140" w:lineRule="exact"/>
        <w:ind w:right="0" w:left="0" w:firstLine="0"/>
        <w:jc w:val="center"/>
        <w:textAlignment w:val="baseline"/>
        <w:rPr>
          <w:rFonts w:ascii="Arial" w:hAnsi="Arial" w:eastAsia="Arial"/>
          <w:color w:val="000000"/>
          <w:spacing w:val="20"/>
          <w:w w:val="100"/>
          <w:sz w:val="14"/>
          <w:vertAlign w:val="baseline"/>
          <w:lang w:val="en-US"/>
        </w:rPr>
      </w:pPr>
      <w:r>
        <w:rPr>
          <w:rFonts w:ascii="Arial" w:hAnsi="Arial" w:eastAsia="Arial"/>
          <w:color w:val="000000"/>
          <w:spacing w:val="20"/>
          <w:w w:val="100"/>
          <w:sz w:val="14"/>
          <w:vertAlign w:val="baseline"/>
          <w:lang w:val="en-US"/>
        </w:rPr>
        <w:t xml:space="preserve">800 mm</w:t>
      </w:r>
    </w:p>
    <w:p>
      <w:pPr>
        <w:spacing w:before="3444"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shapetype id="_x0000_t76" coordsize="21600,21600" o:spt="202" path="m,l,21600r21600,l21600,xe">
            <v:stroke joinstyle="miter"/>
            <v:path gradientshapeok="t" o:connecttype="rect"/>
          </v:shapetype>
          <v:shape id="_x0000_s75" type="#_x0000_t76" filled="f" stroked="f" style="position:absolute;width:307.15pt;height:175.75pt;z-index:-999;margin-left:49pt;margin-top:0pt;mso-wrap-distance-left:0pt;mso-wrap-distance-right:0pt">
            <v:fill opacity="1" o:opacity2="1" recolor="f" rotate="f" type="solid"/>
            <v:textbox style="layout-flow:vertical;direction:rtl" inset="0pt, 0pt, 0pt, 0pt">
              <w:txbxContent/>
            </v:textbox>
          </v:shape>
        </w:pict>
      </w:r>
      <w:r>
        <w:pict>
          <v:shapetype id="_x0000_t77" coordsize="21600,21600" o:spt="202" path="m,l,21600r21600,l21600,xe">
            <v:stroke joinstyle="miter"/>
            <v:path gradientshapeok="t" o:connecttype="rect"/>
          </v:shapetype>
          <v:shape id="_x0000_s76" type="#_x0000_t77" filled="f" stroked="f" style="position:absolute;width:307.15pt;height:174.7pt;z-index:-999;margin-left:49pt;margin-top:0pt;mso-wrap-distance-left:0pt;mso-wrap-distance-right:0pt">
            <v:fill opacity="1" o:opacity2="1" recolor="f" rotate="f" type="solid"/>
            <v:textbox inset="0pt, 0pt, 0pt, 0pt">
              <w:txbxContent>
                <w:p>
                  <w:pPr>
                    <w:spacing w:before="0" w:after="0" w:line="240" w:lineRule="auto"/>
                    <w:ind w:right="0" w:left="13"/>
                    <w:jc w:val="left"/>
                    <w:textAlignment w:val="baseline"/>
                  </w:pPr>
                  <w:r>
                    <w:drawing>
                      <wp:inline>
                        <wp:extent cx="3892550" cy="2218690"/>
                        <wp:docPr name="Picture" id="2"/>
                        <a:graphic>
                          <a:graphicData uri="http://schemas.openxmlformats.org/drawingml/2006/picture">
                            <pic:pic>
                              <pic:nvPicPr>
                                <pic:cNvPr id="2" name="Picture"/>
                                <pic:cNvPicPr preferRelativeResize="false"/>
                              </pic:nvPicPr>
                              <pic:blipFill>
                                <a:blip r:embed="prId2"/>
                                <a:stretch>
                                  <a:fillRect/>
                                </a:stretch>
                              </pic:blipFill>
                              <pic:spPr>
                                <a:xfrm>
                                  <a:off x="0" y="0"/>
                                  <a:ext cx="3892550" cy="2218690"/>
                                </a:xfrm>
                                <a:prstGeom prst="rect"/>
                              </pic:spPr>
                            </pic:pic>
                          </a:graphicData>
                        </a:graphic>
                      </wp:inline>
                    </w:drawing>
                  </w:r>
                </w:p>
              </w:txbxContent>
            </v:textbox>
          </v:shape>
        </w:pict>
      </w:r>
      <w:r>
        <w:pict>
          <v:shapetype id="_x0000_t78" coordsize="21600,21600" o:spt="202" path="m,l,21600r21600,l21600,xe">
            <v:stroke joinstyle="miter"/>
            <v:path gradientshapeok="t" o:connecttype="rect"/>
          </v:shapetype>
          <v:shape id="_x0000_s77" type="#_x0000_t78" filled="f" stroked="f" style="position:absolute;width:5.95pt;height:164.4pt;z-index:-1;margin-left:49pt;margin-top:1.2pt;mso-wrap-distance-left:0pt;mso-wrap-distance-right:0pt">
            <v:fill opacity="1" o:opacity2="1" recolor="f" rotate="f" type="solid"/>
            <v:textbox style="layout-flow:vertical;direction:rtl" inset="0pt, 0pt, 0pt, 0pt">
              <w:txbxContent>
                <w:p>
                  <w:pPr>
                    <w:tabs>
                      <w:tab w:val="left" w:leader="none" w:pos="1008"/>
                      <w:tab w:val="left" w:leader="none" w:pos="2016"/>
                      <w:tab w:val="right" w:leader="none" w:pos="3312"/>
                    </w:tabs>
                    <w:spacing w:before="0" w:after="4" w:line="106" w:lineRule="exact"/>
                    <w:ind w:right="0" w:left="0" w:firstLine="0"/>
                    <w:jc w:val="left"/>
                    <w:textAlignment w:val="baseline"/>
                    <w:rPr>
                      <w:rFonts w:ascii="Arial" w:hAnsi="Arial" w:eastAsia="Arial"/>
                      <w:color w:val="000000"/>
                      <w:spacing w:val="0"/>
                      <w:w w:val="100"/>
                      <w:sz w:val="12"/>
                      <w:vertAlign w:val="baseline"/>
                      <w:lang w:val="en-US"/>
                    </w:rPr>
                  </w:pPr>
                  <w:r>
                    <w:rPr>
                      <w:rFonts w:ascii="Arial" w:hAnsi="Arial" w:eastAsia="Arial"/>
                      <w:color w:val="000000"/>
                      <w:spacing w:val="0"/>
                      <w:w w:val="100"/>
                      <w:sz w:val="12"/>
                      <w:vertAlign w:val="baseline"/>
                      <w:lang w:val="en-US"/>
                    </w:rPr>
                    <w:t xml:space="preserve">10 mm	</w:t>
                  </w:r>
                  <w:r>
                    <w:rPr>
                      <w:rFonts w:ascii="Arial" w:hAnsi="Arial" w:eastAsia="Arial"/>
                      <w:color w:val="000000"/>
                      <w:spacing w:val="0"/>
                      <w:w w:val="100"/>
                      <w:sz w:val="12"/>
                      <w:vertAlign w:val="baseline"/>
                      <w:lang w:val="en-US"/>
                    </w:rPr>
                    <w:t xml:space="preserve">10 mm	</w:t>
                  </w:r>
                  <w:r>
                    <w:rPr>
                      <w:rFonts w:ascii="Arial" w:hAnsi="Arial" w:eastAsia="Arial"/>
                      <w:color w:val="000000"/>
                      <w:spacing w:val="0"/>
                      <w:w w:val="100"/>
                      <w:sz w:val="12"/>
                      <w:vertAlign w:val="baseline"/>
                      <w:lang w:val="en-US"/>
                    </w:rPr>
                    <w:t xml:space="preserve">5 mm	</w:t>
                  </w:r>
                  <w:r>
                    <w:rPr>
                      <w:rFonts w:ascii="Arial" w:hAnsi="Arial" w:eastAsia="Arial"/>
                      <w:color w:val="000000"/>
                      <w:spacing w:val="0"/>
                      <w:w w:val="100"/>
                      <w:sz w:val="12"/>
                      <w:vertAlign w:val="baseline"/>
                      <w:lang w:val="en-US"/>
                    </w:rPr>
                    <w:t xml:space="preserve">10 mm</w:t>
                  </w:r>
                </w:p>
              </w:txbxContent>
            </v:textbox>
          </v:shape>
        </w:pict>
      </w:r>
      <w:r>
        <w:pict>
          <v:shapetype id="_x0000_t79" coordsize="21600,21600" o:spt="202" path="m,l,21600r21600,l21600,xe">
            <v:stroke joinstyle="miter"/>
            <v:path gradientshapeok="t" o:connecttype="rect"/>
          </v:shapetype>
          <v:shape id="_x0000_s78" type="#_x0000_t79" filled="f" stroked="f" style="position:absolute;width:5.75pt;height:73.2pt;z-index:-1;margin-left:54.7pt;margin-top:24.2pt;mso-wrap-distance-left:0pt;mso-wrap-distance-right:0pt">
            <v:fill opacity="1" o:opacity2="1" recolor="f" rotate="f" type="solid"/>
            <v:textbox style="layout-flow:vertical;direction:rtl" inset="0pt, 0pt, 0pt, 0pt">
              <w:txbxContent>
                <w:p>
                  <w:pPr>
                    <w:tabs>
                      <w:tab w:val="right" w:leader="none" w:pos="1512"/>
                    </w:tabs>
                    <w:spacing w:before="0" w:after="0" w:line="105" w:lineRule="exact"/>
                    <w:ind w:right="0" w:left="0" w:firstLine="0"/>
                    <w:jc w:val="left"/>
                    <w:textAlignment w:val="baseline"/>
                    <w:rPr>
                      <w:rFonts w:ascii="Arial" w:hAnsi="Arial" w:eastAsia="Arial"/>
                      <w:color w:val="000000"/>
                      <w:spacing w:val="0"/>
                      <w:w w:val="100"/>
                      <w:sz w:val="15"/>
                      <w:vertAlign w:val="baseline"/>
                      <w:lang w:val="en-US"/>
                    </w:rPr>
                  </w:pPr>
                  <w:r>
                    <w:rPr>
                      <w:rFonts w:ascii="Arial" w:hAnsi="Arial" w:eastAsia="Arial"/>
                      <w:color w:val="000000"/>
                      <w:spacing w:val="0"/>
                      <w:w w:val="100"/>
                      <w:sz w:val="15"/>
                      <w:vertAlign w:val="baseline"/>
                      <w:lang w:val="en-US"/>
                    </w:rPr>
                    <w:t xml:space="preserve">135mm	</w:t>
                  </w:r>
                  <w:r>
                    <w:rPr>
                      <w:rFonts w:ascii="Arial" w:hAnsi="Arial" w:eastAsia="Arial"/>
                      <w:color w:val="000000"/>
                      <w:spacing w:val="0"/>
                      <w:w w:val="100"/>
                      <w:sz w:val="15"/>
                      <w:vertAlign w:val="baseline"/>
                      <w:lang w:val="en-US"/>
                    </w:rPr>
                    <w:t xml:space="preserve">120 mm</w:t>
                  </w:r>
                </w:p>
              </w:txbxContent>
            </v:textbox>
          </v:shape>
        </w:pict>
      </w:r>
      <w:r>
        <w:pict>
          <v:shapetype id="_x0000_t80" coordsize="21600,21600" o:spt="202" path="m,l,21600r21600,l21600,xe">
            <v:stroke joinstyle="miter"/>
            <v:path gradientshapeok="t" o:connecttype="rect"/>
          </v:shapetype>
          <v:shape id="_x0000_s79" type="#_x0000_t80" filled="f" stroked="f" style="position:absolute;width:7.5pt;height:24.75pt;z-index:-1;margin-left:54.95pt;margin-top:119.25pt;mso-wrap-distance-left:0pt;mso-wrap-distance-right:0pt">
            <v:fill opacity="1" o:opacity2="1" recolor="f" rotate="f" type="solid"/>
            <v:textbox style="layout-flow:vertical;direction:rtl" inset="0pt, 0pt, 0pt, 0pt">
              <w:txbxContent>
                <w:p>
                  <w:pPr>
                    <w:spacing w:before="30" w:after="5" w:line="110" w:lineRule="exact"/>
                    <w:ind w:right="0" w:left="0" w:firstLine="0"/>
                    <w:jc w:val="left"/>
                    <w:textAlignment w:val="baseline"/>
                    <w:rPr>
                      <w:rFonts w:ascii="Arial" w:hAnsi="Arial" w:eastAsia="Arial"/>
                      <w:color w:val="000000"/>
                      <w:spacing w:val="-16"/>
                      <w:w w:val="100"/>
                      <w:sz w:val="15"/>
                      <w:vertAlign w:val="baseline"/>
                      <w:lang w:val="en-US"/>
                    </w:rPr>
                  </w:pPr>
                  <w:r>
                    <w:rPr>
                      <w:rFonts w:ascii="Arial" w:hAnsi="Arial" w:eastAsia="Arial"/>
                      <w:color w:val="000000"/>
                      <w:spacing w:val="-16"/>
                      <w:w w:val="100"/>
                      <w:sz w:val="15"/>
                      <w:vertAlign w:val="baseline"/>
                      <w:lang w:val="en-US"/>
                    </w:rPr>
                    <w:t xml:space="preserve">120 mm</w:t>
                  </w:r>
                </w:p>
              </w:txbxContent>
            </v:textbox>
          </v:shape>
        </w:pict>
      </w:r>
      <w:r>
        <w:pict>
          <v:shapetype id="_x0000_t81" coordsize="21600,21600" o:spt="202" path="m,l,21600r21600,l21600,xe">
            <v:stroke joinstyle="miter"/>
            <v:path gradientshapeok="t" o:connecttype="rect"/>
          </v:shapetype>
          <v:shape id="_x0000_s80" type="#_x0000_t81" filled="f" stroked="f" style="position:absolute;width:294.5pt;height:12.75pt;z-index:-1;margin-left:61.65pt;margin-top:162.1pt;mso-wrap-distance-left:0pt;mso-wrap-distance-right:0pt">
            <v:fill opacity="1" o:opacity2="1" recolor="f" rotate="f" type="solid"/>
            <v:textbox inset="0pt, 0pt, 0pt, 0pt">
              <w:txbxContent>
                <w:p>
                  <w:pPr>
                    <w:tabs>
                      <w:tab w:val="left" w:leader="none" w:pos="4248"/>
                    </w:tabs>
                    <w:spacing w:before="1" w:after="0" w:line="140" w:lineRule="exact"/>
                    <w:ind w:right="0" w:left="1440" w:firstLine="0"/>
                    <w:jc w:val="left"/>
                    <w:textAlignment w:val="baseline"/>
                    <w:rPr>
                      <w:rFonts w:ascii="Arial" w:hAnsi="Arial" w:eastAsia="Arial"/>
                      <w:color w:val="000000"/>
                      <w:spacing w:val="-1"/>
                      <w:w w:val="100"/>
                      <w:sz w:val="14"/>
                      <w:vertAlign w:val="baseline"/>
                      <w:lang w:val="en-US"/>
                    </w:rPr>
                  </w:pPr>
                  <w:r>
                    <w:rPr>
                      <w:rFonts w:ascii="Arial" w:hAnsi="Arial" w:eastAsia="Arial"/>
                      <w:color w:val="000000"/>
                      <w:spacing w:val="-1"/>
                      <w:w w:val="100"/>
                      <w:sz w:val="14"/>
                      <w:vertAlign w:val="baseline"/>
                      <w:lang w:val="en-US"/>
                    </w:rPr>
                    <w:t xml:space="preserve">380 mm	</w:t>
                  </w:r>
                  <w:r>
                    <w:rPr>
                      <w:rFonts w:ascii="Arial" w:hAnsi="Arial" w:eastAsia="Arial"/>
                      <w:color w:val="000000"/>
                      <w:spacing w:val="-1"/>
                      <w:w w:val="100"/>
                      <w:sz w:val="14"/>
                      <w:vertAlign w:val="baseline"/>
                      <w:lang w:val="en-US"/>
                    </w:rPr>
                    <w:t xml:space="preserve">390 mm</w:t>
                  </w:r>
                </w:p>
                <w:p>
                  <w:pPr>
                    <w:tabs>
                      <w:tab w:val="left" w:leader="none" w:pos="2736"/>
                      <w:tab w:val="right" w:leader="none" w:pos="5904"/>
                    </w:tabs>
                    <w:spacing w:before="0" w:after="0" w:line="101" w:lineRule="exact"/>
                    <w:ind w:right="0" w:left="0" w:firstLine="0"/>
                    <w:jc w:val="left"/>
                    <w:textAlignment w:val="baseline"/>
                    <w:rPr>
                      <w:rFonts w:ascii="Arial" w:hAnsi="Arial" w:eastAsia="Arial"/>
                      <w:color w:val="000000"/>
                      <w:spacing w:val="0"/>
                      <w:w w:val="100"/>
                      <w:sz w:val="12"/>
                      <w:vertAlign w:val="baseline"/>
                      <w:lang w:val="en-US"/>
                    </w:rPr>
                  </w:pPr>
                  <w:r>
                    <w:rPr>
                      <w:rFonts w:ascii="Arial" w:hAnsi="Arial" w:eastAsia="Arial"/>
                      <w:color w:val="000000"/>
                      <w:spacing w:val="0"/>
                      <w:w w:val="100"/>
                      <w:sz w:val="12"/>
                      <w:vertAlign w:val="baseline"/>
                      <w:lang w:val="en-US"/>
                    </w:rPr>
                    <w:t xml:space="preserve">10 mm	</w:t>
                  </w:r>
                  <w:r>
                    <w:rPr>
                      <w:rFonts w:ascii="Arial" w:hAnsi="Arial" w:eastAsia="Arial"/>
                      <w:color w:val="000000"/>
                      <w:spacing w:val="0"/>
                      <w:w w:val="100"/>
                      <w:sz w:val="12"/>
                      <w:vertAlign w:val="baseline"/>
                      <w:lang w:val="en-US"/>
                    </w:rPr>
                    <w:t xml:space="preserve">10 mm	</w:t>
                  </w:r>
                  <w:r>
                    <w:rPr>
                      <w:rFonts w:ascii="Arial" w:hAnsi="Arial" w:eastAsia="Arial"/>
                      <w:color w:val="000000"/>
                      <w:spacing w:val="0"/>
                      <w:w w:val="100"/>
                      <w:sz w:val="12"/>
                      <w:vertAlign w:val="baseline"/>
                      <w:lang w:val="en-US"/>
                    </w:rPr>
                    <w:t xml:space="preserve">10 mm</w:t>
                  </w:r>
                </w:p>
              </w:txbxContent>
            </v:textbox>
          </v:shape>
        </w:pict>
      </w:r>
      <w:r>
        <w:pict>
          <v:shapetype id="_x0000_t82" coordsize="21600,21600" o:spt="202" path="m,l,21600r21600,l21600,xe">
            <v:stroke joinstyle="miter"/>
            <v:path gradientshapeok="t" o:connecttype="rect"/>
          </v:shapetype>
          <v:shape id="_x0000_s81" type="#_x0000_t82" filled="f" stroked="f" style="position:absolute;width:120.25pt;height:10.2pt;z-index:-1;margin-left:73.2pt;margin-top:109.8pt;mso-wrap-distance-left:0pt;mso-wrap-distance-right:0pt">
            <v:fill opacity="1" o:opacity2="1" recolor="f" rotate="f" type="solid"/>
            <v:textbox inset="0pt, 0pt, 0pt, 0pt">
              <w:txbxContent>
                <w:p>
                  <w:pPr>
                    <w:tabs>
                      <w:tab w:val="right" w:leader="none" w:pos="2448"/>
                    </w:tabs>
                    <w:spacing w:before="6" w:after="0" w:line="188" w:lineRule="exact"/>
                    <w:ind w:right="0" w:left="0" w:firstLine="0"/>
                    <w:jc w:val="left"/>
                    <w:textAlignment w:val="baseline"/>
                    <w:rPr>
                      <w:rFonts w:ascii="Arial" w:hAnsi="Arial" w:eastAsia="Arial"/>
                      <w:b w:val="true"/>
                      <w:color w:val="000000"/>
                      <w:spacing w:val="0"/>
                      <w:w w:val="100"/>
                      <w:sz w:val="15"/>
                      <w:vertAlign w:val="baseline"/>
                      <w:lang w:val="en-US"/>
                    </w:rPr>
                  </w:pPr>
                  <w:r>
                    <w:rPr>
                      <w:rFonts w:ascii="Arial" w:hAnsi="Arial" w:eastAsia="Arial"/>
                      <w:b w:val="true"/>
                      <w:color w:val="000000"/>
                      <w:spacing w:val="0"/>
                      <w:w w:val="100"/>
                      <w:sz w:val="15"/>
                      <w:vertAlign w:val="baseline"/>
                      <w:lang w:val="en-US"/>
                    </w:rPr>
                    <w:t xml:space="preserve">HAZCHEM	</w:t>
                  </w:r>
                  <w:r>
                    <w:rPr>
                      <w:rFonts w:ascii="Arial" w:hAnsi="Arial" w:eastAsia="Arial"/>
                      <w:b w:val="true"/>
                      <w:color w:val="000000"/>
                      <w:spacing w:val="0"/>
                      <w:w w:val="100"/>
                      <w:sz w:val="15"/>
                      <w:vertAlign w:val="baseline"/>
                      <w:lang w:val="en-US"/>
                    </w:rPr>
                    <w:t xml:space="preserve">(r)</w:t>
                  </w:r>
                </w:p>
              </w:txbxContent>
            </v:textbox>
          </v:shape>
        </w:pict>
      </w:r>
      <w:r>
        <w:pict>
          <v:shapetype id="_x0000_t83" coordsize="21600,21600" o:spt="202" path="m,l,21600r21600,l21600,xe">
            <v:stroke joinstyle="miter"/>
            <v:path gradientshapeok="t" o:connecttype="rect"/>
          </v:shapetype>
          <v:shape id="_x0000_s82" type="#_x0000_t83" filled="f" stroked="f" style="position:absolute;width:33.45pt;height:8.7pt;z-index:-1;margin-left:68.7pt;margin-top:62.55pt;mso-wrap-distance-left:0pt;mso-wrap-distance-right:0pt">
            <v:fill opacity="1" o:opacity2="1" recolor="f" rotate="f" type="solid"/>
            <v:textbox inset="0pt, 0pt, 0pt, 0pt">
              <w:txbxContent>
                <w:p>
                  <w:pPr>
                    <w:spacing w:before="9" w:after="0" w:line="150" w:lineRule="exact"/>
                    <w:ind w:right="0" w:left="0" w:firstLine="0"/>
                    <w:jc w:val="left"/>
                    <w:textAlignment w:val="baseline"/>
                    <w:rPr>
                      <w:rFonts w:ascii="Arial" w:hAnsi="Arial" w:eastAsia="Arial"/>
                      <w:b w:val="true"/>
                      <w:color w:val="000000"/>
                      <w:spacing w:val="0"/>
                      <w:w w:val="100"/>
                      <w:sz w:val="15"/>
                      <w:vertAlign w:val="baseline"/>
                      <w:lang w:val="en-US"/>
                    </w:rPr>
                  </w:pPr>
                  <w:r>
                    <w:rPr>
                      <w:rFonts w:ascii="Arial" w:hAnsi="Arial" w:eastAsia="Arial"/>
                      <w:b w:val="true"/>
                      <w:color w:val="000000"/>
                      <w:spacing w:val="0"/>
                      <w:w w:val="100"/>
                      <w:sz w:val="15"/>
                      <w:vertAlign w:val="baseline"/>
                      <w:lang w:val="en-US"/>
                    </w:rPr>
                    <w:t xml:space="preserve">UN No.</w:t>
                  </w:r>
                </w:p>
              </w:txbxContent>
            </v:textbox>
          </v:shape>
        </w:pict>
      </w:r>
      <w:r>
        <w:pict>
          <v:shapetype id="_x0000_t84" coordsize="21600,21600" o:spt="202" path="m,l,21600r21600,l21600,xe">
            <v:stroke joinstyle="miter"/>
            <v:path gradientshapeok="t" o:connecttype="rect"/>
          </v:shapetype>
          <v:shape id="_x0000_s83" type="#_x0000_t84" filled="f" stroked="f" style="position:absolute;width:150.25pt;height:9pt;z-index:-1;margin-left:186pt;margin-top:14.05pt;mso-wrap-distance-left:0pt;mso-wrap-distance-right:0pt">
            <v:fill opacity="1" o:opacity2="1" recolor="f" rotate="f" type="solid"/>
            <v:textbox inset="0pt, 0pt, 0pt, 0pt">
              <w:txbxContent>
                <w:p>
                  <w:pPr>
                    <w:numPr>
                      <w:ilvl w:val="0"/>
                      <w:numId w:val="1131"/>
                    </w:numPr>
                    <w:tabs>
                      <w:tab w:val="clear" w:pos="2808"/>
                      <w:tab w:val="left" w:pos="2808"/>
                      <w:tab w:val="right" w:leader="none" w:pos="3024"/>
                    </w:tabs>
                    <w:spacing w:before="8" w:after="4" w:line="167" w:lineRule="exact"/>
                    <w:ind w:right="0" w:left="0" w:firstLine="0"/>
                    <w:jc w:val="left"/>
                    <w:textAlignment w:val="baseline"/>
                    <w:rPr>
                      <w:rFonts w:ascii="Arial" w:hAnsi="Arial" w:eastAsia="Arial"/>
                      <w:b w:val="true"/>
                      <w:color w:val="000000"/>
                      <w:spacing w:val="-4"/>
                      <w:w w:val="100"/>
                      <w:sz w:val="15"/>
                      <w:vertAlign w:val="baseline"/>
                      <w:lang w:val="en-US"/>
                    </w:rPr>
                  </w:pPr>
                  <w:r>
                    <w:rPr>
                      <w:rFonts w:ascii="Arial" w:hAnsi="Arial" w:eastAsia="Arial"/>
                      <w:b w:val="true"/>
                      <w:color w:val="000000"/>
                      <w:spacing w:val="-4"/>
                      <w:w w:val="100"/>
                      <w:sz w:val="15"/>
                      <w:vertAlign w:val="baseline"/>
                      <w:lang w:val="en-US"/>
                    </w:rPr>
                    <w:t xml:space="preserve">(s)</w:t>
                  </w:r>
                </w:p>
              </w:txbxContent>
            </v:textbox>
          </v:shape>
        </w:pict>
      </w:r>
      <w:r>
        <w:pict>
          <v:shapetype id="_x0000_t85" coordsize="21600,21600" o:spt="202" path="m,l,21600r21600,l21600,xe">
            <v:stroke joinstyle="miter"/>
            <v:path gradientshapeok="t" o:connecttype="rect"/>
          </v:shapetype>
          <v:shape id="_x0000_s84" type="#_x0000_t85" filled="f" stroked="f" style="position:absolute;width:18.75pt;height:8.75pt;z-index:-1;margin-left:182.25pt;margin-top:63pt;mso-wrap-distance-left:0pt;mso-wrap-distance-right:0pt">
            <v:fill opacity="1" o:opacity2="1" recolor="f" rotate="f" type="solid"/>
            <v:textbox inset="0pt, 0pt, 0pt, 0pt">
              <w:txbxContent>
                <w:p>
                  <w:pPr>
                    <w:numPr>
                      <w:ilvl w:val="0"/>
                      <w:numId w:val="1132"/>
                    </w:numPr>
                    <w:tabs>
                      <w:tab w:val="clear" w:pos="288"/>
                      <w:tab w:val="left" w:pos="288"/>
                    </w:tabs>
                    <w:spacing w:before="9" w:after="0" w:line="156" w:lineRule="exact"/>
                    <w:ind w:right="0" w:left="0" w:firstLine="0"/>
                    <w:jc w:val="left"/>
                    <w:textAlignment w:val="baseline"/>
                    <w:rPr>
                      <w:rFonts w:ascii="Arial" w:hAnsi="Arial" w:eastAsia="Arial"/>
                      <w:b w:val="true"/>
                      <w:color w:val="000000"/>
                      <w:spacing w:val="0"/>
                      <w:w w:val="100"/>
                      <w:sz w:val="15"/>
                      <w:vertAlign w:val="baseline"/>
                      <w:lang w:val="en-US"/>
                    </w:rPr>
                  </w:pPr>
                  <w:r>
                    <w:rPr>
                      <w:rFonts w:ascii="Arial" w:hAnsi="Arial" w:eastAsia="Arial"/>
                      <w:b w:val="true"/>
                      <w:color w:val="000000"/>
                      <w:spacing w:val="0"/>
                      <w:w w:val="100"/>
                      <w:sz w:val="15"/>
                      <w:vertAlign w:val="baseline"/>
                      <w:lang w:val="en-US"/>
                    </w:rPr>
                    <w:t xml:space="preserve">
</w:t>
                  </w:r>
                </w:p>
              </w:txbxContent>
            </v:textbox>
          </v:shape>
        </w:pict>
      </w:r>
      <w:r>
        <w:pict>
          <v:shapetype id="_x0000_t86" coordsize="21600,21600" o:spt="202" path="m,l,21600r21600,l21600,xe">
            <v:stroke joinstyle="miter"/>
            <v:path gradientshapeok="t" o:connecttype="rect"/>
          </v:shapetype>
          <v:shape id="_x0000_s85" type="#_x0000_t86" filled="f" stroked="f" style="position:absolute;width:24.3pt;height:14.45pt;z-index:-1;margin-left:206pt;margin-top:102.55pt;mso-wrap-distance-left:0pt;mso-wrap-distance-right:0pt">
            <v:fill opacity="1" o:opacity2="1" recolor="f" rotate="f" type="solid"/>
            <v:textbox inset="0pt, 0pt, 0pt, 0pt">
              <w:txbxContent>
                <w:p>
                  <w:pPr>
                    <w:spacing w:before="0" w:after="0" w:line="140" w:lineRule="exact"/>
                    <w:ind w:right="0" w:left="0" w:firstLine="0"/>
                    <w:jc w:val="left"/>
                    <w:textAlignment w:val="baseline"/>
                    <w:rPr>
                      <w:rFonts w:ascii="Arial" w:hAnsi="Arial" w:eastAsia="Arial"/>
                      <w:color w:val="000000"/>
                      <w:spacing w:val="24"/>
                      <w:w w:val="100"/>
                      <w:sz w:val="12"/>
                      <w:vertAlign w:val="baseline"/>
                      <w:lang w:val="en-US"/>
                    </w:rPr>
                  </w:pPr>
                  <w:r>
                    <w:rPr>
                      <w:rFonts w:ascii="Arial" w:hAnsi="Arial" w:eastAsia="Arial"/>
                      <w:color w:val="000000"/>
                      <w:spacing w:val="24"/>
                      <w:w w:val="100"/>
                      <w:sz w:val="12"/>
                      <w:vertAlign w:val="baseline"/>
                      <w:lang w:val="en-US"/>
                    </w:rPr>
                    <w:t xml:space="preserve">Class Label</w:t>
                  </w:r>
                </w:p>
              </w:txbxContent>
            </v:textbox>
          </v:shape>
        </w:pict>
      </w:r>
      <w:r>
        <w:pict>
          <v:shapetype id="_x0000_t87" coordsize="21600,21600" o:spt="202" path="m,l,21600r21600,l21600,xe">
            <v:stroke joinstyle="miter"/>
            <v:path gradientshapeok="t" o:connecttype="rect"/>
          </v:shapetype>
          <v:shape id="_x0000_s86" type="#_x0000_t87" filled="f" stroked="f" style="position:absolute;width:37.25pt;height:14.7pt;z-index:-1;margin-left:206pt;margin-top:125.35pt;mso-wrap-distance-left:0pt;mso-wrap-distance-right:0pt">
            <v:fill opacity="1" o:opacity2="1" recolor="f" rotate="f" type="solid"/>
            <v:textbox inset="0pt, 0pt, 0pt, 0pt">
              <w:txbxContent>
                <w:p>
                  <w:pPr>
                    <w:spacing w:before="0" w:after="0" w:line="143" w:lineRule="exact"/>
                    <w:ind w:right="0" w:left="0" w:firstLine="0"/>
                    <w:jc w:val="left"/>
                    <w:textAlignment w:val="baseline"/>
                    <w:rPr>
                      <w:rFonts w:ascii="Arial" w:hAnsi="Arial" w:eastAsia="Arial"/>
                      <w:color w:val="000000"/>
                      <w:spacing w:val="0"/>
                      <w:w w:val="100"/>
                      <w:sz w:val="12"/>
                      <w:vertAlign w:val="baseline"/>
                      <w:lang w:val="en-US"/>
                    </w:rPr>
                  </w:pPr>
                  <w:r>
                    <w:rPr>
                      <w:rFonts w:ascii="Arial" w:hAnsi="Arial" w:eastAsia="Arial"/>
                      <w:color w:val="000000"/>
                      <w:spacing w:val="0"/>
                      <w:w w:val="100"/>
                      <w:sz w:val="12"/>
                      <w:vertAlign w:val="baseline"/>
                      <w:lang w:val="en-US"/>
                    </w:rPr>
                    <w:t xml:space="preserve">Subsidiary Risk Label</w:t>
                  </w:r>
                </w:p>
              </w:txbxContent>
            </v:textbox>
          </v:shape>
        </w:pict>
      </w:r>
      <w:r>
        <w:pict>
          <v:shapetype id="_x0000_t88" coordsize="21600,21600" o:spt="202" path="m,l,21600r21600,l21600,xe">
            <v:stroke joinstyle="miter"/>
            <v:path gradientshapeok="t" o:connecttype="rect"/>
          </v:shapetype>
          <v:shape id="_x0000_s87" type="#_x0000_t88" filled="f" stroked="f" style="position:absolute;width:28.4pt;height:5.75pt;z-index:-1;margin-left:217.5pt;margin-top:30.45pt;mso-wrap-distance-left:0pt;mso-wrap-distance-right:0pt">
            <v:fill opacity="1" o:opacity2="1" recolor="f" rotate="f" type="solid"/>
            <v:textbox inset="0pt, 0pt, 0pt, 0pt">
              <w:txbxContent>
                <w:p>
                  <w:pPr>
                    <w:spacing w:before="0" w:after="0" w:line="110" w:lineRule="exact"/>
                    <w:ind w:right="0" w:left="0" w:firstLine="0"/>
                    <w:jc w:val="left"/>
                    <w:textAlignment w:val="baseline"/>
                    <w:rPr>
                      <w:rFonts w:ascii="Arial" w:hAnsi="Arial" w:eastAsia="Arial"/>
                      <w:color w:val="000000"/>
                      <w:spacing w:val="20"/>
                      <w:w w:val="100"/>
                      <w:sz w:val="10"/>
                      <w:vertAlign w:val="baseline"/>
                      <w:lang w:val="en-US"/>
                    </w:rPr>
                  </w:pPr>
                  <w:r>
                    <w:rPr>
                      <w:rFonts w:ascii="Arial" w:hAnsi="Arial" w:eastAsia="Arial"/>
                      <w:color w:val="000000"/>
                      <w:spacing w:val="20"/>
                      <w:w w:val="100"/>
                      <w:sz w:val="10"/>
                      <w:vertAlign w:val="baseline"/>
                      <w:lang w:val="en-US"/>
                    </w:rPr>
                    <w:t xml:space="preserve">200 mm</w:t>
                  </w:r>
                </w:p>
              </w:txbxContent>
            </v:textbox>
          </v:shape>
        </w:pict>
      </w:r>
      <w:r>
        <w:pict>
          <v:shapetype id="_x0000_t89" coordsize="21600,21600" o:spt="202" path="m,l,21600r21600,l21600,xe">
            <v:stroke joinstyle="miter"/>
            <v:path gradientshapeok="t" o:connecttype="rect"/>
          </v:shapetype>
          <v:shape id="_x0000_s88" type="#_x0000_t89" filled="f" stroked="f" style="position:absolute;width:28.1pt;height:5.75pt;z-index:-1;margin-left:301.3pt;margin-top:37.9pt;mso-wrap-distance-left:0pt;mso-wrap-distance-right:0pt">
            <v:fill opacity="1" o:opacity2="1" recolor="f" rotate="f" type="solid"/>
            <v:textbox inset="0pt, 0pt, 0pt, 0pt">
              <w:txbxContent>
                <w:p>
                  <w:pPr>
                    <w:spacing w:before="0" w:after="0" w:line="105" w:lineRule="exact"/>
                    <w:ind w:right="0" w:left="0" w:firstLine="0"/>
                    <w:jc w:val="left"/>
                    <w:textAlignment w:val="baseline"/>
                    <w:rPr>
                      <w:rFonts w:ascii="Arial" w:hAnsi="Arial" w:eastAsia="Arial"/>
                      <w:color w:val="000000"/>
                      <w:spacing w:val="19"/>
                      <w:w w:val="100"/>
                      <w:sz w:val="10"/>
                      <w:vertAlign w:val="baseline"/>
                      <w:lang w:val="en-US"/>
                    </w:rPr>
                  </w:pPr>
                  <w:r>
                    <w:rPr>
                      <w:rFonts w:ascii="Arial" w:hAnsi="Arial" w:eastAsia="Arial"/>
                      <w:color w:val="000000"/>
                      <w:spacing w:val="19"/>
                      <w:w w:val="100"/>
                      <w:sz w:val="10"/>
                      <w:vertAlign w:val="baseline"/>
                      <w:lang w:val="en-US"/>
                    </w:rPr>
                    <w:t xml:space="preserve">250 mm</w:t>
                  </w:r>
                </w:p>
              </w:txbxContent>
            </v:textbox>
          </v:shape>
        </w:pict>
      </w:r>
      <w:r>
        <w:pict>
          <v:shapetype id="_x0000_t90" coordsize="21600,21600" o:spt="202" path="m,l,21600r21600,l21600,xe">
            <v:stroke joinstyle="miter"/>
            <v:path gradientshapeok="t" o:connecttype="rect"/>
          </v:shapetype>
          <v:shape id="_x0000_s89" type="#_x0000_t90" filled="f" stroked="f" style="position:absolute;width:27.65pt;height:5.75pt;z-index:-1;margin-left:318.55pt;margin-top:125.5pt;mso-wrap-distance-left:0pt;mso-wrap-distance-right:0pt">
            <v:fill opacity="1" o:opacity2="1" recolor="f" rotate="f" type="solid"/>
            <v:textbox inset="0pt, 0pt, 0pt, 0pt">
              <w:txbxContent>
                <w:p>
                  <w:pPr>
                    <w:spacing w:before="0" w:after="0" w:line="110" w:lineRule="exact"/>
                    <w:ind w:right="0" w:left="0" w:firstLine="0"/>
                    <w:jc w:val="left"/>
                    <w:textAlignment w:val="baseline"/>
                    <w:rPr>
                      <w:rFonts w:ascii="Arial" w:hAnsi="Arial" w:eastAsia="Arial"/>
                      <w:color w:val="000000"/>
                      <w:spacing w:val="0"/>
                      <w:w w:val="100"/>
                      <w:sz w:val="10"/>
                      <w:vertAlign w:val="baseline"/>
                      <w:lang w:val="en-US"/>
                    </w:rPr>
                  </w:pPr>
                  <w:r>
                    <w:rPr>
                      <w:rFonts w:ascii="Arial" w:hAnsi="Arial" w:eastAsia="Arial"/>
                      <w:color w:val="000000"/>
                      <w:spacing w:val="0"/>
                      <w:w w:val="100"/>
                      <w:sz w:val="10"/>
                      <w:vertAlign w:val="baseline"/>
                      <w:lang w:val="en-US"/>
                    </w:rPr>
                    <w:t xml:space="preserve">150 mm</w:t>
                  </w:r>
                </w:p>
              </w:txbxContent>
            </v:textbox>
          </v:shape>
        </w:pict>
      </w:r>
    </w:p>
    <w:p>
      <w:pPr>
        <w:spacing w:before="0" w:after="0" w:line="231" w:lineRule="exact"/>
        <w:ind w:right="0" w:left="0" w:firstLine="0"/>
        <w:jc w:val="center"/>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Figure 13.2 Template for a placard for a hazardous chemical</w:t>
        <w:br/>
      </w:r>
      <w:r>
        <w:rPr>
          <w:rFonts w:ascii="Times New Roman" w:hAnsi="Times New Roman" w:eastAsia="Times New Roman"/>
          <w:b w:val="true"/>
          <w:color w:val="000000"/>
          <w:spacing w:val="0"/>
          <w:w w:val="100"/>
          <w:sz w:val="20"/>
          <w:vertAlign w:val="baseline"/>
          <w:lang w:val="en-US"/>
        </w:rPr>
        <w:t xml:space="preserve">stored in bulk</w:t>
      </w:r>
    </w:p>
    <w:p>
      <w:pPr>
        <w:spacing w:before="117" w:after="725" w:line="276" w:lineRule="exact"/>
        <w:ind w:right="72" w:left="1368"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(4) For subclause (3)(a) to (c), the numerals and letters used for showing the proper shipping name, UN number and Hazchem Code must be:</w:t>
      </w:r>
    </w:p>
    <w:p>
      <w:pPr>
        <w:tabs>
          <w:tab w:val="left" w:leader="none" w:pos="3888"/>
        </w:tabs>
        <w:spacing w:before="609"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474</w:t>
      </w:r>
    </w:p>
    <w:p>
      <w:pPr>
        <w:sectPr>
          <w:type w:val="nextPage"/>
          <w:pgSz w:w="11909" w:h="16838" w:orient="portrait"/>
          <w:pgMar w:bottom="1082" w:top="1140" w:right="1940" w:left="1949" w:header="720" w:footer="720"/>
          <w:titlePg w:val="false"/>
          <w:textDirection w:val="lrTb"/>
        </w:sectPr>
      </w:pPr>
    </w:p>
    <w:p>
      <w:pPr>
        <w:spacing w:before="0" w:after="225" w:line="34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</w:t>
        <w:br/>
      </w:r>
      <w:r>
        <w:rPr>
          <w:rFonts w:ascii="Times New Roman" w:hAnsi="Times New Roman" w:eastAsia="Times New Roman"/>
          <w:color w:val="000000"/>
          <w:spacing w:val="0"/>
          <w:w w:val="100"/>
          <w:sz w:val="20"/>
          <w:vertAlign w:val="baseline"/>
          <w:lang w:val="en-US"/>
        </w:rPr>
        <w:t xml:space="preserve">Schedule 13 Placard requirements</w:t>
      </w:r>
    </w:p>
    <w:p>
      <w:pPr>
        <w:numPr>
          <w:ilvl w:val="0"/>
          <w:numId w:val="1133"/>
        </w:numPr>
        <w:tabs>
          <w:tab w:val="clear" w:pos="360"/>
          <w:tab w:val="left" w:pos="1872"/>
        </w:tabs>
        <w:spacing w:before="245" w:after="0" w:line="279"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black on a white background, unless a letter of the Hazchem Code is white on a black background; and</w:t>
      </w:r>
    </w:p>
    <w:p>
      <w:pPr>
        <w:numPr>
          <w:ilvl w:val="0"/>
          <w:numId w:val="1133"/>
        </w:numPr>
        <w:tabs>
          <w:tab w:val="clear" w:pos="360"/>
          <w:tab w:val="left" w:pos="1872"/>
        </w:tabs>
        <w:spacing w:before="114" w:after="0" w:line="279"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proper shipping name requires a single line only—at least 100mm high; and</w:t>
      </w:r>
    </w:p>
    <w:p>
      <w:pPr>
        <w:numPr>
          <w:ilvl w:val="0"/>
          <w:numId w:val="1133"/>
        </w:numPr>
        <w:tabs>
          <w:tab w:val="clear" w:pos="360"/>
          <w:tab w:val="left" w:pos="1872"/>
        </w:tabs>
        <w:spacing w:before="114" w:after="0" w:line="279" w:lineRule="exact"/>
        <w:ind w:right="288"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proper shipping name requires 2 lines—at least 50mm high.</w:t>
      </w:r>
    </w:p>
    <w:p>
      <w:pPr>
        <w:spacing w:before="120"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For subclause (3)(d):</w:t>
      </w:r>
    </w:p>
    <w:p>
      <w:pPr>
        <w:spacing w:before="123" w:after="0" w:line="276" w:lineRule="exact"/>
        <w:ind w:right="14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the class label and subsidiary risk label (if any) must have the form and colouring stated in the ADG Code for the hazardous chemical; and</w:t>
      </w:r>
    </w:p>
    <w:p>
      <w:pPr>
        <w:spacing w:before="120"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the class label must have:</w:t>
      </w:r>
    </w:p>
    <w:p>
      <w:pPr>
        <w:numPr>
          <w:ilvl w:val="0"/>
          <w:numId w:val="1134"/>
        </w:numPr>
        <w:tabs>
          <w:tab w:val="clear" w:pos="360"/>
          <w:tab w:val="left" w:pos="2376"/>
        </w:tabs>
        <w:spacing w:before="126" w:after="0" w:line="273" w:lineRule="exact"/>
        <w:ind w:right="50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there is a subsidiary risk label—sides not less than 200mm; or</w:t>
      </w:r>
    </w:p>
    <w:p>
      <w:pPr>
        <w:numPr>
          <w:ilvl w:val="0"/>
          <w:numId w:val="1134"/>
        </w:numPr>
        <w:tabs>
          <w:tab w:val="clear" w:pos="360"/>
          <w:tab w:val="left" w:pos="2376"/>
        </w:tabs>
        <w:spacing w:before="121" w:after="0" w:line="273"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any other case—sides of not less than 250mm; and</w:t>
      </w:r>
    </w:p>
    <w:p>
      <w:pPr>
        <w:spacing w:before="125"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if there is a subsidiary risk label—the subsidiary risk label</w:t>
      </w:r>
    </w:p>
    <w:p>
      <w:pPr>
        <w:spacing w:before="1" w:after="0"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must have sides of not less than 150mm; and</w:t>
      </w:r>
    </w:p>
    <w:p>
      <w:pPr>
        <w:spacing w:before="124" w:after="0" w:line="274"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if there are 2 or more subsidiary risk labels—the width of the right hand part of the placard may be extended.</w:t>
      </w:r>
    </w:p>
    <w:p>
      <w:pPr>
        <w:spacing w:before="124" w:after="0" w:line="274" w:lineRule="exact"/>
        <w:ind w:right="1152"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5 Placards for unstable explosives, organic peroxides type A or self-reactive substances type A stored in bulk</w:t>
      </w:r>
    </w:p>
    <w:p>
      <w:pPr>
        <w:spacing w:before="124" w:after="0"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clause applies if a person conducting a business or undertaking at a workplace must display a placard at the workplace in relation to unstable explosives, organic peroxides type A or self-reactive substances type A that are stored in bulk.</w:t>
      </w:r>
    </w:p>
    <w:p>
      <w:pPr>
        <w:spacing w:before="125"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placard must:</w:t>
      </w:r>
    </w:p>
    <w:p>
      <w:pPr>
        <w:numPr>
          <w:ilvl w:val="0"/>
          <w:numId w:val="1135"/>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comply with the form in figure 13.2; and</w:t>
      </w:r>
    </w:p>
    <w:p>
      <w:pPr>
        <w:numPr>
          <w:ilvl w:val="0"/>
          <w:numId w:val="1135"/>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have dimensions not less than those shown in figure 13.2.</w:t>
      </w:r>
    </w:p>
    <w:p>
      <w:pPr>
        <w:spacing w:before="116" w:after="0" w:line="278" w:lineRule="exact"/>
        <w:ind w:right="14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placard must include the following, as indicated in figure 13.2, for the hazardous chemical:</w:t>
      </w:r>
    </w:p>
    <w:p>
      <w:pPr>
        <w:numPr>
          <w:ilvl w:val="0"/>
          <w:numId w:val="1136"/>
        </w:numPr>
        <w:tabs>
          <w:tab w:val="clear" w:pos="360"/>
          <w:tab w:val="left" w:pos="1872"/>
        </w:tabs>
        <w:spacing w:before="116" w:after="0" w:line="278" w:lineRule="exact"/>
        <w:ind w:right="79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space (p)—the name stated in the ADG Code for the hazardous chemical;</w:t>
      </w:r>
    </w:p>
    <w:p>
      <w:pPr>
        <w:numPr>
          <w:ilvl w:val="0"/>
          <w:numId w:val="1136"/>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space (q)—the space left blank;</w:t>
      </w:r>
    </w:p>
    <w:p>
      <w:pPr>
        <w:numPr>
          <w:ilvl w:val="0"/>
          <w:numId w:val="1136"/>
        </w:numPr>
        <w:tabs>
          <w:tab w:val="clear" w:pos="360"/>
          <w:tab w:val="left" w:pos="1872"/>
        </w:tabs>
        <w:spacing w:before="125"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space (r)—the space left blank;</w:t>
      </w:r>
    </w:p>
    <w:p>
      <w:pPr>
        <w:numPr>
          <w:ilvl w:val="0"/>
          <w:numId w:val="1136"/>
        </w:numPr>
        <w:tabs>
          <w:tab w:val="clear" w:pos="360"/>
          <w:tab w:val="left" w:pos="1872"/>
        </w:tabs>
        <w:spacing w:before="121" w:after="1166"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 space (s)—the label in figure 13.3.</w:t>
      </w:r>
    </w:p>
    <w:p>
      <w:pPr>
        <w:spacing w:before="121" w:after="1166"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475</w:t>
      </w:r>
    </w:p>
    <w:p>
      <w:pPr>
        <w:sectPr>
          <w:type w:val="continuous"/>
          <w:pgSz w:w="11909" w:h="16838" w:orient="portrait"/>
          <w:pgMar w:bottom="1082" w:top="1140" w:right="5811" w:left="1978" w:header="720" w:footer="720"/>
          <w:titlePg w:val="false"/>
          <w:textDirection w:val="lrTb"/>
        </w:sectPr>
      </w:pPr>
    </w:p>
    <w:p>
      <w:pPr>
        <w:spacing w:before="0" w:after="225" w:line="34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</w:t>
        <w:br/>
      </w:r>
      <w:r>
        <w:rPr>
          <w:rFonts w:ascii="Times New Roman" w:hAnsi="Times New Roman" w:eastAsia="Times New Roman"/>
          <w:color w:val="000000"/>
          <w:spacing w:val="0"/>
          <w:w w:val="100"/>
          <w:sz w:val="20"/>
          <w:vertAlign w:val="baseline"/>
          <w:lang w:val="en-US"/>
        </w:rPr>
        <w:t xml:space="preserve">Schedule 13 Placard requirements</w:t>
      </w:r>
    </w:p>
    <w:p>
      <w:pPr>
        <w:spacing w:before="4" w:after="0" w:line="227" w:lineRule="exact"/>
        <w:ind w:right="0" w:left="0" w:firstLine="0"/>
        <w:jc w:val="center"/>
        <w:textAlignment w:val="baseline"/>
        <w:rPr>
          <w:rFonts w:ascii="Times New Roman" w:hAnsi="Times New Roman" w:eastAsia="Times New Roman"/>
          <w:b w:val="true"/>
          <w:color w:val="000000"/>
          <w:spacing w:val="0"/>
          <w:w w:val="100"/>
          <w:sz w:val="20"/>
          <w:vertAlign w:val="baseline"/>
          <w:lang w:val="en-US"/>
        </w:rPr>
      </w:pPr>
      <w:r>
        <w:pict>
          <v:shapetype id="_x0000_t91" coordsize="21600,21600" o:spt="202" path="m,l,21600r21600,l21600,xe">
            <v:stroke joinstyle="miter"/>
            <v:path gradientshapeok="t" o:connecttype="rect"/>
          </v:shapetype>
          <v:shape id="_x0000_s90" type="#_x0000_t91" filled="f" stroked="f" style="position:absolute;width:401pt;height:254.2pt;z-index:-999;margin-left:97.45pt;margin-top:103.6pt;mso-wrap-distance-left:0pt;mso-wrap-distance-right:0pt;mso-position-horizontal-relative:page;mso-position-vertical-relative:page">
            <w10:wrap type="square"/>
            <v:fill opacity="1" o:opacity2="1" recolor="f" rotate="f" type="solid"/>
            <v:textbox inset="0pt, 0pt, 0pt, 0pt">
              <w:txbxContent/>
            </v:textbox>
          </v:shape>
        </w:pict>
      </w:r>
      <w:r>
        <w:pict>
          <v:shapetype id="_x0000_t92" coordsize="21600,21600" o:spt="202" path="m,l,21600r21600,l21600,xe">
            <v:stroke joinstyle="miter"/>
            <v:path gradientshapeok="t" o:connecttype="rect"/>
          </v:shapetype>
          <v:shape id="_x0000_s91" type="#_x0000_t92" filled="f" stroked="f" style="position:absolute;width:400.55pt;height:237.9pt;z-index:-999;margin-left:97.45pt;margin-top:103.6pt;mso-wrap-distance-left:0pt;mso-wrap-distance-right:0pt;mso-position-horizontal-relative:page;mso-position-vertical-relative:page">
            <v:fill opacity="1" o:opacity2="1" recolor="f" rotate="f" type="solid"/>
            <v:textbox inset="0pt, 0pt, 0pt, 0pt">
              <w:txbxContent>
                <w:p>
                  <w:pPr>
                    <w:spacing w:before="0" w:after="0" w:line="240" w:lineRule="auto"/>
                    <w:ind w:right="0" w:left="9"/>
                    <w:jc w:val="left"/>
                    <w:textAlignment w:val="baseline"/>
                  </w:pPr>
                  <w:r>
                    <w:drawing>
                      <wp:inline>
                        <wp:extent cx="5081270" cy="3021330"/>
                        <wp:docPr name="Picture" id="3"/>
                        <a:graphic>
                          <a:graphicData uri="http://schemas.openxmlformats.org/drawingml/2006/picture">
                            <pic:pic>
                              <pic:nvPicPr>
                                <pic:cNvPr id="3" name="Picture"/>
                                <pic:cNvPicPr preferRelativeResize="false"/>
                              </pic:nvPicPr>
                              <pic:blipFill>
                                <a:blip r:embed="prId3"/>
                                <a:stretch>
                                  <a:fillRect/>
                                </a:stretch>
                              </pic:blipFill>
                              <pic:spPr>
                                <a:xfrm>
                                  <a:off x="0" y="0"/>
                                  <a:ext cx="5081270" cy="3021330"/>
                                </a:xfrm>
                                <a:prstGeom prst="rect"/>
                              </pic:spPr>
                            </pic:pic>
                          </a:graphicData>
                        </a:graphic>
                      </wp:inline>
                    </w:drawing>
                  </w:r>
                </w:p>
              </w:txbxContent>
            </v:textbox>
          </v:shape>
        </w:pict>
      </w:r>
      <w:r>
        <w:pict>
          <v:shapetype id="_x0000_t93" coordsize="21600,21600" o:spt="202" path="m,l,21600r21600,l21600,xe">
            <v:stroke joinstyle="miter"/>
            <v:path gradientshapeok="t" o:connecttype="rect"/>
          </v:shapetype>
          <v:shape id="_x0000_s92" type="#_x0000_t93" filled="f" stroked="f" style="position:absolute;width:105.35pt;height:15.9pt;z-index:-1;margin-left:262.1pt;margin-top:126.15pt;mso-wrap-distance-left:0pt;mso-wrap-distance-right:0pt;mso-position-horizontal-relative:page;mso-position-vertical-relative:page">
            <w10:wrap type="square" side="both"/>
            <v:fill opacity="1" o:opacity2="1" recolor="f" rotate="f" type="solid"/>
            <v:textbox inset="0pt, 0pt, 0pt, 0pt">
              <w:txbxContent>
                <w:p>
                  <w:pPr>
                    <w:numPr>
                      <w:ilvl w:val="0"/>
                      <w:numId w:val="1137"/>
                    </w:numPr>
                    <w:tabs>
                      <w:tab w:val="clear" w:pos="216"/>
                      <w:tab w:val="left" w:pos="216"/>
                    </w:tabs>
                    <w:spacing w:before="2" w:after="0" w:line="155" w:lineRule="exact"/>
                    <w:ind w:right="0" w:left="216" w:hanging="216"/>
                    <w:jc w:val="left"/>
                    <w:textAlignment w:val="baseline"/>
                    <w:rPr>
                      <w:rFonts w:ascii="Arial" w:hAnsi="Arial" w:eastAsia="Arial"/>
                      <w:color w:val="000000"/>
                      <w:spacing w:val="-3"/>
                      <w:w w:val="100"/>
                      <w:sz w:val="14"/>
                      <w:vertAlign w:val="baseline"/>
                      <w:lang w:val="en-US"/>
                    </w:rPr>
                  </w:pPr>
                  <w:r>
                    <w:rPr>
                      <w:rFonts w:ascii="Arial" w:hAnsi="Arial" w:eastAsia="Arial"/>
                      <w:color w:val="000000"/>
                      <w:spacing w:val="-3"/>
                      <w:w w:val="100"/>
                      <w:sz w:val="14"/>
                      <w:vertAlign w:val="baseline"/>
                      <w:lang w:val="en-US"/>
                    </w:rPr>
                    <w:t xml:space="preserve">250mm when used in a placard for hazardous chemicals in bulk</w:t>
                  </w:r>
                </w:p>
              </w:txbxContent>
            </v:textbox>
          </v:shape>
        </w:pict>
      </w:r>
      <w:r>
        <w:pict>
          <v:shapetype id="_x0000_t94" coordsize="21600,21600" o:spt="202" path="m,l,21600r21600,l21600,xe">
            <v:stroke joinstyle="miter"/>
            <v:path gradientshapeok="t" o:connecttype="rect"/>
          </v:shapetype>
          <v:shape id="_x0000_s93" type="#_x0000_t94" filled="f" stroked="f" style="position:absolute;width:110.65pt;height:23.6pt;z-index:-1;margin-left:261.85pt;margin-top:145.1pt;mso-wrap-distance-left:0pt;mso-wrap-distance-right:0pt;mso-position-horizontal-relative:page;mso-position-vertical-relative:page">
            <w10:wrap type="square" side="both"/>
            <v:fill opacity="1" o:opacity2="1" recolor="f" rotate="f" type="solid"/>
            <v:textbox inset="0pt, 0pt, 0pt, 0pt">
              <w:txbxContent>
                <w:p>
                  <w:pPr>
                    <w:numPr>
                      <w:ilvl w:val="0"/>
                      <w:numId w:val="1137"/>
                    </w:numPr>
                    <w:tabs>
                      <w:tab w:val="clear" w:pos="216"/>
                      <w:tab w:val="left" w:pos="216"/>
                    </w:tabs>
                    <w:spacing w:before="4" w:after="0" w:line="154" w:lineRule="exact"/>
                    <w:ind w:right="0" w:left="216" w:hanging="216"/>
                    <w:jc w:val="left"/>
                    <w:textAlignment w:val="baseline"/>
                    <w:rPr>
                      <w:rFonts w:ascii="Arial" w:hAnsi="Arial" w:eastAsia="Arial"/>
                      <w:color w:val="000000"/>
                      <w:spacing w:val="-4"/>
                      <w:w w:val="100"/>
                      <w:sz w:val="14"/>
                      <w:vertAlign w:val="baseline"/>
                      <w:lang w:val="en-US"/>
                    </w:rPr>
                  </w:pPr>
                  <w:r>
                    <w:rPr>
                      <w:rFonts w:ascii="Arial" w:hAnsi="Arial" w:eastAsia="Arial"/>
                      <w:color w:val="000000"/>
                      <w:spacing w:val="-4"/>
                      <w:w w:val="100"/>
                      <w:sz w:val="14"/>
                      <w:vertAlign w:val="baseline"/>
                      <w:lang w:val="en-US"/>
                    </w:rPr>
                    <w:t xml:space="preserve">100mm minimum when used in a placard for packaged hazardous chemicals</w:t>
                  </w:r>
                </w:p>
              </w:txbxContent>
            </v:textbox>
          </v:shape>
        </w:pict>
      </w:r>
      <w:r>
        <w:pict>
          <v:shapetype id="_x0000_t95" coordsize="21600,21600" o:spt="202" path="m,l,21600r21600,l21600,xe">
            <v:stroke joinstyle="miter"/>
            <v:path gradientshapeok="t" o:connecttype="rect"/>
          </v:shapetype>
          <v:shape id="_x0000_s94" type="#_x0000_t95" filled="f" stroked="f" style="position:absolute;width:48.45pt;height:20.7pt;z-index:-1;margin-left:179.3pt;margin-top:231.6pt;mso-wrap-distance-left:0pt;mso-wrap-distance-right:0pt;mso-position-horizontal-relative:page;mso-position-vertical-relative:page">
            <w10:wrap type="square" side="both"/>
            <v:fill opacity="1" o:opacity2="1" recolor="f" rotate="f" type="solid"/>
            <v:textbox inset="0pt, 0pt, 0pt, 0pt">
              <w:txbxContent>
                <w:p>
                  <w:pPr>
                    <w:spacing w:before="0" w:after="0" w:line="204" w:lineRule="exact"/>
                    <w:ind w:right="0" w:left="144" w:hanging="144"/>
                    <w:jc w:val="left"/>
                    <w:textAlignment w:val="baseline"/>
                    <w:rPr>
                      <w:rFonts w:ascii="Arial" w:hAnsi="Arial" w:eastAsia="Arial"/>
                      <w:b w:val="true"/>
                      <w:color w:val="000000"/>
                      <w:spacing w:val="-8"/>
                      <w:w w:val="100"/>
                      <w:sz w:val="18"/>
                      <w:vertAlign w:val="baseline"/>
                      <w:lang w:val="en-US"/>
                    </w:rPr>
                  </w:pPr>
                  <w:r>
                    <w:rPr>
                      <w:rFonts w:ascii="Arial" w:hAnsi="Arial" w:eastAsia="Arial"/>
                      <w:b w:val="true"/>
                      <w:color w:val="000000"/>
                      <w:spacing w:val="-8"/>
                      <w:w w:val="100"/>
                      <w:sz w:val="18"/>
                      <w:vertAlign w:val="baseline"/>
                      <w:lang w:val="en-US"/>
                    </w:rPr>
                    <w:t xml:space="preserve">UNST ABLE GOODS</w:t>
                  </w:r>
                </w:p>
              </w:txbxContent>
            </v:textbox>
          </v:shape>
        </w:pict>
      </w:r>
      <w:r>
        <w:pict>
          <v:shapetype id="_x0000_t96" coordsize="21600,21600" o:spt="202" path="m,l,21600r21600,l21600,xe">
            <v:stroke joinstyle="miter"/>
            <v:path gradientshapeok="t" o:connecttype="rect"/>
          </v:shapetype>
          <v:shape id="_x0000_s95" type="#_x0000_t96" filled="f" stroked="f" style="position:absolute;width:145.45pt;height:18.6pt;z-index:-1;margin-left:263.5pt;margin-top:287.4pt;mso-wrap-distance-left:0pt;mso-wrap-distance-right:0pt;mso-position-horizontal-relative:page;mso-position-vertical-relative:page">
            <w10:wrap type="square" side="both"/>
            <v:fill opacity="1" o:opacity2="1" recolor="f" rotate="f" type="solid"/>
            <v:textbox inset="0pt, 0pt, 0pt, 0pt">
              <w:txbxContent>
                <w:p>
                  <w:pPr>
                    <w:spacing w:before="0" w:after="1" w:line="185" w:lineRule="exact"/>
                    <w:ind w:right="0" w:left="0" w:firstLine="0"/>
                    <w:jc w:val="left"/>
                    <w:textAlignment w:val="baseline"/>
                    <w:rPr>
                      <w:rFonts w:ascii="Arial" w:hAnsi="Arial" w:eastAsia="Arial"/>
                      <w:color w:val="000000"/>
                      <w:spacing w:val="-4"/>
                      <w:w w:val="100"/>
                      <w:sz w:val="14"/>
                      <w:vertAlign w:val="baseline"/>
                      <w:lang w:val="en-US"/>
                    </w:rPr>
                  </w:pPr>
                  <w:r>
                    <w:rPr>
                      <w:rFonts w:ascii="Arial" w:hAnsi="Arial" w:eastAsia="Arial"/>
                      <w:color w:val="000000"/>
                      <w:spacing w:val="-4"/>
                      <w:w w:val="100"/>
                      <w:sz w:val="14"/>
                      <w:vertAlign w:val="baseline"/>
                      <w:lang w:val="en-US"/>
                    </w:rPr>
                    <w:t xml:space="preserve">Top half – canary to AS 2700S 1996 (Y11) Bottom half – signal red to AS 2700S 1996 (R13)</w:t>
                  </w:r>
                </w:p>
              </w:txbxContent>
            </v:textbox>
          </v:shape>
        </w:pict>
      </w:r>
      <w:r>
        <w:pict>
          <v:shapetype id="_x0000_t97" coordsize="21600,21600" o:spt="202" path="m,l,21600r21600,l21600,xe">
            <v:stroke joinstyle="miter"/>
            <v:path gradientshapeok="t" o:connecttype="rect"/>
          </v:shapetype>
          <v:shape id="_x0000_s96" type="#_x0000_t97" filled="f" stroked="f" style="position:absolute;width:82.3pt;height:22.35pt;z-index:-1;margin-left:164.4pt;margin-top:270.5pt;mso-wrap-distance-left:0pt;mso-wrap-distance-right:0pt;mso-position-horizontal-relative:page;mso-position-vertical-relative:page">
            <w10:wrap type="square" side="both"/>
            <v:fill opacity="1" o:opacity2="1" recolor="f" rotate="f" type="solid"/>
            <v:textbox inset="0pt, 0pt, 0pt, 0pt">
              <w:txbxContent>
                <w:p>
                  <w:pPr>
                    <w:spacing w:before="0" w:after="0" w:line="218" w:lineRule="exact"/>
                    <w:ind w:right="0" w:left="72" w:hanging="72"/>
                    <w:jc w:val="left"/>
                    <w:textAlignment w:val="baseline"/>
                    <w:rPr>
                      <w:rFonts w:ascii="Arial" w:hAnsi="Arial" w:eastAsia="Arial"/>
                      <w:b w:val="true"/>
                      <w:color w:val="000000"/>
                      <w:spacing w:val="-2"/>
                      <w:w w:val="100"/>
                      <w:sz w:val="18"/>
                      <w:vertAlign w:val="baseline"/>
                      <w:lang w:val="en-US"/>
                    </w:rPr>
                  </w:pPr>
                  <w:r>
                    <w:rPr>
                      <w:rFonts w:ascii="Arial" w:hAnsi="Arial" w:eastAsia="Arial"/>
                      <w:b w:val="true"/>
                      <w:color w:val="000000"/>
                      <w:spacing w:val="-2"/>
                      <w:w w:val="100"/>
                      <w:sz w:val="18"/>
                      <w:vertAlign w:val="baseline"/>
                      <w:lang w:val="en-US"/>
                    </w:rPr>
                    <w:t xml:space="preserve">TOO DANGEROU S TO TRANSPORT</w:t>
                  </w:r>
                </w:p>
              </w:txbxContent>
            </v:textbox>
          </v:shape>
        </w:pict>
      </w:r>
      <w:r>
        <w:rPr>
          <w:rFonts w:ascii="Times New Roman" w:hAnsi="Times New Roman" w:eastAsia="Times New Roman"/>
          <w:b w:val="true"/>
          <w:color w:val="000000"/>
          <w:spacing w:val="0"/>
          <w:w w:val="100"/>
          <w:sz w:val="20"/>
          <w:vertAlign w:val="baseline"/>
          <w:lang w:val="en-US"/>
        </w:rPr>
        <w:t xml:space="preserve">Figure 13.3 Label for unstable explosive, organic peroxide type A or self-reactive substance</w:t>
      </w:r>
    </w:p>
    <w:p>
      <w:pPr>
        <w:spacing w:before="4" w:after="0" w:line="227" w:lineRule="exact"/>
        <w:ind w:right="0" w:left="0" w:firstLine="0"/>
        <w:jc w:val="center"/>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type A</w:t>
      </w:r>
    </w:p>
    <w:p>
      <w:pPr>
        <w:spacing w:before="120"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For subclause (3)(a), the letters used for showing the name must be:</w:t>
      </w:r>
    </w:p>
    <w:p>
      <w:pPr>
        <w:numPr>
          <w:ilvl w:val="0"/>
          <w:numId w:val="1138"/>
        </w:numPr>
        <w:tabs>
          <w:tab w:val="clear" w:pos="360"/>
          <w:tab w:val="left" w:pos="1872"/>
        </w:tabs>
        <w:spacing w:before="120"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black on a white background; and</w:t>
      </w:r>
    </w:p>
    <w:p>
      <w:pPr>
        <w:numPr>
          <w:ilvl w:val="0"/>
          <w:numId w:val="1138"/>
        </w:numPr>
        <w:tabs>
          <w:tab w:val="clear" w:pos="360"/>
          <w:tab w:val="left" w:pos="1872"/>
        </w:tabs>
        <w:spacing w:before="126" w:after="0" w:line="273"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name requires a single line only—at least 100mm high; and</w:t>
      </w:r>
    </w:p>
    <w:p>
      <w:pPr>
        <w:numPr>
          <w:ilvl w:val="0"/>
          <w:numId w:val="1138"/>
        </w:numPr>
        <w:tabs>
          <w:tab w:val="clear" w:pos="360"/>
          <w:tab w:val="left" w:pos="1872"/>
        </w:tabs>
        <w:spacing w:before="121" w:after="0" w:line="273" w:lineRule="exact"/>
        <w:ind w:right="0"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name requires 2 lines—at least 50mm high.</w:t>
      </w:r>
    </w:p>
    <w:p>
      <w:pPr>
        <w:spacing w:before="124" w:after="0" w:line="274" w:lineRule="exact"/>
        <w:ind w:right="648"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 For subclause (3)(d), the label must have sides of not less than 250mm.</w:t>
      </w:r>
    </w:p>
    <w:p>
      <w:pPr>
        <w:spacing w:before="125" w:after="0" w:line="274" w:lineRule="exact"/>
        <w:ind w:right="432"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6 Placards for packaged Schedule 11 hazardous chemicals (other than flammable liquids category 4) and IBCs</w:t>
      </w:r>
    </w:p>
    <w:p>
      <w:pPr>
        <w:spacing w:before="121" w:after="0" w:line="276" w:lineRule="exact"/>
        <w:ind w:right="72"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clause applies if a person conducting a business or undertaking at a workplace must display a placard at the workplace in relation to the storage of:</w:t>
      </w:r>
    </w:p>
    <w:p>
      <w:pPr>
        <w:numPr>
          <w:ilvl w:val="0"/>
          <w:numId w:val="1139"/>
        </w:numPr>
        <w:tabs>
          <w:tab w:val="clear" w:pos="360"/>
          <w:tab w:val="left" w:pos="1872"/>
        </w:tabs>
        <w:spacing w:before="116" w:after="0" w:line="278" w:lineRule="exact"/>
        <w:ind w:right="79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packaged Schedule 11 hazardous chemicals (other than flammable liquids category 4); or</w:t>
      </w:r>
    </w:p>
    <w:p>
      <w:pPr>
        <w:numPr>
          <w:ilvl w:val="0"/>
          <w:numId w:val="1139"/>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Schedule 11 hazardous chemical in an IBC.</w:t>
      </w:r>
    </w:p>
    <w:p>
      <w:pPr>
        <w:spacing w:before="125"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The placard must:</w:t>
      </w:r>
    </w:p>
    <w:p>
      <w:pPr>
        <w:numPr>
          <w:ilvl w:val="0"/>
          <w:numId w:val="1140"/>
        </w:numPr>
        <w:tabs>
          <w:tab w:val="clear" w:pos="360"/>
          <w:tab w:val="left" w:pos="1872"/>
        </w:tabs>
        <w:spacing w:before="12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be in the form shown in figure 13.4; and</w:t>
      </w:r>
    </w:p>
    <w:p>
      <w:pPr>
        <w:numPr>
          <w:ilvl w:val="0"/>
          <w:numId w:val="1140"/>
        </w:numPr>
        <w:tabs>
          <w:tab w:val="clear" w:pos="360"/>
          <w:tab w:val="left" w:pos="1872"/>
        </w:tabs>
        <w:spacing w:before="124" w:after="854" w:line="274" w:lineRule="exact"/>
        <w:ind w:right="216" w:left="1872" w:hanging="360"/>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be of sufficient size to accommodate the labels to be included on the placard; and</w:t>
      </w:r>
    </w:p>
    <w:p>
      <w:pPr>
        <w:spacing w:before="124" w:after="854"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476</w:t>
      </w:r>
    </w:p>
    <w:p>
      <w:pPr>
        <w:sectPr>
          <w:type w:val="continuous"/>
          <w:pgSz w:w="11909" w:h="16838" w:orient="portrait"/>
          <w:pgMar w:bottom="1082" w:top="1140" w:right="5812" w:left="1977" w:header="720" w:footer="720"/>
          <w:titlePg w:val="false"/>
          <w:textDirection w:val="lrTb"/>
        </w:sectPr>
      </w:pPr>
    </w:p>
    <w:p>
      <w:pPr>
        <w:spacing w:before="0" w:after="225" w:line="34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</w:t>
        <w:br/>
      </w:r>
      <w:r>
        <w:rPr>
          <w:rFonts w:ascii="Times New Roman" w:hAnsi="Times New Roman" w:eastAsia="Times New Roman"/>
          <w:color w:val="000000"/>
          <w:spacing w:val="0"/>
          <w:w w:val="100"/>
          <w:sz w:val="20"/>
          <w:vertAlign w:val="baseline"/>
          <w:lang w:val="en-US"/>
        </w:rPr>
        <w:t xml:space="preserve">Schedule 13 Placard requirements</w:t>
      </w:r>
    </w:p>
    <w:p>
      <w:pPr>
        <w:numPr>
          <w:ilvl w:val="0"/>
          <w:numId w:val="1141"/>
        </w:numPr>
        <w:tabs>
          <w:tab w:val="clear" w:pos="360"/>
          <w:tab w:val="left" w:pos="1872"/>
        </w:tabs>
        <w:spacing w:before="251"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have a white or silver background; and</w:t>
      </w:r>
    </w:p>
    <w:p>
      <w:pPr>
        <w:numPr>
          <w:ilvl w:val="0"/>
          <w:numId w:val="1141"/>
        </w:numPr>
        <w:tabs>
          <w:tab w:val="clear" w:pos="360"/>
          <w:tab w:val="left" w:pos="1872"/>
        </w:tabs>
        <w:spacing w:before="126" w:after="0" w:line="273" w:lineRule="exact"/>
        <w:ind w:right="0"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include each required class label:</w:t>
      </w:r>
    </w:p>
    <w:p>
      <w:pPr>
        <w:numPr>
          <w:ilvl w:val="0"/>
          <w:numId w:val="1142"/>
        </w:numPr>
        <w:tabs>
          <w:tab w:val="clear" w:pos="360"/>
          <w:tab w:val="left" w:pos="2376"/>
        </w:tabs>
        <w:spacing w:before="114" w:after="0" w:line="279" w:lineRule="exact"/>
        <w:ind w:right="72"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the form and colouring stated in the ADG Code for the hazardous chemical; and</w:t>
      </w:r>
    </w:p>
    <w:p>
      <w:pPr>
        <w:numPr>
          <w:ilvl w:val="0"/>
          <w:numId w:val="1142"/>
        </w:numPr>
        <w:tabs>
          <w:tab w:val="clear" w:pos="360"/>
          <w:tab w:val="left" w:pos="2376"/>
        </w:tabs>
        <w:spacing w:before="120" w:after="0" w:line="273" w:lineRule="exact"/>
        <w:ind w:right="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with sides not less than 100mm.</w:t>
      </w:r>
    </w:p>
    <w:p>
      <w:pPr>
        <w:spacing w:before="126"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 The placard must include the following:</w:t>
      </w:r>
    </w:p>
    <w:p>
      <w:pPr>
        <w:numPr>
          <w:ilvl w:val="0"/>
          <w:numId w:val="1143"/>
        </w:numPr>
        <w:tabs>
          <w:tab w:val="clear" w:pos="360"/>
          <w:tab w:val="left" w:pos="1872"/>
        </w:tabs>
        <w:spacing w:before="117" w:after="0" w:line="276"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a Schedule 11 hazardous chemical (other than unstable explosive, organic peroxide type A, self-reactive substance type A) present in a storage area at the workplace—the class label as stated in the ADG Code for each category of hazardous chemicals present in at least the placard quantity; or</w:t>
      </w:r>
    </w:p>
    <w:p>
      <w:pPr>
        <w:numPr>
          <w:ilvl w:val="0"/>
          <w:numId w:val="1143"/>
        </w:numPr>
        <w:tabs>
          <w:tab w:val="clear" w:pos="360"/>
          <w:tab w:val="left" w:pos="1872"/>
        </w:tabs>
        <w:spacing w:before="127" w:after="0" w:line="273" w:lineRule="exact"/>
        <w:ind w:right="7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a flammable liquid category 4 stored with flammable liquids in a storage area at the workplace—a class 3 class label as stated in the ADG Code; or</w:t>
      </w:r>
    </w:p>
    <w:p>
      <w:pPr>
        <w:numPr>
          <w:ilvl w:val="0"/>
          <w:numId w:val="1143"/>
        </w:numPr>
        <w:tabs>
          <w:tab w:val="clear" w:pos="360"/>
          <w:tab w:val="left" w:pos="1872"/>
        </w:tabs>
        <w:spacing w:before="124" w:after="187" w:line="274" w:lineRule="exact"/>
        <w:ind w:right="504"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for an unstable explosive, organic peroxide type A or self-reactive substance type A—the label in figure 13.3.</w:t>
      </w:r>
    </w:p>
    <w:p>
      <w:pPr>
        <w:spacing w:before="4" w:after="0" w:line="228" w:lineRule="exact"/>
        <w:ind w:right="0" w:left="0" w:firstLine="0"/>
        <w:jc w:val="center"/>
        <w:textAlignment w:val="baseline"/>
        <w:rPr>
          <w:rFonts w:ascii="Times New Roman" w:hAnsi="Times New Roman" w:eastAsia="Times New Roman"/>
          <w:b w:val="true"/>
          <w:color w:val="000000"/>
          <w:spacing w:val="2"/>
          <w:w w:val="100"/>
          <w:sz w:val="20"/>
          <w:vertAlign w:val="baseline"/>
          <w:lang w:val="en-US"/>
        </w:rPr>
      </w:pPr>
      <w:r>
        <w:pict>
          <v:shapetype id="_x0000_t98" coordsize="21600,21600" o:spt="202" path="m,l,21600r21600,l21600,xe">
            <v:stroke joinstyle="miter"/>
            <v:path gradientshapeok="t" o:connecttype="rect"/>
          </v:shapetype>
          <v:shape id="_x0000_s97" type="#_x0000_t98" filled="f" stroked="f" style="position:absolute;width:401pt;height:107.7pt;z-index:-999;margin-left:97.45pt;margin-top:388.1pt;mso-wrap-distance-left:0pt;mso-wrap-distance-right:0pt;mso-position-horizontal-relative:page;mso-position-vertical-relative:page">
            <w10:wrap type="square"/>
            <v:fill opacity="1" o:opacity2="1" recolor="f" rotate="f" type="solid"/>
            <v:textbox inset="0pt, 0pt, 0pt, 0pt">
              <w:txbxContent/>
            </v:textbox>
          </v:shape>
        </w:pict>
      </w:r>
      <w:r>
        <w:pict>
          <v:shapetype id="_x0000_t99" coordsize="21600,21600" o:spt="202" path="m,l,21600r21600,l21600,xe">
            <v:stroke joinstyle="miter"/>
            <v:path gradientshapeok="t" o:connecttype="rect"/>
          </v:shapetype>
          <v:shape id="_x0000_s98" type="#_x0000_t99" filled="f" stroked="f" style="position:absolute;width:217.9pt;height:96.95pt;z-index:-999;margin-left:188.65pt;margin-top:388.1pt;mso-wrap-distance-left:0pt;mso-wrap-distance-right:0pt;mso-position-horizontal-relative:page;mso-position-vertical-relative:page">
            <w10:wrap type="square" side="both"/>
            <v:fill opacity="1" o:opacity2="1" recolor="f" rotate="f" type="solid"/>
            <v:textbox inset="0pt, 0pt, 0pt, 0pt">
              <w:txbxContent>
                <w:p>
                  <w:pPr>
                    <w:spacing w:before="0" w:after="0" w:line="240" w:lineRule="auto"/>
                    <w:ind w:right="0" w:left="0"/>
                    <w:jc w:val="left"/>
                    <w:textAlignment w:val="baseline"/>
                  </w:pPr>
                  <w:r>
                    <w:drawing>
                      <wp:inline>
                        <wp:extent cx="2767330" cy="1231265"/>
                        <wp:docPr name="Picture" id="4"/>
                        <a:graphic>
                          <a:graphicData uri="http://schemas.openxmlformats.org/drawingml/2006/picture">
                            <pic:pic>
                              <pic:nvPicPr>
                                <pic:cNvPr id="4" name="Picture"/>
                                <pic:cNvPicPr preferRelativeResize="false"/>
                              </pic:nvPicPr>
                              <pic:blipFill>
                                <a:blip r:embed="prId4"/>
                                <a:stretch>
                                  <a:fillRect/>
                                </a:stretch>
                              </pic:blipFill>
                              <pic:spPr>
                                <a:xfrm>
                                  <a:off x="0" y="0"/>
                                  <a:ext cx="2767330" cy="1231265"/>
                                </a:xfrm>
                                <a:prstGeom prst="rect"/>
                              </pic:spPr>
                            </pic:pic>
                          </a:graphicData>
                        </a:graphic>
                      </wp:inline>
                    </w:drawing>
                  </w:r>
                </w:p>
              </w:txbxContent>
            </v:textbox>
          </v:shape>
        </w:pict>
      </w:r>
      <w:r>
        <w:pict>
          <v:shapetype id="_x0000_t100" coordsize="21600,21600" o:spt="202" path="m,l,21600r21600,l21600,xe">
            <v:stroke joinstyle="miter"/>
            <v:path gradientshapeok="t" o:connecttype="rect"/>
          </v:shapetype>
          <v:shape id="_x0000_s99" type="#_x0000_t100" filled="f" stroked="f" style="position:absolute;width:44.15pt;height:9.2pt;z-index:-1;margin-left:312.95pt;margin-top:399.8pt;mso-wrap-distance-left:0pt;mso-wrap-distance-right:0pt;mso-position-horizontal-relative:page;mso-position-vertical-relative:page">
            <w10:wrap type="square" side="both"/>
            <v:fill opacity="1" o:opacity2="1" recolor="f" rotate="f" type="solid"/>
            <v:textbox inset="0pt, 0pt, 0pt, 0pt">
              <w:txbxContent>
                <w:p>
                  <w:pPr>
                    <w:spacing w:before="1" w:after="0" w:line="182" w:lineRule="exact"/>
                    <w:ind w:right="0" w:left="0" w:firstLine="0"/>
                    <w:jc w:val="left"/>
                    <w:textAlignment w:val="baseline"/>
                    <w:rPr>
                      <w:rFonts w:ascii="Arial" w:hAnsi="Arial" w:eastAsia="Arial"/>
                      <w:color w:val="000000"/>
                      <w:spacing w:val="-10"/>
                      <w:w w:val="100"/>
                      <w:sz w:val="16"/>
                      <w:vertAlign w:val="baseline"/>
                      <w:lang w:val="en-US"/>
                    </w:rPr>
                  </w:pPr>
                  <w:r>
                    <w:rPr>
                      <w:rFonts w:ascii="Arial" w:hAnsi="Arial" w:eastAsia="Arial"/>
                      <w:color w:val="000000"/>
                      <w:spacing w:val="-10"/>
                      <w:w w:val="100"/>
                      <w:sz w:val="16"/>
                      <w:vertAlign w:val="baseline"/>
                      <w:lang w:val="en-US"/>
                    </w:rPr>
                    <w:t xml:space="preserve">100 mm min</w:t>
                  </w:r>
                </w:p>
              </w:txbxContent>
            </v:textbox>
          </v:shape>
        </w:pict>
      </w:r>
      <w:r>
        <w:rPr>
          <w:rFonts w:ascii="Times New Roman" w:hAnsi="Times New Roman" w:eastAsia="Times New Roman"/>
          <w:b w:val="true"/>
          <w:color w:val="000000"/>
          <w:spacing w:val="2"/>
          <w:w w:val="100"/>
          <w:sz w:val="20"/>
          <w:vertAlign w:val="baseline"/>
          <w:lang w:val="en-US"/>
        </w:rPr>
        <w:t xml:space="preserve">Figure 13.4 General form of placard for packaged Schedule 11 hazardous chemicals</w:t>
      </w:r>
    </w:p>
    <w:p>
      <w:pPr>
        <w:spacing w:before="116" w:after="0"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 If hazardous chemicals in an IBC at the workplace are Schedule 11 hazardous chemicals intended for transport, and not intended for use at the workplace:</w:t>
      </w:r>
    </w:p>
    <w:p>
      <w:pPr>
        <w:numPr>
          <w:ilvl w:val="0"/>
          <w:numId w:val="1144"/>
        </w:numPr>
        <w:tabs>
          <w:tab w:val="clear" w:pos="360"/>
          <w:tab w:val="left" w:pos="1872"/>
        </w:tabs>
        <w:spacing w:before="116" w:after="0" w:line="278" w:lineRule="exact"/>
        <w:ind w:right="288" w:left="1872"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IBC must display a placard in accordance with the ADG Code; and</w:t>
      </w:r>
    </w:p>
    <w:p>
      <w:pPr>
        <w:numPr>
          <w:ilvl w:val="0"/>
          <w:numId w:val="1144"/>
        </w:numPr>
        <w:tabs>
          <w:tab w:val="clear" w:pos="360"/>
          <w:tab w:val="left" w:pos="1872"/>
        </w:tabs>
        <w:spacing w:before="116" w:after="0" w:line="278" w:lineRule="exact"/>
        <w:ind w:right="50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storage area at the workplace must display a placard in accordance with this clause.</w:t>
      </w:r>
    </w:p>
    <w:p>
      <w:pPr>
        <w:spacing w:before="121"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7 Placards for flammable liquids category 4 packaged or in bulk</w:t>
      </w:r>
    </w:p>
    <w:p>
      <w:pPr>
        <w:spacing w:before="121" w:after="0" w:line="276" w:lineRule="exact"/>
        <w:ind w:right="72" w:left="1368"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This clause applies if a person conducting a business or undertaking at a workplace must display a placard at the workplace in relation to the storage of:</w:t>
      </w:r>
    </w:p>
    <w:p>
      <w:pPr>
        <w:spacing w:before="121" w:after="974" w:line="273"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a packaged flammable liquid category 4; or</w:t>
      </w:r>
    </w:p>
    <w:p>
      <w:pPr>
        <w:spacing w:before="121" w:after="974" w:line="273"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477</w:t>
      </w:r>
    </w:p>
    <w:p>
      <w:pPr>
        <w:sectPr>
          <w:type w:val="continuous"/>
          <w:pgSz w:w="11909" w:h="16838" w:orient="portrait"/>
          <w:pgMar w:bottom="1082" w:top="1140" w:right="5812" w:left="1977" w:header="720" w:footer="720"/>
          <w:titlePg w:val="false"/>
          <w:textDirection w:val="lrTb"/>
        </w:sectPr>
      </w:pPr>
    </w:p>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pict>
          <v:shapetype id="_x0000_t101" coordsize="21600,21600" o:spt="202" path="m,l,21600r21600,l21600,xe">
            <v:stroke joinstyle="miter"/>
            <v:path gradientshapeok="t" o:connecttype="rect"/>
          </v:shapetype>
          <v:shape id="_x0000_s100" type="#_x0000_t101" filled="f" stroked="f" style="position:absolute;width:401pt;height:58.75pt;z-index:-999;margin-left:97.45pt;margin-top:218.9pt;mso-wrap-distance-left:0pt;mso-wrap-distance-right:0pt;mso-position-horizontal-relative:page;mso-position-vertical-relative:page">
            <w10:wrap type="square"/>
            <v:fill opacity="1" o:opacity2="1" recolor="f" rotate="f" type="solid"/>
            <v:textbox inset="0pt, 0pt, 0pt, 0pt">
              <w:txbxContent/>
            </v:textbox>
          </v:shape>
        </w:pict>
      </w:r>
      <w:r>
        <w:pict>
          <v:shapetype id="_x0000_t102" coordsize="21600,21600" o:spt="202" path="m,l,21600r21600,l21600,xe">
            <v:stroke joinstyle="miter"/>
            <v:path gradientshapeok="t" o:connecttype="rect"/>
          </v:shapetype>
          <v:shape id="_x0000_s101" type="#_x0000_t102" filled="f" stroked="f" style="position:absolute;width:401pt;height:46.6pt;z-index:-1;margin-left:97.45pt;margin-top:57pt;mso-wrap-distance-left:0pt;mso-wrap-distance-right:0pt;mso-position-horizontal-relative:page;mso-position-vertical-relative:page">
            <w10:wrap type="square" side="both"/>
            <v:fill opacity="1" o:opacity2="1" recolor="f" rotate="f" type="solid"/>
            <v:textbox inset="0pt, 0pt, 0pt, 0pt">
              <w:txbxContent>
                <w:p>
                  <w:pPr>
                    <w:spacing w:before="0" w:after="225" w:line="34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</w:t>
                    <w:br/>
                  </w:r>
                  <w:r>
                    <w:rPr>
                      <w:rFonts w:ascii="Times New Roman" w:hAnsi="Times New Roman" w:eastAsia="Times New Roman"/>
                      <w:color w:val="000000"/>
                      <w:spacing w:val="0"/>
                      <w:w w:val="100"/>
                      <w:sz w:val="20"/>
                      <w:vertAlign w:val="baseline"/>
                      <w:lang w:val="en-US"/>
                    </w:rPr>
                    <w:t xml:space="preserve">Schedule 13 Placard requirements</w:t>
                  </w:r>
                </w:p>
              </w:txbxContent>
            </v:textbox>
          </v:shape>
        </w:pict>
      </w:r>
      <w:r>
        <w:pict>
          <v:shapetype id="_x0000_t103" coordsize="21600,21600" o:spt="202" path="m,l,21600r21600,l21600,xe">
            <v:stroke joinstyle="miter"/>
            <v:path gradientshapeok="t" o:connecttype="rect"/>
          </v:shapetype>
          <v:shape id="_x0000_s102" type="#_x0000_t103" filled="f" stroked="f" style="position:absolute;width:401pt;height:115.3pt;z-index:-1;margin-left:97.45pt;margin-top:103.6pt;mso-wrap-distance-left:0pt;mso-wrap-distance-right:0pt;mso-position-horizontal-relative:page;mso-position-vertical-relative:page">
            <w10:wrap type="square" side="both"/>
            <v:fill opacity="1" o:opacity2="1" recolor="f" rotate="f" type="solid"/>
            <v:textbox inset="0pt, 0pt, 0pt, 0pt">
              <w:txbxContent>
                <w:p>
                  <w:pPr>
                    <w:spacing w:before="131" w:after="0" w:line="396" w:lineRule="exact"/>
                    <w:ind w:right="0" w:left="1008" w:firstLine="504"/>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a flammable liquid category 4 in bulk.</w:t>
                    <w:br/>
                  </w:r>
                  <w:r>
                    <w:rPr>
                      <w:rFonts w:ascii="Times New Roman" w:hAnsi="Times New Roman" w:eastAsia="Times New Roman"/>
                      <w:color w:val="000000"/>
                      <w:spacing w:val="0"/>
                      <w:w w:val="100"/>
                      <w:sz w:val="24"/>
                      <w:vertAlign w:val="baseline"/>
                      <w:lang w:val="en-US"/>
                    </w:rPr>
                    <w:t xml:space="preserve">(2) The placard must:</w:t>
                  </w:r>
                </w:p>
                <w:p>
                  <w:pPr>
                    <w:numPr>
                      <w:ilvl w:val="0"/>
                      <w:numId w:val="1145"/>
                    </w:numPr>
                    <w:tabs>
                      <w:tab w:val="clear" w:pos="360"/>
                      <w:tab w:val="left" w:pos="1872"/>
                    </w:tabs>
                    <w:spacing w:before="120"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be in the form shown in figure 13.5; and</w:t>
                  </w:r>
                </w:p>
                <w:p>
                  <w:pPr>
                    <w:numPr>
                      <w:ilvl w:val="0"/>
                      <w:numId w:val="1145"/>
                    </w:numPr>
                    <w:tabs>
                      <w:tab w:val="clear" w:pos="360"/>
                      <w:tab w:val="left" w:pos="1872"/>
                    </w:tabs>
                    <w:spacing w:before="126" w:after="0"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have dimensions not less than those shown in figure 13.5; and</w:t>
                  </w:r>
                </w:p>
                <w:p>
                  <w:pPr>
                    <w:numPr>
                      <w:ilvl w:val="0"/>
                      <w:numId w:val="1145"/>
                    </w:numPr>
                    <w:tabs>
                      <w:tab w:val="clear" w:pos="360"/>
                      <w:tab w:val="left" w:pos="1872"/>
                    </w:tabs>
                    <w:spacing w:before="120" w:after="197" w:line="273" w:lineRule="exact"/>
                    <w:ind w:right="0" w:left="1512"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have black letters on a white or silver background.</w:t>
                  </w:r>
                </w:p>
              </w:txbxContent>
            </v:textbox>
          </v:shape>
        </w:pict>
      </w:r>
      <w:r>
        <w:pict>
          <v:shapetype id="_x0000_t104" coordsize="21600,21600" o:spt="202" path="m,l,21600r21600,l21600,xe">
            <v:stroke joinstyle="miter"/>
            <v:path gradientshapeok="t" o:connecttype="rect"/>
          </v:shapetype>
          <v:shape id="_x0000_s103" type="#_x0000_t104" filled="f" stroked="f" style="position:absolute;width:401pt;height:450.2pt;z-index:-1;margin-left:97.45pt;margin-top:277.65pt;mso-wrap-distance-left:0pt;mso-wrap-distance-right:0pt;mso-position-horizontal-relative:page;mso-position-vertical-relative:page">
            <w10:wrap type="square" side="both"/>
            <v:fill opacity="1" o:opacity2="1" recolor="f" rotate="f" type="solid"/>
            <v:textbox inset="0pt, 0pt, 0pt, 0pt">
              <w:txbxContent>
                <w:p>
                  <w:pPr>
                    <w:spacing w:before="4" w:after="8758" w:line="229" w:lineRule="exact"/>
                    <w:ind w:right="0" w:left="0" w:firstLine="0"/>
                    <w:jc w:val="center"/>
                    <w:textAlignment w:val="baseline"/>
                    <w:rPr>
                      <w:rFonts w:ascii="Times New Roman" w:hAnsi="Times New Roman" w:eastAsia="Times New Roman"/>
                      <w:b w:val="true"/>
                      <w:color w:val="000000"/>
                      <w:spacing w:val="3"/>
                      <w:w w:val="100"/>
                      <w:sz w:val="20"/>
                      <w:vertAlign w:val="baseline"/>
                      <w:lang w:val="en-US"/>
                    </w:rPr>
                  </w:pPr>
                  <w:r>
                    <w:rPr>
                      <w:rFonts w:ascii="Times New Roman" w:hAnsi="Times New Roman" w:eastAsia="Times New Roman"/>
                      <w:b w:val="true"/>
                      <w:color w:val="000000"/>
                      <w:spacing w:val="3"/>
                      <w:w w:val="100"/>
                      <w:sz w:val="20"/>
                      <w:vertAlign w:val="baseline"/>
                      <w:lang w:val="en-US"/>
                    </w:rPr>
                    <w:t xml:space="preserve">Figure 13.5 Placard for flammable liquid category 4</w:t>
                  </w:r>
                </w:p>
              </w:txbxContent>
            </v:textbox>
          </v:shape>
        </w:pict>
      </w:r>
      <w:r>
        <w:pict>
          <v:shapetype id="_x0000_t105" coordsize="21600,21600" o:spt="202" path="m,l,21600r21600,l21600,xe">
            <v:stroke joinstyle="miter"/>
            <v:path gradientshapeok="t" o:connecttype="rect"/>
          </v:shapetype>
          <v:shape id="_x0000_s104" type="#_x0000_t105" filled="f" stroked="f" style="position:absolute;width:35.8pt;height:22.6pt;z-index:-1;margin-left:406.3pt;margin-top:234.75pt;mso-wrap-distance-left:0pt;mso-wrap-distance-right:0pt;mso-position-horizontal-relative:page;mso-position-vertical-relative:page">
            <w10:wrap type="square" side="both"/>
            <v:fill opacity="1" o:opacity2="1" recolor="f" rotate="f" type="solid"/>
            <v:textbox inset="0pt, 0pt, 0pt, 0pt">
              <w:txbxContent>
                <w:p>
                  <w:pPr>
                    <w:spacing w:before="0" w:after="0" w:line="222" w:lineRule="exact"/>
                    <w:ind w:right="0" w:left="0" w:firstLine="0"/>
                    <w:jc w:val="left"/>
                    <w:textAlignment w:val="baseline"/>
                    <w:rPr>
                      <w:rFonts w:ascii="Arial" w:hAnsi="Arial" w:eastAsia="Arial"/>
                      <w:b w:val="true"/>
                      <w:color w:val="000000"/>
                      <w:spacing w:val="-5"/>
                      <w:w w:val="100"/>
                      <w:sz w:val="19"/>
                      <w:vertAlign w:val="baseline"/>
                      <w:lang w:val="en-US"/>
                    </w:rPr>
                  </w:pPr>
                  <w:r>
                    <w:rPr>
                      <w:rFonts w:ascii="Arial" w:hAnsi="Arial" w:eastAsia="Arial"/>
                      <w:b w:val="true"/>
                      <w:color w:val="000000"/>
                      <w:spacing w:val="-5"/>
                      <w:w w:val="100"/>
                      <w:sz w:val="19"/>
                      <w:vertAlign w:val="baseline"/>
                      <w:lang w:val="en-US"/>
                    </w:rPr>
                    <w:t xml:space="preserve">100 mm lettering</w:t>
                  </w:r>
                </w:p>
              </w:txbxContent>
            </v:textbox>
          </v:shape>
        </w:pict>
      </w:r>
      <w:r>
        <w:pict>
          <v:shapetype id="_x0000_t106" coordsize="21600,21600" o:spt="202" path="m,l,21600r21600,l21600,xe">
            <v:stroke joinstyle="miter"/>
            <v:path gradientshapeok="t" o:connecttype="rect"/>
          </v:shapetype>
          <v:shape id="_x0000_s105" type="#_x0000_t106" filled="f" stroked="f" style="position:absolute;width:253.45pt;height:48.2pt;z-index:-999;margin-left:147.6pt;margin-top:218.9pt;mso-wrap-distance-left:0pt;mso-wrap-distance-right:0pt;mso-position-horizontal-relative:page;mso-position-vertical-relative:page">
            <w10:wrap type="square" side="both"/>
            <v:fill opacity="1" o:opacity2="1" recolor="f" rotate="f" type="solid"/>
            <v:textbox inset="0pt, 0pt, 0pt, 0pt">
              <w:txbxContent>
                <w:p>
                  <w:pPr>
                    <w:spacing w:before="0" w:after="0" w:line="240" w:lineRule="auto"/>
                    <w:ind w:right="0" w:left="0"/>
                    <w:jc w:val="left"/>
                    <w:textAlignment w:val="baseline"/>
                  </w:pPr>
                  <w:r>
                    <w:drawing>
                      <wp:inline>
                        <wp:extent cx="3218815" cy="612140"/>
                        <wp:docPr name="Picture" id="5"/>
                        <a:graphic>
                          <a:graphicData uri="http://schemas.openxmlformats.org/drawingml/2006/picture">
                            <pic:pic>
                              <pic:nvPicPr>
                                <pic:cNvPr id="5" name="Picture"/>
                                <pic:cNvPicPr preferRelativeResize="false"/>
                              </pic:nvPicPr>
                              <pic:blipFill>
                                <a:blip r:embed="prId5"/>
                                <a:stretch>
                                  <a:fillRect/>
                                </a:stretch>
                              </pic:blipFill>
                              <pic:spPr>
                                <a:xfrm>
                                  <a:off x="0" y="0"/>
                                  <a:ext cx="3218815" cy="612140"/>
                                </a:xfrm>
                                <a:prstGeom prst="rect"/>
                              </pic:spPr>
                            </pic:pic>
                          </a:graphicData>
                        </a:graphic>
                      </wp:inline>
                    </w:drawing>
                  </w:r>
                </w:p>
              </w:txbxContent>
            </v:textbox>
          </v:shape>
        </w:pict>
      </w:r>
      <w:r>
        <w:pict>
          <v:shapetype id="_x0000_t107" coordsize="21600,21600" o:spt="202" path="m,l,21600r21600,l21600,xe">
            <v:stroke joinstyle="miter"/>
            <v:path gradientshapeok="t" o:connecttype="rect"/>
          </v:shapetype>
          <v:shape id="_x0000_s106" type="#_x0000_t107" filled="f" stroked="f" style="position:absolute;width:215.75pt;height:26.4pt;z-index:-1;margin-left:161.05pt;margin-top:231.75pt;mso-wrap-distance-left:0pt;mso-wrap-distance-right:0pt;mso-position-horizontal-relative:page;mso-position-vertical-relative:page">
            <w10:wrap type="square" side="both"/>
            <v:fill opacity="1" o:opacity2="1" recolor="f" rotate="f" type="solid"/>
            <v:textbox inset="0pt, 0pt, 0pt, 0pt">
              <w:txbxContent>
                <w:p>
                  <w:pPr>
                    <w:spacing w:before="3" w:after="0" w:line="517" w:lineRule="exact"/>
                    <w:ind w:right="0" w:left="0" w:firstLine="0"/>
                    <w:jc w:val="left"/>
                    <w:textAlignment w:val="baseline"/>
                    <w:rPr>
                      <w:rFonts w:ascii="Arial Narrow" w:hAnsi="Arial Narrow" w:eastAsia="Arial Narrow"/>
                      <w:b w:val="true"/>
                      <w:color w:val="000000"/>
                      <w:spacing w:val="-9"/>
                      <w:w w:val="105"/>
                      <w:sz w:val="46"/>
                      <w:vertAlign w:val="baseline"/>
                      <w:lang w:val="en-US"/>
                    </w:rPr>
                  </w:pPr>
                  <w:r>
                    <w:rPr>
                      <w:rFonts w:ascii="Arial Narrow" w:hAnsi="Arial Narrow" w:eastAsia="Arial Narrow"/>
                      <w:b w:val="true"/>
                      <w:color w:val="000000"/>
                      <w:spacing w:val="-9"/>
                      <w:w w:val="105"/>
                      <w:sz w:val="46"/>
                      <w:vertAlign w:val="baseline"/>
                      <w:lang w:val="en-US"/>
                    </w:rPr>
                    <w:t xml:space="preserve">COMBUSTIBLE LIQUID</w:t>
                  </w:r>
                </w:p>
              </w:txbxContent>
            </v:textbox>
          </v:shape>
        </w:pict>
      </w:r>
      <w:r>
        <w:pict>
          <v:shapetype id="_x0000_t108" coordsize="21600,21600" o:spt="202" path="m,l,21600r21600,l21600,xe">
            <v:stroke joinstyle="miter"/>
            <v:path gradientshapeok="t" o:connecttype="rect"/>
          </v:shapetype>
          <v:shape id="_x0000_s107" type="#_x0000_t108" filled="f" stroked="f" style="position:absolute;width:206pt;height:10pt;z-index:-1;margin-left:98.75pt;margin-top:758pt;mso-wrap-distance-left:0pt;mso-wrap-distance-right:0pt;mso-position-horizontal-relative:page;mso-position-vertical-relative:page">
            <w10:wrap type="square" side="both"/>
            <v:fill opacity="1" o:opacity2="1" recolor="f" rotate="f" type="solid"/>
            <v:textbox inset="0pt, 0pt, 0pt, 0pt">
              <w:txbxContent>
                <w:p>
                  <w:pPr>
                    <w:tabs>
                      <w:tab w:val="right" w:leader="none" w:pos="4176"/>
                    </w:tabs>
                    <w:spacing w:before="6" w:after="5"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478</w:t>
                  </w:r>
                </w:p>
              </w:txbxContent>
            </v:textbox>
          </v:shape>
        </w:pict>
      </w:r>
      <w:r>
        <w:pict>
          <v:line strokeweight="0.5pt" strokecolor="#000000" from="97.45pt,103.9pt" to="498.5pt,103.9pt" style="position:absolute;mso-position-horizontal-relative:page;mso-position-vertical-relative:page;">
            <v:stroke dashstyle="solid"/>
          </v:line>
        </w:pict>
      </w:r>
      <w:r>
        <w:pict>
          <v:line strokeweight="0.7pt" strokecolor="#000000" from="401.05pt,234pt" to="450.3pt,234pt" style="position:absolute;mso-position-horizontal-relative:page;mso-position-vertical-relative:page;">
            <v:stroke dashstyle="solid"/>
          </v:line>
        </w:pict>
      </w:r>
      <w:r>
        <w:pict>
          <v:line strokeweight="0.7pt" strokecolor="#000000" from="401.05pt,257.75pt" to="450.3pt,257.75pt" style="position:absolute;mso-position-horizontal-relative:page;mso-position-vertical-relative:page;">
            <v:stroke dashstyle="solid"/>
          </v:line>
        </w:pict>
      </w:r>
      <w:r>
        <w:pict>
          <v:line strokeweight="0.5pt" strokecolor="#000000" from="97.45pt,728.15pt" to="498.5pt,728.15pt" style="position:absolute;mso-position-horizontal-relative:page;mso-position-vertical-relative:page;">
            <v:stroke dashstyle="solid"/>
          </v:line>
        </w:pict>
      </w:r>
    </w:p>
    <w:p>
      <w:pPr>
        <w:sectPr>
          <w:type w:val="nextPage"/>
          <w:pgSz w:w="11909" w:h="16838" w:orient="portrait"/>
          <w:pgMar w:bottom="1096" w:top="852" w:right="1940" w:left="1949" w:header="720" w:footer="720"/>
          <w:titlePg w:val="false"/>
          <w:textDirection w:val="lrTb"/>
        </w:sectPr>
      </w:pPr>
    </w:p>
    <w:p>
      <w:pPr>
        <w:spacing w:before="6"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spacing w:before="235" w:after="226"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Schedule 14 Requirements for health monitoring</w:t>
      </w:r>
    </w:p>
    <w:p>
      <w:pPr>
        <w:spacing w:before="258" w:after="0" w:line="317" w:lineRule="exact"/>
        <w:ind w:right="0" w:left="0" w:firstLine="0"/>
        <w:jc w:val="left"/>
        <w:textAlignment w:val="baseline"/>
        <w:rPr>
          <w:rFonts w:ascii="Times New Roman" w:hAnsi="Times New Roman" w:eastAsia="Times New Roman"/>
          <w:b w:val="true"/>
          <w:color w:val="000000"/>
          <w:spacing w:val="0"/>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8"/>
          <w:vertAlign w:val="baseline"/>
          <w:lang w:val="en-US"/>
        </w:rPr>
        <w:t xml:space="preserve">Schedule 14 Requirements for health monitoring</w:t>
      </w:r>
    </w:p>
    <w:p>
      <w:pPr>
        <w:spacing w:before="121" w:after="0" w:line="226" w:lineRule="exact"/>
        <w:ind w:right="0"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Regulations 368, 370 and 406</w:t>
      </w:r>
    </w:p>
    <w:p>
      <w:pPr>
        <w:spacing w:before="245" w:after="33" w:line="227"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Table 14.1 Hazardous chemicals (other than lead) requiring health monitoring</w:t>
      </w:r>
    </w:p>
    <w:p>
      <w:pPr>
        <w:tabs>
          <w:tab w:val="left" w:leader="none" w:pos="3312"/>
        </w:tabs>
        <w:spacing w:before="85" w:after="0" w:line="227" w:lineRule="exact"/>
        <w:ind w:right="0" w:left="144"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7.45pt,175.9pt" to="498.5pt,175.9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Column 1 Column 2	</w:t>
      </w:r>
      <w:r>
        <w:rPr>
          <w:rFonts w:ascii="Times New Roman" w:hAnsi="Times New Roman" w:eastAsia="Times New Roman"/>
          <w:b w:val="true"/>
          <w:color w:val="000000"/>
          <w:spacing w:val="0"/>
          <w:w w:val="100"/>
          <w:sz w:val="20"/>
          <w:vertAlign w:val="baseline"/>
          <w:lang w:val="en-US"/>
        </w:rPr>
        <w:t xml:space="preserve">Column 3</w:t>
      </w:r>
    </w:p>
    <w:p>
      <w:pPr>
        <w:tabs>
          <w:tab w:val="left" w:leader="none" w:pos="1296"/>
        </w:tabs>
        <w:spacing w:before="60" w:after="50" w:line="227" w:lineRule="exact"/>
        <w:ind w:right="0" w:left="144" w:firstLine="0"/>
        <w:jc w:val="left"/>
        <w:textAlignment w:val="baseline"/>
        <w:rPr>
          <w:rFonts w:ascii="Times New Roman" w:hAnsi="Times New Roman" w:eastAsia="Times New Roman"/>
          <w:b w:val="true"/>
          <w:color w:val="000000"/>
          <w:spacing w:val="4"/>
          <w:w w:val="100"/>
          <w:sz w:val="20"/>
          <w:vertAlign w:val="baseline"/>
          <w:lang w:val="en-US"/>
        </w:rPr>
      </w:pPr>
      <w:r>
        <w:rPr>
          <w:rFonts w:ascii="Times New Roman" w:hAnsi="Times New Roman" w:eastAsia="Times New Roman"/>
          <w:b w:val="true"/>
          <w:color w:val="000000"/>
          <w:spacing w:val="4"/>
          <w:w w:val="100"/>
          <w:sz w:val="20"/>
          <w:vertAlign w:val="baseline"/>
          <w:lang w:val="en-US"/>
        </w:rPr>
        <w:t xml:space="preserve">Item	</w:t>
      </w:r>
      <w:r>
        <w:rPr>
          <w:rFonts w:ascii="Times New Roman" w:hAnsi="Times New Roman" w:eastAsia="Times New Roman"/>
          <w:b w:val="true"/>
          <w:color w:val="000000"/>
          <w:spacing w:val="4"/>
          <w:w w:val="100"/>
          <w:sz w:val="20"/>
          <w:vertAlign w:val="baseline"/>
          <w:lang w:val="en-US"/>
        </w:rPr>
        <w:t xml:space="preserve">Hazardous chemical Type of health monitoring</w:t>
      </w:r>
    </w:p>
    <w:p>
      <w:pPr>
        <w:tabs>
          <w:tab w:val="left" w:leader="none" w:pos="1296"/>
          <w:tab w:val="left" w:leader="none" w:pos="3312"/>
        </w:tabs>
        <w:spacing w:before="87" w:after="0" w:line="226"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208.55pt" to="498.5pt,208.5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Acrylonitrile	</w:t>
      </w:r>
      <w:r>
        <w:rPr>
          <w:rFonts w:ascii="Times New Roman" w:hAnsi="Times New Roman" w:eastAsia="Times New Roman"/>
          <w:color w:val="000000"/>
          <w:spacing w:val="0"/>
          <w:w w:val="100"/>
          <w:sz w:val="20"/>
          <w:vertAlign w:val="baseline"/>
          <w:lang w:val="en-US"/>
        </w:rPr>
        <w:t xml:space="preserve">Demographic, medical and occupational history</w:t>
      </w:r>
    </w:p>
    <w:p>
      <w:pPr>
        <w:spacing w:before="0" w:after="0" w:line="288" w:lineRule="exact"/>
        <w:ind w:right="0" w:left="331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Records of personal exposure</w:t>
        <w:br/>
      </w:r>
      <w:r>
        <w:rPr>
          <w:rFonts w:ascii="Times New Roman" w:hAnsi="Times New Roman" w:eastAsia="Times New Roman"/>
          <w:color w:val="000000"/>
          <w:spacing w:val="0"/>
          <w:w w:val="100"/>
          <w:sz w:val="20"/>
          <w:vertAlign w:val="baseline"/>
          <w:lang w:val="en-US"/>
        </w:rPr>
        <w:t xml:space="preserve">Physical examination</w:t>
      </w:r>
    </w:p>
    <w:p>
      <w:pPr>
        <w:tabs>
          <w:tab w:val="left" w:leader="none" w:pos="1296"/>
          <w:tab w:val="left" w:leader="none" w:pos="3312"/>
        </w:tabs>
        <w:spacing w:before="129" w:after="0" w:line="226"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Arsenic (inorganic)	</w:t>
      </w:r>
      <w:r>
        <w:rPr>
          <w:rFonts w:ascii="Times New Roman" w:hAnsi="Times New Roman" w:eastAsia="Times New Roman"/>
          <w:color w:val="000000"/>
          <w:spacing w:val="0"/>
          <w:w w:val="100"/>
          <w:sz w:val="20"/>
          <w:vertAlign w:val="baseline"/>
          <w:lang w:val="en-US"/>
        </w:rPr>
        <w:t xml:space="preserve">Demographic, medical and occupational history</w:t>
      </w:r>
    </w:p>
    <w:p>
      <w:pPr>
        <w:spacing w:before="62" w:after="0" w:line="226" w:lineRule="exact"/>
        <w:ind w:right="0" w:left="331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Records of personal exposure</w:t>
      </w:r>
    </w:p>
    <w:p>
      <w:pPr>
        <w:spacing w:before="58" w:after="0" w:line="230" w:lineRule="exact"/>
        <w:ind w:right="360" w:left="331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Physical examination with emphasis on the peripheral nervous system and skin</w:t>
      </w:r>
    </w:p>
    <w:p>
      <w:pPr>
        <w:spacing w:before="62" w:after="0" w:line="226" w:lineRule="exact"/>
        <w:ind w:right="0" w:left="331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Urinary inorganic arsenic</w:t>
      </w:r>
    </w:p>
    <w:p>
      <w:pPr>
        <w:tabs>
          <w:tab w:val="left" w:leader="none" w:pos="1296"/>
          <w:tab w:val="left" w:leader="none" w:pos="3312"/>
        </w:tabs>
        <w:spacing w:before="129" w:after="0" w:line="226"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	</w:t>
      </w:r>
      <w:r>
        <w:rPr>
          <w:rFonts w:ascii="Times New Roman" w:hAnsi="Times New Roman" w:eastAsia="Times New Roman"/>
          <w:color w:val="000000"/>
          <w:spacing w:val="0"/>
          <w:w w:val="100"/>
          <w:sz w:val="20"/>
          <w:vertAlign w:val="baseline"/>
          <w:lang w:val="en-US"/>
        </w:rPr>
        <w:t xml:space="preserve">Benzene	</w:t>
      </w:r>
      <w:r>
        <w:rPr>
          <w:rFonts w:ascii="Times New Roman" w:hAnsi="Times New Roman" w:eastAsia="Times New Roman"/>
          <w:color w:val="000000"/>
          <w:spacing w:val="0"/>
          <w:w w:val="100"/>
          <w:sz w:val="20"/>
          <w:vertAlign w:val="baseline"/>
          <w:lang w:val="en-US"/>
        </w:rPr>
        <w:t xml:space="preserve">Demographic, medical and occupational history</w:t>
      </w:r>
    </w:p>
    <w:p>
      <w:pPr>
        <w:spacing w:before="62" w:after="0" w:line="226" w:lineRule="exact"/>
        <w:ind w:right="0" w:left="331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Records of personal exposure</w:t>
      </w:r>
    </w:p>
    <w:p>
      <w:pPr>
        <w:spacing w:before="62" w:after="0" w:line="226" w:lineRule="exact"/>
        <w:ind w:right="0" w:left="331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Physical examination</w:t>
      </w:r>
    </w:p>
    <w:p>
      <w:pPr>
        <w:spacing w:before="62" w:after="0" w:line="226" w:lineRule="exact"/>
        <w:ind w:right="0" w:left="331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Baseline blood sample for haematological profile</w:t>
      </w:r>
    </w:p>
    <w:p>
      <w:pPr>
        <w:tabs>
          <w:tab w:val="left" w:leader="none" w:pos="1296"/>
          <w:tab w:val="left" w:leader="none" w:pos="3312"/>
        </w:tabs>
        <w:spacing w:before="130" w:after="0" w:line="226"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	</w:t>
      </w:r>
      <w:r>
        <w:rPr>
          <w:rFonts w:ascii="Times New Roman" w:hAnsi="Times New Roman" w:eastAsia="Times New Roman"/>
          <w:color w:val="000000"/>
          <w:spacing w:val="0"/>
          <w:w w:val="100"/>
          <w:sz w:val="20"/>
          <w:vertAlign w:val="baseline"/>
          <w:lang w:val="en-US"/>
        </w:rPr>
        <w:t xml:space="preserve">Cadmium	</w:t>
      </w:r>
      <w:r>
        <w:rPr>
          <w:rFonts w:ascii="Times New Roman" w:hAnsi="Times New Roman" w:eastAsia="Times New Roman"/>
          <w:color w:val="000000"/>
          <w:spacing w:val="0"/>
          <w:w w:val="100"/>
          <w:sz w:val="20"/>
          <w:vertAlign w:val="baseline"/>
          <w:lang w:val="en-US"/>
        </w:rPr>
        <w:t xml:space="preserve">Demographic, medical and occupational history</w:t>
      </w:r>
    </w:p>
    <w:p>
      <w:pPr>
        <w:spacing w:before="62" w:after="0" w:line="226" w:lineRule="exact"/>
        <w:ind w:right="0" w:left="331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Records of personal exposure</w:t>
      </w:r>
    </w:p>
    <w:p>
      <w:pPr>
        <w:spacing w:before="58" w:after="0" w:line="230" w:lineRule="exact"/>
        <w:ind w:right="288" w:left="331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Physical examination with emphasis on the respiratory system</w:t>
      </w:r>
    </w:p>
    <w:p>
      <w:pPr>
        <w:spacing w:before="67" w:after="0" w:line="226" w:lineRule="exact"/>
        <w:ind w:right="0" w:left="331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Standard respiratory questionnaire to be completed</w:t>
      </w:r>
    </w:p>
    <w:p>
      <w:pPr>
        <w:spacing w:before="57" w:after="0" w:line="231" w:lineRule="exact"/>
        <w:ind w:right="504" w:left="331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Standardised respiratory function tests including for example, FEV</w:t>
      </w:r>
      <w:r>
        <w:rPr>
          <w:rFonts w:ascii="Times New Roman" w:hAnsi="Times New Roman" w:eastAsia="Times New Roman"/>
          <w:color w:val="000000"/>
          <w:spacing w:val="0"/>
          <w:w w:val="100"/>
          <w:sz w:val="13"/>
          <w:vertAlign w:val="baseline"/>
          <w:lang w:val="en-US"/>
        </w:rPr>
        <w:t xml:space="preserve">1</w:t>
      </w:r>
      <w:r>
        <w:rPr>
          <w:rFonts w:ascii="Times New Roman" w:hAnsi="Times New Roman" w:eastAsia="Times New Roman"/>
          <w:color w:val="000000"/>
          <w:spacing w:val="0"/>
          <w:w w:val="100"/>
          <w:sz w:val="20"/>
          <w:vertAlign w:val="baseline"/>
          <w:lang w:val="en-US"/>
        </w:rPr>
        <w:t xml:space="preserve">, FVC and FEV</w:t>
      </w:r>
      <w:r>
        <w:rPr>
          <w:rFonts w:ascii="Times New Roman" w:hAnsi="Times New Roman" w:eastAsia="Times New Roman"/>
          <w:color w:val="000000"/>
          <w:spacing w:val="0"/>
          <w:w w:val="100"/>
          <w:sz w:val="13"/>
          <w:vertAlign w:val="baseline"/>
          <w:lang w:val="en-US"/>
        </w:rPr>
        <w:t xml:space="preserve">1</w:t>
      </w:r>
      <w:r>
        <w:rPr>
          <w:rFonts w:ascii="Times New Roman" w:hAnsi="Times New Roman" w:eastAsia="Times New Roman"/>
          <w:color w:val="000000"/>
          <w:spacing w:val="0"/>
          <w:w w:val="100"/>
          <w:sz w:val="20"/>
          <w:vertAlign w:val="baseline"/>
          <w:lang w:val="en-US"/>
        </w:rPr>
        <w:t xml:space="preserve">/FVC</w:t>
      </w:r>
    </w:p>
    <w:p>
      <w:pPr>
        <w:spacing w:before="124" w:after="0" w:line="226" w:lineRule="exact"/>
        <w:ind w:right="0" w:left="331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Urinary cadmium and β</w:t>
      </w:r>
      <w:r>
        <w:rPr>
          <w:rFonts w:ascii="Times New Roman" w:hAnsi="Times New Roman" w:eastAsia="Times New Roman"/>
          <w:color w:val="000000"/>
          <w:spacing w:val="0"/>
          <w:w w:val="100"/>
          <w:sz w:val="13"/>
          <w:vertAlign w:val="baseline"/>
          <w:lang w:val="en-US"/>
        </w:rPr>
        <w:t xml:space="preserve">2</w:t>
      </w:r>
      <w:r>
        <w:rPr>
          <w:rFonts w:ascii="Times New Roman" w:hAnsi="Times New Roman" w:eastAsia="Times New Roman"/>
          <w:color w:val="000000"/>
          <w:spacing w:val="0"/>
          <w:w w:val="100"/>
          <w:sz w:val="20"/>
          <w:vertAlign w:val="baseline"/>
          <w:lang w:val="en-US"/>
        </w:rPr>
        <w:t xml:space="preserve">-microglobulin</w:t>
      </w:r>
    </w:p>
    <w:p>
      <w:pPr>
        <w:spacing w:before="58" w:after="106" w:line="230" w:lineRule="exact"/>
        <w:ind w:right="504" w:left="331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Health advice, including counselling on the effect of smoking on cadmium exposure</w:t>
      </w:r>
    </w:p>
    <w:tbl>
      <w:tblPr>
        <w:jc w:val="left"/>
        <w:tblLayout w:type="fixed"/>
        <w:tblCellMar>
          <w:left w:w="0" w:type="dxa"/>
          <w:right w:w="0" w:type="dxa"/>
        </w:tblCellMar>
      </w:tblPr>
      <w:tblGrid>
        <w:gridCol w:w="2755"/>
        <w:gridCol w:w="5265"/>
      </w:tblGrid>
      <w:tr>
        <w:trPr>
          <w:trHeight w:val="1284" w:hRule="exact"/>
        </w:trPr>
        <w:tc>
          <w:tcPr>
            <w:tcW w:w="2755" w:type="dxa"/>
            <w:tcBorders>
              <w:top w:val="none"/>
              <w:left w:val="none"/>
              <w:bottom w:val="none"/>
              <w:right w:val="none"/>
            </w:tcBorders>
            <w:textDirection w:val="lrTb"/>
            <w:vAlign w:val="top"/>
          </w:tcPr>
          <w:p>
            <w:pPr>
              <w:tabs>
                <w:tab w:val="left" w:leader="none" w:pos="1368"/>
              </w:tabs>
              <w:spacing w:before="0" w:after="0" w:line="226" w:lineRule="exact"/>
              <w:ind w:right="504"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	</w:t>
            </w:r>
            <w:r>
              <w:rPr>
                <w:rFonts w:ascii="Times New Roman" w:hAnsi="Times New Roman" w:eastAsia="Times New Roman"/>
                <w:color w:val="000000"/>
                <w:spacing w:val="0"/>
                <w:w w:val="100"/>
                <w:sz w:val="20"/>
                <w:vertAlign w:val="baseline"/>
                <w:lang w:val="en-US"/>
              </w:rPr>
              <w:t xml:space="preserve">Chromium</w:t>
            </w:r>
          </w:p>
          <w:p>
            <w:pPr>
              <w:spacing w:before="4" w:after="821" w:line="226" w:lineRule="exact"/>
              <w:ind w:right="504"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(inorganic)</w:t>
            </w:r>
          </w:p>
        </w:tc>
        <w:tc>
          <w:tcPr>
            <w:tcW w:w="5265" w:type="dxa"/>
            <w:tcBorders>
              <w:top w:val="none"/>
              <w:left w:val="none"/>
              <w:bottom w:val="none"/>
              <w:right w:val="none"/>
            </w:tcBorders>
            <w:textDirection w:val="lrTb"/>
            <w:vAlign w:val="top"/>
          </w:tcPr>
          <w:p>
            <w:pPr>
              <w:spacing w:before="0" w:after="0" w:line="226" w:lineRule="exact"/>
              <w:ind w:right="0" w:left="57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Demographic, medical and occupational history</w:t>
            </w:r>
          </w:p>
          <w:p>
            <w:pPr>
              <w:spacing w:before="52" w:after="0" w:line="231" w:lineRule="exact"/>
              <w:ind w:right="360" w:left="576" w:firstLine="0"/>
              <w:jc w:val="left"/>
              <w:textAlignment w:val="baseline"/>
              <w:rPr>
                <w:rFonts w:ascii="Times New Roman" w:hAnsi="Times New Roman" w:eastAsia="Times New Roman"/>
                <w:color w:val="000000"/>
                <w:spacing w:val="-2"/>
                <w:w w:val="100"/>
                <w:sz w:val="20"/>
                <w:vertAlign w:val="baseline"/>
                <w:lang w:val="en-US"/>
              </w:rPr>
            </w:pPr>
            <w:r>
              <w:rPr>
                <w:rFonts w:ascii="Times New Roman" w:hAnsi="Times New Roman" w:eastAsia="Times New Roman"/>
                <w:color w:val="000000"/>
                <w:spacing w:val="-2"/>
                <w:w w:val="100"/>
                <w:sz w:val="20"/>
                <w:vertAlign w:val="baseline"/>
                <w:lang w:val="en-US"/>
              </w:rPr>
              <w:t xml:space="preserve">Physical examination with emphasis on the respiratory system and skin</w:t>
            </w:r>
          </w:p>
          <w:p>
            <w:pPr>
              <w:spacing w:before="63" w:after="10" w:line="230" w:lineRule="exact"/>
              <w:ind w:right="612" w:left="57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Weekly skin inspection of hands and forearms by a competent person</w:t>
            </w:r>
          </w:p>
        </w:tc>
      </w:tr>
    </w:tbl>
    <w:p>
      <w:pPr>
        <w:spacing w:before="0" w:after="88" w:line="20" w:lineRule="exact"/>
      </w:pPr>
    </w:p>
    <w:p>
      <w:pPr>
        <w:tabs>
          <w:tab w:val="left" w:leader="none" w:pos="1368"/>
          <w:tab w:val="left" w:leader="none" w:pos="3312"/>
        </w:tabs>
        <w:spacing w:before="4" w:after="0" w:line="226"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	</w:t>
      </w:r>
      <w:r>
        <w:rPr>
          <w:rFonts w:ascii="Times New Roman" w:hAnsi="Times New Roman" w:eastAsia="Times New Roman"/>
          <w:color w:val="000000"/>
          <w:spacing w:val="0"/>
          <w:w w:val="100"/>
          <w:sz w:val="20"/>
          <w:vertAlign w:val="baseline"/>
          <w:lang w:val="en-US"/>
        </w:rPr>
        <w:t xml:space="preserve">Creosote	</w:t>
      </w:r>
      <w:r>
        <w:rPr>
          <w:rFonts w:ascii="Times New Roman" w:hAnsi="Times New Roman" w:eastAsia="Times New Roman"/>
          <w:color w:val="000000"/>
          <w:spacing w:val="0"/>
          <w:w w:val="100"/>
          <w:sz w:val="20"/>
          <w:vertAlign w:val="baseline"/>
          <w:lang w:val="en-US"/>
        </w:rPr>
        <w:t xml:space="preserve">Demographic, medical and occupational history</w:t>
      </w:r>
    </w:p>
    <w:p>
      <w:pPr>
        <w:spacing w:before="57" w:after="0" w:line="231" w:lineRule="exact"/>
        <w:ind w:right="216" w:left="3312"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Health advice, including recognition of photosensitivity and skin changes</w:t>
      </w:r>
    </w:p>
    <w:p>
      <w:pPr>
        <w:spacing w:before="59" w:after="0" w:line="230" w:lineRule="exact"/>
        <w:ind w:right="216" w:left="3312"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Physical examination with emphasis on the neurological system and skin, noting any abnormal lesions and evidence of skin sensitisation</w:t>
      </w:r>
    </w:p>
    <w:p>
      <w:pPr>
        <w:spacing w:before="66" w:after="678" w:line="226" w:lineRule="exact"/>
        <w:ind w:right="0" w:left="331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Records of personal exposure, including photosensitivity</w:t>
      </w:r>
    </w:p>
    <w:p>
      <w:pPr>
        <w:tabs>
          <w:tab w:val="left" w:leader="none" w:pos="3888"/>
        </w:tabs>
        <w:spacing w:before="609"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479</w:t>
      </w:r>
    </w:p>
    <w:p>
      <w:pPr>
        <w:sectPr>
          <w:type w:val="nextPage"/>
          <w:pgSz w:w="11909" w:h="16838" w:orient="portrait"/>
          <w:pgMar w:bottom="1082" w:top="1140" w:right="1940" w:left="1949" w:header="720" w:footer="720"/>
          <w:titlePg w:val="false"/>
          <w:textDirection w:val="lrTb"/>
        </w:sectPr>
      </w:pPr>
    </w:p>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pict>
          <v:shapetype id="_x0000_t109" coordsize="21600,21600" o:spt="202" path="m,l,21600r21600,l21600,xe">
            <v:stroke joinstyle="miter"/>
            <v:path gradientshapeok="t" o:connecttype="rect"/>
          </v:shapetype>
          <v:shape id="_x0000_s108" type="#_x0000_t109" filled="f" stroked="f" style="position:absolute;width:401pt;height:46.6pt;z-index:-1;margin-left:97.45pt;margin-top:57pt;mso-wrap-distance-left:0pt;mso-wrap-distance-right:0pt;mso-position-horizontal-relative:page;mso-position-vertical-relative:page">
            <w10:wrap type="square" side="both"/>
            <v:fill opacity="1" o:opacity2="1" recolor="f" rotate="f" type="solid"/>
            <v:textbox inset="0pt, 0pt, 0pt, 0pt">
              <w:txbxContent>
                <w:p>
                  <w:pPr>
                    <w:spacing w:before="6"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spacing w:before="235" w:after="226"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Schedule 14 Requirements for health monitoring</w:t>
                  </w:r>
                </w:p>
              </w:txbxContent>
            </v:textbox>
          </v:shape>
        </w:pict>
      </w:r>
      <w:r>
        <w:pict>
          <v:shapetype id="_x0000_t110" coordsize="21600,21600" o:spt="202" path="m,l,21600r21600,l21600,xe">
            <v:stroke joinstyle="miter"/>
            <v:path gradientshapeok="t" o:connecttype="rect"/>
          </v:shapetype>
          <v:shape id="_x0000_s109" type="#_x0000_t110" filled="f" stroked="f" style="position:absolute;width:401pt;height:44.4pt;z-index:-1;margin-left:97.45pt;margin-top:103.6pt;mso-wrap-distance-left:0pt;mso-wrap-distance-right:0pt;mso-position-horizontal-relative:page;mso-position-vertical-relative:page">
            <w10:wrap type="square" side="both"/>
            <v:fill opacity="1" o:opacity2="1" recolor="f" rotate="f" type="solid"/>
            <v:textbox inset="0pt, 0pt, 0pt, 0pt">
              <w:txbxContent>
                <w:p>
                  <w:pPr>
                    <w:tabs>
                      <w:tab w:val="left" w:leader="none" w:pos="3312"/>
                    </w:tabs>
                    <w:spacing w:before="320" w:after="0" w:line="228" w:lineRule="exact"/>
                    <w:ind w:right="0" w:left="14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Column 1 Column 2	</w:t>
                  </w:r>
                  <w:r>
                    <w:rPr>
                      <w:rFonts w:ascii="Times New Roman" w:hAnsi="Times New Roman" w:eastAsia="Times New Roman"/>
                      <w:b w:val="true"/>
                      <w:color w:val="000000"/>
                      <w:spacing w:val="0"/>
                      <w:w w:val="100"/>
                      <w:sz w:val="20"/>
                      <w:vertAlign w:val="baseline"/>
                      <w:lang w:val="en-US"/>
                    </w:rPr>
                    <w:t xml:space="preserve">Column 3</w:t>
                  </w:r>
                </w:p>
                <w:p>
                  <w:pPr>
                    <w:tabs>
                      <w:tab w:val="left" w:leader="none" w:pos="1296"/>
                    </w:tabs>
                    <w:spacing w:before="64" w:after="40" w:line="228" w:lineRule="exact"/>
                    <w:ind w:right="0" w:left="144" w:firstLine="0"/>
                    <w:jc w:val="left"/>
                    <w:textAlignment w:val="baseline"/>
                    <w:rPr>
                      <w:rFonts w:ascii="Times New Roman" w:hAnsi="Times New Roman" w:eastAsia="Times New Roman"/>
                      <w:b w:val="true"/>
                      <w:color w:val="000000"/>
                      <w:spacing w:val="4"/>
                      <w:w w:val="100"/>
                      <w:sz w:val="20"/>
                      <w:vertAlign w:val="baseline"/>
                      <w:lang w:val="en-US"/>
                    </w:rPr>
                  </w:pPr>
                  <w:r>
                    <w:rPr>
                      <w:rFonts w:ascii="Times New Roman" w:hAnsi="Times New Roman" w:eastAsia="Times New Roman"/>
                      <w:b w:val="true"/>
                      <w:color w:val="000000"/>
                      <w:spacing w:val="4"/>
                      <w:w w:val="100"/>
                      <w:sz w:val="20"/>
                      <w:vertAlign w:val="baseline"/>
                      <w:lang w:val="en-US"/>
                    </w:rPr>
                    <w:t xml:space="preserve">Item	</w:t>
                  </w:r>
                  <w:r>
                    <w:rPr>
                      <w:rFonts w:ascii="Times New Roman" w:hAnsi="Times New Roman" w:eastAsia="Times New Roman"/>
                      <w:b w:val="true"/>
                      <w:color w:val="000000"/>
                      <w:spacing w:val="4"/>
                      <w:w w:val="100"/>
                      <w:sz w:val="20"/>
                      <w:vertAlign w:val="baseline"/>
                      <w:lang w:val="en-US"/>
                    </w:rPr>
                    <w:t xml:space="preserve">Hazardous chemical Type of health monitoring</w:t>
                  </w:r>
                </w:p>
              </w:txbxContent>
            </v:textbox>
          </v:shape>
        </w:pict>
      </w:r>
      <w:r>
        <w:pict>
          <v:shapetype id="_x0000_t111" coordsize="21600,21600" o:spt="202" path="m,l,21600r21600,l21600,xe">
            <v:stroke joinstyle="miter"/>
            <v:path gradientshapeok="t" o:connecttype="rect"/>
          </v:shapetype>
          <v:shape id="_x0000_s110" type="#_x0000_t111" filled="f" stroked="f" style="position:absolute;width:401pt;height:221.35pt;z-index:-1;margin-left:97.45pt;margin-top:148pt;mso-wrap-distance-left:0pt;mso-wrap-distance-right:0pt;mso-position-horizontal-relative:page;mso-position-vertical-relative:page">
            <w10:wrap type="square" side="both"/>
            <v:fill opacity="1" o:opacity2="1" recolor="f" rotate="f" type="solid"/>
            <v:textbox inset="0pt, 0pt, 0pt, 0pt">
              <w:txbxContent>
                <w:p>
                  <w:pPr>
                    <w:tabs>
                      <w:tab w:val="left" w:leader="none" w:pos="1368"/>
                      <w:tab w:val="left" w:leader="none" w:pos="3312"/>
                    </w:tabs>
                    <w:spacing w:before="77" w:after="0" w:line="226"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7	</w:t>
                  </w:r>
                  <w:r>
                    <w:rPr>
                      <w:rFonts w:ascii="Times New Roman" w:hAnsi="Times New Roman" w:eastAsia="Times New Roman"/>
                      <w:color w:val="000000"/>
                      <w:spacing w:val="0"/>
                      <w:w w:val="100"/>
                      <w:sz w:val="20"/>
                      <w:vertAlign w:val="baseline"/>
                      <w:lang w:val="en-US"/>
                    </w:rPr>
                    <w:t xml:space="preserve">Crystalline silica	</w:t>
                  </w:r>
                  <w:r>
                    <w:rPr>
                      <w:rFonts w:ascii="Times New Roman" w:hAnsi="Times New Roman" w:eastAsia="Times New Roman"/>
                      <w:color w:val="000000"/>
                      <w:spacing w:val="0"/>
                      <w:w w:val="100"/>
                      <w:sz w:val="20"/>
                      <w:vertAlign w:val="baseline"/>
                      <w:lang w:val="en-US"/>
                    </w:rPr>
                    <w:t xml:space="preserve">Demographic, medical and occupational history</w:t>
                  </w:r>
                </w:p>
                <w:p>
                  <w:pPr>
                    <w:spacing w:before="62" w:after="0" w:line="226" w:lineRule="exact"/>
                    <w:ind w:right="0" w:left="324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Records of personal exposure</w:t>
                  </w:r>
                </w:p>
                <w:p>
                  <w:pPr>
                    <w:spacing w:before="67" w:after="0" w:line="226" w:lineRule="exact"/>
                    <w:ind w:right="0" w:left="324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Standardised respiratory questionnaire to be completed</w:t>
                  </w:r>
                </w:p>
                <w:p>
                  <w:pPr>
                    <w:spacing w:before="56" w:after="0" w:line="232" w:lineRule="exact"/>
                    <w:ind w:right="648" w:left="324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Standardised respiratory function test, for example, FEV</w:t>
                  </w:r>
                  <w:r>
                    <w:rPr>
                      <w:rFonts w:ascii="Times New Roman" w:hAnsi="Times New Roman" w:eastAsia="Times New Roman"/>
                      <w:color w:val="000000"/>
                      <w:spacing w:val="0"/>
                      <w:w w:val="100"/>
                      <w:sz w:val="14"/>
                      <w:vertAlign w:val="baseline"/>
                      <w:lang w:val="en-US"/>
                    </w:rPr>
                    <w:t xml:space="preserve">1</w:t>
                  </w:r>
                  <w:r>
                    <w:rPr>
                      <w:rFonts w:ascii="Times New Roman" w:hAnsi="Times New Roman" w:eastAsia="Times New Roman"/>
                      <w:color w:val="000000"/>
                      <w:spacing w:val="0"/>
                      <w:w w:val="100"/>
                      <w:sz w:val="20"/>
                      <w:vertAlign w:val="baseline"/>
                      <w:lang w:val="en-US"/>
                    </w:rPr>
                    <w:t xml:space="preserve">, FVC and FEV</w:t>
                  </w:r>
                  <w:r>
                    <w:rPr>
                      <w:rFonts w:ascii="Times New Roman" w:hAnsi="Times New Roman" w:eastAsia="Times New Roman"/>
                      <w:color w:val="000000"/>
                      <w:spacing w:val="0"/>
                      <w:w w:val="100"/>
                      <w:sz w:val="14"/>
                      <w:vertAlign w:val="baseline"/>
                      <w:lang w:val="en-US"/>
                    </w:rPr>
                    <w:t xml:space="preserve">1</w:t>
                  </w:r>
                  <w:r>
                    <w:rPr>
                      <w:rFonts w:ascii="Times New Roman" w:hAnsi="Times New Roman" w:eastAsia="Times New Roman"/>
                      <w:color w:val="000000"/>
                      <w:spacing w:val="0"/>
                      <w:w w:val="100"/>
                      <w:sz w:val="20"/>
                      <w:vertAlign w:val="baseline"/>
                      <w:lang w:val="en-US"/>
                    </w:rPr>
                    <w:t xml:space="preserve">/FVC</w:t>
                  </w:r>
                </w:p>
                <w:p>
                  <w:pPr>
                    <w:spacing w:before="65" w:after="0" w:line="226" w:lineRule="exact"/>
                    <w:ind w:right="0" w:left="324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Chest X-ray full size PA view</w:t>
                  </w:r>
                </w:p>
                <w:p>
                  <w:pPr>
                    <w:tabs>
                      <w:tab w:val="left" w:leader="none" w:pos="1368"/>
                      <w:tab w:val="left" w:leader="none" w:pos="3312"/>
                    </w:tabs>
                    <w:spacing w:before="125" w:after="0" w:line="226"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8	</w:t>
                  </w:r>
                  <w:r>
                    <w:rPr>
                      <w:rFonts w:ascii="Times New Roman" w:hAnsi="Times New Roman" w:eastAsia="Times New Roman"/>
                      <w:color w:val="000000"/>
                      <w:spacing w:val="0"/>
                      <w:w w:val="100"/>
                      <w:sz w:val="20"/>
                      <w:vertAlign w:val="baseline"/>
                      <w:lang w:val="en-US"/>
                    </w:rPr>
                    <w:t xml:space="preserve">Isocyanates	</w:t>
                  </w:r>
                  <w:r>
                    <w:rPr>
                      <w:rFonts w:ascii="Times New Roman" w:hAnsi="Times New Roman" w:eastAsia="Times New Roman"/>
                      <w:color w:val="000000"/>
                      <w:spacing w:val="0"/>
                      <w:w w:val="100"/>
                      <w:sz w:val="20"/>
                      <w:vertAlign w:val="baseline"/>
                      <w:lang w:val="en-US"/>
                    </w:rPr>
                    <w:t xml:space="preserve">Demographic, medical and occupational history</w:t>
                  </w:r>
                </w:p>
                <w:p>
                  <w:pPr>
                    <w:spacing w:before="0" w:after="0" w:line="288" w:lineRule="exact"/>
                    <w:ind w:right="288" w:left="3240"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Completion of a standardised respiratory questionnaire Physical examination of the respiratory system and skin</w:t>
                  </w:r>
                </w:p>
                <w:p>
                  <w:pPr>
                    <w:spacing w:before="59" w:after="0" w:line="233" w:lineRule="exact"/>
                    <w:ind w:right="504" w:left="324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Standardised respiratory function tests, for example, FEV</w:t>
                  </w:r>
                  <w:r>
                    <w:rPr>
                      <w:rFonts w:ascii="Times New Roman" w:hAnsi="Times New Roman" w:eastAsia="Times New Roman"/>
                      <w:color w:val="000000"/>
                      <w:spacing w:val="0"/>
                      <w:w w:val="100"/>
                      <w:sz w:val="14"/>
                      <w:vertAlign w:val="baseline"/>
                      <w:lang w:val="en-US"/>
                    </w:rPr>
                    <w:t xml:space="preserve">1</w:t>
                  </w:r>
                  <w:r>
                    <w:rPr>
                      <w:rFonts w:ascii="Times New Roman" w:hAnsi="Times New Roman" w:eastAsia="Times New Roman"/>
                      <w:color w:val="000000"/>
                      <w:spacing w:val="0"/>
                      <w:w w:val="100"/>
                      <w:sz w:val="20"/>
                      <w:vertAlign w:val="baseline"/>
                      <w:lang w:val="en-US"/>
                    </w:rPr>
                    <w:t xml:space="preserve">, FVC and FEV</w:t>
                  </w:r>
                  <w:r>
                    <w:rPr>
                      <w:rFonts w:ascii="Times New Roman" w:hAnsi="Times New Roman" w:eastAsia="Times New Roman"/>
                      <w:color w:val="000000"/>
                      <w:spacing w:val="0"/>
                      <w:w w:val="100"/>
                      <w:sz w:val="14"/>
                      <w:vertAlign w:val="baseline"/>
                      <w:lang w:val="en-US"/>
                    </w:rPr>
                    <w:t xml:space="preserve">1</w:t>
                  </w:r>
                  <w:r>
                    <w:rPr>
                      <w:rFonts w:ascii="Times New Roman" w:hAnsi="Times New Roman" w:eastAsia="Times New Roman"/>
                      <w:color w:val="000000"/>
                      <w:spacing w:val="0"/>
                      <w:w w:val="100"/>
                      <w:sz w:val="20"/>
                      <w:vertAlign w:val="baseline"/>
                      <w:lang w:val="en-US"/>
                    </w:rPr>
                    <w:t xml:space="preserve">/FVC</w:t>
                  </w:r>
                </w:p>
                <w:p>
                  <w:pPr>
                    <w:tabs>
                      <w:tab w:val="left" w:leader="none" w:pos="1368"/>
                    </w:tabs>
                    <w:spacing w:before="122" w:after="0" w:line="226" w:lineRule="exact"/>
                    <w:ind w:right="0" w:left="144" w:firstLine="0"/>
                    <w:jc w:val="left"/>
                    <w:textAlignment w:val="baseline"/>
                    <w:rPr>
                      <w:rFonts w:ascii="Times New Roman" w:hAnsi="Times New Roman" w:eastAsia="Times New Roman"/>
                      <w:color w:val="000000"/>
                      <w:spacing w:val="4"/>
                      <w:w w:val="100"/>
                      <w:sz w:val="20"/>
                      <w:vertAlign w:val="baseline"/>
                      <w:lang w:val="en-US"/>
                    </w:rPr>
                  </w:pPr>
                  <w:r>
                    <w:rPr>
                      <w:rFonts w:ascii="Times New Roman" w:hAnsi="Times New Roman" w:eastAsia="Times New Roman"/>
                      <w:color w:val="000000"/>
                      <w:spacing w:val="4"/>
                      <w:w w:val="100"/>
                      <w:sz w:val="20"/>
                      <w:vertAlign w:val="baseline"/>
                      <w:lang w:val="en-US"/>
                    </w:rPr>
                    <w:t xml:space="preserve">9	</w:t>
                  </w:r>
                  <w:r>
                    <w:rPr>
                      <w:rFonts w:ascii="Times New Roman" w:hAnsi="Times New Roman" w:eastAsia="Times New Roman"/>
                      <w:color w:val="000000"/>
                      <w:spacing w:val="4"/>
                      <w:w w:val="100"/>
                      <w:sz w:val="20"/>
                      <w:vertAlign w:val="baseline"/>
                      <w:lang w:val="en-US"/>
                    </w:rPr>
                    <w:t xml:space="preserve">Mercury (inorganic) Demographic, medical and occupational history</w:t>
                  </w:r>
                </w:p>
                <w:p>
                  <w:pPr>
                    <w:spacing w:before="57" w:after="0" w:line="231" w:lineRule="exact"/>
                    <w:ind w:right="288" w:left="3240"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Physical examination with emphasis on dermatological, gastrointestinal, neurological and renal systems</w:t>
                  </w:r>
                </w:p>
                <w:p>
                  <w:pPr>
                    <w:spacing w:before="62" w:after="110" w:line="226" w:lineRule="exact"/>
                    <w:ind w:right="0" w:left="324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Urinary inorganic mercury</w:t>
                  </w:r>
                </w:p>
              </w:txbxContent>
            </v:textbox>
          </v:shape>
        </w:pict>
      </w:r>
      <w:r>
        <w:pict>
          <v:shapetype id="_x0000_t112" coordsize="21600,21600" o:spt="202" path="m,l,21600r21600,l21600,xe">
            <v:stroke joinstyle="miter"/>
            <v:path gradientshapeok="t" o:connecttype="rect"/>
          </v:shapetype>
          <v:shape id="_x0000_s111" type="#_x0000_t112" filled="f" stroked="f" style="position:absolute;width:132.95pt;height:34.3pt;z-index:-1;margin-left:105.6pt;margin-top:369.35pt;mso-wrap-distance-left:0pt;mso-wrap-distance-right:0pt;mso-position-horizontal-relative:page;mso-position-vertical-relative:page">
            <w10:wrap type="square" side="both"/>
            <v:fill opacity="1" o:opacity2="1" recolor="f" rotate="f" type="solid"/>
            <v:textbox inset="0pt, 0pt, 0pt, 0pt">
              <w:txbxContent>
                <w:p>
                  <w:pPr>
                    <w:tabs>
                      <w:tab w:val="right" w:leader="none" w:pos="2664"/>
                    </w:tabs>
                    <w:spacing w:before="0" w:after="0" w:line="225"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	</w:t>
                  </w:r>
                  <w:r>
                    <w:rPr>
                      <w:rFonts w:ascii="Times New Roman" w:hAnsi="Times New Roman" w:eastAsia="Times New Roman"/>
                      <w:color w:val="000000"/>
                      <w:spacing w:val="0"/>
                      <w:w w:val="100"/>
                      <w:sz w:val="20"/>
                      <w:vertAlign w:val="baseline"/>
                      <w:lang w:val="en-US"/>
                    </w:rPr>
                    <w:t xml:space="preserve">4,4'-Methylene bis</w:t>
                  </w:r>
                </w:p>
                <w:p>
                  <w:pPr>
                    <w:spacing w:before="0" w:after="0" w:line="226" w:lineRule="exact"/>
                    <w:ind w:right="0" w:left="115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(2-chloroaniline) (MOCA)</w:t>
                  </w:r>
                </w:p>
              </w:txbxContent>
            </v:textbox>
          </v:shape>
        </w:pict>
      </w:r>
      <w:r>
        <w:pict>
          <v:shapetype id="_x0000_t113" coordsize="21600,21600" o:spt="202" path="m,l,21600r21600,l21600,xe">
            <v:stroke joinstyle="miter"/>
            <v:path gradientshapeok="t" o:connecttype="rect"/>
          </v:shapetype>
          <v:shape id="_x0000_s112" type="#_x0000_t113" filled="f" stroked="f" style="position:absolute;width:229pt;height:358.5pt;z-index:-1;margin-left:261.85pt;margin-top:369.35pt;mso-wrap-distance-left:0pt;mso-wrap-distance-right:0pt;mso-position-horizontal-relative:page;mso-position-vertical-relative:page">
            <w10:wrap type="square" side="both"/>
            <v:fill opacity="1" o:opacity2="1" recolor="f" rotate="f" type="solid"/>
            <v:textbox inset="0pt, 0pt, 0pt, 0pt">
              <w:txbxContent>
                <w:p>
                  <w:pPr>
                    <w:spacing w:before="4"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Demographic, medical and occupational history</w:t>
                  </w:r>
                </w:p>
                <w:p>
                  <w:pPr>
                    <w:spacing w:before="62"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Physical examination</w:t>
                  </w:r>
                </w:p>
                <w:p>
                  <w:pPr>
                    <w:spacing w:before="62"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Urinary total MOCA</w:t>
                  </w:r>
                </w:p>
                <w:p>
                  <w:pPr>
                    <w:spacing w:before="62"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Dipstick analysis of urine for haematuria</w:t>
                  </w:r>
                </w:p>
                <w:p>
                  <w:pPr>
                    <w:spacing w:before="67"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Urine cytology</w:t>
                  </w:r>
                </w:p>
                <w:p>
                  <w:pPr>
                    <w:spacing w:before="110" w:after="0" w:line="235" w:lineRule="exact"/>
                    <w:ind w:right="720" w:left="0"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Demographic, medical and occupational history including pattern of use</w:t>
                  </w:r>
                </w:p>
                <w:p>
                  <w:pPr>
                    <w:spacing w:before="62"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Physical examination</w:t>
                  </w:r>
                </w:p>
                <w:p>
                  <w:pPr>
                    <w:spacing w:before="57" w:after="0" w:line="231" w:lineRule="exact"/>
                    <w:ind w:right="0" w:left="0" w:firstLine="0"/>
                    <w:jc w:val="both"/>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Baseline estimation of red cell and plasma cholinesterase activity levels by the Ellman or equivalent method</w:t>
                  </w:r>
                </w:p>
                <w:p>
                  <w:pPr>
                    <w:spacing w:before="63"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Estimation of red cell and plasma cholinesterase activity towards the end of the working day on which organophosphate pesticides have been used</w:t>
                  </w:r>
                </w:p>
                <w:p>
                  <w:pPr>
                    <w:spacing w:before="63" w:after="0" w:line="288" w:lineRule="exact"/>
                    <w:ind w:right="720" w:left="0"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Demographic, medical and occupational history Records of personal exposure</w:t>
                  </w:r>
                </w:p>
                <w:p>
                  <w:pPr>
                    <w:spacing w:before="58" w:after="0" w:line="230" w:lineRule="exact"/>
                    <w:ind w:right="72" w:left="0"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Physical examination with emphasis on the skin, noting any abnormal lesions or effects of irritancy</w:t>
                  </w:r>
                </w:p>
                <w:p>
                  <w:pPr>
                    <w:spacing w:before="67"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Urinary total pentachlorophenol</w:t>
                  </w:r>
                </w:p>
                <w:p>
                  <w:pPr>
                    <w:spacing w:before="62"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Dipstick urinalysis for haematuria and proteinuria</w:t>
                  </w:r>
                </w:p>
                <w:p>
                  <w:pPr>
                    <w:spacing w:before="124"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Demographic, medical and occupational history</w:t>
                  </w:r>
                </w:p>
                <w:p>
                  <w:pPr>
                    <w:spacing w:before="62"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Physical examination</w:t>
                  </w:r>
                </w:p>
                <w:p>
                  <w:pPr>
                    <w:spacing w:before="67" w:after="0" w:line="226" w:lineRule="exact"/>
                    <w:ind w:right="0" w:left="0" w:firstLine="0"/>
                    <w:jc w:val="left"/>
                    <w:textAlignment w:val="baseline"/>
                    <w:rPr>
                      <w:rFonts w:ascii="Times New Roman" w:hAnsi="Times New Roman" w:eastAsia="Times New Roman"/>
                      <w:color w:val="000000"/>
                      <w:spacing w:val="-2"/>
                      <w:w w:val="100"/>
                      <w:sz w:val="20"/>
                      <w:vertAlign w:val="baseline"/>
                      <w:lang w:val="en-US"/>
                    </w:rPr>
                  </w:pPr>
                  <w:r>
                    <w:rPr>
                      <w:rFonts w:ascii="Times New Roman" w:hAnsi="Times New Roman" w:eastAsia="Times New Roman"/>
                      <w:color w:val="000000"/>
                      <w:spacing w:val="-2"/>
                      <w:w w:val="100"/>
                      <w:sz w:val="20"/>
                      <w:vertAlign w:val="baseline"/>
                      <w:lang w:val="en-US"/>
                    </w:rPr>
                    <w:t xml:space="preserve">Records of personal exposure, including photosensitivity</w:t>
                  </w:r>
                </w:p>
                <w:p>
                  <w:pPr>
                    <w:spacing w:before="57" w:after="442" w:line="231" w:lineRule="exact"/>
                    <w:ind w:right="72" w:left="0"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Health advice, including recognition of photosensitivity and skin changes</w:t>
                  </w:r>
                </w:p>
              </w:txbxContent>
            </v:textbox>
          </v:shape>
        </w:pict>
      </w:r>
      <w:r>
        <w:pict>
          <v:shapetype id="_x0000_t114" coordsize="21600,21600" o:spt="202" path="m,l,21600r21600,l21600,xe">
            <v:stroke joinstyle="miter"/>
            <v:path gradientshapeok="t" o:connecttype="rect"/>
          </v:shapetype>
          <v:shape id="_x0000_s113" type="#_x0000_t114" filled="f" stroked="f" style="position:absolute;width:129.1pt;height:23.25pt;z-index:-1;margin-left:105.6pt;margin-top:444.45pt;mso-wrap-distance-left:0pt;mso-wrap-distance-right:0pt;mso-position-horizontal-relative:page;mso-position-vertical-relative:page">
            <w10:wrap type="square" side="both"/>
            <v:fill opacity="1" o:opacity2="1" recolor="f" rotate="f" type="solid"/>
            <v:textbox inset="0pt, 0pt, 0pt, 0pt">
              <w:txbxContent>
                <w:p>
                  <w:pPr>
                    <w:tabs>
                      <w:tab w:val="right" w:leader="none" w:pos="2592"/>
                    </w:tabs>
                    <w:spacing w:before="4"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11	</w:t>
                  </w:r>
                  <w:r>
                    <w:rPr>
                      <w:rFonts w:ascii="Times New Roman" w:hAnsi="Times New Roman" w:eastAsia="Times New Roman"/>
                      <w:color w:val="000000"/>
                      <w:spacing w:val="0"/>
                      <w:w w:val="100"/>
                      <w:sz w:val="20"/>
                      <w:vertAlign w:val="baseline"/>
                      <w:lang w:val="en-US"/>
                    </w:rPr>
                    <w:t xml:space="preserve">Organophosphate</w:t>
                  </w:r>
                </w:p>
                <w:p>
                  <w:pPr>
                    <w:spacing w:before="9" w:after="0" w:line="217" w:lineRule="exact"/>
                    <w:ind w:right="0" w:left="115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pesticides</w:t>
                  </w:r>
                </w:p>
              </w:txbxContent>
            </v:textbox>
          </v:shape>
        </w:pict>
      </w:r>
      <w:r>
        <w:pict>
          <v:shapetype id="_x0000_t115" coordsize="21600,21600" o:spt="202" path="m,l,21600r21600,l21600,xe">
            <v:stroke joinstyle="miter"/>
            <v:path gradientshapeok="t" o:connecttype="rect"/>
          </v:shapetype>
          <v:shape id="_x0000_s114" type="#_x0000_t115" filled="f" stroked="f" style="position:absolute;width:133.45pt;height:23pt;z-index:-1;margin-left:105.6pt;margin-top:551.5pt;mso-wrap-distance-left:0pt;mso-wrap-distance-right:0pt;mso-position-horizontal-relative:page;mso-position-vertical-relative:page">
            <w10:wrap type="square" side="both"/>
            <v:fill opacity="1" o:opacity2="1" recolor="f" rotate="f" type="solid"/>
            <v:textbox inset="0pt, 0pt, 0pt, 0pt">
              <w:txbxContent>
                <w:p>
                  <w:pPr>
                    <w:tabs>
                      <w:tab w:val="right" w:leader="none" w:pos="2664"/>
                    </w:tabs>
                    <w:spacing w:before="4"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12	</w:t>
                  </w:r>
                  <w:r>
                    <w:rPr>
                      <w:rFonts w:ascii="Times New Roman" w:hAnsi="Times New Roman" w:eastAsia="Times New Roman"/>
                      <w:color w:val="000000"/>
                      <w:spacing w:val="0"/>
                      <w:w w:val="100"/>
                      <w:sz w:val="20"/>
                      <w:vertAlign w:val="baseline"/>
                      <w:lang w:val="en-US"/>
                    </w:rPr>
                    <w:t xml:space="preserve">Pentachlorophenol</w:t>
                  </w:r>
                </w:p>
                <w:p>
                  <w:pPr>
                    <w:spacing w:before="4" w:after="0" w:line="212" w:lineRule="exact"/>
                    <w:ind w:right="0" w:left="0" w:firstLine="0"/>
                    <w:jc w:val="center"/>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(PCP)</w:t>
                  </w:r>
                </w:p>
              </w:txbxContent>
            </v:textbox>
          </v:shape>
        </w:pict>
      </w:r>
      <w:r>
        <w:pict>
          <v:shapetype id="_x0000_t116" coordsize="21600,21600" o:spt="202" path="m,l,21600r21600,l21600,xe">
            <v:stroke joinstyle="miter"/>
            <v:path gradientshapeok="t" o:connecttype="rect"/>
          </v:shapetype>
          <v:shape id="_x0000_s115" type="#_x0000_t116" filled="f" stroked="f" style="position:absolute;width:142.1pt;height:23.45pt;z-index:-1;margin-left:105.6pt;margin-top:638.4pt;mso-wrap-distance-left:0pt;mso-wrap-distance-right:0pt;mso-position-horizontal-relative:page;mso-position-vertical-relative:page">
            <w10:wrap type="square" side="both"/>
            <v:fill opacity="1" o:opacity2="1" recolor="f" rotate="f" type="solid"/>
            <v:textbox inset="0pt, 0pt, 0pt, 0pt">
              <w:txbxContent>
                <w:p>
                  <w:pPr>
                    <w:tabs>
                      <w:tab w:val="right" w:leader="none" w:pos="2808"/>
                    </w:tabs>
                    <w:spacing w:before="4" w:after="0" w:line="226"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13	</w:t>
                  </w:r>
                  <w:r>
                    <w:rPr>
                      <w:rFonts w:ascii="Times New Roman" w:hAnsi="Times New Roman" w:eastAsia="Times New Roman"/>
                      <w:color w:val="000000"/>
                      <w:spacing w:val="0"/>
                      <w:w w:val="100"/>
                      <w:sz w:val="20"/>
                      <w:vertAlign w:val="baseline"/>
                      <w:lang w:val="en-US"/>
                    </w:rPr>
                    <w:t xml:space="preserve">Polycyclic aromatic</w:t>
                  </w:r>
                </w:p>
                <w:p>
                  <w:pPr>
                    <w:spacing w:before="9" w:after="0" w:line="226" w:lineRule="exact"/>
                    <w:ind w:right="0"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hydrocarbons (PAH)</w:t>
                  </w:r>
                </w:p>
              </w:txbxContent>
            </v:textbox>
          </v:shape>
        </w:pict>
      </w:r>
      <w:r>
        <w:pict>
          <v:shapetype id="_x0000_t117" coordsize="21600,21600" o:spt="202" path="m,l,21600r21600,l21600,xe">
            <v:stroke joinstyle="miter"/>
            <v:path gradientshapeok="t" o:connecttype="rect"/>
          </v:shapetype>
          <v:shape id="_x0000_s116" type="#_x0000_t117" filled="f" stroked="f" style="position:absolute;width:206pt;height:10pt;z-index:-1;margin-left:98.9pt;margin-top:758pt;mso-wrap-distance-left:0pt;mso-wrap-distance-right:0pt;mso-position-horizontal-relative:page;mso-position-vertical-relative:page">
            <w10:wrap type="square" side="both"/>
            <v:fill opacity="1" o:opacity2="1" recolor="f" rotate="f" type="solid"/>
            <v:textbox inset="0pt, 0pt, 0pt, 0pt">
              <w:txbxContent>
                <w:p>
                  <w:pPr>
                    <w:tabs>
                      <w:tab w:val="right" w:leader="none" w:pos="4176"/>
                    </w:tabs>
                    <w:spacing w:before="6" w:after="5"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480</w:t>
                  </w:r>
                </w:p>
              </w:txbxContent>
            </v:textbox>
          </v:shape>
        </w:pict>
      </w:r>
      <w:r>
        <w:pict>
          <v:line strokeweight="0.5pt" strokecolor="#000000" from="97.45pt,103.9pt" to="498.5pt,103.9pt" style="position:absolute;mso-position-horizontal-relative:page;mso-position-vertical-relative:page;">
            <v:stroke dashstyle="solid"/>
          </v:line>
        </w:pict>
      </w:r>
      <w:r>
        <w:pict>
          <v:line strokeweight="0.5pt" strokecolor="#000000" from="97.45pt,115.9pt" to="498.5pt,115.9pt" style="position:absolute;mso-position-horizontal-relative:page;mso-position-vertical-relative:page;">
            <v:stroke dashstyle="solid"/>
          </v:line>
        </w:pict>
      </w:r>
      <w:r>
        <w:pict>
          <v:line strokeweight="0.5pt" strokecolor="#000000" from="97.45pt,148.3pt" to="498.5pt,148.3pt" style="position:absolute;mso-position-horizontal-relative:page;mso-position-vertical-relative:page;">
            <v:stroke dashstyle="solid"/>
          </v:line>
        </w:pict>
      </w:r>
      <w:r>
        <w:pict>
          <v:line strokeweight="0.5pt" strokecolor="#000000" from="97.45pt,728.15pt" to="498.5pt,728.15pt" style="position:absolute;mso-position-horizontal-relative:page;mso-position-vertical-relative:page;">
            <v:stroke dashstyle="solid"/>
          </v:line>
        </w:pict>
      </w:r>
    </w:p>
    <w:p>
      <w:pPr>
        <w:sectPr>
          <w:type w:val="nextPage"/>
          <w:pgSz w:w="11909" w:h="16838" w:orient="portrait"/>
          <w:pgMar w:bottom="1096" w:top="852" w:right="1940" w:left="1949"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Schedule 14 Requirements for health monitoring</w:t>
      </w:r>
    </w:p>
    <w:p>
      <w:pPr>
        <w:tabs>
          <w:tab w:val="left" w:leader="none" w:pos="3312"/>
        </w:tabs>
        <w:spacing w:before="320" w:after="0" w:line="228" w:lineRule="exact"/>
        <w:ind w:right="0" w:left="144"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7.45pt,103.9pt" to="498.5pt,103.9pt" style="position:absolute;mso-position-horizontal-relative:page;mso-position-vertical-relative:page;">
            <v:stroke dashstyle="solid"/>
          </v:line>
        </w:pict>
      </w:r>
      <w:r>
        <w:pict>
          <v:line strokeweight="0.5pt" strokecolor="#000000" from="97.45pt,115.9pt" to="498.5pt,115.9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Column 1 Column 2	</w:t>
      </w:r>
      <w:r>
        <w:rPr>
          <w:rFonts w:ascii="Times New Roman" w:hAnsi="Times New Roman" w:eastAsia="Times New Roman"/>
          <w:b w:val="true"/>
          <w:color w:val="000000"/>
          <w:spacing w:val="0"/>
          <w:w w:val="100"/>
          <w:sz w:val="20"/>
          <w:vertAlign w:val="baseline"/>
          <w:lang w:val="en-US"/>
        </w:rPr>
        <w:t xml:space="preserve">Column 3</w:t>
      </w:r>
    </w:p>
    <w:p>
      <w:pPr>
        <w:tabs>
          <w:tab w:val="left" w:leader="none" w:pos="1296"/>
        </w:tabs>
        <w:spacing w:before="64" w:after="40" w:line="228" w:lineRule="exact"/>
        <w:ind w:right="0" w:left="144" w:firstLine="0"/>
        <w:jc w:val="left"/>
        <w:textAlignment w:val="baseline"/>
        <w:rPr>
          <w:rFonts w:ascii="Times New Roman" w:hAnsi="Times New Roman" w:eastAsia="Times New Roman"/>
          <w:b w:val="true"/>
          <w:color w:val="000000"/>
          <w:spacing w:val="4"/>
          <w:w w:val="100"/>
          <w:sz w:val="20"/>
          <w:vertAlign w:val="baseline"/>
          <w:lang w:val="en-US"/>
        </w:rPr>
      </w:pPr>
      <w:r>
        <w:rPr>
          <w:rFonts w:ascii="Times New Roman" w:hAnsi="Times New Roman" w:eastAsia="Times New Roman"/>
          <w:b w:val="true"/>
          <w:color w:val="000000"/>
          <w:spacing w:val="4"/>
          <w:w w:val="100"/>
          <w:sz w:val="20"/>
          <w:vertAlign w:val="baseline"/>
          <w:lang w:val="en-US"/>
        </w:rPr>
        <w:t xml:space="preserve">Item	</w:t>
      </w:r>
      <w:r>
        <w:rPr>
          <w:rFonts w:ascii="Times New Roman" w:hAnsi="Times New Roman" w:eastAsia="Times New Roman"/>
          <w:b w:val="true"/>
          <w:color w:val="000000"/>
          <w:spacing w:val="4"/>
          <w:w w:val="100"/>
          <w:sz w:val="20"/>
          <w:vertAlign w:val="baseline"/>
          <w:lang w:val="en-US"/>
        </w:rPr>
        <w:t xml:space="preserve">Hazardous chemical Type of health monitoring</w:t>
      </w:r>
    </w:p>
    <w:p>
      <w:pPr>
        <w:tabs>
          <w:tab w:val="left" w:leader="none" w:pos="1368"/>
          <w:tab w:val="left" w:leader="none" w:pos="3312"/>
        </w:tabs>
        <w:spacing w:before="77" w:after="0" w:line="228"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148.3pt" to="498.5pt,148.3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14	</w:t>
      </w:r>
      <w:r>
        <w:rPr>
          <w:rFonts w:ascii="Times New Roman" w:hAnsi="Times New Roman" w:eastAsia="Times New Roman"/>
          <w:color w:val="000000"/>
          <w:spacing w:val="0"/>
          <w:w w:val="100"/>
          <w:sz w:val="20"/>
          <w:vertAlign w:val="baseline"/>
          <w:lang w:val="en-US"/>
        </w:rPr>
        <w:t xml:space="preserve">Thallium	</w:t>
      </w:r>
      <w:r>
        <w:rPr>
          <w:rFonts w:ascii="Times New Roman" w:hAnsi="Times New Roman" w:eastAsia="Times New Roman"/>
          <w:color w:val="000000"/>
          <w:spacing w:val="0"/>
          <w:w w:val="100"/>
          <w:sz w:val="20"/>
          <w:vertAlign w:val="baseline"/>
          <w:lang w:val="en-US"/>
        </w:rPr>
        <w:t xml:space="preserve">Demographic, medical and occupational history</w:t>
      </w:r>
    </w:p>
    <w:p>
      <w:pPr>
        <w:spacing w:before="60" w:after="0" w:line="228" w:lineRule="exact"/>
        <w:ind w:right="0" w:left="324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Physical examination</w:t>
      </w:r>
    </w:p>
    <w:p>
      <w:pPr>
        <w:spacing w:before="65" w:after="0" w:line="228" w:lineRule="exact"/>
        <w:ind w:right="0" w:left="324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Urinary thallium</w:t>
      </w:r>
    </w:p>
    <w:p>
      <w:pPr>
        <w:tabs>
          <w:tab w:val="left" w:leader="none" w:pos="1368"/>
          <w:tab w:val="left" w:leader="none" w:pos="3312"/>
        </w:tabs>
        <w:spacing w:before="122" w:after="0" w:line="228"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15	</w:t>
      </w:r>
      <w:r>
        <w:rPr>
          <w:rFonts w:ascii="Times New Roman" w:hAnsi="Times New Roman" w:eastAsia="Times New Roman"/>
          <w:color w:val="000000"/>
          <w:spacing w:val="0"/>
          <w:w w:val="100"/>
          <w:sz w:val="20"/>
          <w:vertAlign w:val="baseline"/>
          <w:lang w:val="en-US"/>
        </w:rPr>
        <w:t xml:space="preserve">Vinyl chloride	</w:t>
      </w:r>
      <w:r>
        <w:rPr>
          <w:rFonts w:ascii="Times New Roman" w:hAnsi="Times New Roman" w:eastAsia="Times New Roman"/>
          <w:color w:val="000000"/>
          <w:spacing w:val="0"/>
          <w:w w:val="100"/>
          <w:sz w:val="20"/>
          <w:vertAlign w:val="baseline"/>
          <w:lang w:val="en-US"/>
        </w:rPr>
        <w:t xml:space="preserve">Demographic, medical and occupational history</w:t>
      </w:r>
    </w:p>
    <w:p>
      <w:pPr>
        <w:spacing w:before="60" w:after="0" w:line="228" w:lineRule="exact"/>
        <w:ind w:right="0" w:left="324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Physical examination</w:t>
      </w:r>
    </w:p>
    <w:p>
      <w:pPr>
        <w:spacing w:before="65" w:after="32" w:line="228" w:lineRule="exact"/>
        <w:ind w:right="0" w:left="324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Records of personal exposure</w:t>
      </w:r>
    </w:p>
    <w:p>
      <w:pPr>
        <w:spacing w:before="936" w:after="32" w:line="228" w:lineRule="exact"/>
        <w:ind w:right="0" w:left="0"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7.45pt,241.45pt" to="498.5pt,241.45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Table 14.2 Lead requiring health monitoring</w:t>
      </w:r>
    </w:p>
    <w:p>
      <w:pPr>
        <w:tabs>
          <w:tab w:val="left" w:leader="none" w:pos="3240"/>
        </w:tabs>
        <w:spacing w:before="85" w:after="0" w:line="228" w:lineRule="exact"/>
        <w:ind w:right="0" w:left="144"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7.45pt,301.9pt" to="498.5pt,301.9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Column 1 Column 2	</w:t>
      </w:r>
      <w:r>
        <w:rPr>
          <w:rFonts w:ascii="Times New Roman" w:hAnsi="Times New Roman" w:eastAsia="Times New Roman"/>
          <w:b w:val="true"/>
          <w:color w:val="000000"/>
          <w:spacing w:val="0"/>
          <w:w w:val="100"/>
          <w:sz w:val="20"/>
          <w:vertAlign w:val="baseline"/>
          <w:lang w:val="en-US"/>
        </w:rPr>
        <w:t xml:space="preserve">Column 3</w:t>
      </w:r>
    </w:p>
    <w:p>
      <w:pPr>
        <w:tabs>
          <w:tab w:val="left" w:leader="none" w:pos="1368"/>
          <w:tab w:val="left" w:leader="none" w:pos="3240"/>
        </w:tabs>
        <w:spacing w:before="54" w:after="52" w:line="230" w:lineRule="exact"/>
        <w:ind w:right="0" w:left="14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Item	</w:t>
      </w:r>
      <w:r>
        <w:rPr>
          <w:rFonts w:ascii="Times New Roman" w:hAnsi="Times New Roman" w:eastAsia="Times New Roman"/>
          <w:b w:val="true"/>
          <w:color w:val="000000"/>
          <w:spacing w:val="0"/>
          <w:w w:val="100"/>
          <w:sz w:val="20"/>
          <w:vertAlign w:val="baseline"/>
          <w:lang w:val="en-US"/>
        </w:rPr>
        <w:t xml:space="preserve">Lead	</w:t>
      </w:r>
      <w:r>
        <w:rPr>
          <w:rFonts w:ascii="Times New Roman" w:hAnsi="Times New Roman" w:eastAsia="Times New Roman"/>
          <w:b w:val="true"/>
          <w:color w:val="000000"/>
          <w:spacing w:val="0"/>
          <w:w w:val="100"/>
          <w:sz w:val="20"/>
          <w:vertAlign w:val="baseline"/>
          <w:lang w:val="en-US"/>
        </w:rPr>
        <w:t xml:space="preserve">Type of health monitoring</w:t>
      </w:r>
    </w:p>
    <w:p>
      <w:pPr>
        <w:tabs>
          <w:tab w:val="left" w:leader="none" w:pos="1368"/>
          <w:tab w:val="left" w:leader="none" w:pos="3240"/>
        </w:tabs>
        <w:spacing w:before="87" w:after="0" w:line="228"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7.45pt,334.55pt" to="498.5pt,334.5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Lead (inorganic)	</w:t>
      </w:r>
      <w:r>
        <w:rPr>
          <w:rFonts w:ascii="Times New Roman" w:hAnsi="Times New Roman" w:eastAsia="Times New Roman"/>
          <w:color w:val="000000"/>
          <w:spacing w:val="0"/>
          <w:w w:val="100"/>
          <w:sz w:val="20"/>
          <w:vertAlign w:val="baseline"/>
          <w:lang w:val="en-US"/>
        </w:rPr>
        <w:t xml:space="preserve">Demographic, medical and occupational history</w:t>
      </w:r>
    </w:p>
    <w:p>
      <w:pPr>
        <w:spacing w:before="0" w:after="41" w:line="288" w:lineRule="exact"/>
        <w:ind w:right="0" w:left="144"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Physical examination</w:t>
        <w:br/>
      </w:r>
      <w:r>
        <w:rPr>
          <w:rFonts w:ascii="Times New Roman" w:hAnsi="Times New Roman" w:eastAsia="Times New Roman"/>
          <w:color w:val="000000"/>
          <w:spacing w:val="0"/>
          <w:w w:val="100"/>
          <w:sz w:val="20"/>
          <w:vertAlign w:val="baseline"/>
          <w:lang w:val="en-US"/>
        </w:rPr>
        <w:t xml:space="preserve">Biological monitoring</w:t>
      </w:r>
    </w:p>
    <w:p>
      <w:pPr>
        <w:tabs>
          <w:tab w:val="left" w:leader="none" w:pos="3888"/>
        </w:tabs>
        <w:spacing w:before="7540" w:after="0" w:line="179" w:lineRule="exact"/>
        <w:ind w:right="0" w:left="0" w:firstLine="0"/>
        <w:jc w:val="left"/>
        <w:textAlignment w:val="baseline"/>
        <w:rPr>
          <w:rFonts w:ascii="Times New Roman" w:hAnsi="Times New Roman" w:eastAsia="Times New Roman"/>
          <w:color w:val="000000"/>
          <w:spacing w:val="-1"/>
          <w:w w:val="100"/>
          <w:sz w:val="16"/>
          <w:vertAlign w:val="baseline"/>
          <w:lang w:val="en-US"/>
        </w:rPr>
      </w:pPr>
      <w:r>
        <w:pict>
          <v:line strokeweight="0.5pt" strokecolor="#000000" from="97.45pt,381.6pt" to="498.5pt,381.6pt" style="position:absolute;mso-position-horizontal-relative:page;mso-position-vertical-relative:page;">
            <v:stroke dashstyle="solid"/>
          </v:line>
        </w:pict>
      </w: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1"/>
          <w:w w:val="100"/>
          <w:sz w:val="16"/>
          <w:vertAlign w:val="baseline"/>
          <w:lang w:val="en-US"/>
        </w:rPr>
        <w:t xml:space="preserve">PCC [359] 14.5.2022	</w:t>
      </w:r>
      <w:r>
        <w:rPr>
          <w:rFonts w:ascii="Times New Roman" w:hAnsi="Times New Roman" w:eastAsia="Times New Roman"/>
          <w:color w:val="000000"/>
          <w:spacing w:val="-1"/>
          <w:w w:val="100"/>
          <w:sz w:val="16"/>
          <w:vertAlign w:val="baseline"/>
          <w:lang w:val="en-US"/>
        </w:rPr>
        <w:t xml:space="preserve">481</w:t>
      </w:r>
    </w:p>
    <w:p>
      <w:pPr>
        <w:sectPr>
          <w:type w:val="nextPage"/>
          <w:pgSz w:w="11909" w:h="16838" w:orient="portrait"/>
          <w:pgMar w:bottom="1082" w:top="1140" w:right="1940" w:left="1949"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Schedule 15 Hazardous chemicals at major hazard facilities (and their threshold quantity)</w:t>
      </w:r>
    </w:p>
    <w:p>
      <w:pPr>
        <w:spacing w:before="253" w:after="0" w:line="321" w:lineRule="exact"/>
        <w:ind w:right="792" w:left="1584" w:hanging="1584"/>
        <w:jc w:val="left"/>
        <w:textAlignment w:val="baseline"/>
        <w:rPr>
          <w:rFonts w:ascii="Times New Roman" w:hAnsi="Times New Roman" w:eastAsia="Times New Roman"/>
          <w:b w:val="true"/>
          <w:color w:val="000000"/>
          <w:spacing w:val="0"/>
          <w:w w:val="100"/>
          <w:sz w:val="28"/>
          <w:vertAlign w:val="baseline"/>
          <w:lang w:val="en-US"/>
        </w:rPr>
      </w:pPr>
      <w:r>
        <w:pict>
          <v:line strokeweight="0.5pt" strokecolor="#000000" from="97.45pt,103.9pt" to="498.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8"/>
          <w:vertAlign w:val="baseline"/>
          <w:lang w:val="en-US"/>
        </w:rPr>
        <w:t xml:space="preserve">Schedule 15 Hazardous chemicals at major hazard facilities (and their threshold quantity)</w:t>
      </w:r>
    </w:p>
    <w:p>
      <w:pPr>
        <w:spacing w:before="123" w:after="0" w:line="227" w:lineRule="exact"/>
        <w:ind w:right="0"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Chapter 9</w:t>
      </w:r>
    </w:p>
    <w:p>
      <w:pPr>
        <w:spacing w:before="120"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 Definitions</w:t>
      </w:r>
    </w:p>
    <w:p>
      <w:pPr>
        <w:spacing w:before="121" w:after="0" w:line="275"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this Schedule:</w:t>
      </w:r>
    </w:p>
    <w:p>
      <w:pPr>
        <w:spacing w:before="121" w:after="0" w:line="275"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Class </w:t>
      </w:r>
      <w:r>
        <w:rPr>
          <w:rFonts w:ascii="Times New Roman" w:hAnsi="Times New Roman" w:eastAsia="Times New Roman"/>
          <w:color w:val="000000"/>
          <w:spacing w:val="0"/>
          <w:w w:val="100"/>
          <w:sz w:val="24"/>
          <w:vertAlign w:val="baseline"/>
          <w:lang w:val="en-US"/>
        </w:rPr>
        <w:t xml:space="preserve">has the same meaning as in the ADG Code.</w:t>
      </w:r>
    </w:p>
    <w:p>
      <w:pPr>
        <w:spacing w:before="123" w:after="0" w:line="275"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Division </w:t>
      </w:r>
      <w:r>
        <w:rPr>
          <w:rFonts w:ascii="Times New Roman" w:hAnsi="Times New Roman" w:eastAsia="Times New Roman"/>
          <w:color w:val="000000"/>
          <w:spacing w:val="0"/>
          <w:w w:val="100"/>
          <w:sz w:val="24"/>
          <w:vertAlign w:val="baseline"/>
          <w:lang w:val="en-US"/>
        </w:rPr>
        <w:t xml:space="preserve">has the same meaning as in the ADG Code.</w:t>
      </w:r>
    </w:p>
    <w:p>
      <w:pPr>
        <w:spacing w:before="119" w:after="0" w:line="275"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Packing Group </w:t>
      </w:r>
      <w:r>
        <w:rPr>
          <w:rFonts w:ascii="Times New Roman" w:hAnsi="Times New Roman" w:eastAsia="Times New Roman"/>
          <w:color w:val="000000"/>
          <w:spacing w:val="0"/>
          <w:w w:val="100"/>
          <w:sz w:val="24"/>
          <w:vertAlign w:val="baseline"/>
          <w:lang w:val="en-US"/>
        </w:rPr>
        <w:t xml:space="preserve">has the same meaning as in the ADG Code.</w:t>
      </w:r>
    </w:p>
    <w:p>
      <w:pPr>
        <w:spacing w:before="123" w:after="0" w:line="275" w:lineRule="exact"/>
        <w:ind w:right="0" w:left="1368"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subsidiary risk </w:t>
      </w:r>
      <w:r>
        <w:rPr>
          <w:rFonts w:ascii="Times New Roman" w:hAnsi="Times New Roman" w:eastAsia="Times New Roman"/>
          <w:color w:val="000000"/>
          <w:spacing w:val="0"/>
          <w:w w:val="100"/>
          <w:sz w:val="24"/>
          <w:vertAlign w:val="baseline"/>
          <w:lang w:val="en-US"/>
        </w:rPr>
        <w:t xml:space="preserve">has the same meaning as in the ADG Code.</w:t>
      </w:r>
    </w:p>
    <w:p>
      <w:pPr>
        <w:spacing w:before="120"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 Relevant hazardous chemicals</w:t>
      </w:r>
    </w:p>
    <w:p>
      <w:pPr>
        <w:spacing w:before="122" w:after="0" w:line="275" w:lineRule="exact"/>
        <w:ind w:right="144"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hazardous chemicals that characterise a workplace as a facility for the purposes of these Regulations are the chemicals specifically referred to in table 15.1 and chemicals that belong to the types, classes and categories referred to in table 15.2.</w:t>
      </w:r>
    </w:p>
    <w:p>
      <w:pPr>
        <w:spacing w:before="126"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3 Threshold quantity of one hazardous chemical</w:t>
      </w:r>
    </w:p>
    <w:p>
      <w:pPr>
        <w:numPr>
          <w:ilvl w:val="0"/>
          <w:numId w:val="1146"/>
        </w:numPr>
        <w:tabs>
          <w:tab w:val="clear" w:pos="360"/>
          <w:tab w:val="left" w:pos="1368"/>
        </w:tabs>
        <w:spacing w:before="119" w:after="0" w:line="275" w:lineRule="exact"/>
        <w:ind w:right="72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 relation to each hazardous chemical referred to in clause 2, column 3 of Tables 15.1 and 15.2 provides a quantity that is described as the "threshold quantity" of that chemical.</w:t>
      </w:r>
    </w:p>
    <w:p>
      <w:pPr>
        <w:numPr>
          <w:ilvl w:val="0"/>
          <w:numId w:val="1146"/>
        </w:numPr>
        <w:tabs>
          <w:tab w:val="clear" w:pos="360"/>
          <w:tab w:val="left" w:pos="1368"/>
        </w:tabs>
        <w:spacing w:before="124" w:after="0"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a hazardous chemical is referred to in table 15.1, the </w:t>
      </w:r>
      <w:r>
        <w:rPr>
          <w:rFonts w:ascii="Times New Roman" w:hAnsi="Times New Roman" w:eastAsia="Times New Roman"/>
          <w:b w:val="true"/>
          <w:i w:val="true"/>
          <w:color w:val="000000"/>
          <w:spacing w:val="0"/>
          <w:w w:val="100"/>
          <w:sz w:val="24"/>
          <w:vertAlign w:val="baseline"/>
          <w:lang w:val="en-US"/>
        </w:rPr>
        <w:t xml:space="preserve">threshold quantity </w:t>
      </w:r>
      <w:r>
        <w:rPr>
          <w:rFonts w:ascii="Times New Roman" w:hAnsi="Times New Roman" w:eastAsia="Times New Roman"/>
          <w:color w:val="000000"/>
          <w:spacing w:val="0"/>
          <w:w w:val="100"/>
          <w:sz w:val="24"/>
          <w:vertAlign w:val="baseline"/>
          <w:lang w:val="en-US"/>
        </w:rPr>
        <w:t xml:space="preserve">of the chemical is that described in table 15.1, whether or not the chemical also belongs to a type, class or category referred to in table 15.2.</w:t>
      </w:r>
    </w:p>
    <w:p>
      <w:pPr>
        <w:numPr>
          <w:ilvl w:val="0"/>
          <w:numId w:val="1146"/>
        </w:numPr>
        <w:tabs>
          <w:tab w:val="clear" w:pos="360"/>
          <w:tab w:val="left" w:pos="1368"/>
        </w:tabs>
        <w:spacing w:before="124" w:after="0" w:line="275" w:lineRule="exact"/>
        <w:ind w:right="504"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a hazardous chemical is not referred to in table 15.1, and the chemical belongs to a type, class or category referred to in table 15.2, the </w:t>
      </w:r>
      <w:r>
        <w:rPr>
          <w:rFonts w:ascii="Times New Roman" w:hAnsi="Times New Roman" w:eastAsia="Times New Roman"/>
          <w:b w:val="true"/>
          <w:i w:val="true"/>
          <w:color w:val="000000"/>
          <w:spacing w:val="0"/>
          <w:w w:val="100"/>
          <w:sz w:val="24"/>
          <w:vertAlign w:val="baseline"/>
          <w:lang w:val="en-US"/>
        </w:rPr>
        <w:t xml:space="preserve">threshold quantity </w:t>
      </w:r>
      <w:r>
        <w:rPr>
          <w:rFonts w:ascii="Times New Roman" w:hAnsi="Times New Roman" w:eastAsia="Times New Roman"/>
          <w:color w:val="000000"/>
          <w:spacing w:val="0"/>
          <w:w w:val="100"/>
          <w:sz w:val="24"/>
          <w:vertAlign w:val="baseline"/>
          <w:lang w:val="en-US"/>
        </w:rPr>
        <w:t xml:space="preserve">of that chemical is that of the type, class or category to which it belongs.</w:t>
      </w:r>
    </w:p>
    <w:p>
      <w:pPr>
        <w:numPr>
          <w:ilvl w:val="0"/>
          <w:numId w:val="1146"/>
        </w:numPr>
        <w:tabs>
          <w:tab w:val="clear" w:pos="360"/>
          <w:tab w:val="left" w:pos="1368"/>
        </w:tabs>
        <w:spacing w:before="123" w:after="0" w:line="275"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a hazardous chemical is not referred to in table 15.1, and the chemical appears to belong to more than 1 of the types, classes or categories referred to in table 15.2, the </w:t>
      </w:r>
      <w:r>
        <w:rPr>
          <w:rFonts w:ascii="Times New Roman" w:hAnsi="Times New Roman" w:eastAsia="Times New Roman"/>
          <w:b w:val="true"/>
          <w:i w:val="true"/>
          <w:color w:val="000000"/>
          <w:spacing w:val="0"/>
          <w:w w:val="100"/>
          <w:sz w:val="24"/>
          <w:vertAlign w:val="baseline"/>
          <w:lang w:val="en-US"/>
        </w:rPr>
        <w:t xml:space="preserve">threshold quantity </w:t>
      </w:r>
      <w:r>
        <w:rPr>
          <w:rFonts w:ascii="Times New Roman" w:hAnsi="Times New Roman" w:eastAsia="Times New Roman"/>
          <w:color w:val="000000"/>
          <w:spacing w:val="0"/>
          <w:w w:val="100"/>
          <w:sz w:val="24"/>
          <w:vertAlign w:val="baseline"/>
          <w:lang w:val="en-US"/>
        </w:rPr>
        <w:t xml:space="preserve">of that chemical is that of the relevant type, class or category which has the lower or lowest threshold quantity.</w:t>
      </w:r>
    </w:p>
    <w:p>
      <w:pPr>
        <w:spacing w:before="126" w:after="0" w:line="274"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4 Threshold quantity of more than 1 hazardous chemical</w:t>
      </w:r>
    </w:p>
    <w:p>
      <w:pPr>
        <w:spacing w:before="120" w:after="0" w:line="275" w:lineRule="exact"/>
        <w:ind w:right="216"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there is more than 1 hazardous chemical, a threshold quantity of chemicals exists where, if a number of chemicals are present, the</w:t>
      </w:r>
    </w:p>
    <w:p>
      <w:pPr>
        <w:spacing w:before="0" w:after="1205" w:line="274"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result of the following aggregation formula exceeds 1:</w:t>
      </w:r>
    </w:p>
    <w:p>
      <w:pPr>
        <w:spacing w:before="0" w:after="1205" w:line="274"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482</w:t>
      </w:r>
    </w:p>
    <w:p>
      <w:pPr>
        <w:sectPr>
          <w:type w:val="continuous"/>
          <w:pgSz w:w="11909" w:h="16838" w:orient="portrait"/>
          <w:pgMar w:bottom="1082" w:top="1140" w:right="5811" w:left="1978" w:header="720" w:footer="720"/>
          <w:titlePg w:val="false"/>
          <w:textDirection w:val="lrTb"/>
        </w:sectPr>
      </w:pPr>
    </w:p>
    <w:p>
      <w:pPr>
        <w:spacing w:before="6" w:after="0"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spacing w:before="233" w:after="224" w:line="228"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Schedule 15 Hazardous chemicals at major hazard facilities (and their threshold quantity)</w:t>
      </w:r>
    </w:p>
    <w:p>
      <w:pPr>
        <w:tabs>
          <w:tab w:val="left" w:leader="none" w:pos="2016"/>
          <w:tab w:val="right" w:leader="none" w:pos="3456"/>
        </w:tabs>
        <w:spacing w:before="273" w:after="0" w:line="199" w:lineRule="exact"/>
        <w:ind w:right="0" w:left="1512" w:firstLine="0"/>
        <w:jc w:val="left"/>
        <w:textAlignment w:val="baseline"/>
        <w:rPr>
          <w:rFonts w:ascii="Arial" w:hAnsi="Arial" w:eastAsia="Arial"/>
          <w:i w:val="true"/>
          <w:color w:val="000000"/>
          <w:spacing w:val="0"/>
          <w:w w:val="100"/>
          <w:sz w:val="23"/>
          <w:vertAlign w:val="baseline"/>
          <w:lang w:val="en-US"/>
        </w:rPr>
      </w:pPr>
      <w:r>
        <w:pict>
          <v:line strokeweight="0.5pt" strokecolor="#000000" from="97.45pt,103.9pt" to="498.5pt,103.9pt" style="position:absolute;mso-position-horizontal-relative:page;mso-position-vertical-relative:page;">
            <v:stroke dashstyle="solid"/>
          </v:line>
        </w:pict>
      </w:r>
      <w:r>
        <w:rPr>
          <w:rFonts w:ascii="Arial" w:hAnsi="Arial" w:eastAsia="Arial"/>
          <w:i w:val="true"/>
          <w:color w:val="000000"/>
          <w:spacing w:val="0"/>
          <w:w w:val="100"/>
          <w:sz w:val="23"/>
          <w:vertAlign w:val="baseline"/>
          <w:lang w:val="en-US"/>
        </w:rPr>
        <w:t xml:space="preserve">q </w:t>
      </w:r>
      <w:r>
        <w:rPr>
          <w:rFonts w:ascii="Arial" w:hAnsi="Arial" w:eastAsia="Arial"/>
          <w:i w:val="true"/>
          <w:color w:val="000000"/>
          <w:spacing w:val="0"/>
          <w:w w:val="100"/>
          <w:sz w:val="13"/>
          <w:vertAlign w:val="baseline"/>
          <w:lang w:val="en-US"/>
        </w:rPr>
        <w:t xml:space="preserve">x	</w:t>
      </w:r>
      <w:r>
        <w:rPr>
          <w:rFonts w:ascii="Arial" w:hAnsi="Arial" w:eastAsia="Arial"/>
          <w:i w:val="true"/>
          <w:color w:val="000000"/>
          <w:spacing w:val="0"/>
          <w:w w:val="100"/>
          <w:sz w:val="23"/>
          <w:vertAlign w:val="baseline"/>
          <w:lang w:val="en-US"/>
        </w:rPr>
        <w:t xml:space="preserve">q </w:t>
      </w:r>
      <w:r>
        <w:rPr>
          <w:rFonts w:ascii="Arial" w:hAnsi="Arial" w:eastAsia="Arial"/>
          <w:i w:val="true"/>
          <w:color w:val="000000"/>
          <w:spacing w:val="0"/>
          <w:w w:val="100"/>
          <w:sz w:val="13"/>
          <w:vertAlign w:val="baseline"/>
          <w:lang w:val="en-US"/>
        </w:rPr>
        <w:t xml:space="preserve">y	</w:t>
      </w:r>
      <w:r>
        <w:rPr>
          <w:rFonts w:ascii="Arial" w:hAnsi="Arial" w:eastAsia="Arial"/>
          <w:i w:val="true"/>
          <w:color w:val="000000"/>
          <w:spacing w:val="0"/>
          <w:w w:val="100"/>
          <w:sz w:val="23"/>
          <w:vertAlign w:val="baseline"/>
          <w:lang w:val="en-US"/>
        </w:rPr>
        <w:t xml:space="preserve">q </w:t>
      </w:r>
      <w:r>
        <w:rPr>
          <w:rFonts w:ascii="Arial" w:hAnsi="Arial" w:eastAsia="Arial"/>
          <w:i w:val="true"/>
          <w:color w:val="000000"/>
          <w:spacing w:val="0"/>
          <w:w w:val="100"/>
          <w:sz w:val="13"/>
          <w:vertAlign w:val="baseline"/>
          <w:lang w:val="en-US"/>
        </w:rPr>
        <w:t xml:space="preserve">n</w:t>
      </w:r>
    </w:p>
    <w:p>
      <w:pPr>
        <w:tabs>
          <w:tab w:val="left" w:leader="underscore" w:pos="1800"/>
          <w:tab w:val="left" w:leader="underscore" w:pos="2376"/>
          <w:tab w:val="right" w:leader="underscore" w:pos="3456"/>
        </w:tabs>
        <w:spacing w:before="0" w:after="0" w:line="186" w:lineRule="exact"/>
        <w:ind w:right="0" w:left="1368" w:firstLine="0"/>
        <w:jc w:val="left"/>
        <w:textAlignment w:val="baseline"/>
        <w:rPr>
          <w:rFonts w:ascii="Symbol" w:hAnsi="Symbol" w:eastAsia="Symbol"/>
          <w:color w:val="000000"/>
          <w:spacing w:val="0"/>
          <w:w w:val="100"/>
          <w:sz w:val="24"/>
          <w:vertAlign w:val="baseline"/>
          <w:lang w:val="en-US"/>
        </w:rPr>
      </w:pPr>
      <w:r>
        <w:rPr>
          <w:rFonts w:ascii="Symbol" w:hAnsi="Symbol" w:eastAsia="Symbol"/>
          <w:color w:val="000000"/>
          <w:spacing w:val="0"/>
          <w:w w:val="100"/>
          <w:sz w:val="24"/>
          <w:vertAlign w:val="baseline"/>
          <w:lang w:val="en-US"/>
        </w:rPr>
        <w:tab/>
      </w:r>
      <w:r>
        <w:rPr>
          <w:rFonts w:ascii="Symbol" w:hAnsi="Symbol" w:eastAsia="Symbol"/>
          <w:color w:val="000000"/>
          <w:spacing w:val="0"/>
          <w:w w:val="100"/>
          <w:sz w:val="24"/>
          <w:vertAlign w:val="baseline"/>
          <w:lang w:val="en-US"/>
        </w:rPr>
        <w:t xml:space="preserve">+	</w:t>
      </w:r>
      <w:r>
        <w:rPr>
          <w:rFonts w:ascii="Symbol" w:hAnsi="Symbol" w:eastAsia="Symbol"/>
          <w:color w:val="000000"/>
          <w:spacing w:val="0"/>
          <w:w w:val="100"/>
          <w:sz w:val="24"/>
          <w:vertAlign w:val="baseline"/>
          <w:lang w:val="en-US"/>
        </w:rPr>
        <w:t xml:space="preserve">+</w:t>
      </w:r>
      <w:r>
        <w:rPr>
          <w:rFonts w:ascii="Times New Roman" w:hAnsi="Times New Roman" w:eastAsia="Times New Roman"/>
          <w:color w:val="000000"/>
          <w:spacing w:val="0"/>
          <w:w w:val="100"/>
          <w:sz w:val="25"/>
          <w:vertAlign w:val="baseline"/>
          <w:lang w:val="en-US"/>
        </w:rPr>
        <w:t xml:space="preserve"> [....]</w:t>
      </w:r>
      <w:r>
        <w:rPr>
          <w:rFonts w:ascii="Symbol" w:hAnsi="Symbol" w:eastAsia="Symbol"/>
          <w:color w:val="000000"/>
          <w:spacing w:val="0"/>
          <w:w w:val="100"/>
          <w:sz w:val="24"/>
          <w:vertAlign w:val="baseline"/>
          <w:lang w:val="en-US"/>
        </w:rPr>
        <w:t xml:space="preserve">+ 	</w:t>
      </w:r>
      <w:r>
        <w:rPr>
          <w:rFonts w:ascii="Symbol" w:hAnsi="Symbol" w:eastAsia="Symbol"/>
          <w:color w:val="000000"/>
          <w:spacing w:val="0"/>
          <w:w w:val="100"/>
          <w:sz w:val="24"/>
          <w:vertAlign w:val="baseline"/>
          <w:lang w:val="en-US"/>
        </w:rPr>
        <w:t xml:space="preserve">
</w:t>
      </w:r>
    </w:p>
    <w:p>
      <w:pPr>
        <w:tabs>
          <w:tab w:val="right" w:leader="none" w:pos="3456"/>
        </w:tabs>
        <w:spacing w:before="0" w:after="0" w:line="232" w:lineRule="exact"/>
        <w:ind w:right="0" w:left="1368" w:firstLine="0"/>
        <w:jc w:val="left"/>
        <w:textAlignment w:val="baseline"/>
        <w:rPr>
          <w:rFonts w:ascii="Arial" w:hAnsi="Arial" w:eastAsia="Arial"/>
          <w:i w:val="true"/>
          <w:color w:val="000000"/>
          <w:spacing w:val="0"/>
          <w:w w:val="100"/>
          <w:sz w:val="23"/>
          <w:vertAlign w:val="baseline"/>
          <w:lang w:val="en-US"/>
        </w:rPr>
      </w:pPr>
      <w:r>
        <w:rPr>
          <w:rFonts w:ascii="Arial" w:hAnsi="Arial" w:eastAsia="Arial"/>
          <w:i w:val="true"/>
          <w:color w:val="000000"/>
          <w:spacing w:val="0"/>
          <w:w w:val="100"/>
          <w:sz w:val="23"/>
          <w:vertAlign w:val="baseline"/>
          <w:lang w:val="en-US"/>
        </w:rPr>
        <w:t xml:space="preserve">Q</w:t>
      </w:r>
      <w:r>
        <w:rPr>
          <w:rFonts w:ascii="Arial" w:hAnsi="Arial" w:eastAsia="Arial"/>
          <w:i w:val="true"/>
          <w:color w:val="000000"/>
          <w:spacing w:val="0"/>
          <w:w w:val="100"/>
          <w:sz w:val="13"/>
          <w:vertAlign w:val="baseline"/>
          <w:lang w:val="en-US"/>
        </w:rPr>
        <w:t xml:space="preserve">x </w:t>
      </w:r>
      <w:r>
        <w:rPr>
          <w:rFonts w:ascii="Arial" w:hAnsi="Arial" w:eastAsia="Arial"/>
          <w:i w:val="true"/>
          <w:color w:val="000000"/>
          <w:spacing w:val="0"/>
          <w:w w:val="100"/>
          <w:sz w:val="23"/>
          <w:vertAlign w:val="baseline"/>
          <w:lang w:val="en-US"/>
        </w:rPr>
        <w:t xml:space="preserve">Q</w:t>
      </w:r>
      <w:r>
        <w:rPr>
          <w:rFonts w:ascii="Arial" w:hAnsi="Arial" w:eastAsia="Arial"/>
          <w:i w:val="true"/>
          <w:color w:val="000000"/>
          <w:spacing w:val="0"/>
          <w:w w:val="100"/>
          <w:sz w:val="13"/>
          <w:vertAlign w:val="baseline"/>
          <w:lang w:val="en-US"/>
        </w:rPr>
        <w:t xml:space="preserve">y	</w:t>
      </w:r>
      <w:r>
        <w:rPr>
          <w:rFonts w:ascii="Arial" w:hAnsi="Arial" w:eastAsia="Arial"/>
          <w:i w:val="true"/>
          <w:color w:val="000000"/>
          <w:spacing w:val="0"/>
          <w:w w:val="100"/>
          <w:sz w:val="23"/>
          <w:vertAlign w:val="baseline"/>
          <w:lang w:val="en-US"/>
        </w:rPr>
        <w:t xml:space="preserve">Q</w:t>
      </w:r>
      <w:r>
        <w:rPr>
          <w:rFonts w:ascii="Arial" w:hAnsi="Arial" w:eastAsia="Arial"/>
          <w:i w:val="true"/>
          <w:color w:val="000000"/>
          <w:spacing w:val="0"/>
          <w:w w:val="100"/>
          <w:sz w:val="13"/>
          <w:vertAlign w:val="baseline"/>
          <w:lang w:val="en-US"/>
        </w:rPr>
        <w:t xml:space="preserve">n</w:t>
      </w:r>
    </w:p>
    <w:p>
      <w:pPr>
        <w:spacing w:before="163" w:after="0" w:line="271"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Where—</w:t>
      </w:r>
    </w:p>
    <w:p>
      <w:pPr>
        <w:spacing w:before="116" w:after="0" w:line="278" w:lineRule="exact"/>
        <w:ind w:right="216"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x, y, [....] and n are the hazardous chemicals present or likely to be present;</w:t>
      </w:r>
    </w:p>
    <w:p>
      <w:pPr>
        <w:spacing w:before="116" w:after="0" w:line="278"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q</w:t>
      </w:r>
      <w:r>
        <w:rPr>
          <w:rFonts w:ascii="Times New Roman" w:hAnsi="Times New Roman" w:eastAsia="Times New Roman"/>
          <w:color w:val="000000"/>
          <w:spacing w:val="0"/>
          <w:w w:val="100"/>
          <w:sz w:val="16"/>
          <w:vertAlign w:val="baseline"/>
          <w:lang w:val="en-US"/>
        </w:rPr>
        <w:t xml:space="preserve">x</w:t>
      </w:r>
      <w:r>
        <w:rPr>
          <w:rFonts w:ascii="Times New Roman" w:hAnsi="Times New Roman" w:eastAsia="Times New Roman"/>
          <w:color w:val="000000"/>
          <w:spacing w:val="0"/>
          <w:w w:val="100"/>
          <w:sz w:val="24"/>
          <w:vertAlign w:val="baseline"/>
          <w:lang w:val="en-US"/>
        </w:rPr>
        <w:t xml:space="preserve">, q</w:t>
      </w:r>
      <w:r>
        <w:rPr>
          <w:rFonts w:ascii="Times New Roman" w:hAnsi="Times New Roman" w:eastAsia="Times New Roman"/>
          <w:color w:val="000000"/>
          <w:spacing w:val="0"/>
          <w:w w:val="100"/>
          <w:sz w:val="16"/>
          <w:vertAlign w:val="baseline"/>
          <w:lang w:val="en-US"/>
        </w:rPr>
        <w:t xml:space="preserve">y</w:t>
      </w:r>
      <w:r>
        <w:rPr>
          <w:rFonts w:ascii="Times New Roman" w:hAnsi="Times New Roman" w:eastAsia="Times New Roman"/>
          <w:color w:val="000000"/>
          <w:spacing w:val="0"/>
          <w:w w:val="100"/>
          <w:sz w:val="24"/>
          <w:vertAlign w:val="baseline"/>
          <w:lang w:val="en-US"/>
        </w:rPr>
        <w:t xml:space="preserve">, [....] and q</w:t>
      </w:r>
      <w:r>
        <w:rPr>
          <w:rFonts w:ascii="Times New Roman" w:hAnsi="Times New Roman" w:eastAsia="Times New Roman"/>
          <w:color w:val="000000"/>
          <w:spacing w:val="0"/>
          <w:w w:val="100"/>
          <w:sz w:val="16"/>
          <w:vertAlign w:val="baseline"/>
          <w:lang w:val="en-US"/>
        </w:rPr>
        <w:t xml:space="preserve">n </w:t>
      </w:r>
      <w:r>
        <w:rPr>
          <w:rFonts w:ascii="Times New Roman" w:hAnsi="Times New Roman" w:eastAsia="Times New Roman"/>
          <w:color w:val="000000"/>
          <w:spacing w:val="0"/>
          <w:w w:val="100"/>
          <w:sz w:val="24"/>
          <w:vertAlign w:val="baseline"/>
          <w:lang w:val="en-US"/>
        </w:rPr>
        <w:t xml:space="preserve">is the total quantity of hazardous chemicals x, y, [....] and n present or likely to be present, other than:</w:t>
      </w:r>
    </w:p>
    <w:p>
      <w:pPr>
        <w:numPr>
          <w:ilvl w:val="0"/>
          <w:numId w:val="1147"/>
        </w:numPr>
        <w:tabs>
          <w:tab w:val="clear" w:pos="360"/>
          <w:tab w:val="left" w:pos="2376"/>
        </w:tabs>
        <w:spacing w:before="118" w:after="0" w:line="276" w:lineRule="exact"/>
        <w:ind w:right="720"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hazardous chemical that is present or likely to be present in an isolated quantity less than 2% of its threshold quantity;</w:t>
      </w:r>
    </w:p>
    <w:p>
      <w:pPr>
        <w:numPr>
          <w:ilvl w:val="0"/>
          <w:numId w:val="1147"/>
        </w:numPr>
        <w:tabs>
          <w:tab w:val="clear" w:pos="360"/>
          <w:tab w:val="left" w:pos="2376"/>
        </w:tabs>
        <w:spacing w:before="126" w:after="0" w:line="275" w:lineRule="exact"/>
        <w:ind w:right="144" w:left="2376"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hazardous chemicals that are solely the subject of intermediate temporary storage, while in transit by road or rail (unless it is reasonably foreseeable that, despite the transitory nature of the storage, hazardous chemicals are or are likely to be present frequently or in significant quantities);</w:t>
      </w:r>
    </w:p>
    <w:p>
      <w:pPr>
        <w:spacing w:before="126" w:after="0" w:line="273" w:lineRule="exact"/>
        <w:ind w:right="432"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(c) Q</w:t>
      </w:r>
      <w:r>
        <w:rPr>
          <w:rFonts w:ascii="Times New Roman" w:hAnsi="Times New Roman" w:eastAsia="Times New Roman"/>
          <w:color w:val="000000"/>
          <w:spacing w:val="0"/>
          <w:w w:val="100"/>
          <w:sz w:val="16"/>
          <w:vertAlign w:val="baseline"/>
          <w:lang w:val="en-US"/>
        </w:rPr>
        <w:t xml:space="preserve">x</w:t>
      </w:r>
      <w:r>
        <w:rPr>
          <w:rFonts w:ascii="Times New Roman" w:hAnsi="Times New Roman" w:eastAsia="Times New Roman"/>
          <w:color w:val="000000"/>
          <w:spacing w:val="0"/>
          <w:w w:val="100"/>
          <w:sz w:val="24"/>
          <w:vertAlign w:val="baseline"/>
          <w:lang w:val="en-US"/>
        </w:rPr>
        <w:t xml:space="preserve">, Q</w:t>
      </w:r>
      <w:r>
        <w:rPr>
          <w:rFonts w:ascii="Times New Roman" w:hAnsi="Times New Roman" w:eastAsia="Times New Roman"/>
          <w:color w:val="000000"/>
          <w:spacing w:val="0"/>
          <w:w w:val="100"/>
          <w:sz w:val="16"/>
          <w:vertAlign w:val="baseline"/>
          <w:lang w:val="en-US"/>
        </w:rPr>
        <w:t xml:space="preserve">y</w:t>
      </w:r>
      <w:r>
        <w:rPr>
          <w:rFonts w:ascii="Times New Roman" w:hAnsi="Times New Roman" w:eastAsia="Times New Roman"/>
          <w:color w:val="000000"/>
          <w:spacing w:val="0"/>
          <w:w w:val="100"/>
          <w:sz w:val="24"/>
          <w:vertAlign w:val="baseline"/>
          <w:lang w:val="en-US"/>
        </w:rPr>
        <w:t xml:space="preserve">, [....] and Q</w:t>
      </w:r>
      <w:r>
        <w:rPr>
          <w:rFonts w:ascii="Times New Roman" w:hAnsi="Times New Roman" w:eastAsia="Times New Roman"/>
          <w:color w:val="000000"/>
          <w:spacing w:val="0"/>
          <w:w w:val="100"/>
          <w:sz w:val="16"/>
          <w:vertAlign w:val="baseline"/>
          <w:lang w:val="en-US"/>
        </w:rPr>
        <w:t xml:space="preserve">n </w:t>
      </w:r>
      <w:r>
        <w:rPr>
          <w:rFonts w:ascii="Times New Roman" w:hAnsi="Times New Roman" w:eastAsia="Times New Roman"/>
          <w:color w:val="000000"/>
          <w:spacing w:val="0"/>
          <w:w w:val="100"/>
          <w:sz w:val="24"/>
          <w:vertAlign w:val="baseline"/>
          <w:lang w:val="en-US"/>
        </w:rPr>
        <w:t xml:space="preserve">is the individual threshold quantity for each hazardous chemical x, y, [....] and n;</w:t>
      </w:r>
    </w:p>
    <w:p>
      <w:pPr>
        <w:spacing w:before="124" w:after="0" w:line="275" w:lineRule="exact"/>
        <w:ind w:right="144" w:left="1872"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(d) a hazardous chemical is present or likely to be present in an </w:t>
      </w:r>
      <w:r>
        <w:rPr>
          <w:rFonts w:ascii="Times New Roman" w:hAnsi="Times New Roman" w:eastAsia="Times New Roman"/>
          <w:b w:val="true"/>
          <w:i w:val="true"/>
          <w:color w:val="000000"/>
          <w:spacing w:val="0"/>
          <w:w w:val="100"/>
          <w:sz w:val="24"/>
          <w:vertAlign w:val="baseline"/>
          <w:lang w:val="en-US"/>
        </w:rPr>
        <w:t xml:space="preserve">isolated quantity</w:t>
      </w:r>
      <w:r>
        <w:rPr>
          <w:rFonts w:ascii="Times New Roman" w:hAnsi="Times New Roman" w:eastAsia="Times New Roman"/>
          <w:color w:val="000000"/>
          <w:spacing w:val="0"/>
          <w:w w:val="100"/>
          <w:sz w:val="24"/>
          <w:vertAlign w:val="baseline"/>
          <w:lang w:val="en-US"/>
        </w:rPr>
        <w:t xml:space="preserve">, for the purposes of paragraph (b)(i), if its location at the facility is such that it cannot, on its own, act as an initiator of a major incident.</w:t>
      </w:r>
    </w:p>
    <w:p>
      <w:pPr>
        <w:spacing w:before="127" w:after="0" w:line="273"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5 How table 15.1 must be used</w:t>
      </w:r>
    </w:p>
    <w:p>
      <w:pPr>
        <w:spacing w:before="116" w:after="0" w:line="276" w:lineRule="exact"/>
        <w:ind w:right="360" w:left="136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 The UN number listed in table 15.1 against the named hazardous chemical does not restrict the meaning of the name, which also applies to hazardous chemicals that fall outside the UN number.</w:t>
      </w:r>
    </w:p>
    <w:p>
      <w:pPr>
        <w:spacing w:before="126" w:after="0" w:line="225" w:lineRule="exact"/>
        <w:ind w:right="0" w:left="136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Examples</w:t>
      </w:r>
    </w:p>
    <w:p>
      <w:pPr>
        <w:tabs>
          <w:tab w:val="left" w:leader="none" w:pos="1800"/>
        </w:tabs>
        <w:spacing w:before="125" w:after="0" w:line="228" w:lineRule="exact"/>
        <w:ind w:right="0" w:left="136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The hazardous chemicals are too dangerous to be transported.</w:t>
      </w:r>
    </w:p>
    <w:p>
      <w:pPr>
        <w:tabs>
          <w:tab w:val="left" w:leader="none" w:pos="1800"/>
        </w:tabs>
        <w:spacing w:before="119" w:after="0" w:line="231" w:lineRule="exact"/>
        <w:ind w:right="360" w:left="1872" w:hanging="50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The hazardous chemicals are part of mixtures covered by a different UN number.</w:t>
      </w:r>
    </w:p>
    <w:p>
      <w:pPr>
        <w:spacing w:before="119" w:after="0" w:line="271" w:lineRule="exact"/>
        <w:ind w:right="0" w:left="0" w:firstLine="0"/>
        <w:jc w:val="center"/>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 Any hazardous chemicals that are covered by the listed</w:t>
      </w:r>
    </w:p>
    <w:p>
      <w:pPr>
        <w:spacing w:before="7" w:after="0" w:line="271" w:lineRule="exact"/>
        <w:ind w:right="0" w:left="136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UN numbers must be included in the quantity of the chemical</w:t>
      </w:r>
    </w:p>
    <w:p>
      <w:pPr>
        <w:spacing w:before="3" w:after="0" w:line="271" w:lineRule="exact"/>
        <w:ind w:right="0" w:left="1368" w:firstLine="0"/>
        <w:jc w:val="left"/>
        <w:textAlignment w:val="baseline"/>
        <w:rPr>
          <w:rFonts w:ascii="Times New Roman" w:hAnsi="Times New Roman" w:eastAsia="Times New Roman"/>
          <w:color w:val="000000"/>
          <w:spacing w:val="-2"/>
          <w:w w:val="100"/>
          <w:sz w:val="24"/>
          <w:vertAlign w:val="baseline"/>
          <w:lang w:val="en-US"/>
        </w:rPr>
      </w:pPr>
      <w:r>
        <w:rPr>
          <w:rFonts w:ascii="Times New Roman" w:hAnsi="Times New Roman" w:eastAsia="Times New Roman"/>
          <w:color w:val="000000"/>
          <w:spacing w:val="-2"/>
          <w:w w:val="100"/>
          <w:sz w:val="24"/>
          <w:vertAlign w:val="baseline"/>
          <w:lang w:val="en-US"/>
        </w:rPr>
        <w:t xml:space="preserve">named.</w:t>
      </w:r>
    </w:p>
    <w:p>
      <w:pPr>
        <w:spacing w:before="127" w:after="0" w:line="273" w:lineRule="exact"/>
        <w:ind w:right="0" w:left="288"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6 How table 15.2 must be used</w:t>
      </w:r>
    </w:p>
    <w:p>
      <w:pPr>
        <w:spacing w:before="116" w:after="875" w:line="276" w:lineRule="exact"/>
        <w:ind w:right="72"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45pt,728.15pt" to="498.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(1) The quantities specified for explosives in table 15.2 relate to the weight of explosive exclusive of packagings, casings and other non</w:t>
        <w:softHyphen/>
      </w:r>
      <w:r>
        <w:rPr>
          <w:rFonts w:ascii="Times New Roman" w:hAnsi="Times New Roman" w:eastAsia="Times New Roman"/>
          <w:color w:val="000000"/>
          <w:spacing w:val="0"/>
          <w:w w:val="100"/>
          <w:sz w:val="24"/>
          <w:vertAlign w:val="baseline"/>
          <w:lang w:val="en-US"/>
        </w:rPr>
        <w:t xml:space="preserve">explosive components.</w:t>
      </w:r>
    </w:p>
    <w:p>
      <w:pPr>
        <w:spacing w:before="116" w:after="875" w:line="276" w:lineRule="exact"/>
        <w:sectPr>
          <w:type w:val="nextPage"/>
          <w:pgSz w:w="11909" w:h="16838" w:orient="portrait"/>
          <w:pgMar w:bottom="1082" w:top="1140" w:right="1940" w:left="1949" w:header="720" w:footer="720"/>
          <w:titlePg w:val="false"/>
          <w:textDirection w:val="lrTb"/>
        </w:sectPr>
      </w:pPr>
    </w:p>
    <w:p>
      <w:pPr>
        <w:tabs>
          <w:tab w:val="right" w:leader="none" w:pos="4176"/>
        </w:tabs>
        <w:spacing w:before="0" w:after="0" w:line="182"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483</w:t>
      </w:r>
    </w:p>
    <w:p>
      <w:pPr>
        <w:sectPr>
          <w:type w:val="continuous"/>
          <w:pgSz w:w="11909" w:h="16838" w:orient="portrait"/>
          <w:pgMar w:bottom="1082" w:top="1140" w:right="5817" w:left="1972" w:header="720" w:footer="720"/>
          <w:titlePg w:val="false"/>
          <w:textDirection w:val="lrTb"/>
        </w:sectPr>
      </w:pPr>
    </w:p>
    <w:p>
      <w:pPr>
        <w:spacing w:before="6" w:after="0"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spacing w:before="238" w:after="229"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Schedule 15 Hazardous chemicals at major hazard facilities (and their threshold quantity)</w:t>
      </w:r>
    </w:p>
    <w:p>
      <w:pPr>
        <w:spacing w:before="245" w:after="103" w:line="278" w:lineRule="exact"/>
        <w:ind w:right="432" w:left="136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7.9pt,103.9pt" to="498.0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(2) If explosives of different hazard divisions are present in the same area or storage, all of the explosives must, before table 15.2 is applied, be classified in accordance with the following table:</w:t>
      </w:r>
    </w:p>
    <w:tbl>
      <w:tblPr>
        <w:jc w:val="left"/>
        <w:tblInd w:w="108" w:type="dxa"/>
        <w:tblLayout w:type="fixed"/>
        <w:tblCellMar>
          <w:left w:w="0" w:type="dxa"/>
          <w:right w:w="0" w:type="dxa"/>
        </w:tblCellMar>
      </w:tblPr>
      <w:tblGrid>
        <w:gridCol w:w="1150"/>
        <w:gridCol w:w="868"/>
        <w:gridCol w:w="1152"/>
        <w:gridCol w:w="1061"/>
        <w:gridCol w:w="1138"/>
        <w:gridCol w:w="1133"/>
        <w:gridCol w:w="1490"/>
      </w:tblGrid>
      <w:tr>
        <w:trPr>
          <w:trHeight w:val="365" w:hRule="exact"/>
        </w:trPr>
        <w:tc>
          <w:tcPr>
            <w:tcW w:w="1150" w:type="dxa"/>
            <w:tcBorders>
              <w:top w:val="single" w:sz="5" w:color="000000"/>
              <w:left w:val="none"/>
              <w:bottom w:val="single" w:sz="5" w:color="000000"/>
              <w:right w:val="single" w:sz="5" w:color="000000"/>
            </w:tcBorders>
            <w:textDirection w:val="lrTb"/>
            <w:vAlign w:val="center"/>
          </w:tcPr>
          <w:p>
            <w:pPr>
              <w:spacing w:before="85" w:after="51" w:line="223" w:lineRule="exact"/>
              <w:ind w:right="602"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Div.</w:t>
            </w:r>
          </w:p>
        </w:tc>
        <w:tc>
          <w:tcPr>
            <w:tcW w:w="868" w:type="dxa"/>
            <w:tcBorders>
              <w:top w:val="single" w:sz="5" w:color="000000"/>
              <w:left w:val="single" w:sz="5" w:color="000000"/>
              <w:bottom w:val="single" w:sz="5" w:color="000000"/>
              <w:right w:val="none"/>
            </w:tcBorders>
            <w:textDirection w:val="lrTb"/>
            <w:vAlign w:val="center"/>
          </w:tcPr>
          <w:p>
            <w:pPr>
              <w:tabs>
                <w:tab w:val="decimal" w:leader="none" w:pos="216"/>
              </w:tabs>
              <w:spacing w:before="85" w:after="51"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1.1</w:t>
            </w:r>
          </w:p>
        </w:tc>
        <w:tc>
          <w:tcPr>
            <w:tcW w:w="1152" w:type="dxa"/>
            <w:tcBorders>
              <w:top w:val="single" w:sz="5" w:color="000000"/>
              <w:left w:val="none"/>
              <w:bottom w:val="single" w:sz="5" w:color="000000"/>
              <w:right w:val="none"/>
            </w:tcBorders>
            <w:textDirection w:val="lrTb"/>
            <w:vAlign w:val="center"/>
          </w:tcPr>
          <w:p>
            <w:pPr>
              <w:tabs>
                <w:tab w:val="decimal" w:leader="none" w:pos="648"/>
              </w:tabs>
              <w:spacing w:before="85" w:after="51"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1.2</w:t>
            </w:r>
          </w:p>
        </w:tc>
        <w:tc>
          <w:tcPr>
            <w:tcW w:w="1061" w:type="dxa"/>
            <w:tcBorders>
              <w:top w:val="single" w:sz="5" w:color="000000"/>
              <w:left w:val="none"/>
              <w:bottom w:val="single" w:sz="5" w:color="000000"/>
              <w:right w:val="none"/>
            </w:tcBorders>
            <w:textDirection w:val="lrTb"/>
            <w:vAlign w:val="center"/>
          </w:tcPr>
          <w:p>
            <w:pPr>
              <w:tabs>
                <w:tab w:val="decimal" w:leader="none" w:pos="504"/>
              </w:tabs>
              <w:spacing w:before="85" w:after="51"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1.3</w:t>
            </w:r>
          </w:p>
        </w:tc>
        <w:tc>
          <w:tcPr>
            <w:tcW w:w="1138" w:type="dxa"/>
            <w:tcBorders>
              <w:top w:val="single" w:sz="5" w:color="000000"/>
              <w:left w:val="none"/>
              <w:bottom w:val="single" w:sz="5" w:color="000000"/>
              <w:right w:val="none"/>
            </w:tcBorders>
            <w:textDirection w:val="lrTb"/>
            <w:vAlign w:val="center"/>
          </w:tcPr>
          <w:p>
            <w:pPr>
              <w:tabs>
                <w:tab w:val="decimal" w:leader="none" w:pos="576"/>
              </w:tabs>
              <w:spacing w:before="85" w:after="51"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1.4</w:t>
            </w:r>
          </w:p>
        </w:tc>
        <w:tc>
          <w:tcPr>
            <w:tcW w:w="1133" w:type="dxa"/>
            <w:tcBorders>
              <w:top w:val="single" w:sz="5" w:color="000000"/>
              <w:left w:val="none"/>
              <w:bottom w:val="single" w:sz="5" w:color="000000"/>
              <w:right w:val="none"/>
            </w:tcBorders>
            <w:textDirection w:val="lrTb"/>
            <w:vAlign w:val="center"/>
          </w:tcPr>
          <w:p>
            <w:pPr>
              <w:tabs>
                <w:tab w:val="decimal" w:leader="none" w:pos="576"/>
              </w:tabs>
              <w:spacing w:before="85" w:after="51"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1.5</w:t>
            </w:r>
          </w:p>
        </w:tc>
        <w:tc>
          <w:tcPr>
            <w:tcW w:w="1490" w:type="dxa"/>
            <w:tcBorders>
              <w:top w:val="single" w:sz="5" w:color="000000"/>
              <w:left w:val="none"/>
              <w:bottom w:val="single" w:sz="5" w:color="000000"/>
              <w:right w:val="none"/>
            </w:tcBorders>
            <w:textDirection w:val="lrTb"/>
            <w:vAlign w:val="center"/>
          </w:tcPr>
          <w:p>
            <w:pPr>
              <w:tabs>
                <w:tab w:val="decimal" w:leader="none" w:pos="576"/>
              </w:tabs>
              <w:spacing w:before="85" w:after="51"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1.6</w:t>
            </w:r>
          </w:p>
        </w:tc>
      </w:tr>
      <w:tr>
        <w:trPr>
          <w:trHeight w:val="360" w:hRule="exact"/>
        </w:trPr>
        <w:tc>
          <w:tcPr>
            <w:tcW w:w="1150" w:type="dxa"/>
            <w:tcBorders>
              <w:top w:val="single" w:sz="5" w:color="000000"/>
              <w:left w:val="none"/>
              <w:bottom w:val="none"/>
              <w:right w:val="single" w:sz="5" w:color="000000"/>
            </w:tcBorders>
            <w:textDirection w:val="lrTb"/>
            <w:vAlign w:val="center"/>
          </w:tcPr>
          <w:p>
            <w:pPr>
              <w:tabs>
                <w:tab w:val="decimal" w:leader="none" w:pos="288"/>
              </w:tabs>
              <w:spacing w:before="85" w:after="46"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1.1</w:t>
            </w:r>
          </w:p>
        </w:tc>
        <w:tc>
          <w:tcPr>
            <w:tcW w:w="868" w:type="dxa"/>
            <w:tcBorders>
              <w:top w:val="single" w:sz="5" w:color="000000"/>
              <w:left w:val="single" w:sz="5" w:color="000000"/>
              <w:bottom w:val="none"/>
              <w:right w:val="none"/>
            </w:tcBorders>
            <w:textDirection w:val="lrTb"/>
            <w:vAlign w:val="center"/>
          </w:tcPr>
          <w:p>
            <w:pPr>
              <w:tabs>
                <w:tab w:val="decimal" w:leader="none" w:pos="216"/>
              </w:tabs>
              <w:spacing w:before="85" w:after="46"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1.1</w:t>
            </w:r>
          </w:p>
        </w:tc>
        <w:tc>
          <w:tcPr>
            <w:tcW w:w="1152" w:type="dxa"/>
            <w:tcBorders>
              <w:top w:val="single" w:sz="5" w:color="000000"/>
              <w:left w:val="none"/>
              <w:bottom w:val="none"/>
              <w:right w:val="none"/>
            </w:tcBorders>
            <w:textDirection w:val="lrTb"/>
            <w:vAlign w:val="center"/>
          </w:tcPr>
          <w:p>
            <w:pPr>
              <w:tabs>
                <w:tab w:val="decimal" w:leader="none" w:pos="648"/>
              </w:tabs>
              <w:spacing w:before="85" w:after="46"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1.1</w:t>
            </w:r>
          </w:p>
        </w:tc>
        <w:tc>
          <w:tcPr>
            <w:tcW w:w="1061" w:type="dxa"/>
            <w:tcBorders>
              <w:top w:val="single" w:sz="5" w:color="000000"/>
              <w:left w:val="none"/>
              <w:bottom w:val="none"/>
              <w:right w:val="none"/>
            </w:tcBorders>
            <w:textDirection w:val="lrTb"/>
            <w:vAlign w:val="center"/>
          </w:tcPr>
          <w:p>
            <w:pPr>
              <w:tabs>
                <w:tab w:val="decimal" w:leader="none" w:pos="504"/>
              </w:tabs>
              <w:spacing w:before="85" w:after="46"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1.1</w:t>
            </w:r>
          </w:p>
        </w:tc>
        <w:tc>
          <w:tcPr>
            <w:tcW w:w="1138" w:type="dxa"/>
            <w:tcBorders>
              <w:top w:val="single" w:sz="5" w:color="000000"/>
              <w:left w:val="none"/>
              <w:bottom w:val="none"/>
              <w:right w:val="none"/>
            </w:tcBorders>
            <w:textDirection w:val="lrTb"/>
            <w:vAlign w:val="center"/>
          </w:tcPr>
          <w:p>
            <w:pPr>
              <w:tabs>
                <w:tab w:val="decimal" w:leader="none" w:pos="576"/>
              </w:tabs>
              <w:spacing w:before="85" w:after="46"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1.1</w:t>
            </w:r>
          </w:p>
        </w:tc>
        <w:tc>
          <w:tcPr>
            <w:tcW w:w="1133" w:type="dxa"/>
            <w:tcBorders>
              <w:top w:val="single" w:sz="5" w:color="000000"/>
              <w:left w:val="none"/>
              <w:bottom w:val="none"/>
              <w:right w:val="none"/>
            </w:tcBorders>
            <w:textDirection w:val="lrTb"/>
            <w:vAlign w:val="center"/>
          </w:tcPr>
          <w:p>
            <w:pPr>
              <w:tabs>
                <w:tab w:val="decimal" w:leader="none" w:pos="576"/>
              </w:tabs>
              <w:spacing w:before="85" w:after="46"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1.1</w:t>
            </w:r>
          </w:p>
        </w:tc>
        <w:tc>
          <w:tcPr>
            <w:tcW w:w="1490" w:type="dxa"/>
            <w:tcBorders>
              <w:top w:val="single" w:sz="5" w:color="000000"/>
              <w:left w:val="none"/>
              <w:bottom w:val="none"/>
              <w:right w:val="none"/>
            </w:tcBorders>
            <w:textDirection w:val="lrTb"/>
            <w:vAlign w:val="center"/>
          </w:tcPr>
          <w:p>
            <w:pPr>
              <w:tabs>
                <w:tab w:val="decimal" w:leader="none" w:pos="576"/>
              </w:tabs>
              <w:spacing w:before="85" w:after="46"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1.1</w:t>
            </w:r>
          </w:p>
        </w:tc>
      </w:tr>
      <w:tr>
        <w:trPr>
          <w:trHeight w:val="350" w:hRule="exact"/>
        </w:trPr>
        <w:tc>
          <w:tcPr>
            <w:tcW w:w="1150" w:type="dxa"/>
            <w:tcBorders>
              <w:top w:val="none"/>
              <w:left w:val="none"/>
              <w:bottom w:val="none"/>
              <w:right w:val="single" w:sz="5" w:color="000000"/>
            </w:tcBorders>
            <w:textDirection w:val="lrTb"/>
            <w:vAlign w:val="center"/>
          </w:tcPr>
          <w:p>
            <w:pPr>
              <w:tabs>
                <w:tab w:val="decimal" w:leader="none" w:pos="288"/>
              </w:tabs>
              <w:spacing w:before="75" w:after="42"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1.2</w:t>
            </w:r>
          </w:p>
        </w:tc>
        <w:tc>
          <w:tcPr>
            <w:tcW w:w="868" w:type="dxa"/>
            <w:tcBorders>
              <w:top w:val="none"/>
              <w:left w:val="single" w:sz="5" w:color="000000"/>
              <w:bottom w:val="none"/>
              <w:right w:val="none"/>
            </w:tcBorders>
            <w:textDirection w:val="lrTb"/>
            <w:vAlign w:val="center"/>
          </w:tcPr>
          <w:p>
            <w:pPr>
              <w:tabs>
                <w:tab w:val="decimal" w:leader="none" w:pos="216"/>
              </w:tabs>
              <w:spacing w:before="75" w:after="42"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1.1</w:t>
            </w:r>
          </w:p>
        </w:tc>
        <w:tc>
          <w:tcPr>
            <w:tcW w:w="1152" w:type="dxa"/>
            <w:tcBorders>
              <w:top w:val="none"/>
              <w:left w:val="none"/>
              <w:bottom w:val="none"/>
              <w:right w:val="none"/>
            </w:tcBorders>
            <w:textDirection w:val="lrTb"/>
            <w:vAlign w:val="center"/>
          </w:tcPr>
          <w:p>
            <w:pPr>
              <w:tabs>
                <w:tab w:val="decimal" w:leader="none" w:pos="648"/>
              </w:tabs>
              <w:spacing w:before="75" w:after="42"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1.2</w:t>
            </w:r>
          </w:p>
        </w:tc>
        <w:tc>
          <w:tcPr>
            <w:tcW w:w="1061" w:type="dxa"/>
            <w:tcBorders>
              <w:top w:val="none"/>
              <w:left w:val="none"/>
              <w:bottom w:val="none"/>
              <w:right w:val="none"/>
            </w:tcBorders>
            <w:textDirection w:val="lrTb"/>
            <w:vAlign w:val="center"/>
          </w:tcPr>
          <w:p>
            <w:pPr>
              <w:tabs>
                <w:tab w:val="decimal" w:leader="none" w:pos="504"/>
              </w:tabs>
              <w:spacing w:before="75" w:after="42"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1.1</w:t>
            </w:r>
          </w:p>
        </w:tc>
        <w:tc>
          <w:tcPr>
            <w:tcW w:w="1138" w:type="dxa"/>
            <w:tcBorders>
              <w:top w:val="none"/>
              <w:left w:val="none"/>
              <w:bottom w:val="none"/>
              <w:right w:val="none"/>
            </w:tcBorders>
            <w:textDirection w:val="lrTb"/>
            <w:vAlign w:val="center"/>
          </w:tcPr>
          <w:p>
            <w:pPr>
              <w:tabs>
                <w:tab w:val="decimal" w:leader="none" w:pos="576"/>
              </w:tabs>
              <w:spacing w:before="75" w:after="42"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1.2</w:t>
            </w:r>
          </w:p>
        </w:tc>
        <w:tc>
          <w:tcPr>
            <w:tcW w:w="1133" w:type="dxa"/>
            <w:tcBorders>
              <w:top w:val="none"/>
              <w:left w:val="none"/>
              <w:bottom w:val="none"/>
              <w:right w:val="none"/>
            </w:tcBorders>
            <w:textDirection w:val="lrTb"/>
            <w:vAlign w:val="center"/>
          </w:tcPr>
          <w:p>
            <w:pPr>
              <w:tabs>
                <w:tab w:val="decimal" w:leader="none" w:pos="576"/>
              </w:tabs>
              <w:spacing w:before="75" w:after="42"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1.1</w:t>
            </w:r>
          </w:p>
        </w:tc>
        <w:tc>
          <w:tcPr>
            <w:tcW w:w="1490" w:type="dxa"/>
            <w:tcBorders>
              <w:top w:val="none"/>
              <w:left w:val="none"/>
              <w:bottom w:val="none"/>
              <w:right w:val="none"/>
            </w:tcBorders>
            <w:textDirection w:val="lrTb"/>
            <w:vAlign w:val="center"/>
          </w:tcPr>
          <w:p>
            <w:pPr>
              <w:tabs>
                <w:tab w:val="decimal" w:leader="none" w:pos="576"/>
              </w:tabs>
              <w:spacing w:before="75" w:after="42"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1.2</w:t>
            </w:r>
          </w:p>
        </w:tc>
      </w:tr>
      <w:tr>
        <w:trPr>
          <w:trHeight w:val="351" w:hRule="exact"/>
        </w:trPr>
        <w:tc>
          <w:tcPr>
            <w:tcW w:w="1150" w:type="dxa"/>
            <w:tcBorders>
              <w:top w:val="none"/>
              <w:left w:val="none"/>
              <w:bottom w:val="none"/>
              <w:right w:val="single" w:sz="5" w:color="000000"/>
            </w:tcBorders>
            <w:textDirection w:val="lrTb"/>
            <w:vAlign w:val="center"/>
          </w:tcPr>
          <w:p>
            <w:pPr>
              <w:tabs>
                <w:tab w:val="decimal" w:leader="none" w:pos="288"/>
              </w:tabs>
              <w:spacing w:before="76" w:after="51"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1.3</w:t>
            </w:r>
          </w:p>
        </w:tc>
        <w:tc>
          <w:tcPr>
            <w:tcW w:w="868" w:type="dxa"/>
            <w:tcBorders>
              <w:top w:val="none"/>
              <w:left w:val="single" w:sz="5" w:color="000000"/>
              <w:bottom w:val="none"/>
              <w:right w:val="none"/>
            </w:tcBorders>
            <w:textDirection w:val="lrTb"/>
            <w:vAlign w:val="center"/>
          </w:tcPr>
          <w:p>
            <w:pPr>
              <w:tabs>
                <w:tab w:val="decimal" w:leader="none" w:pos="216"/>
              </w:tabs>
              <w:spacing w:before="76" w:after="51"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1.1</w:t>
            </w:r>
          </w:p>
        </w:tc>
        <w:tc>
          <w:tcPr>
            <w:tcW w:w="1152" w:type="dxa"/>
            <w:tcBorders>
              <w:top w:val="none"/>
              <w:left w:val="none"/>
              <w:bottom w:val="none"/>
              <w:right w:val="none"/>
            </w:tcBorders>
            <w:textDirection w:val="lrTb"/>
            <w:vAlign w:val="center"/>
          </w:tcPr>
          <w:p>
            <w:pPr>
              <w:tabs>
                <w:tab w:val="decimal" w:leader="none" w:pos="648"/>
              </w:tabs>
              <w:spacing w:before="76" w:after="51"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1.1</w:t>
            </w:r>
          </w:p>
        </w:tc>
        <w:tc>
          <w:tcPr>
            <w:tcW w:w="1061" w:type="dxa"/>
            <w:tcBorders>
              <w:top w:val="none"/>
              <w:left w:val="none"/>
              <w:bottom w:val="none"/>
              <w:right w:val="none"/>
            </w:tcBorders>
            <w:textDirection w:val="lrTb"/>
            <w:vAlign w:val="center"/>
          </w:tcPr>
          <w:p>
            <w:pPr>
              <w:tabs>
                <w:tab w:val="decimal" w:leader="none" w:pos="504"/>
              </w:tabs>
              <w:spacing w:before="76" w:after="51"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1.3</w:t>
            </w:r>
          </w:p>
        </w:tc>
        <w:tc>
          <w:tcPr>
            <w:tcW w:w="1138" w:type="dxa"/>
            <w:tcBorders>
              <w:top w:val="none"/>
              <w:left w:val="none"/>
              <w:bottom w:val="none"/>
              <w:right w:val="none"/>
            </w:tcBorders>
            <w:textDirection w:val="lrTb"/>
            <w:vAlign w:val="center"/>
          </w:tcPr>
          <w:p>
            <w:pPr>
              <w:tabs>
                <w:tab w:val="decimal" w:leader="none" w:pos="576"/>
              </w:tabs>
              <w:spacing w:before="76" w:after="51"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1.3</w:t>
            </w:r>
          </w:p>
        </w:tc>
        <w:tc>
          <w:tcPr>
            <w:tcW w:w="1133" w:type="dxa"/>
            <w:tcBorders>
              <w:top w:val="none"/>
              <w:left w:val="none"/>
              <w:bottom w:val="none"/>
              <w:right w:val="none"/>
            </w:tcBorders>
            <w:textDirection w:val="lrTb"/>
            <w:vAlign w:val="center"/>
          </w:tcPr>
          <w:p>
            <w:pPr>
              <w:tabs>
                <w:tab w:val="decimal" w:leader="none" w:pos="576"/>
              </w:tabs>
              <w:spacing w:before="76" w:after="51"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1.1</w:t>
            </w:r>
          </w:p>
        </w:tc>
        <w:tc>
          <w:tcPr>
            <w:tcW w:w="1490" w:type="dxa"/>
            <w:tcBorders>
              <w:top w:val="none"/>
              <w:left w:val="none"/>
              <w:bottom w:val="none"/>
              <w:right w:val="none"/>
            </w:tcBorders>
            <w:textDirection w:val="lrTb"/>
            <w:vAlign w:val="center"/>
          </w:tcPr>
          <w:p>
            <w:pPr>
              <w:tabs>
                <w:tab w:val="decimal" w:leader="none" w:pos="576"/>
              </w:tabs>
              <w:spacing w:before="76" w:after="51"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1.3</w:t>
            </w:r>
          </w:p>
        </w:tc>
      </w:tr>
      <w:tr>
        <w:trPr>
          <w:trHeight w:val="350" w:hRule="exact"/>
        </w:trPr>
        <w:tc>
          <w:tcPr>
            <w:tcW w:w="1150" w:type="dxa"/>
            <w:tcBorders>
              <w:top w:val="none"/>
              <w:left w:val="none"/>
              <w:bottom w:val="none"/>
              <w:right w:val="single" w:sz="5" w:color="000000"/>
            </w:tcBorders>
            <w:textDirection w:val="lrTb"/>
            <w:vAlign w:val="center"/>
          </w:tcPr>
          <w:p>
            <w:pPr>
              <w:tabs>
                <w:tab w:val="decimal" w:leader="none" w:pos="288"/>
              </w:tabs>
              <w:spacing w:before="70" w:after="52"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1.4</w:t>
            </w:r>
          </w:p>
        </w:tc>
        <w:tc>
          <w:tcPr>
            <w:tcW w:w="868" w:type="dxa"/>
            <w:tcBorders>
              <w:top w:val="none"/>
              <w:left w:val="single" w:sz="5" w:color="000000"/>
              <w:bottom w:val="none"/>
              <w:right w:val="none"/>
            </w:tcBorders>
            <w:textDirection w:val="lrTb"/>
            <w:vAlign w:val="center"/>
          </w:tcPr>
          <w:p>
            <w:pPr>
              <w:tabs>
                <w:tab w:val="decimal" w:leader="none" w:pos="216"/>
              </w:tabs>
              <w:spacing w:before="70" w:after="52"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1.1</w:t>
            </w:r>
          </w:p>
        </w:tc>
        <w:tc>
          <w:tcPr>
            <w:tcW w:w="1152" w:type="dxa"/>
            <w:tcBorders>
              <w:top w:val="none"/>
              <w:left w:val="none"/>
              <w:bottom w:val="none"/>
              <w:right w:val="none"/>
            </w:tcBorders>
            <w:textDirection w:val="lrTb"/>
            <w:vAlign w:val="center"/>
          </w:tcPr>
          <w:p>
            <w:pPr>
              <w:tabs>
                <w:tab w:val="decimal" w:leader="none" w:pos="648"/>
              </w:tabs>
              <w:spacing w:before="70" w:after="52"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1.2</w:t>
            </w:r>
          </w:p>
        </w:tc>
        <w:tc>
          <w:tcPr>
            <w:tcW w:w="1061" w:type="dxa"/>
            <w:tcBorders>
              <w:top w:val="none"/>
              <w:left w:val="none"/>
              <w:bottom w:val="none"/>
              <w:right w:val="none"/>
            </w:tcBorders>
            <w:textDirection w:val="lrTb"/>
            <w:vAlign w:val="center"/>
          </w:tcPr>
          <w:p>
            <w:pPr>
              <w:tabs>
                <w:tab w:val="decimal" w:leader="none" w:pos="504"/>
              </w:tabs>
              <w:spacing w:before="70" w:after="52"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1.3</w:t>
            </w:r>
          </w:p>
        </w:tc>
        <w:tc>
          <w:tcPr>
            <w:tcW w:w="1138" w:type="dxa"/>
            <w:tcBorders>
              <w:top w:val="none"/>
              <w:left w:val="none"/>
              <w:bottom w:val="none"/>
              <w:right w:val="none"/>
            </w:tcBorders>
            <w:textDirection w:val="lrTb"/>
            <w:vAlign w:val="center"/>
          </w:tcPr>
          <w:p>
            <w:pPr>
              <w:tabs>
                <w:tab w:val="decimal" w:leader="none" w:pos="576"/>
              </w:tabs>
              <w:spacing w:before="70" w:after="52"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1.4</w:t>
            </w:r>
          </w:p>
        </w:tc>
        <w:tc>
          <w:tcPr>
            <w:tcW w:w="1133" w:type="dxa"/>
            <w:tcBorders>
              <w:top w:val="none"/>
              <w:left w:val="none"/>
              <w:bottom w:val="none"/>
              <w:right w:val="none"/>
            </w:tcBorders>
            <w:textDirection w:val="lrTb"/>
            <w:vAlign w:val="center"/>
          </w:tcPr>
          <w:p>
            <w:pPr>
              <w:tabs>
                <w:tab w:val="decimal" w:leader="none" w:pos="576"/>
              </w:tabs>
              <w:spacing w:before="70" w:after="52"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1.5</w:t>
            </w:r>
          </w:p>
        </w:tc>
        <w:tc>
          <w:tcPr>
            <w:tcW w:w="1490" w:type="dxa"/>
            <w:tcBorders>
              <w:top w:val="none"/>
              <w:left w:val="none"/>
              <w:bottom w:val="none"/>
              <w:right w:val="none"/>
            </w:tcBorders>
            <w:textDirection w:val="lrTb"/>
            <w:vAlign w:val="center"/>
          </w:tcPr>
          <w:p>
            <w:pPr>
              <w:tabs>
                <w:tab w:val="decimal" w:leader="none" w:pos="576"/>
              </w:tabs>
              <w:spacing w:before="70" w:after="52"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1.6</w:t>
            </w:r>
          </w:p>
        </w:tc>
      </w:tr>
      <w:tr>
        <w:trPr>
          <w:trHeight w:val="350" w:hRule="exact"/>
        </w:trPr>
        <w:tc>
          <w:tcPr>
            <w:tcW w:w="1150" w:type="dxa"/>
            <w:tcBorders>
              <w:top w:val="none"/>
              <w:left w:val="none"/>
              <w:bottom w:val="none"/>
              <w:right w:val="single" w:sz="5" w:color="000000"/>
            </w:tcBorders>
            <w:textDirection w:val="lrTb"/>
            <w:vAlign w:val="center"/>
          </w:tcPr>
          <w:p>
            <w:pPr>
              <w:tabs>
                <w:tab w:val="decimal" w:leader="none" w:pos="288"/>
              </w:tabs>
              <w:spacing w:before="71" w:after="46"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1.5</w:t>
            </w:r>
          </w:p>
        </w:tc>
        <w:tc>
          <w:tcPr>
            <w:tcW w:w="868" w:type="dxa"/>
            <w:tcBorders>
              <w:top w:val="none"/>
              <w:left w:val="single" w:sz="5" w:color="000000"/>
              <w:bottom w:val="none"/>
              <w:right w:val="none"/>
            </w:tcBorders>
            <w:textDirection w:val="lrTb"/>
            <w:vAlign w:val="center"/>
          </w:tcPr>
          <w:p>
            <w:pPr>
              <w:tabs>
                <w:tab w:val="decimal" w:leader="none" w:pos="216"/>
              </w:tabs>
              <w:spacing w:before="71" w:after="46"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1.1</w:t>
            </w:r>
          </w:p>
        </w:tc>
        <w:tc>
          <w:tcPr>
            <w:tcW w:w="1152" w:type="dxa"/>
            <w:tcBorders>
              <w:top w:val="none"/>
              <w:left w:val="none"/>
              <w:bottom w:val="none"/>
              <w:right w:val="none"/>
            </w:tcBorders>
            <w:textDirection w:val="lrTb"/>
            <w:vAlign w:val="center"/>
          </w:tcPr>
          <w:p>
            <w:pPr>
              <w:tabs>
                <w:tab w:val="decimal" w:leader="none" w:pos="648"/>
              </w:tabs>
              <w:spacing w:before="71" w:after="46"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1.1</w:t>
            </w:r>
          </w:p>
        </w:tc>
        <w:tc>
          <w:tcPr>
            <w:tcW w:w="1061" w:type="dxa"/>
            <w:tcBorders>
              <w:top w:val="none"/>
              <w:left w:val="none"/>
              <w:bottom w:val="none"/>
              <w:right w:val="none"/>
            </w:tcBorders>
            <w:textDirection w:val="lrTb"/>
            <w:vAlign w:val="center"/>
          </w:tcPr>
          <w:p>
            <w:pPr>
              <w:tabs>
                <w:tab w:val="decimal" w:leader="none" w:pos="504"/>
              </w:tabs>
              <w:spacing w:before="71" w:after="46"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1.1</w:t>
            </w:r>
          </w:p>
        </w:tc>
        <w:tc>
          <w:tcPr>
            <w:tcW w:w="1138" w:type="dxa"/>
            <w:tcBorders>
              <w:top w:val="none"/>
              <w:left w:val="none"/>
              <w:bottom w:val="none"/>
              <w:right w:val="none"/>
            </w:tcBorders>
            <w:textDirection w:val="lrTb"/>
            <w:vAlign w:val="center"/>
          </w:tcPr>
          <w:p>
            <w:pPr>
              <w:tabs>
                <w:tab w:val="decimal" w:leader="none" w:pos="576"/>
              </w:tabs>
              <w:spacing w:before="71" w:after="46"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1.5</w:t>
            </w:r>
          </w:p>
        </w:tc>
        <w:tc>
          <w:tcPr>
            <w:tcW w:w="1133" w:type="dxa"/>
            <w:tcBorders>
              <w:top w:val="none"/>
              <w:left w:val="none"/>
              <w:bottom w:val="none"/>
              <w:right w:val="none"/>
            </w:tcBorders>
            <w:textDirection w:val="lrTb"/>
            <w:vAlign w:val="center"/>
          </w:tcPr>
          <w:p>
            <w:pPr>
              <w:tabs>
                <w:tab w:val="decimal" w:leader="none" w:pos="576"/>
              </w:tabs>
              <w:spacing w:before="71" w:after="46"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1.5</w:t>
            </w:r>
          </w:p>
        </w:tc>
        <w:tc>
          <w:tcPr>
            <w:tcW w:w="1490" w:type="dxa"/>
            <w:tcBorders>
              <w:top w:val="none"/>
              <w:left w:val="none"/>
              <w:bottom w:val="none"/>
              <w:right w:val="none"/>
            </w:tcBorders>
            <w:textDirection w:val="lrTb"/>
            <w:vAlign w:val="center"/>
          </w:tcPr>
          <w:p>
            <w:pPr>
              <w:tabs>
                <w:tab w:val="decimal" w:leader="none" w:pos="576"/>
              </w:tabs>
              <w:spacing w:before="71" w:after="46"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1.5</w:t>
            </w:r>
          </w:p>
        </w:tc>
      </w:tr>
      <w:tr>
        <w:trPr>
          <w:trHeight w:val="351" w:hRule="exact"/>
        </w:trPr>
        <w:tc>
          <w:tcPr>
            <w:tcW w:w="1150" w:type="dxa"/>
            <w:tcBorders>
              <w:top w:val="none"/>
              <w:left w:val="none"/>
              <w:bottom w:val="single" w:sz="5" w:color="000000"/>
              <w:right w:val="single" w:sz="5" w:color="000000"/>
            </w:tcBorders>
            <w:textDirection w:val="lrTb"/>
            <w:vAlign w:val="center"/>
          </w:tcPr>
          <w:p>
            <w:pPr>
              <w:tabs>
                <w:tab w:val="decimal" w:leader="none" w:pos="288"/>
              </w:tabs>
              <w:spacing w:before="71" w:after="56"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1.6</w:t>
            </w:r>
          </w:p>
        </w:tc>
        <w:tc>
          <w:tcPr>
            <w:tcW w:w="868" w:type="dxa"/>
            <w:tcBorders>
              <w:top w:val="none"/>
              <w:left w:val="single" w:sz="5" w:color="000000"/>
              <w:bottom w:val="single" w:sz="5" w:color="000000"/>
              <w:right w:val="none"/>
            </w:tcBorders>
            <w:textDirection w:val="lrTb"/>
            <w:vAlign w:val="center"/>
          </w:tcPr>
          <w:p>
            <w:pPr>
              <w:tabs>
                <w:tab w:val="decimal" w:leader="none" w:pos="216"/>
              </w:tabs>
              <w:spacing w:before="71" w:after="56"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1.1</w:t>
            </w:r>
          </w:p>
        </w:tc>
        <w:tc>
          <w:tcPr>
            <w:tcW w:w="1152" w:type="dxa"/>
            <w:tcBorders>
              <w:top w:val="none"/>
              <w:left w:val="none"/>
              <w:bottom w:val="single" w:sz="5" w:color="000000"/>
              <w:right w:val="none"/>
            </w:tcBorders>
            <w:textDirection w:val="lrTb"/>
            <w:vAlign w:val="center"/>
          </w:tcPr>
          <w:p>
            <w:pPr>
              <w:tabs>
                <w:tab w:val="decimal" w:leader="none" w:pos="648"/>
              </w:tabs>
              <w:spacing w:before="71" w:after="56"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1.2</w:t>
            </w:r>
          </w:p>
        </w:tc>
        <w:tc>
          <w:tcPr>
            <w:tcW w:w="1061" w:type="dxa"/>
            <w:tcBorders>
              <w:top w:val="none"/>
              <w:left w:val="none"/>
              <w:bottom w:val="single" w:sz="5" w:color="000000"/>
              <w:right w:val="none"/>
            </w:tcBorders>
            <w:textDirection w:val="lrTb"/>
            <w:vAlign w:val="center"/>
          </w:tcPr>
          <w:p>
            <w:pPr>
              <w:tabs>
                <w:tab w:val="decimal" w:leader="none" w:pos="504"/>
              </w:tabs>
              <w:spacing w:before="71" w:after="56"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1.3</w:t>
            </w:r>
          </w:p>
        </w:tc>
        <w:tc>
          <w:tcPr>
            <w:tcW w:w="1138" w:type="dxa"/>
            <w:tcBorders>
              <w:top w:val="none"/>
              <w:left w:val="none"/>
              <w:bottom w:val="single" w:sz="5" w:color="000000"/>
              <w:right w:val="none"/>
            </w:tcBorders>
            <w:textDirection w:val="lrTb"/>
            <w:vAlign w:val="center"/>
          </w:tcPr>
          <w:p>
            <w:pPr>
              <w:tabs>
                <w:tab w:val="decimal" w:leader="none" w:pos="576"/>
              </w:tabs>
              <w:spacing w:before="71" w:after="56"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1.6</w:t>
            </w:r>
          </w:p>
        </w:tc>
        <w:tc>
          <w:tcPr>
            <w:tcW w:w="1133" w:type="dxa"/>
            <w:tcBorders>
              <w:top w:val="none"/>
              <w:left w:val="none"/>
              <w:bottom w:val="single" w:sz="5" w:color="000000"/>
              <w:right w:val="none"/>
            </w:tcBorders>
            <w:textDirection w:val="lrTb"/>
            <w:vAlign w:val="center"/>
          </w:tcPr>
          <w:p>
            <w:pPr>
              <w:tabs>
                <w:tab w:val="decimal" w:leader="none" w:pos="576"/>
              </w:tabs>
              <w:spacing w:before="71" w:after="56"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1.5</w:t>
            </w:r>
          </w:p>
        </w:tc>
        <w:tc>
          <w:tcPr>
            <w:tcW w:w="1490" w:type="dxa"/>
            <w:tcBorders>
              <w:top w:val="none"/>
              <w:left w:val="none"/>
              <w:bottom w:val="single" w:sz="5" w:color="000000"/>
              <w:right w:val="none"/>
            </w:tcBorders>
            <w:textDirection w:val="lrTb"/>
            <w:vAlign w:val="center"/>
          </w:tcPr>
          <w:p>
            <w:pPr>
              <w:tabs>
                <w:tab w:val="decimal" w:leader="none" w:pos="576"/>
              </w:tabs>
              <w:spacing w:before="71" w:after="56" w:line="223"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1.6</w:t>
            </w:r>
          </w:p>
        </w:tc>
      </w:tr>
    </w:tbl>
    <w:p>
      <w:pPr>
        <w:spacing w:before="0" w:after="114" w:line="20" w:lineRule="exact"/>
      </w:pPr>
    </w:p>
    <w:p>
      <w:pPr>
        <w:rPr>
          <w:sz w:val="2"/>
        </w:rPr>
      </w:pPr>
      <w:r>
        <w:pict>
          <v:line strokeweight="0.5pt" strokecolor="#000000" from="97.9pt,728.15pt" to="498.05pt,728.15pt" style="position:absolute;mso-position-horizontal-relative:page;mso-position-vertical-relative:page;">
            <v:stroke dashstyle="solid"/>
          </v:line>
        </w:pict>
      </w:r>
    </w:p>
    <w:tbl>
      <w:tblPr>
        <w:jc w:val="left"/>
        <w:tblLayout w:type="fixed"/>
        <w:tblCellMar>
          <w:left w:w="0" w:type="dxa"/>
          <w:right w:w="0" w:type="dxa"/>
        </w:tblCellMar>
      </w:tblPr>
      <w:tblGrid>
        <w:gridCol w:w="926"/>
        <w:gridCol w:w="3740"/>
        <w:gridCol w:w="1545"/>
        <w:gridCol w:w="1889"/>
      </w:tblGrid>
      <w:tr>
        <w:trPr>
          <w:trHeight w:val="412" w:hRule="exact"/>
        </w:trPr>
        <w:tc>
          <w:tcPr>
            <w:tcW w:w="926" w:type="dxa"/>
            <w:tcBorders>
              <w:top w:val="none"/>
              <w:left w:val="none"/>
              <w:bottom w:val="single" w:sz="5" w:color="000000"/>
              <w:right w:val="none"/>
            </w:tcBorders>
            <w:textDirection w:val="lrTb"/>
            <w:vAlign w:val="center"/>
          </w:tcPr>
          <w:p>
            <w:pPr>
              <w:spacing w:before="128" w:after="43" w:line="227" w:lineRule="exact"/>
              <w:ind w:right="0" w:left="0" w:firstLine="0"/>
              <w:jc w:val="center"/>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Table 15.1</w:t>
            </w:r>
          </w:p>
        </w:tc>
        <w:tc>
          <w:tcPr>
            <w:tcW w:w="3740" w:type="dxa"/>
            <w:tcBorders>
              <w:top w:val="none"/>
              <w:left w:val="none"/>
              <w:bottom w:val="single" w:sz="5" w:color="000000"/>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1545" w:type="dxa"/>
            <w:tcBorders>
              <w:top w:val="none"/>
              <w:left w:val="none"/>
              <w:bottom w:val="single" w:sz="5" w:color="000000"/>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1889" w:type="dxa"/>
            <w:tcBorders>
              <w:top w:val="none"/>
              <w:left w:val="none"/>
              <w:bottom w:val="single" w:sz="5" w:color="000000"/>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r>
      <w:tr>
        <w:trPr>
          <w:trHeight w:val="332" w:hRule="exact"/>
        </w:trPr>
        <w:tc>
          <w:tcPr>
            <w:tcW w:w="926" w:type="dxa"/>
            <w:tcBorders>
              <w:top w:val="single" w:sz="5" w:color="000000"/>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740" w:type="dxa"/>
            <w:tcBorders>
              <w:top w:val="single" w:sz="5" w:color="000000"/>
              <w:left w:val="none"/>
              <w:bottom w:val="none"/>
              <w:right w:val="none"/>
            </w:tcBorders>
            <w:textDirection w:val="lrTb"/>
            <w:vAlign w:val="center"/>
          </w:tcPr>
          <w:p>
            <w:pPr>
              <w:spacing w:before="86" w:after="19" w:line="227" w:lineRule="exact"/>
              <w:ind w:right="0" w:left="25"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Column 1</w:t>
            </w:r>
          </w:p>
        </w:tc>
        <w:tc>
          <w:tcPr>
            <w:tcW w:w="1545" w:type="dxa"/>
            <w:tcBorders>
              <w:top w:val="single" w:sz="5" w:color="000000"/>
              <w:left w:val="none"/>
              <w:bottom w:val="none"/>
              <w:right w:val="none"/>
            </w:tcBorders>
            <w:textDirection w:val="lrTb"/>
            <w:vAlign w:val="center"/>
          </w:tcPr>
          <w:p>
            <w:pPr>
              <w:spacing w:before="86" w:after="19" w:line="227" w:lineRule="exact"/>
              <w:ind w:right="0" w:left="115"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Column 2</w:t>
            </w:r>
          </w:p>
        </w:tc>
        <w:tc>
          <w:tcPr>
            <w:tcW w:w="1889" w:type="dxa"/>
            <w:tcBorders>
              <w:top w:val="single" w:sz="5" w:color="000000"/>
              <w:left w:val="none"/>
              <w:bottom w:val="none"/>
              <w:right w:val="none"/>
            </w:tcBorders>
            <w:textDirection w:val="lrTb"/>
            <w:vAlign w:val="center"/>
          </w:tcPr>
          <w:p>
            <w:pPr>
              <w:spacing w:before="86" w:after="19" w:line="227" w:lineRule="exact"/>
              <w:ind w:right="0" w:left="13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Column 3</w:t>
            </w:r>
          </w:p>
        </w:tc>
      </w:tr>
      <w:tr>
        <w:trPr>
          <w:trHeight w:val="782" w:hRule="exact"/>
        </w:trPr>
        <w:tc>
          <w:tcPr>
            <w:tcW w:w="926" w:type="dxa"/>
            <w:tcBorders>
              <w:top w:val="none"/>
              <w:left w:val="none"/>
              <w:bottom w:val="single" w:sz="5" w:color="000000"/>
              <w:right w:val="none"/>
            </w:tcBorders>
            <w:textDirection w:val="lrTb"/>
            <w:vAlign w:val="top"/>
          </w:tcPr>
          <w:p>
            <w:pPr>
              <w:spacing w:before="42" w:after="508" w:line="227" w:lineRule="exact"/>
              <w:ind w:right="378" w:left="0" w:firstLine="0"/>
              <w:jc w:val="righ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Item</w:t>
            </w:r>
          </w:p>
        </w:tc>
        <w:tc>
          <w:tcPr>
            <w:tcW w:w="3740" w:type="dxa"/>
            <w:tcBorders>
              <w:top w:val="none"/>
              <w:left w:val="none"/>
              <w:bottom w:val="single" w:sz="5" w:color="000000"/>
              <w:right w:val="none"/>
            </w:tcBorders>
            <w:textDirection w:val="lrTb"/>
            <w:vAlign w:val="top"/>
          </w:tcPr>
          <w:p>
            <w:pPr>
              <w:spacing w:before="42" w:after="508" w:line="227" w:lineRule="exact"/>
              <w:ind w:right="0" w:left="25"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Hazardous chemical</w:t>
            </w:r>
          </w:p>
        </w:tc>
        <w:tc>
          <w:tcPr>
            <w:tcW w:w="1545" w:type="dxa"/>
            <w:tcBorders>
              <w:top w:val="none"/>
              <w:left w:val="none"/>
              <w:bottom w:val="single" w:sz="5" w:color="000000"/>
              <w:right w:val="none"/>
            </w:tcBorders>
            <w:textDirection w:val="lrTb"/>
            <w:vAlign w:val="top"/>
          </w:tcPr>
          <w:p>
            <w:pPr>
              <w:spacing w:before="42" w:after="0" w:line="227" w:lineRule="exact"/>
              <w:ind w:right="0" w:left="14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UN Nos</w:t>
            </w:r>
          </w:p>
          <w:p>
            <w:pPr>
              <w:spacing w:before="0" w:after="47" w:line="230" w:lineRule="exact"/>
              <w:ind w:right="0" w:left="14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included under name</w:t>
            </w:r>
          </w:p>
        </w:tc>
        <w:tc>
          <w:tcPr>
            <w:tcW w:w="1889" w:type="dxa"/>
            <w:tcBorders>
              <w:top w:val="none"/>
              <w:left w:val="none"/>
              <w:bottom w:val="single" w:sz="5" w:color="000000"/>
              <w:right w:val="none"/>
            </w:tcBorders>
            <w:textDirection w:val="lrTb"/>
            <w:vAlign w:val="top"/>
          </w:tcPr>
          <w:p>
            <w:pPr>
              <w:spacing w:before="39" w:after="278" w:line="230" w:lineRule="exact"/>
              <w:ind w:right="288" w:left="10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Threshold quantity (tonnes)</w:t>
            </w:r>
          </w:p>
        </w:tc>
      </w:tr>
      <w:tr>
        <w:trPr>
          <w:trHeight w:val="360" w:hRule="exact"/>
        </w:trPr>
        <w:tc>
          <w:tcPr>
            <w:tcW w:w="926" w:type="dxa"/>
            <w:tcBorders>
              <w:top w:val="single" w:sz="5" w:color="000000"/>
              <w:left w:val="none"/>
              <w:bottom w:val="none"/>
              <w:right w:val="none"/>
            </w:tcBorders>
            <w:textDirection w:val="lrTb"/>
            <w:vAlign w:val="center"/>
          </w:tcPr>
          <w:p>
            <w:pPr>
              <w:spacing w:before="86" w:after="46" w:line="223" w:lineRule="exact"/>
              <w:ind w:right="378"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w:t>
            </w:r>
          </w:p>
        </w:tc>
        <w:tc>
          <w:tcPr>
            <w:tcW w:w="3740" w:type="dxa"/>
            <w:tcBorders>
              <w:top w:val="single" w:sz="5" w:color="000000"/>
              <w:left w:val="none"/>
              <w:bottom w:val="none"/>
              <w:right w:val="none"/>
            </w:tcBorders>
            <w:textDirection w:val="lrTb"/>
            <w:vAlign w:val="center"/>
          </w:tcPr>
          <w:p>
            <w:pPr>
              <w:spacing w:before="86" w:after="46" w:line="223" w:lineRule="exact"/>
              <w:ind w:right="0" w:left="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ACETONE CYANOHYDRIN</w:t>
            </w:r>
          </w:p>
        </w:tc>
        <w:tc>
          <w:tcPr>
            <w:tcW w:w="1545" w:type="dxa"/>
            <w:tcBorders>
              <w:top w:val="single" w:sz="5" w:color="000000"/>
              <w:left w:val="none"/>
              <w:bottom w:val="none"/>
              <w:right w:val="none"/>
            </w:tcBorders>
            <w:textDirection w:val="lrTb"/>
            <w:vAlign w:val="center"/>
          </w:tcPr>
          <w:p>
            <w:pPr>
              <w:spacing w:before="86" w:after="46" w:line="223" w:lineRule="exact"/>
              <w:ind w:right="0" w:left="11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1541</w:t>
            </w:r>
          </w:p>
        </w:tc>
        <w:tc>
          <w:tcPr>
            <w:tcW w:w="1889" w:type="dxa"/>
            <w:tcBorders>
              <w:top w:val="single" w:sz="5" w:color="000000"/>
              <w:left w:val="none"/>
              <w:bottom w:val="none"/>
              <w:right w:val="none"/>
            </w:tcBorders>
            <w:textDirection w:val="lrTb"/>
            <w:vAlign w:val="center"/>
          </w:tcPr>
          <w:p>
            <w:pPr>
              <w:spacing w:before="86" w:after="46" w:line="223"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w:t>
            </w:r>
          </w:p>
        </w:tc>
      </w:tr>
      <w:tr>
        <w:trPr>
          <w:trHeight w:val="355" w:hRule="exact"/>
        </w:trPr>
        <w:tc>
          <w:tcPr>
            <w:tcW w:w="926" w:type="dxa"/>
            <w:tcBorders>
              <w:top w:val="none"/>
              <w:left w:val="none"/>
              <w:bottom w:val="none"/>
              <w:right w:val="none"/>
            </w:tcBorders>
            <w:textDirection w:val="lrTb"/>
            <w:vAlign w:val="center"/>
          </w:tcPr>
          <w:p>
            <w:pPr>
              <w:spacing w:before="76" w:after="42" w:line="223" w:lineRule="exact"/>
              <w:ind w:right="378"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w:t>
            </w:r>
          </w:p>
        </w:tc>
        <w:tc>
          <w:tcPr>
            <w:tcW w:w="3740" w:type="dxa"/>
            <w:tcBorders>
              <w:top w:val="none"/>
              <w:left w:val="none"/>
              <w:bottom w:val="none"/>
              <w:right w:val="none"/>
            </w:tcBorders>
            <w:textDirection w:val="lrTb"/>
            <w:vAlign w:val="center"/>
          </w:tcPr>
          <w:p>
            <w:pPr>
              <w:spacing w:before="76" w:after="42" w:line="223" w:lineRule="exact"/>
              <w:ind w:right="0" w:left="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ACETYLENE</w:t>
            </w:r>
          </w:p>
        </w:tc>
        <w:tc>
          <w:tcPr>
            <w:tcW w:w="1545" w:type="dxa"/>
            <w:tcBorders>
              <w:top w:val="none"/>
              <w:left w:val="none"/>
              <w:bottom w:val="none"/>
              <w:right w:val="none"/>
            </w:tcBorders>
            <w:textDirection w:val="lrTb"/>
            <w:vAlign w:val="center"/>
          </w:tcPr>
          <w:p>
            <w:pPr>
              <w:spacing w:before="76" w:after="42" w:line="223" w:lineRule="exact"/>
              <w:ind w:right="0" w:left="11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1001</w:t>
            </w:r>
          </w:p>
        </w:tc>
        <w:tc>
          <w:tcPr>
            <w:tcW w:w="1889" w:type="dxa"/>
            <w:tcBorders>
              <w:top w:val="none"/>
              <w:left w:val="none"/>
              <w:bottom w:val="none"/>
              <w:right w:val="none"/>
            </w:tcBorders>
            <w:textDirection w:val="lrTb"/>
            <w:vAlign w:val="center"/>
          </w:tcPr>
          <w:p>
            <w:pPr>
              <w:spacing w:before="76" w:after="42" w:line="223"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50</w:t>
            </w:r>
          </w:p>
        </w:tc>
      </w:tr>
      <w:tr>
        <w:trPr>
          <w:trHeight w:val="351" w:hRule="exact"/>
        </w:trPr>
        <w:tc>
          <w:tcPr>
            <w:tcW w:w="926" w:type="dxa"/>
            <w:tcBorders>
              <w:top w:val="none"/>
              <w:left w:val="none"/>
              <w:bottom w:val="none"/>
              <w:right w:val="none"/>
            </w:tcBorders>
            <w:textDirection w:val="lrTb"/>
            <w:vAlign w:val="center"/>
          </w:tcPr>
          <w:p>
            <w:pPr>
              <w:spacing w:before="71" w:after="52" w:line="223" w:lineRule="exact"/>
              <w:ind w:right="378"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w:t>
            </w:r>
          </w:p>
        </w:tc>
        <w:tc>
          <w:tcPr>
            <w:tcW w:w="3740" w:type="dxa"/>
            <w:tcBorders>
              <w:top w:val="none"/>
              <w:left w:val="none"/>
              <w:bottom w:val="none"/>
              <w:right w:val="none"/>
            </w:tcBorders>
            <w:textDirection w:val="lrTb"/>
            <w:vAlign w:val="center"/>
          </w:tcPr>
          <w:p>
            <w:pPr>
              <w:spacing w:before="71" w:after="52" w:line="223" w:lineRule="exact"/>
              <w:ind w:right="0" w:left="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ACROLEIN</w:t>
            </w:r>
          </w:p>
        </w:tc>
        <w:tc>
          <w:tcPr>
            <w:tcW w:w="1545" w:type="dxa"/>
            <w:tcBorders>
              <w:top w:val="none"/>
              <w:left w:val="none"/>
              <w:bottom w:val="none"/>
              <w:right w:val="none"/>
            </w:tcBorders>
            <w:textDirection w:val="lrTb"/>
            <w:vAlign w:val="center"/>
          </w:tcPr>
          <w:p>
            <w:pPr>
              <w:spacing w:before="71" w:after="52" w:line="223" w:lineRule="exact"/>
              <w:ind w:right="0" w:left="11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1092</w:t>
            </w:r>
          </w:p>
        </w:tc>
        <w:tc>
          <w:tcPr>
            <w:tcW w:w="1889" w:type="dxa"/>
            <w:tcBorders>
              <w:top w:val="none"/>
              <w:left w:val="none"/>
              <w:bottom w:val="none"/>
              <w:right w:val="none"/>
            </w:tcBorders>
            <w:textDirection w:val="lrTb"/>
            <w:vAlign w:val="center"/>
          </w:tcPr>
          <w:p>
            <w:pPr>
              <w:spacing w:before="71" w:after="52" w:line="223"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200</w:t>
            </w:r>
          </w:p>
        </w:tc>
      </w:tr>
      <w:tr>
        <w:trPr>
          <w:trHeight w:val="350" w:hRule="exact"/>
        </w:trPr>
        <w:tc>
          <w:tcPr>
            <w:tcW w:w="926" w:type="dxa"/>
            <w:tcBorders>
              <w:top w:val="none"/>
              <w:left w:val="none"/>
              <w:bottom w:val="none"/>
              <w:right w:val="none"/>
            </w:tcBorders>
            <w:textDirection w:val="lrTb"/>
            <w:vAlign w:val="center"/>
          </w:tcPr>
          <w:p>
            <w:pPr>
              <w:spacing w:before="71" w:after="46" w:line="223" w:lineRule="exact"/>
              <w:ind w:right="378"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w:t>
            </w:r>
          </w:p>
        </w:tc>
        <w:tc>
          <w:tcPr>
            <w:tcW w:w="3740" w:type="dxa"/>
            <w:tcBorders>
              <w:top w:val="none"/>
              <w:left w:val="none"/>
              <w:bottom w:val="none"/>
              <w:right w:val="none"/>
            </w:tcBorders>
            <w:textDirection w:val="lrTb"/>
            <w:vAlign w:val="center"/>
          </w:tcPr>
          <w:p>
            <w:pPr>
              <w:spacing w:before="71" w:after="46" w:line="223" w:lineRule="exact"/>
              <w:ind w:right="0" w:left="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ACRYLONITRILE</w:t>
            </w:r>
          </w:p>
        </w:tc>
        <w:tc>
          <w:tcPr>
            <w:tcW w:w="1545" w:type="dxa"/>
            <w:tcBorders>
              <w:top w:val="none"/>
              <w:left w:val="none"/>
              <w:bottom w:val="none"/>
              <w:right w:val="none"/>
            </w:tcBorders>
            <w:textDirection w:val="lrTb"/>
            <w:vAlign w:val="center"/>
          </w:tcPr>
          <w:p>
            <w:pPr>
              <w:spacing w:before="71" w:after="46" w:line="223" w:lineRule="exact"/>
              <w:ind w:right="0" w:left="11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1093</w:t>
            </w:r>
          </w:p>
        </w:tc>
        <w:tc>
          <w:tcPr>
            <w:tcW w:w="1889" w:type="dxa"/>
            <w:tcBorders>
              <w:top w:val="none"/>
              <w:left w:val="none"/>
              <w:bottom w:val="none"/>
              <w:right w:val="none"/>
            </w:tcBorders>
            <w:textDirection w:val="lrTb"/>
            <w:vAlign w:val="center"/>
          </w:tcPr>
          <w:p>
            <w:pPr>
              <w:spacing w:before="71" w:after="46" w:line="223"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200</w:t>
            </w:r>
          </w:p>
        </w:tc>
      </w:tr>
      <w:tr>
        <w:trPr>
          <w:trHeight w:val="346" w:hRule="exact"/>
        </w:trPr>
        <w:tc>
          <w:tcPr>
            <w:tcW w:w="926" w:type="dxa"/>
            <w:tcBorders>
              <w:top w:val="none"/>
              <w:left w:val="none"/>
              <w:bottom w:val="none"/>
              <w:right w:val="none"/>
            </w:tcBorders>
            <w:textDirection w:val="lrTb"/>
            <w:vAlign w:val="center"/>
          </w:tcPr>
          <w:p>
            <w:pPr>
              <w:spacing w:before="71" w:after="42" w:line="223" w:lineRule="exact"/>
              <w:ind w:right="378"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w:t>
            </w:r>
          </w:p>
        </w:tc>
        <w:tc>
          <w:tcPr>
            <w:tcW w:w="3740" w:type="dxa"/>
            <w:tcBorders>
              <w:top w:val="none"/>
              <w:left w:val="none"/>
              <w:bottom w:val="none"/>
              <w:right w:val="none"/>
            </w:tcBorders>
            <w:textDirection w:val="lrTb"/>
            <w:vAlign w:val="center"/>
          </w:tcPr>
          <w:p>
            <w:pPr>
              <w:spacing w:before="71" w:after="42" w:line="223" w:lineRule="exact"/>
              <w:ind w:right="0" w:left="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ALLYL ALCOHOL</w:t>
            </w:r>
          </w:p>
        </w:tc>
        <w:tc>
          <w:tcPr>
            <w:tcW w:w="1545" w:type="dxa"/>
            <w:tcBorders>
              <w:top w:val="none"/>
              <w:left w:val="none"/>
              <w:bottom w:val="none"/>
              <w:right w:val="none"/>
            </w:tcBorders>
            <w:textDirection w:val="lrTb"/>
            <w:vAlign w:val="center"/>
          </w:tcPr>
          <w:p>
            <w:pPr>
              <w:spacing w:before="71" w:after="42" w:line="223" w:lineRule="exact"/>
              <w:ind w:right="0" w:left="11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1098</w:t>
            </w:r>
          </w:p>
        </w:tc>
        <w:tc>
          <w:tcPr>
            <w:tcW w:w="1889" w:type="dxa"/>
            <w:tcBorders>
              <w:top w:val="none"/>
              <w:left w:val="none"/>
              <w:bottom w:val="none"/>
              <w:right w:val="none"/>
            </w:tcBorders>
            <w:textDirection w:val="lrTb"/>
            <w:vAlign w:val="center"/>
          </w:tcPr>
          <w:p>
            <w:pPr>
              <w:spacing w:before="71" w:after="42" w:line="223"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w:t>
            </w:r>
          </w:p>
        </w:tc>
      </w:tr>
      <w:tr>
        <w:trPr>
          <w:trHeight w:val="350" w:hRule="exact"/>
        </w:trPr>
        <w:tc>
          <w:tcPr>
            <w:tcW w:w="926" w:type="dxa"/>
            <w:tcBorders>
              <w:top w:val="none"/>
              <w:left w:val="none"/>
              <w:bottom w:val="none"/>
              <w:right w:val="none"/>
            </w:tcBorders>
            <w:textDirection w:val="lrTb"/>
            <w:vAlign w:val="center"/>
          </w:tcPr>
          <w:p>
            <w:pPr>
              <w:spacing w:before="76" w:after="37" w:line="223" w:lineRule="exact"/>
              <w:ind w:right="378"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w:t>
            </w:r>
          </w:p>
        </w:tc>
        <w:tc>
          <w:tcPr>
            <w:tcW w:w="3740" w:type="dxa"/>
            <w:tcBorders>
              <w:top w:val="none"/>
              <w:left w:val="none"/>
              <w:bottom w:val="none"/>
              <w:right w:val="none"/>
            </w:tcBorders>
            <w:textDirection w:val="lrTb"/>
            <w:vAlign w:val="center"/>
          </w:tcPr>
          <w:p>
            <w:pPr>
              <w:spacing w:before="76" w:after="37" w:line="223" w:lineRule="exact"/>
              <w:ind w:right="0" w:left="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ALLYLAMINE</w:t>
            </w:r>
          </w:p>
        </w:tc>
        <w:tc>
          <w:tcPr>
            <w:tcW w:w="1545" w:type="dxa"/>
            <w:tcBorders>
              <w:top w:val="none"/>
              <w:left w:val="none"/>
              <w:bottom w:val="none"/>
              <w:right w:val="none"/>
            </w:tcBorders>
            <w:textDirection w:val="lrTb"/>
            <w:vAlign w:val="center"/>
          </w:tcPr>
          <w:p>
            <w:pPr>
              <w:spacing w:before="76" w:after="37" w:line="223" w:lineRule="exact"/>
              <w:ind w:right="0" w:left="11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2334</w:t>
            </w:r>
          </w:p>
        </w:tc>
        <w:tc>
          <w:tcPr>
            <w:tcW w:w="1889" w:type="dxa"/>
            <w:tcBorders>
              <w:top w:val="none"/>
              <w:left w:val="none"/>
              <w:bottom w:val="none"/>
              <w:right w:val="none"/>
            </w:tcBorders>
            <w:textDirection w:val="lrTb"/>
            <w:vAlign w:val="center"/>
          </w:tcPr>
          <w:p>
            <w:pPr>
              <w:spacing w:before="76" w:after="37" w:line="223"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200</w:t>
            </w:r>
          </w:p>
        </w:tc>
      </w:tr>
      <w:tr>
        <w:trPr>
          <w:trHeight w:val="1056" w:hRule="exact"/>
        </w:trPr>
        <w:tc>
          <w:tcPr>
            <w:tcW w:w="926" w:type="dxa"/>
            <w:tcBorders>
              <w:top w:val="none"/>
              <w:left w:val="none"/>
              <w:bottom w:val="none"/>
              <w:right w:val="none"/>
            </w:tcBorders>
            <w:textDirection w:val="lrTb"/>
            <w:vAlign w:val="top"/>
          </w:tcPr>
          <w:p>
            <w:pPr>
              <w:spacing w:before="76" w:after="752" w:line="223" w:lineRule="exact"/>
              <w:ind w:right="378"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7</w:t>
            </w:r>
          </w:p>
        </w:tc>
        <w:tc>
          <w:tcPr>
            <w:tcW w:w="3740" w:type="dxa"/>
            <w:tcBorders>
              <w:top w:val="none"/>
              <w:left w:val="none"/>
              <w:bottom w:val="none"/>
              <w:right w:val="none"/>
            </w:tcBorders>
            <w:textDirection w:val="lrTb"/>
            <w:vAlign w:val="top"/>
          </w:tcPr>
          <w:p>
            <w:pPr>
              <w:spacing w:before="60" w:after="51" w:line="235" w:lineRule="exact"/>
              <w:ind w:right="216"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AMMONIA, ANHYDROUS, LIQUEFIED or AMMONIA SOLUTIONS, relative density less than 0</w:t>
            </w:r>
            <w:r>
              <w:rPr>
                <w:rFonts w:ascii="Symbol" w:hAnsi="Symbol" w:eastAsia="Symbol"/>
                <w:color w:val="000000"/>
                <w:spacing w:val="0"/>
                <w:w w:val="100"/>
                <w:sz w:val="20"/>
                <w:vertAlign w:val="baseline"/>
                <w:lang w:val="en-US"/>
              </w:rPr>
              <w:t xml:space="preserve">⋅</w:t>
            </w:r>
            <w:r>
              <w:rPr>
                <w:rFonts w:ascii="Times New Roman" w:hAnsi="Times New Roman" w:eastAsia="Times New Roman"/>
                <w:color w:val="000000"/>
                <w:spacing w:val="0"/>
                <w:w w:val="100"/>
                <w:sz w:val="20"/>
                <w:vertAlign w:val="baseline"/>
                <w:lang w:val="en-US"/>
              </w:rPr>
              <w:t xml:space="preserve">880 at 15 degrees C in water, with more than 50% ammonia</w:t>
            </w:r>
          </w:p>
        </w:tc>
        <w:tc>
          <w:tcPr>
            <w:tcW w:w="1545" w:type="dxa"/>
            <w:tcBorders>
              <w:top w:val="none"/>
              <w:left w:val="none"/>
              <w:bottom w:val="none"/>
              <w:right w:val="none"/>
            </w:tcBorders>
            <w:textDirection w:val="lrTb"/>
            <w:vAlign w:val="top"/>
          </w:tcPr>
          <w:p>
            <w:pPr>
              <w:spacing w:before="76" w:after="752" w:line="223" w:lineRule="exact"/>
              <w:ind w:right="0" w:left="11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1005</w:t>
            </w:r>
          </w:p>
        </w:tc>
        <w:tc>
          <w:tcPr>
            <w:tcW w:w="1889" w:type="dxa"/>
            <w:tcBorders>
              <w:top w:val="none"/>
              <w:left w:val="none"/>
              <w:bottom w:val="none"/>
              <w:right w:val="none"/>
            </w:tcBorders>
            <w:textDirection w:val="lrTb"/>
            <w:vAlign w:val="top"/>
          </w:tcPr>
          <w:p>
            <w:pPr>
              <w:spacing w:before="76" w:after="752" w:line="223"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200</w:t>
            </w:r>
          </w:p>
        </w:tc>
      </w:tr>
      <w:tr>
        <w:trPr>
          <w:trHeight w:val="293" w:hRule="exact"/>
        </w:trPr>
        <w:tc>
          <w:tcPr>
            <w:tcW w:w="926" w:type="dxa"/>
            <w:tcBorders>
              <w:top w:val="none"/>
              <w:left w:val="none"/>
              <w:bottom w:val="none"/>
              <w:right w:val="none"/>
            </w:tcBorders>
            <w:textDirection w:val="lrTb"/>
            <w:vAlign w:val="center"/>
          </w:tcPr>
          <w:p>
            <w:pPr>
              <w:spacing w:before="71" w:after="0" w:line="212" w:lineRule="exact"/>
              <w:ind w:right="378"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8</w:t>
            </w:r>
          </w:p>
        </w:tc>
        <w:tc>
          <w:tcPr>
            <w:tcW w:w="3740" w:type="dxa"/>
            <w:tcBorders>
              <w:top w:val="none"/>
              <w:left w:val="none"/>
              <w:bottom w:val="none"/>
              <w:right w:val="none"/>
            </w:tcBorders>
            <w:textDirection w:val="lrTb"/>
            <w:vAlign w:val="center"/>
          </w:tcPr>
          <w:p>
            <w:pPr>
              <w:spacing w:before="71" w:after="0" w:line="212" w:lineRule="exact"/>
              <w:ind w:right="0" w:left="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AMMONIUM NITRATE FERTILISERS</w:t>
            </w:r>
          </w:p>
        </w:tc>
        <w:tc>
          <w:tcPr>
            <w:tcW w:w="1545" w:type="dxa"/>
            <w:tcBorders>
              <w:top w:val="none"/>
              <w:left w:val="none"/>
              <w:bottom w:val="none"/>
              <w:right w:val="none"/>
            </w:tcBorders>
            <w:textDirection w:val="lrTb"/>
            <w:vAlign w:val="center"/>
          </w:tcPr>
          <w:p>
            <w:pPr>
              <w:spacing w:before="66" w:after="0" w:line="217" w:lineRule="exact"/>
              <w:ind w:right="0" w:left="11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2067</w:t>
            </w:r>
          </w:p>
        </w:tc>
        <w:tc>
          <w:tcPr>
            <w:tcW w:w="1889" w:type="dxa"/>
            <w:tcBorders>
              <w:top w:val="none"/>
              <w:left w:val="none"/>
              <w:bottom w:val="none"/>
              <w:right w:val="none"/>
            </w:tcBorders>
            <w:textDirection w:val="lrTb"/>
            <w:vAlign w:val="center"/>
          </w:tcPr>
          <w:p>
            <w:pPr>
              <w:spacing w:before="71" w:after="0" w:line="212"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5000</w:t>
            </w:r>
          </w:p>
        </w:tc>
      </w:tr>
      <w:tr>
        <w:trPr>
          <w:trHeight w:val="230" w:hRule="exact"/>
        </w:trPr>
        <w:tc>
          <w:tcPr>
            <w:tcW w:w="926"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740"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1545" w:type="dxa"/>
            <w:tcBorders>
              <w:top w:val="none"/>
              <w:left w:val="none"/>
              <w:bottom w:val="none"/>
              <w:right w:val="none"/>
            </w:tcBorders>
            <w:textDirection w:val="lrTb"/>
            <w:vAlign w:val="center"/>
          </w:tcPr>
          <w:p>
            <w:pPr>
              <w:spacing w:before="0" w:after="0" w:line="212" w:lineRule="exact"/>
              <w:ind w:right="0" w:left="11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2068</w:t>
            </w:r>
          </w:p>
        </w:tc>
        <w:tc>
          <w:tcPr>
            <w:tcW w:w="188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r>
      <w:tr>
        <w:trPr>
          <w:trHeight w:val="231" w:hRule="exact"/>
        </w:trPr>
        <w:tc>
          <w:tcPr>
            <w:tcW w:w="926"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740"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1545" w:type="dxa"/>
            <w:tcBorders>
              <w:top w:val="none"/>
              <w:left w:val="none"/>
              <w:bottom w:val="none"/>
              <w:right w:val="none"/>
            </w:tcBorders>
            <w:textDirection w:val="lrTb"/>
            <w:vAlign w:val="center"/>
          </w:tcPr>
          <w:p>
            <w:pPr>
              <w:spacing w:before="0" w:after="0" w:line="212" w:lineRule="exact"/>
              <w:ind w:right="0" w:left="11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2069</w:t>
            </w:r>
          </w:p>
        </w:tc>
        <w:tc>
          <w:tcPr>
            <w:tcW w:w="188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r>
      <w:tr>
        <w:trPr>
          <w:trHeight w:val="288" w:hRule="exact"/>
        </w:trPr>
        <w:tc>
          <w:tcPr>
            <w:tcW w:w="926"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740"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1545" w:type="dxa"/>
            <w:tcBorders>
              <w:top w:val="none"/>
              <w:left w:val="none"/>
              <w:bottom w:val="none"/>
              <w:right w:val="none"/>
            </w:tcBorders>
            <w:textDirection w:val="lrTb"/>
            <w:vAlign w:val="center"/>
          </w:tcPr>
          <w:p>
            <w:pPr>
              <w:spacing w:before="0" w:after="47" w:line="223" w:lineRule="exact"/>
              <w:ind w:right="0" w:left="11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2070</w:t>
            </w:r>
          </w:p>
        </w:tc>
        <w:tc>
          <w:tcPr>
            <w:tcW w:w="188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r>
      <w:tr>
        <w:trPr>
          <w:trHeight w:val="1281" w:hRule="exact"/>
        </w:trPr>
        <w:tc>
          <w:tcPr>
            <w:tcW w:w="926" w:type="dxa"/>
            <w:tcBorders>
              <w:top w:val="none"/>
              <w:left w:val="none"/>
              <w:bottom w:val="none"/>
              <w:right w:val="none"/>
            </w:tcBorders>
            <w:textDirection w:val="lrTb"/>
            <w:vAlign w:val="top"/>
          </w:tcPr>
          <w:p>
            <w:pPr>
              <w:spacing w:before="71" w:after="978" w:line="223" w:lineRule="exact"/>
              <w:ind w:right="378"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9</w:t>
            </w:r>
          </w:p>
        </w:tc>
        <w:tc>
          <w:tcPr>
            <w:tcW w:w="3740" w:type="dxa"/>
            <w:tcBorders>
              <w:top w:val="none"/>
              <w:left w:val="none"/>
              <w:bottom w:val="none"/>
              <w:right w:val="none"/>
            </w:tcBorders>
            <w:textDirection w:val="lrTb"/>
            <w:vAlign w:val="top"/>
          </w:tcPr>
          <w:p>
            <w:pPr>
              <w:spacing w:before="55" w:after="47" w:line="234" w:lineRule="exact"/>
              <w:ind w:right="108" w:left="0"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AMMONIUM NITRATE, with not more than 0</w:t>
            </w:r>
            <w:r>
              <w:rPr>
                <w:rFonts w:ascii="Symbol" w:hAnsi="Symbol" w:eastAsia="Symbol"/>
                <w:color w:val="000000"/>
                <w:spacing w:val="1"/>
                <w:w w:val="100"/>
                <w:sz w:val="20"/>
                <w:vertAlign w:val="baseline"/>
                <w:lang w:val="en-US"/>
              </w:rPr>
              <w:t xml:space="preserve">⋅</w:t>
            </w:r>
            <w:r>
              <w:rPr>
                <w:rFonts w:ascii="Times New Roman" w:hAnsi="Times New Roman" w:eastAsia="Times New Roman"/>
                <w:color w:val="000000"/>
                <w:spacing w:val="1"/>
                <w:w w:val="100"/>
                <w:sz w:val="20"/>
                <w:vertAlign w:val="baseline"/>
                <w:lang w:val="en-US"/>
              </w:rPr>
              <w:t xml:space="preserve">2% combustible substances, including any organic substance calculated as carbon, to the exclusion of any other added substance</w:t>
            </w:r>
          </w:p>
        </w:tc>
        <w:tc>
          <w:tcPr>
            <w:tcW w:w="1545" w:type="dxa"/>
            <w:tcBorders>
              <w:top w:val="none"/>
              <w:left w:val="none"/>
              <w:bottom w:val="none"/>
              <w:right w:val="none"/>
            </w:tcBorders>
            <w:textDirection w:val="lrTb"/>
            <w:vAlign w:val="top"/>
          </w:tcPr>
          <w:p>
            <w:pPr>
              <w:spacing w:before="71" w:after="978" w:line="223" w:lineRule="exact"/>
              <w:ind w:right="0" w:left="11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1942</w:t>
            </w:r>
          </w:p>
        </w:tc>
        <w:tc>
          <w:tcPr>
            <w:tcW w:w="1889" w:type="dxa"/>
            <w:tcBorders>
              <w:top w:val="none"/>
              <w:left w:val="none"/>
              <w:bottom w:val="none"/>
              <w:right w:val="none"/>
            </w:tcBorders>
            <w:textDirection w:val="lrTb"/>
            <w:vAlign w:val="top"/>
          </w:tcPr>
          <w:p>
            <w:pPr>
              <w:spacing w:before="71" w:after="978" w:line="223"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2500</w:t>
            </w:r>
          </w:p>
        </w:tc>
      </w:tr>
      <w:tr>
        <w:trPr>
          <w:trHeight w:val="581" w:hRule="exact"/>
        </w:trPr>
        <w:tc>
          <w:tcPr>
            <w:tcW w:w="926" w:type="dxa"/>
            <w:tcBorders>
              <w:top w:val="none"/>
              <w:left w:val="none"/>
              <w:bottom w:val="none"/>
              <w:right w:val="none"/>
            </w:tcBorders>
            <w:textDirection w:val="lrTb"/>
            <w:vAlign w:val="top"/>
          </w:tcPr>
          <w:p>
            <w:pPr>
              <w:spacing w:before="76" w:after="268" w:line="223" w:lineRule="exact"/>
              <w:ind w:right="378"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w:t>
            </w:r>
          </w:p>
        </w:tc>
        <w:tc>
          <w:tcPr>
            <w:tcW w:w="3740" w:type="dxa"/>
            <w:tcBorders>
              <w:top w:val="none"/>
              <w:left w:val="none"/>
              <w:bottom w:val="none"/>
              <w:right w:val="none"/>
            </w:tcBorders>
            <w:textDirection w:val="lrTb"/>
            <w:vAlign w:val="top"/>
          </w:tcPr>
          <w:p>
            <w:pPr>
              <w:spacing w:before="63" w:after="42" w:line="231" w:lineRule="exact"/>
              <w:ind w:right="180" w:left="0"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ARSENIC PENTOXIDE, Arsenic (V) Acid and other salts</w:t>
            </w:r>
          </w:p>
        </w:tc>
        <w:tc>
          <w:tcPr>
            <w:tcW w:w="1545" w:type="dxa"/>
            <w:tcBorders>
              <w:top w:val="none"/>
              <w:left w:val="none"/>
              <w:bottom w:val="none"/>
              <w:right w:val="none"/>
            </w:tcBorders>
            <w:textDirection w:val="lrTb"/>
            <w:vAlign w:val="top"/>
          </w:tcPr>
          <w:p>
            <w:pPr>
              <w:spacing w:before="76" w:after="268" w:line="223" w:lineRule="exact"/>
              <w:ind w:right="0" w:left="11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1559</w:t>
            </w:r>
          </w:p>
        </w:tc>
        <w:tc>
          <w:tcPr>
            <w:tcW w:w="1889" w:type="dxa"/>
            <w:tcBorders>
              <w:top w:val="none"/>
              <w:left w:val="none"/>
              <w:bottom w:val="none"/>
              <w:right w:val="none"/>
            </w:tcBorders>
            <w:textDirection w:val="lrTb"/>
            <w:vAlign w:val="top"/>
          </w:tcPr>
          <w:p>
            <w:pPr>
              <w:spacing w:before="76" w:after="268" w:line="223"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w:t>
            </w:r>
          </w:p>
        </w:tc>
      </w:tr>
      <w:tr>
        <w:trPr>
          <w:trHeight w:val="581" w:hRule="exact"/>
        </w:trPr>
        <w:tc>
          <w:tcPr>
            <w:tcW w:w="926" w:type="dxa"/>
            <w:tcBorders>
              <w:top w:val="none"/>
              <w:left w:val="none"/>
              <w:bottom w:val="none"/>
              <w:right w:val="none"/>
            </w:tcBorders>
            <w:textDirection w:val="lrTb"/>
            <w:vAlign w:val="top"/>
          </w:tcPr>
          <w:p>
            <w:pPr>
              <w:spacing w:before="76" w:after="277" w:line="223" w:lineRule="exact"/>
              <w:ind w:right="378"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11</w:t>
            </w:r>
          </w:p>
        </w:tc>
        <w:tc>
          <w:tcPr>
            <w:tcW w:w="3740" w:type="dxa"/>
            <w:tcBorders>
              <w:top w:val="none"/>
              <w:left w:val="none"/>
              <w:bottom w:val="none"/>
              <w:right w:val="none"/>
            </w:tcBorders>
            <w:textDirection w:val="lrTb"/>
            <w:vAlign w:val="top"/>
          </w:tcPr>
          <w:p>
            <w:pPr>
              <w:spacing w:before="63" w:after="51" w:line="231" w:lineRule="exact"/>
              <w:ind w:right="108" w:left="0"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ARSENIC TRIOXIDE, Arsenious (III) Acid and other salts</w:t>
            </w:r>
          </w:p>
        </w:tc>
        <w:tc>
          <w:tcPr>
            <w:tcW w:w="1545" w:type="dxa"/>
            <w:tcBorders>
              <w:top w:val="none"/>
              <w:left w:val="none"/>
              <w:bottom w:val="none"/>
              <w:right w:val="none"/>
            </w:tcBorders>
            <w:textDirection w:val="lrTb"/>
            <w:vAlign w:val="top"/>
          </w:tcPr>
          <w:p>
            <w:pPr>
              <w:spacing w:before="76" w:after="277" w:line="223" w:lineRule="exact"/>
              <w:ind w:right="0" w:left="11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1561</w:t>
            </w:r>
          </w:p>
        </w:tc>
        <w:tc>
          <w:tcPr>
            <w:tcW w:w="1889" w:type="dxa"/>
            <w:tcBorders>
              <w:top w:val="none"/>
              <w:left w:val="none"/>
              <w:bottom w:val="none"/>
              <w:right w:val="none"/>
            </w:tcBorders>
            <w:textDirection w:val="lrTb"/>
            <w:vAlign w:val="top"/>
          </w:tcPr>
          <w:p>
            <w:pPr>
              <w:spacing w:before="67" w:after="260" w:line="249"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0</w:t>
            </w:r>
            <w:r>
              <w:rPr>
                <w:rFonts w:ascii="Symbol" w:hAnsi="Symbol" w:eastAsia="Symbol"/>
                <w:color w:val="000000"/>
                <w:spacing w:val="0"/>
                <w:w w:val="100"/>
                <w:sz w:val="20"/>
                <w:vertAlign w:val="baseline"/>
                <w:lang w:val="en-US"/>
              </w:rPr>
              <w:t xml:space="preserve">⋅</w:t>
            </w:r>
            <w:r>
              <w:rPr>
                <w:rFonts w:ascii="Times New Roman" w:hAnsi="Times New Roman" w:eastAsia="Times New Roman"/>
                <w:color w:val="000000"/>
                <w:spacing w:val="0"/>
                <w:w w:val="100"/>
                <w:sz w:val="20"/>
                <w:vertAlign w:val="baseline"/>
                <w:lang w:val="en-US"/>
              </w:rPr>
              <w:t xml:space="preserve">1</w:t>
            </w:r>
          </w:p>
        </w:tc>
      </w:tr>
      <w:tr>
        <w:trPr>
          <w:trHeight w:val="309" w:hRule="exact"/>
        </w:trPr>
        <w:tc>
          <w:tcPr>
            <w:tcW w:w="926" w:type="dxa"/>
            <w:tcBorders>
              <w:top w:val="none"/>
              <w:left w:val="none"/>
              <w:bottom w:val="none"/>
              <w:right w:val="none"/>
            </w:tcBorders>
            <w:textDirection w:val="lrTb"/>
            <w:vAlign w:val="center"/>
          </w:tcPr>
          <w:p>
            <w:pPr>
              <w:spacing w:before="71" w:after="3" w:line="223" w:lineRule="exact"/>
              <w:ind w:right="378"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12</w:t>
            </w:r>
          </w:p>
        </w:tc>
        <w:tc>
          <w:tcPr>
            <w:tcW w:w="3740" w:type="dxa"/>
            <w:tcBorders>
              <w:top w:val="none"/>
              <w:left w:val="none"/>
              <w:bottom w:val="none"/>
              <w:right w:val="none"/>
            </w:tcBorders>
            <w:textDirection w:val="lrTb"/>
            <w:vAlign w:val="center"/>
          </w:tcPr>
          <w:p>
            <w:pPr>
              <w:spacing w:before="71" w:after="3" w:line="223" w:lineRule="exact"/>
              <w:ind w:right="0" w:left="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ARSINE</w:t>
            </w:r>
          </w:p>
        </w:tc>
        <w:tc>
          <w:tcPr>
            <w:tcW w:w="1545" w:type="dxa"/>
            <w:tcBorders>
              <w:top w:val="none"/>
              <w:left w:val="none"/>
              <w:bottom w:val="none"/>
              <w:right w:val="none"/>
            </w:tcBorders>
            <w:textDirection w:val="lrTb"/>
            <w:vAlign w:val="center"/>
          </w:tcPr>
          <w:p>
            <w:pPr>
              <w:spacing w:before="71" w:after="3" w:line="223" w:lineRule="exact"/>
              <w:ind w:right="0" w:left="11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2188</w:t>
            </w:r>
          </w:p>
        </w:tc>
        <w:tc>
          <w:tcPr>
            <w:tcW w:w="1889" w:type="dxa"/>
            <w:tcBorders>
              <w:top w:val="none"/>
              <w:left w:val="none"/>
              <w:bottom w:val="none"/>
              <w:right w:val="none"/>
            </w:tcBorders>
            <w:textDirection w:val="lrTb"/>
            <w:vAlign w:val="center"/>
          </w:tcPr>
          <w:p>
            <w:pPr>
              <w:spacing w:before="71" w:after="3" w:line="223"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w:t>
            </w:r>
          </w:p>
        </w:tc>
      </w:tr>
    </w:tbl>
    <w:p>
      <w:pPr>
        <w:spacing w:before="0" w:after="772" w:line="20" w:lineRule="exact"/>
      </w:pPr>
    </w:p>
    <w:p>
      <w:pPr>
        <w:spacing w:before="0" w:after="772" w:line="20" w:lineRule="exact"/>
        <w:sectPr>
          <w:type w:val="nextPage"/>
          <w:pgSz w:w="11909" w:h="16838" w:orient="portrait"/>
          <w:pgMar w:bottom="1082" w:top="1140" w:right="1851" w:left="1958"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484</w:t>
      </w:r>
    </w:p>
    <w:p>
      <w:pPr>
        <w:sectPr>
          <w:type w:val="continuous"/>
          <w:pgSz w:w="11909" w:h="16838" w:orient="portrait"/>
          <w:pgMar w:bottom="1082" w:top="1140" w:right="5812" w:left="1977"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Schedule 15 Hazardous chemicals at major hazard facilities (and their threshold quantity)</w:t>
      </w:r>
    </w:p>
    <w:p>
      <w:pPr>
        <w:spacing w:before="268" w:after="0" w:line="20" w:lineRule="exact"/>
      </w:pPr>
      <w:r>
        <w:pict>
          <v:line strokeweight="0.5pt" strokecolor="#000000" from="97.4pt,103.9pt" to="498.05pt,103.9pt" style="position:absolute;mso-position-horizontal-relative:page;mso-position-vertical-relative:page;">
            <v:stroke dashstyle="solid"/>
          </v:line>
        </w:pict>
      </w:r>
      <w:r>
        <w:pict>
          <v:line strokeweight="0.7pt" strokecolor="#000000" from="97.4pt,115.9pt" to="502.45pt,115.9pt" style="position:absolute;mso-position-horizontal-relative:page;mso-position-vertical-relative:page;">
            <v:stroke dashstyle="solid"/>
          </v:line>
        </w:pict>
      </w:r>
      <w:r>
        <w:pict>
          <v:line strokeweight="0.5pt" strokecolor="#000000" from="97.4pt,728.15pt" to="498.05pt,728.15pt" style="position:absolute;mso-position-horizontal-relative:page;mso-position-vertical-relative:page;">
            <v:stroke dashstyle="solid"/>
          </v:line>
        </w:pict>
      </w:r>
    </w:p>
    <w:tbl>
      <w:tblPr>
        <w:jc w:val="left"/>
        <w:tblLayout w:type="fixed"/>
        <w:tblCellMar>
          <w:left w:w="0" w:type="dxa"/>
          <w:right w:w="0" w:type="dxa"/>
        </w:tblCellMar>
      </w:tblPr>
      <w:tblGrid>
        <w:gridCol w:w="749"/>
        <w:gridCol w:w="3917"/>
        <w:gridCol w:w="1555"/>
        <w:gridCol w:w="1879"/>
      </w:tblGrid>
      <w:tr>
        <w:trPr>
          <w:trHeight w:val="1072" w:hRule="exact"/>
        </w:trPr>
        <w:tc>
          <w:tcPr>
            <w:tcW w:w="749" w:type="dxa"/>
            <w:tcBorders>
              <w:top w:val="none"/>
              <w:left w:val="none"/>
              <w:bottom w:val="single" w:sz="5" w:color="000000"/>
              <w:right w:val="none"/>
            </w:tcBorders>
            <w:textDirection w:val="lrTb"/>
            <w:vAlign w:val="top"/>
          </w:tcPr>
          <w:p>
            <w:pPr>
              <w:spacing w:before="332" w:after="508" w:line="227" w:lineRule="exact"/>
              <w:ind w:right="0" w:left="0" w:firstLine="0"/>
              <w:jc w:val="center"/>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Item</w:t>
            </w:r>
          </w:p>
        </w:tc>
        <w:tc>
          <w:tcPr>
            <w:tcW w:w="3917" w:type="dxa"/>
            <w:tcBorders>
              <w:top w:val="none"/>
              <w:left w:val="none"/>
              <w:bottom w:val="single" w:sz="5" w:color="000000"/>
              <w:right w:val="none"/>
            </w:tcBorders>
            <w:textDirection w:val="lrTb"/>
            <w:vAlign w:val="top"/>
          </w:tcPr>
          <w:p>
            <w:pPr>
              <w:spacing w:before="44" w:after="0" w:line="227" w:lineRule="exact"/>
              <w:ind w:right="0" w:left="216"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Column 1</w:t>
            </w:r>
          </w:p>
          <w:p>
            <w:pPr>
              <w:spacing w:before="61" w:after="508" w:line="227" w:lineRule="exact"/>
              <w:ind w:right="0" w:left="216"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Hazardous chemical</w:t>
            </w:r>
          </w:p>
        </w:tc>
        <w:tc>
          <w:tcPr>
            <w:tcW w:w="1555" w:type="dxa"/>
            <w:tcBorders>
              <w:top w:val="none"/>
              <w:left w:val="none"/>
              <w:bottom w:val="single" w:sz="5" w:color="000000"/>
              <w:right w:val="none"/>
            </w:tcBorders>
            <w:textDirection w:val="lrTb"/>
            <w:vAlign w:val="top"/>
          </w:tcPr>
          <w:p>
            <w:pPr>
              <w:spacing w:before="44" w:after="0" w:line="227" w:lineRule="exact"/>
              <w:ind w:right="0" w:left="14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Column 2</w:t>
            </w:r>
          </w:p>
          <w:p>
            <w:pPr>
              <w:spacing w:before="61" w:after="0" w:line="227" w:lineRule="exact"/>
              <w:ind w:right="0" w:left="14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UN Nos</w:t>
            </w:r>
          </w:p>
          <w:p>
            <w:pPr>
              <w:spacing w:before="0" w:after="48" w:line="230" w:lineRule="exact"/>
              <w:ind w:right="0" w:left="14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included under name</w:t>
            </w:r>
          </w:p>
        </w:tc>
        <w:tc>
          <w:tcPr>
            <w:tcW w:w="1879" w:type="dxa"/>
            <w:tcBorders>
              <w:top w:val="none"/>
              <w:left w:val="none"/>
              <w:bottom w:val="single" w:sz="5" w:color="000000"/>
              <w:right w:val="none"/>
            </w:tcBorders>
            <w:textDirection w:val="lrTb"/>
            <w:vAlign w:val="top"/>
          </w:tcPr>
          <w:p>
            <w:pPr>
              <w:spacing w:before="44" w:after="0" w:line="227" w:lineRule="exact"/>
              <w:ind w:right="0" w:left="14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Column 3</w:t>
            </w:r>
          </w:p>
          <w:p>
            <w:pPr>
              <w:spacing w:before="61" w:after="0" w:line="227" w:lineRule="exact"/>
              <w:ind w:right="0" w:left="14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Threshold</w:t>
            </w:r>
          </w:p>
          <w:p>
            <w:pPr>
              <w:spacing w:before="3" w:after="278" w:line="227" w:lineRule="exact"/>
              <w:ind w:right="0" w:left="14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quantity (tonnes)</w:t>
            </w:r>
          </w:p>
        </w:tc>
      </w:tr>
      <w:tr>
        <w:trPr>
          <w:trHeight w:val="350" w:hRule="exact"/>
        </w:trPr>
        <w:tc>
          <w:tcPr>
            <w:tcW w:w="749" w:type="dxa"/>
            <w:tcBorders>
              <w:top w:val="single" w:sz="5" w:color="000000"/>
              <w:left w:val="none"/>
              <w:bottom w:val="none"/>
              <w:right w:val="none"/>
            </w:tcBorders>
            <w:textDirection w:val="lrTb"/>
            <w:vAlign w:val="center"/>
          </w:tcPr>
          <w:p>
            <w:pPr>
              <w:spacing w:before="71" w:after="42" w:line="227"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13</w:t>
            </w:r>
          </w:p>
        </w:tc>
        <w:tc>
          <w:tcPr>
            <w:tcW w:w="3917" w:type="dxa"/>
            <w:tcBorders>
              <w:top w:val="single" w:sz="5" w:color="000000"/>
              <w:left w:val="none"/>
              <w:bottom w:val="none"/>
              <w:right w:val="none"/>
            </w:tcBorders>
            <w:textDirection w:val="lrTb"/>
            <w:vAlign w:val="center"/>
          </w:tcPr>
          <w:p>
            <w:pPr>
              <w:spacing w:before="71" w:after="42" w:line="227" w:lineRule="exact"/>
              <w:ind w:right="0" w:left="20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BROMINE or BROMINE SOLUTIONS</w:t>
            </w:r>
          </w:p>
        </w:tc>
        <w:tc>
          <w:tcPr>
            <w:tcW w:w="1555" w:type="dxa"/>
            <w:tcBorders>
              <w:top w:val="single" w:sz="5" w:color="000000"/>
              <w:left w:val="none"/>
              <w:bottom w:val="none"/>
              <w:right w:val="none"/>
            </w:tcBorders>
            <w:textDirection w:val="lrTb"/>
            <w:vAlign w:val="center"/>
          </w:tcPr>
          <w:p>
            <w:pPr>
              <w:spacing w:before="71" w:after="42" w:line="227" w:lineRule="exact"/>
              <w:ind w:right="0" w:left="1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1744</w:t>
            </w:r>
          </w:p>
        </w:tc>
        <w:tc>
          <w:tcPr>
            <w:tcW w:w="1879" w:type="dxa"/>
            <w:tcBorders>
              <w:top w:val="single" w:sz="5" w:color="000000"/>
              <w:left w:val="none"/>
              <w:bottom w:val="none"/>
              <w:right w:val="none"/>
            </w:tcBorders>
            <w:textDirection w:val="lrTb"/>
            <w:vAlign w:val="center"/>
          </w:tcPr>
          <w:p>
            <w:pPr>
              <w:spacing w:before="71" w:after="42" w:line="227"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100</w:t>
            </w:r>
          </w:p>
        </w:tc>
      </w:tr>
      <w:tr>
        <w:trPr>
          <w:trHeight w:val="351" w:hRule="exact"/>
        </w:trPr>
        <w:tc>
          <w:tcPr>
            <w:tcW w:w="749" w:type="dxa"/>
            <w:tcBorders>
              <w:top w:val="none"/>
              <w:left w:val="none"/>
              <w:bottom w:val="none"/>
              <w:right w:val="none"/>
            </w:tcBorders>
            <w:textDirection w:val="lrTb"/>
            <w:vAlign w:val="center"/>
          </w:tcPr>
          <w:p>
            <w:pPr>
              <w:spacing w:before="71" w:after="52" w:line="227"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14</w:t>
            </w:r>
          </w:p>
        </w:tc>
        <w:tc>
          <w:tcPr>
            <w:tcW w:w="3917" w:type="dxa"/>
            <w:tcBorders>
              <w:top w:val="none"/>
              <w:left w:val="none"/>
              <w:bottom w:val="none"/>
              <w:right w:val="none"/>
            </w:tcBorders>
            <w:textDirection w:val="lrTb"/>
            <w:vAlign w:val="center"/>
          </w:tcPr>
          <w:p>
            <w:pPr>
              <w:spacing w:before="71" w:after="52" w:line="227" w:lineRule="exact"/>
              <w:ind w:right="0" w:left="20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CARBON DISULFIDE</w:t>
            </w:r>
          </w:p>
        </w:tc>
        <w:tc>
          <w:tcPr>
            <w:tcW w:w="1555" w:type="dxa"/>
            <w:tcBorders>
              <w:top w:val="none"/>
              <w:left w:val="none"/>
              <w:bottom w:val="none"/>
              <w:right w:val="none"/>
            </w:tcBorders>
            <w:textDirection w:val="lrTb"/>
            <w:vAlign w:val="center"/>
          </w:tcPr>
          <w:p>
            <w:pPr>
              <w:spacing w:before="71" w:after="52" w:line="227" w:lineRule="exact"/>
              <w:ind w:right="0" w:left="1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1131</w:t>
            </w:r>
          </w:p>
        </w:tc>
        <w:tc>
          <w:tcPr>
            <w:tcW w:w="1879" w:type="dxa"/>
            <w:tcBorders>
              <w:top w:val="none"/>
              <w:left w:val="none"/>
              <w:bottom w:val="none"/>
              <w:right w:val="none"/>
            </w:tcBorders>
            <w:textDirection w:val="lrTb"/>
            <w:vAlign w:val="center"/>
          </w:tcPr>
          <w:p>
            <w:pPr>
              <w:spacing w:before="71" w:after="52" w:line="227"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200</w:t>
            </w:r>
          </w:p>
        </w:tc>
      </w:tr>
      <w:tr>
        <w:trPr>
          <w:trHeight w:val="350" w:hRule="exact"/>
        </w:trPr>
        <w:tc>
          <w:tcPr>
            <w:tcW w:w="749" w:type="dxa"/>
            <w:tcBorders>
              <w:top w:val="none"/>
              <w:left w:val="none"/>
              <w:bottom w:val="none"/>
              <w:right w:val="none"/>
            </w:tcBorders>
            <w:textDirection w:val="lrTb"/>
            <w:vAlign w:val="center"/>
          </w:tcPr>
          <w:p>
            <w:pPr>
              <w:spacing w:before="71" w:after="47" w:line="227"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15</w:t>
            </w:r>
          </w:p>
        </w:tc>
        <w:tc>
          <w:tcPr>
            <w:tcW w:w="3917" w:type="dxa"/>
            <w:tcBorders>
              <w:top w:val="none"/>
              <w:left w:val="none"/>
              <w:bottom w:val="none"/>
              <w:right w:val="none"/>
            </w:tcBorders>
            <w:textDirection w:val="lrTb"/>
            <w:vAlign w:val="center"/>
          </w:tcPr>
          <w:p>
            <w:pPr>
              <w:spacing w:before="71" w:after="47" w:line="227" w:lineRule="exact"/>
              <w:ind w:right="0" w:left="20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CHLORINE</w:t>
            </w:r>
          </w:p>
        </w:tc>
        <w:tc>
          <w:tcPr>
            <w:tcW w:w="1555" w:type="dxa"/>
            <w:tcBorders>
              <w:top w:val="none"/>
              <w:left w:val="none"/>
              <w:bottom w:val="none"/>
              <w:right w:val="none"/>
            </w:tcBorders>
            <w:textDirection w:val="lrTb"/>
            <w:vAlign w:val="center"/>
          </w:tcPr>
          <w:p>
            <w:pPr>
              <w:spacing w:before="71" w:after="47" w:line="227" w:lineRule="exact"/>
              <w:ind w:right="0" w:left="1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1017</w:t>
            </w:r>
          </w:p>
        </w:tc>
        <w:tc>
          <w:tcPr>
            <w:tcW w:w="1879" w:type="dxa"/>
            <w:tcBorders>
              <w:top w:val="none"/>
              <w:left w:val="none"/>
              <w:bottom w:val="none"/>
              <w:right w:val="none"/>
            </w:tcBorders>
            <w:textDirection w:val="lrTb"/>
            <w:vAlign w:val="center"/>
          </w:tcPr>
          <w:p>
            <w:pPr>
              <w:spacing w:before="71" w:after="47" w:line="227"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25</w:t>
            </w:r>
          </w:p>
        </w:tc>
      </w:tr>
      <w:tr>
        <w:trPr>
          <w:trHeight w:val="360" w:hRule="exact"/>
        </w:trPr>
        <w:tc>
          <w:tcPr>
            <w:tcW w:w="749" w:type="dxa"/>
            <w:tcBorders>
              <w:top w:val="none"/>
              <w:left w:val="none"/>
              <w:bottom w:val="none"/>
              <w:right w:val="none"/>
            </w:tcBorders>
            <w:textDirection w:val="lrTb"/>
            <w:vAlign w:val="center"/>
          </w:tcPr>
          <w:p>
            <w:pPr>
              <w:spacing w:before="71" w:after="57" w:line="227"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16</w:t>
            </w:r>
          </w:p>
        </w:tc>
        <w:tc>
          <w:tcPr>
            <w:tcW w:w="3917" w:type="dxa"/>
            <w:tcBorders>
              <w:top w:val="none"/>
              <w:left w:val="none"/>
              <w:bottom w:val="none"/>
              <w:right w:val="none"/>
            </w:tcBorders>
            <w:textDirection w:val="lrTb"/>
            <w:vAlign w:val="center"/>
          </w:tcPr>
          <w:p>
            <w:pPr>
              <w:spacing w:before="71" w:after="57" w:line="227" w:lineRule="exact"/>
              <w:ind w:right="0" w:left="20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DIOXINS</w:t>
            </w:r>
          </w:p>
        </w:tc>
        <w:tc>
          <w:tcPr>
            <w:tcW w:w="1555" w:type="dxa"/>
            <w:tcBorders>
              <w:top w:val="none"/>
              <w:left w:val="none"/>
              <w:bottom w:val="none"/>
              <w:right w:val="none"/>
            </w:tcBorders>
            <w:textDirection w:val="lrTb"/>
            <w:vAlign w:val="center"/>
          </w:tcPr>
          <w:p>
            <w:pPr>
              <w:spacing w:before="71" w:after="57" w:line="227" w:lineRule="exact"/>
              <w:ind w:right="0" w:left="1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w:t>
            </w:r>
          </w:p>
        </w:tc>
        <w:tc>
          <w:tcPr>
            <w:tcW w:w="1879" w:type="dxa"/>
            <w:tcBorders>
              <w:top w:val="none"/>
              <w:left w:val="none"/>
              <w:bottom w:val="none"/>
              <w:right w:val="none"/>
            </w:tcBorders>
            <w:textDirection w:val="lrTb"/>
            <w:vAlign w:val="center"/>
          </w:tcPr>
          <w:p>
            <w:pPr>
              <w:spacing w:before="77" w:after="43" w:line="235"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0</w:t>
            </w:r>
            <w:r>
              <w:rPr>
                <w:rFonts w:ascii="Tahoma" w:hAnsi="Tahoma" w:eastAsia="Tahoma"/>
                <w:color w:val="000000"/>
                <w:spacing w:val="0"/>
                <w:w w:val="100"/>
                <w:sz w:val="20"/>
                <w:vertAlign w:val="baseline"/>
                <w:lang w:val="en-US"/>
              </w:rPr>
              <w:t xml:space="preserve">.</w:t>
            </w:r>
            <w:r>
              <w:rPr>
                <w:rFonts w:ascii="Times New Roman" w:hAnsi="Times New Roman" w:eastAsia="Times New Roman"/>
                <w:color w:val="000000"/>
                <w:spacing w:val="0"/>
                <w:w w:val="100"/>
                <w:sz w:val="20"/>
                <w:vertAlign w:val="baseline"/>
                <w:lang w:val="en-US"/>
              </w:rPr>
              <w:t xml:space="preserve">1</w:t>
            </w:r>
          </w:p>
        </w:tc>
      </w:tr>
      <w:tr>
        <w:trPr>
          <w:trHeight w:val="355" w:hRule="exact"/>
        </w:trPr>
        <w:tc>
          <w:tcPr>
            <w:tcW w:w="749" w:type="dxa"/>
            <w:tcBorders>
              <w:top w:val="none"/>
              <w:left w:val="none"/>
              <w:bottom w:val="none"/>
              <w:right w:val="none"/>
            </w:tcBorders>
            <w:textDirection w:val="lrTb"/>
            <w:vAlign w:val="center"/>
          </w:tcPr>
          <w:p>
            <w:pPr>
              <w:spacing w:before="76" w:after="38" w:line="227"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17</w:t>
            </w:r>
          </w:p>
        </w:tc>
        <w:tc>
          <w:tcPr>
            <w:tcW w:w="3917" w:type="dxa"/>
            <w:tcBorders>
              <w:top w:val="none"/>
              <w:left w:val="none"/>
              <w:bottom w:val="none"/>
              <w:right w:val="none"/>
            </w:tcBorders>
            <w:textDirection w:val="lrTb"/>
            <w:vAlign w:val="center"/>
          </w:tcPr>
          <w:p>
            <w:pPr>
              <w:spacing w:before="76" w:after="38" w:line="227" w:lineRule="exact"/>
              <w:ind w:right="0" w:left="20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ETHYL NITRATE</w:t>
            </w:r>
          </w:p>
        </w:tc>
        <w:tc>
          <w:tcPr>
            <w:tcW w:w="1555" w:type="dxa"/>
            <w:tcBorders>
              <w:top w:val="none"/>
              <w:left w:val="none"/>
              <w:bottom w:val="none"/>
              <w:right w:val="none"/>
            </w:tcBorders>
            <w:textDirection w:val="lrTb"/>
            <w:vAlign w:val="center"/>
          </w:tcPr>
          <w:p>
            <w:pPr>
              <w:spacing w:before="76" w:after="38" w:line="227" w:lineRule="exact"/>
              <w:ind w:right="0" w:left="1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w:t>
            </w:r>
          </w:p>
        </w:tc>
        <w:tc>
          <w:tcPr>
            <w:tcW w:w="1879" w:type="dxa"/>
            <w:tcBorders>
              <w:top w:val="none"/>
              <w:left w:val="none"/>
              <w:bottom w:val="none"/>
              <w:right w:val="none"/>
            </w:tcBorders>
            <w:textDirection w:val="lrTb"/>
            <w:vAlign w:val="center"/>
          </w:tcPr>
          <w:p>
            <w:pPr>
              <w:spacing w:before="76" w:after="38" w:line="227"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50</w:t>
            </w:r>
          </w:p>
        </w:tc>
      </w:tr>
      <w:tr>
        <w:trPr>
          <w:trHeight w:val="351" w:hRule="exact"/>
        </w:trPr>
        <w:tc>
          <w:tcPr>
            <w:tcW w:w="749" w:type="dxa"/>
            <w:tcBorders>
              <w:top w:val="none"/>
              <w:left w:val="none"/>
              <w:bottom w:val="none"/>
              <w:right w:val="none"/>
            </w:tcBorders>
            <w:textDirection w:val="lrTb"/>
            <w:vAlign w:val="center"/>
          </w:tcPr>
          <w:p>
            <w:pPr>
              <w:spacing w:before="71" w:after="48" w:line="227"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18</w:t>
            </w:r>
          </w:p>
        </w:tc>
        <w:tc>
          <w:tcPr>
            <w:tcW w:w="3917" w:type="dxa"/>
            <w:tcBorders>
              <w:top w:val="none"/>
              <w:left w:val="none"/>
              <w:bottom w:val="none"/>
              <w:right w:val="none"/>
            </w:tcBorders>
            <w:textDirection w:val="lrTb"/>
            <w:vAlign w:val="center"/>
          </w:tcPr>
          <w:p>
            <w:pPr>
              <w:spacing w:before="71" w:after="48" w:line="227" w:lineRule="exact"/>
              <w:ind w:right="0" w:left="20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ETHYLENE DIBROMIDE</w:t>
            </w:r>
          </w:p>
        </w:tc>
        <w:tc>
          <w:tcPr>
            <w:tcW w:w="1555" w:type="dxa"/>
            <w:tcBorders>
              <w:top w:val="none"/>
              <w:left w:val="none"/>
              <w:bottom w:val="none"/>
              <w:right w:val="none"/>
            </w:tcBorders>
            <w:textDirection w:val="lrTb"/>
            <w:vAlign w:val="center"/>
          </w:tcPr>
          <w:p>
            <w:pPr>
              <w:spacing w:before="71" w:after="48" w:line="227" w:lineRule="exact"/>
              <w:ind w:right="0" w:left="1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1605</w:t>
            </w:r>
          </w:p>
        </w:tc>
        <w:tc>
          <w:tcPr>
            <w:tcW w:w="1879" w:type="dxa"/>
            <w:tcBorders>
              <w:top w:val="none"/>
              <w:left w:val="none"/>
              <w:bottom w:val="none"/>
              <w:right w:val="none"/>
            </w:tcBorders>
            <w:textDirection w:val="lrTb"/>
            <w:vAlign w:val="center"/>
          </w:tcPr>
          <w:p>
            <w:pPr>
              <w:spacing w:before="71" w:after="48" w:line="227"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50</w:t>
            </w:r>
          </w:p>
        </w:tc>
      </w:tr>
      <w:tr>
        <w:trPr>
          <w:trHeight w:val="350" w:hRule="exact"/>
        </w:trPr>
        <w:tc>
          <w:tcPr>
            <w:tcW w:w="749" w:type="dxa"/>
            <w:tcBorders>
              <w:top w:val="none"/>
              <w:left w:val="none"/>
              <w:bottom w:val="none"/>
              <w:right w:val="none"/>
            </w:tcBorders>
            <w:textDirection w:val="lrTb"/>
            <w:vAlign w:val="center"/>
          </w:tcPr>
          <w:p>
            <w:pPr>
              <w:spacing w:before="71" w:after="42" w:line="227"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19</w:t>
            </w:r>
          </w:p>
        </w:tc>
        <w:tc>
          <w:tcPr>
            <w:tcW w:w="3917" w:type="dxa"/>
            <w:tcBorders>
              <w:top w:val="none"/>
              <w:left w:val="none"/>
              <w:bottom w:val="none"/>
              <w:right w:val="none"/>
            </w:tcBorders>
            <w:textDirection w:val="lrTb"/>
            <w:vAlign w:val="center"/>
          </w:tcPr>
          <w:p>
            <w:pPr>
              <w:spacing w:before="71" w:after="42" w:line="227" w:lineRule="exact"/>
              <w:ind w:right="0" w:left="20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ETHYLENE OXIDE</w:t>
            </w:r>
          </w:p>
        </w:tc>
        <w:tc>
          <w:tcPr>
            <w:tcW w:w="1555" w:type="dxa"/>
            <w:tcBorders>
              <w:top w:val="none"/>
              <w:left w:val="none"/>
              <w:bottom w:val="none"/>
              <w:right w:val="none"/>
            </w:tcBorders>
            <w:textDirection w:val="lrTb"/>
            <w:vAlign w:val="center"/>
          </w:tcPr>
          <w:p>
            <w:pPr>
              <w:spacing w:before="71" w:after="42" w:line="227" w:lineRule="exact"/>
              <w:ind w:right="0" w:left="1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1040</w:t>
            </w:r>
          </w:p>
        </w:tc>
        <w:tc>
          <w:tcPr>
            <w:tcW w:w="1879" w:type="dxa"/>
            <w:tcBorders>
              <w:top w:val="none"/>
              <w:left w:val="none"/>
              <w:bottom w:val="none"/>
              <w:right w:val="none"/>
            </w:tcBorders>
            <w:textDirection w:val="lrTb"/>
            <w:vAlign w:val="center"/>
          </w:tcPr>
          <w:p>
            <w:pPr>
              <w:spacing w:before="71" w:after="42" w:line="227"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50</w:t>
            </w:r>
          </w:p>
        </w:tc>
      </w:tr>
      <w:tr>
        <w:trPr>
          <w:trHeight w:val="351" w:hRule="exact"/>
        </w:trPr>
        <w:tc>
          <w:tcPr>
            <w:tcW w:w="749" w:type="dxa"/>
            <w:tcBorders>
              <w:top w:val="none"/>
              <w:left w:val="none"/>
              <w:bottom w:val="none"/>
              <w:right w:val="none"/>
            </w:tcBorders>
            <w:textDirection w:val="lrTb"/>
            <w:vAlign w:val="center"/>
          </w:tcPr>
          <w:p>
            <w:pPr>
              <w:spacing w:before="71" w:after="52" w:line="227"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w:t>
            </w:r>
          </w:p>
        </w:tc>
        <w:tc>
          <w:tcPr>
            <w:tcW w:w="3917" w:type="dxa"/>
            <w:tcBorders>
              <w:top w:val="none"/>
              <w:left w:val="none"/>
              <w:bottom w:val="none"/>
              <w:right w:val="none"/>
            </w:tcBorders>
            <w:textDirection w:val="lrTb"/>
            <w:vAlign w:val="center"/>
          </w:tcPr>
          <w:p>
            <w:pPr>
              <w:spacing w:before="71" w:after="52" w:line="227" w:lineRule="exact"/>
              <w:ind w:right="0" w:left="20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ETHYLENEIMINE</w:t>
            </w:r>
          </w:p>
        </w:tc>
        <w:tc>
          <w:tcPr>
            <w:tcW w:w="1555" w:type="dxa"/>
            <w:tcBorders>
              <w:top w:val="none"/>
              <w:left w:val="none"/>
              <w:bottom w:val="none"/>
              <w:right w:val="none"/>
            </w:tcBorders>
            <w:textDirection w:val="lrTb"/>
            <w:vAlign w:val="center"/>
          </w:tcPr>
          <w:p>
            <w:pPr>
              <w:spacing w:before="71" w:after="52" w:line="227" w:lineRule="exact"/>
              <w:ind w:right="0" w:left="1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1185</w:t>
            </w:r>
          </w:p>
        </w:tc>
        <w:tc>
          <w:tcPr>
            <w:tcW w:w="1879" w:type="dxa"/>
            <w:tcBorders>
              <w:top w:val="none"/>
              <w:left w:val="none"/>
              <w:bottom w:val="none"/>
              <w:right w:val="none"/>
            </w:tcBorders>
            <w:textDirection w:val="lrTb"/>
            <w:vAlign w:val="center"/>
          </w:tcPr>
          <w:p>
            <w:pPr>
              <w:spacing w:before="71" w:after="52" w:line="227"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50</w:t>
            </w:r>
          </w:p>
        </w:tc>
      </w:tr>
      <w:tr>
        <w:trPr>
          <w:trHeight w:val="345" w:hRule="exact"/>
        </w:trPr>
        <w:tc>
          <w:tcPr>
            <w:tcW w:w="749" w:type="dxa"/>
            <w:tcBorders>
              <w:top w:val="none"/>
              <w:left w:val="none"/>
              <w:bottom w:val="none"/>
              <w:right w:val="none"/>
            </w:tcBorders>
            <w:textDirection w:val="lrTb"/>
            <w:vAlign w:val="center"/>
          </w:tcPr>
          <w:p>
            <w:pPr>
              <w:spacing w:before="70" w:after="33" w:line="227"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21</w:t>
            </w:r>
          </w:p>
        </w:tc>
        <w:tc>
          <w:tcPr>
            <w:tcW w:w="3917" w:type="dxa"/>
            <w:tcBorders>
              <w:top w:val="none"/>
              <w:left w:val="none"/>
              <w:bottom w:val="none"/>
              <w:right w:val="none"/>
            </w:tcBorders>
            <w:textDirection w:val="lrTb"/>
            <w:vAlign w:val="center"/>
          </w:tcPr>
          <w:p>
            <w:pPr>
              <w:spacing w:before="70" w:after="33" w:line="227" w:lineRule="exact"/>
              <w:ind w:right="0" w:left="20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FLUORINE</w:t>
            </w:r>
          </w:p>
        </w:tc>
        <w:tc>
          <w:tcPr>
            <w:tcW w:w="1555" w:type="dxa"/>
            <w:tcBorders>
              <w:top w:val="none"/>
              <w:left w:val="none"/>
              <w:bottom w:val="none"/>
              <w:right w:val="none"/>
            </w:tcBorders>
            <w:textDirection w:val="lrTb"/>
            <w:vAlign w:val="center"/>
          </w:tcPr>
          <w:p>
            <w:pPr>
              <w:spacing w:before="70" w:after="33" w:line="227" w:lineRule="exact"/>
              <w:ind w:right="0" w:left="1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1045</w:t>
            </w:r>
          </w:p>
        </w:tc>
        <w:tc>
          <w:tcPr>
            <w:tcW w:w="1879" w:type="dxa"/>
            <w:tcBorders>
              <w:top w:val="none"/>
              <w:left w:val="none"/>
              <w:bottom w:val="none"/>
              <w:right w:val="none"/>
            </w:tcBorders>
            <w:textDirection w:val="lrTb"/>
            <w:vAlign w:val="center"/>
          </w:tcPr>
          <w:p>
            <w:pPr>
              <w:spacing w:before="70" w:after="33" w:line="227"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25</w:t>
            </w:r>
          </w:p>
        </w:tc>
      </w:tr>
      <w:tr>
        <w:trPr>
          <w:trHeight w:val="303" w:hRule="exact"/>
        </w:trPr>
        <w:tc>
          <w:tcPr>
            <w:tcW w:w="749" w:type="dxa"/>
            <w:tcBorders>
              <w:top w:val="none"/>
              <w:left w:val="none"/>
              <w:bottom w:val="none"/>
              <w:right w:val="none"/>
            </w:tcBorders>
            <w:textDirection w:val="lrTb"/>
            <w:vAlign w:val="center"/>
          </w:tcPr>
          <w:p>
            <w:pPr>
              <w:spacing w:before="76" w:after="0" w:line="226"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22</w:t>
            </w:r>
          </w:p>
        </w:tc>
        <w:tc>
          <w:tcPr>
            <w:tcW w:w="3917" w:type="dxa"/>
            <w:tcBorders>
              <w:top w:val="none"/>
              <w:left w:val="none"/>
              <w:bottom w:val="none"/>
              <w:right w:val="none"/>
            </w:tcBorders>
            <w:textDirection w:val="lrTb"/>
            <w:vAlign w:val="center"/>
          </w:tcPr>
          <w:p>
            <w:pPr>
              <w:spacing w:before="71" w:after="4" w:line="227" w:lineRule="exact"/>
              <w:ind w:right="0" w:left="20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FORMALDEHYDE</w:t>
            </w:r>
          </w:p>
        </w:tc>
        <w:tc>
          <w:tcPr>
            <w:tcW w:w="1555"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1879" w:type="dxa"/>
            <w:tcBorders>
              <w:top w:val="none"/>
              <w:left w:val="none"/>
              <w:bottom w:val="none"/>
              <w:right w:val="none"/>
            </w:tcBorders>
            <w:textDirection w:val="lrTb"/>
            <w:vAlign w:val="center"/>
          </w:tcPr>
          <w:p>
            <w:pPr>
              <w:spacing w:before="76" w:after="0" w:line="226"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50</w:t>
            </w:r>
          </w:p>
        </w:tc>
      </w:tr>
      <w:tr>
        <w:trPr>
          <w:trHeight w:val="297" w:hRule="exact"/>
        </w:trPr>
        <w:tc>
          <w:tcPr>
            <w:tcW w:w="74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917" w:type="dxa"/>
            <w:tcBorders>
              <w:top w:val="none"/>
              <w:left w:val="none"/>
              <w:bottom w:val="none"/>
              <w:right w:val="none"/>
            </w:tcBorders>
            <w:textDirection w:val="lrTb"/>
            <w:vAlign w:val="center"/>
          </w:tcPr>
          <w:p>
            <w:pPr>
              <w:spacing w:before="0" w:after="62" w:line="225" w:lineRule="exact"/>
              <w:ind w:right="0" w:left="20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(greater than 90%)</w:t>
            </w:r>
          </w:p>
        </w:tc>
        <w:tc>
          <w:tcPr>
            <w:tcW w:w="1555"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187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r>
      <w:tr>
        <w:trPr>
          <w:trHeight w:val="283" w:hRule="exact"/>
        </w:trPr>
        <w:tc>
          <w:tcPr>
            <w:tcW w:w="749" w:type="dxa"/>
            <w:tcBorders>
              <w:top w:val="none"/>
              <w:left w:val="none"/>
              <w:bottom w:val="none"/>
              <w:right w:val="none"/>
            </w:tcBorders>
            <w:textDirection w:val="lrTb"/>
            <w:vAlign w:val="center"/>
          </w:tcPr>
          <w:p>
            <w:pPr>
              <w:spacing w:before="57" w:after="0" w:line="221"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23</w:t>
            </w:r>
          </w:p>
        </w:tc>
        <w:tc>
          <w:tcPr>
            <w:tcW w:w="3917" w:type="dxa"/>
            <w:tcBorders>
              <w:top w:val="none"/>
              <w:left w:val="none"/>
              <w:bottom w:val="none"/>
              <w:right w:val="none"/>
            </w:tcBorders>
            <w:textDirection w:val="lrTb"/>
            <w:vAlign w:val="center"/>
          </w:tcPr>
          <w:p>
            <w:pPr>
              <w:spacing w:before="52" w:after="0" w:line="226" w:lineRule="exact"/>
              <w:ind w:right="0" w:left="20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HYDROFLUORIC ACID SOLUTION</w:t>
            </w:r>
          </w:p>
        </w:tc>
        <w:tc>
          <w:tcPr>
            <w:tcW w:w="1555" w:type="dxa"/>
            <w:tcBorders>
              <w:top w:val="none"/>
              <w:left w:val="none"/>
              <w:bottom w:val="none"/>
              <w:right w:val="none"/>
            </w:tcBorders>
            <w:textDirection w:val="lrTb"/>
            <w:vAlign w:val="center"/>
          </w:tcPr>
          <w:p>
            <w:pPr>
              <w:spacing w:before="57" w:after="0" w:line="221" w:lineRule="exact"/>
              <w:ind w:right="0" w:left="1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1790</w:t>
            </w:r>
          </w:p>
        </w:tc>
        <w:tc>
          <w:tcPr>
            <w:tcW w:w="1879" w:type="dxa"/>
            <w:tcBorders>
              <w:top w:val="none"/>
              <w:left w:val="none"/>
              <w:bottom w:val="none"/>
              <w:right w:val="none"/>
            </w:tcBorders>
            <w:textDirection w:val="lrTb"/>
            <w:vAlign w:val="center"/>
          </w:tcPr>
          <w:p>
            <w:pPr>
              <w:spacing w:before="57" w:after="0" w:line="221"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50</w:t>
            </w:r>
          </w:p>
        </w:tc>
      </w:tr>
      <w:tr>
        <w:trPr>
          <w:trHeight w:val="298" w:hRule="exact"/>
        </w:trPr>
        <w:tc>
          <w:tcPr>
            <w:tcW w:w="74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917" w:type="dxa"/>
            <w:tcBorders>
              <w:top w:val="none"/>
              <w:left w:val="none"/>
              <w:bottom w:val="none"/>
              <w:right w:val="none"/>
            </w:tcBorders>
            <w:textDirection w:val="lrTb"/>
            <w:vAlign w:val="center"/>
          </w:tcPr>
          <w:p>
            <w:pPr>
              <w:spacing w:before="0" w:after="72" w:line="226" w:lineRule="exact"/>
              <w:ind w:right="0" w:left="20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(greater than 50%)</w:t>
            </w:r>
          </w:p>
        </w:tc>
        <w:tc>
          <w:tcPr>
            <w:tcW w:w="1555"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187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r>
      <w:tr>
        <w:trPr>
          <w:trHeight w:val="326" w:hRule="exact"/>
        </w:trPr>
        <w:tc>
          <w:tcPr>
            <w:tcW w:w="749" w:type="dxa"/>
            <w:tcBorders>
              <w:top w:val="none"/>
              <w:left w:val="none"/>
              <w:bottom w:val="none"/>
              <w:right w:val="none"/>
            </w:tcBorders>
            <w:textDirection w:val="lrTb"/>
            <w:vAlign w:val="center"/>
          </w:tcPr>
          <w:p>
            <w:pPr>
              <w:spacing w:before="52" w:after="37" w:line="227"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24</w:t>
            </w:r>
          </w:p>
        </w:tc>
        <w:tc>
          <w:tcPr>
            <w:tcW w:w="3917" w:type="dxa"/>
            <w:tcBorders>
              <w:top w:val="none"/>
              <w:left w:val="none"/>
              <w:bottom w:val="none"/>
              <w:right w:val="none"/>
            </w:tcBorders>
            <w:textDirection w:val="lrTb"/>
            <w:vAlign w:val="center"/>
          </w:tcPr>
          <w:p>
            <w:pPr>
              <w:spacing w:before="52" w:after="37" w:line="227" w:lineRule="exact"/>
              <w:ind w:right="0" w:left="20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HYDROGEN</w:t>
            </w:r>
          </w:p>
        </w:tc>
        <w:tc>
          <w:tcPr>
            <w:tcW w:w="1555" w:type="dxa"/>
            <w:tcBorders>
              <w:top w:val="none"/>
              <w:left w:val="none"/>
              <w:bottom w:val="none"/>
              <w:right w:val="none"/>
            </w:tcBorders>
            <w:textDirection w:val="lrTb"/>
            <w:vAlign w:val="center"/>
          </w:tcPr>
          <w:p>
            <w:pPr>
              <w:spacing w:before="52" w:after="37" w:line="227" w:lineRule="exact"/>
              <w:ind w:right="0" w:left="1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1049</w:t>
            </w:r>
          </w:p>
        </w:tc>
        <w:tc>
          <w:tcPr>
            <w:tcW w:w="1879" w:type="dxa"/>
            <w:tcBorders>
              <w:top w:val="none"/>
              <w:left w:val="none"/>
              <w:bottom w:val="none"/>
              <w:right w:val="none"/>
            </w:tcBorders>
            <w:textDirection w:val="lrTb"/>
            <w:vAlign w:val="center"/>
          </w:tcPr>
          <w:p>
            <w:pPr>
              <w:spacing w:before="52" w:after="37" w:line="227"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50</w:t>
            </w:r>
          </w:p>
        </w:tc>
      </w:tr>
      <w:tr>
        <w:trPr>
          <w:trHeight w:val="293" w:hRule="exact"/>
        </w:trPr>
        <w:tc>
          <w:tcPr>
            <w:tcW w:w="749" w:type="dxa"/>
            <w:tcBorders>
              <w:top w:val="none"/>
              <w:left w:val="none"/>
              <w:bottom w:val="none"/>
              <w:right w:val="none"/>
            </w:tcBorders>
            <w:textDirection w:val="lrTb"/>
            <w:vAlign w:val="center"/>
          </w:tcPr>
          <w:p>
            <w:pPr>
              <w:spacing w:before="76" w:after="0" w:line="202"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25</w:t>
            </w:r>
          </w:p>
        </w:tc>
        <w:tc>
          <w:tcPr>
            <w:tcW w:w="3917" w:type="dxa"/>
            <w:tcBorders>
              <w:top w:val="none"/>
              <w:left w:val="none"/>
              <w:bottom w:val="none"/>
              <w:right w:val="none"/>
            </w:tcBorders>
            <w:textDirection w:val="lrTb"/>
            <w:vAlign w:val="center"/>
          </w:tcPr>
          <w:p>
            <w:pPr>
              <w:spacing w:before="71" w:after="0" w:line="207" w:lineRule="exact"/>
              <w:ind w:right="0" w:left="20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HYDROGEN CHLORIDE</w:t>
            </w:r>
          </w:p>
        </w:tc>
        <w:tc>
          <w:tcPr>
            <w:tcW w:w="1555"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187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r>
      <w:tr>
        <w:trPr>
          <w:trHeight w:val="231" w:hRule="exact"/>
        </w:trPr>
        <w:tc>
          <w:tcPr>
            <w:tcW w:w="74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917" w:type="dxa"/>
            <w:tcBorders>
              <w:top w:val="none"/>
              <w:left w:val="none"/>
              <w:bottom w:val="none"/>
              <w:right w:val="none"/>
            </w:tcBorders>
            <w:textDirection w:val="lrTb"/>
            <w:vAlign w:val="center"/>
          </w:tcPr>
          <w:p>
            <w:pPr>
              <w:spacing w:before="0" w:after="0" w:line="217" w:lineRule="exact"/>
              <w:ind w:right="0" w:left="20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—Anhydrous</w:t>
            </w:r>
          </w:p>
        </w:tc>
        <w:tc>
          <w:tcPr>
            <w:tcW w:w="1555" w:type="dxa"/>
            <w:tcBorders>
              <w:top w:val="none"/>
              <w:left w:val="none"/>
              <w:bottom w:val="none"/>
              <w:right w:val="none"/>
            </w:tcBorders>
            <w:textDirection w:val="lrTb"/>
            <w:vAlign w:val="center"/>
          </w:tcPr>
          <w:p>
            <w:pPr>
              <w:spacing w:before="0" w:after="0" w:line="217" w:lineRule="exact"/>
              <w:ind w:right="0" w:left="1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1050</w:t>
            </w:r>
          </w:p>
        </w:tc>
        <w:tc>
          <w:tcPr>
            <w:tcW w:w="1879" w:type="dxa"/>
            <w:tcBorders>
              <w:top w:val="none"/>
              <w:left w:val="none"/>
              <w:bottom w:val="none"/>
              <w:right w:val="none"/>
            </w:tcBorders>
            <w:textDirection w:val="lrTb"/>
            <w:vAlign w:val="center"/>
          </w:tcPr>
          <w:p>
            <w:pPr>
              <w:spacing w:before="0" w:after="0" w:line="217"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250</w:t>
            </w:r>
          </w:p>
        </w:tc>
      </w:tr>
      <w:tr>
        <w:trPr>
          <w:trHeight w:val="292" w:hRule="exact"/>
        </w:trPr>
        <w:tc>
          <w:tcPr>
            <w:tcW w:w="74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917" w:type="dxa"/>
            <w:tcBorders>
              <w:top w:val="none"/>
              <w:left w:val="none"/>
              <w:bottom w:val="none"/>
              <w:right w:val="none"/>
            </w:tcBorders>
            <w:textDirection w:val="lrTb"/>
            <w:vAlign w:val="center"/>
          </w:tcPr>
          <w:p>
            <w:pPr>
              <w:spacing w:before="0" w:after="47" w:line="227" w:lineRule="exact"/>
              <w:ind w:right="0" w:left="20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—Refrigerated Liquid</w:t>
            </w:r>
          </w:p>
        </w:tc>
        <w:tc>
          <w:tcPr>
            <w:tcW w:w="1555" w:type="dxa"/>
            <w:tcBorders>
              <w:top w:val="none"/>
              <w:left w:val="none"/>
              <w:bottom w:val="none"/>
              <w:right w:val="none"/>
            </w:tcBorders>
            <w:textDirection w:val="lrTb"/>
            <w:vAlign w:val="center"/>
          </w:tcPr>
          <w:p>
            <w:pPr>
              <w:spacing w:before="0" w:after="47" w:line="227" w:lineRule="exact"/>
              <w:ind w:right="0" w:left="1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2186</w:t>
            </w:r>
          </w:p>
        </w:tc>
        <w:tc>
          <w:tcPr>
            <w:tcW w:w="1879" w:type="dxa"/>
            <w:tcBorders>
              <w:top w:val="none"/>
              <w:left w:val="none"/>
              <w:bottom w:val="none"/>
              <w:right w:val="none"/>
            </w:tcBorders>
            <w:textDirection w:val="lrTb"/>
            <w:vAlign w:val="center"/>
          </w:tcPr>
          <w:p>
            <w:pPr>
              <w:spacing w:before="0" w:after="47" w:line="227"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250</w:t>
            </w:r>
          </w:p>
        </w:tc>
      </w:tr>
      <w:tr>
        <w:trPr>
          <w:trHeight w:val="284" w:hRule="exact"/>
        </w:trPr>
        <w:tc>
          <w:tcPr>
            <w:tcW w:w="749" w:type="dxa"/>
            <w:tcBorders>
              <w:top w:val="none"/>
              <w:left w:val="none"/>
              <w:bottom w:val="none"/>
              <w:right w:val="none"/>
            </w:tcBorders>
            <w:textDirection w:val="lrTb"/>
            <w:vAlign w:val="center"/>
          </w:tcPr>
          <w:p>
            <w:pPr>
              <w:spacing w:before="71" w:after="0" w:line="212"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26</w:t>
            </w:r>
          </w:p>
        </w:tc>
        <w:tc>
          <w:tcPr>
            <w:tcW w:w="3917" w:type="dxa"/>
            <w:tcBorders>
              <w:top w:val="none"/>
              <w:left w:val="none"/>
              <w:bottom w:val="none"/>
              <w:right w:val="none"/>
            </w:tcBorders>
            <w:textDirection w:val="lrTb"/>
            <w:vAlign w:val="center"/>
          </w:tcPr>
          <w:p>
            <w:pPr>
              <w:spacing w:before="71" w:after="0" w:line="212" w:lineRule="exact"/>
              <w:ind w:right="0" w:left="20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HYDROGEN CYANIDE</w:t>
            </w:r>
          </w:p>
        </w:tc>
        <w:tc>
          <w:tcPr>
            <w:tcW w:w="1555" w:type="dxa"/>
            <w:tcBorders>
              <w:top w:val="none"/>
              <w:left w:val="none"/>
              <w:bottom w:val="none"/>
              <w:right w:val="none"/>
            </w:tcBorders>
            <w:textDirection w:val="lrTb"/>
            <w:vAlign w:val="center"/>
          </w:tcPr>
          <w:p>
            <w:pPr>
              <w:spacing w:before="66" w:after="0" w:line="217" w:lineRule="exact"/>
              <w:ind w:right="0" w:left="1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1051</w:t>
            </w:r>
          </w:p>
        </w:tc>
        <w:tc>
          <w:tcPr>
            <w:tcW w:w="1879" w:type="dxa"/>
            <w:tcBorders>
              <w:top w:val="none"/>
              <w:left w:val="none"/>
              <w:bottom w:val="none"/>
              <w:right w:val="none"/>
            </w:tcBorders>
            <w:textDirection w:val="lrTb"/>
            <w:vAlign w:val="center"/>
          </w:tcPr>
          <w:p>
            <w:pPr>
              <w:spacing w:before="71" w:after="0" w:line="212"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w:t>
            </w:r>
          </w:p>
        </w:tc>
      </w:tr>
      <w:tr>
        <w:trPr>
          <w:trHeight w:val="292" w:hRule="exact"/>
        </w:trPr>
        <w:tc>
          <w:tcPr>
            <w:tcW w:w="74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917"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1555" w:type="dxa"/>
            <w:tcBorders>
              <w:top w:val="none"/>
              <w:left w:val="none"/>
              <w:bottom w:val="none"/>
              <w:right w:val="none"/>
            </w:tcBorders>
            <w:textDirection w:val="lrTb"/>
            <w:vAlign w:val="center"/>
          </w:tcPr>
          <w:p>
            <w:pPr>
              <w:spacing w:before="0" w:after="47" w:line="227" w:lineRule="exact"/>
              <w:ind w:right="0" w:left="1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1614</w:t>
            </w:r>
          </w:p>
        </w:tc>
        <w:tc>
          <w:tcPr>
            <w:tcW w:w="187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r>
      <w:tr>
        <w:trPr>
          <w:trHeight w:val="356" w:hRule="exact"/>
        </w:trPr>
        <w:tc>
          <w:tcPr>
            <w:tcW w:w="749" w:type="dxa"/>
            <w:tcBorders>
              <w:top w:val="none"/>
              <w:left w:val="none"/>
              <w:bottom w:val="none"/>
              <w:right w:val="none"/>
            </w:tcBorders>
            <w:textDirection w:val="lrTb"/>
            <w:vAlign w:val="center"/>
          </w:tcPr>
          <w:p>
            <w:pPr>
              <w:spacing w:before="76" w:after="52" w:line="227"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27</w:t>
            </w:r>
          </w:p>
        </w:tc>
        <w:tc>
          <w:tcPr>
            <w:tcW w:w="3917" w:type="dxa"/>
            <w:tcBorders>
              <w:top w:val="none"/>
              <w:left w:val="none"/>
              <w:bottom w:val="none"/>
              <w:right w:val="none"/>
            </w:tcBorders>
            <w:textDirection w:val="lrTb"/>
            <w:vAlign w:val="center"/>
          </w:tcPr>
          <w:p>
            <w:pPr>
              <w:spacing w:before="76" w:after="52" w:line="227" w:lineRule="exact"/>
              <w:ind w:right="0" w:left="20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HYDROGEN FLUORIDE</w:t>
            </w:r>
          </w:p>
        </w:tc>
        <w:tc>
          <w:tcPr>
            <w:tcW w:w="1555" w:type="dxa"/>
            <w:tcBorders>
              <w:top w:val="none"/>
              <w:left w:val="none"/>
              <w:bottom w:val="none"/>
              <w:right w:val="none"/>
            </w:tcBorders>
            <w:textDirection w:val="lrTb"/>
            <w:vAlign w:val="center"/>
          </w:tcPr>
          <w:p>
            <w:pPr>
              <w:spacing w:before="76" w:after="52" w:line="227" w:lineRule="exact"/>
              <w:ind w:right="0" w:left="1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1052</w:t>
            </w:r>
          </w:p>
        </w:tc>
        <w:tc>
          <w:tcPr>
            <w:tcW w:w="1879" w:type="dxa"/>
            <w:tcBorders>
              <w:top w:val="none"/>
              <w:left w:val="none"/>
              <w:bottom w:val="none"/>
              <w:right w:val="none"/>
            </w:tcBorders>
            <w:textDirection w:val="lrTb"/>
            <w:vAlign w:val="center"/>
          </w:tcPr>
          <w:p>
            <w:pPr>
              <w:spacing w:before="76" w:after="52" w:line="227"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50</w:t>
            </w:r>
          </w:p>
        </w:tc>
      </w:tr>
      <w:tr>
        <w:trPr>
          <w:trHeight w:val="345" w:hRule="exact"/>
        </w:trPr>
        <w:tc>
          <w:tcPr>
            <w:tcW w:w="749" w:type="dxa"/>
            <w:tcBorders>
              <w:top w:val="none"/>
              <w:left w:val="none"/>
              <w:bottom w:val="none"/>
              <w:right w:val="none"/>
            </w:tcBorders>
            <w:textDirection w:val="lrTb"/>
            <w:vAlign w:val="center"/>
          </w:tcPr>
          <w:p>
            <w:pPr>
              <w:spacing w:before="70" w:after="33" w:line="227"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28</w:t>
            </w:r>
          </w:p>
        </w:tc>
        <w:tc>
          <w:tcPr>
            <w:tcW w:w="3917" w:type="dxa"/>
            <w:tcBorders>
              <w:top w:val="none"/>
              <w:left w:val="none"/>
              <w:bottom w:val="none"/>
              <w:right w:val="none"/>
            </w:tcBorders>
            <w:textDirection w:val="lrTb"/>
            <w:vAlign w:val="center"/>
          </w:tcPr>
          <w:p>
            <w:pPr>
              <w:spacing w:before="70" w:after="33" w:line="227" w:lineRule="exact"/>
              <w:ind w:right="0" w:left="20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HYDROGEN SULFIDE</w:t>
            </w:r>
          </w:p>
        </w:tc>
        <w:tc>
          <w:tcPr>
            <w:tcW w:w="1555" w:type="dxa"/>
            <w:tcBorders>
              <w:top w:val="none"/>
              <w:left w:val="none"/>
              <w:bottom w:val="none"/>
              <w:right w:val="none"/>
            </w:tcBorders>
            <w:textDirection w:val="lrTb"/>
            <w:vAlign w:val="center"/>
          </w:tcPr>
          <w:p>
            <w:pPr>
              <w:spacing w:before="70" w:after="33" w:line="227" w:lineRule="exact"/>
              <w:ind w:right="0" w:left="1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1053</w:t>
            </w:r>
          </w:p>
        </w:tc>
        <w:tc>
          <w:tcPr>
            <w:tcW w:w="1879" w:type="dxa"/>
            <w:tcBorders>
              <w:top w:val="none"/>
              <w:left w:val="none"/>
              <w:bottom w:val="none"/>
              <w:right w:val="none"/>
            </w:tcBorders>
            <w:textDirection w:val="lrTb"/>
            <w:vAlign w:val="center"/>
          </w:tcPr>
          <w:p>
            <w:pPr>
              <w:spacing w:before="70" w:after="33" w:line="227"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50</w:t>
            </w:r>
          </w:p>
        </w:tc>
      </w:tr>
      <w:tr>
        <w:trPr>
          <w:trHeight w:val="293" w:hRule="exact"/>
        </w:trPr>
        <w:tc>
          <w:tcPr>
            <w:tcW w:w="749" w:type="dxa"/>
            <w:tcBorders>
              <w:top w:val="none"/>
              <w:left w:val="none"/>
              <w:bottom w:val="none"/>
              <w:right w:val="none"/>
            </w:tcBorders>
            <w:textDirection w:val="lrTb"/>
            <w:vAlign w:val="center"/>
          </w:tcPr>
          <w:p>
            <w:pPr>
              <w:spacing w:before="76" w:after="0" w:line="212"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29</w:t>
            </w:r>
          </w:p>
        </w:tc>
        <w:tc>
          <w:tcPr>
            <w:tcW w:w="3917" w:type="dxa"/>
            <w:tcBorders>
              <w:top w:val="none"/>
              <w:left w:val="none"/>
              <w:bottom w:val="none"/>
              <w:right w:val="none"/>
            </w:tcBorders>
            <w:textDirection w:val="lrTb"/>
            <w:vAlign w:val="center"/>
          </w:tcPr>
          <w:p>
            <w:pPr>
              <w:spacing w:before="76" w:after="0" w:line="212" w:lineRule="exact"/>
              <w:ind w:right="0" w:left="20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LP GASES</w:t>
            </w:r>
          </w:p>
        </w:tc>
        <w:tc>
          <w:tcPr>
            <w:tcW w:w="1555" w:type="dxa"/>
            <w:tcBorders>
              <w:top w:val="none"/>
              <w:left w:val="none"/>
              <w:bottom w:val="none"/>
              <w:right w:val="none"/>
            </w:tcBorders>
            <w:textDirection w:val="lrTb"/>
            <w:vAlign w:val="center"/>
          </w:tcPr>
          <w:p>
            <w:pPr>
              <w:spacing w:before="71" w:after="0" w:line="217" w:lineRule="exact"/>
              <w:ind w:right="0" w:left="1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1011</w:t>
            </w:r>
          </w:p>
        </w:tc>
        <w:tc>
          <w:tcPr>
            <w:tcW w:w="1879" w:type="dxa"/>
            <w:tcBorders>
              <w:top w:val="none"/>
              <w:left w:val="none"/>
              <w:bottom w:val="none"/>
              <w:right w:val="none"/>
            </w:tcBorders>
            <w:textDirection w:val="lrTb"/>
            <w:vAlign w:val="center"/>
          </w:tcPr>
          <w:p>
            <w:pPr>
              <w:spacing w:before="76" w:after="0" w:line="212"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200</w:t>
            </w:r>
          </w:p>
        </w:tc>
      </w:tr>
      <w:tr>
        <w:trPr>
          <w:trHeight w:val="226" w:hRule="exact"/>
        </w:trPr>
        <w:tc>
          <w:tcPr>
            <w:tcW w:w="74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917"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1555" w:type="dxa"/>
            <w:tcBorders>
              <w:top w:val="none"/>
              <w:left w:val="none"/>
              <w:bottom w:val="none"/>
              <w:right w:val="none"/>
            </w:tcBorders>
            <w:textDirection w:val="lrTb"/>
            <w:vAlign w:val="center"/>
          </w:tcPr>
          <w:p>
            <w:pPr>
              <w:spacing w:before="0" w:after="0" w:line="217" w:lineRule="exact"/>
              <w:ind w:right="0" w:left="1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1012</w:t>
            </w:r>
          </w:p>
        </w:tc>
        <w:tc>
          <w:tcPr>
            <w:tcW w:w="187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r>
      <w:tr>
        <w:trPr>
          <w:trHeight w:val="235" w:hRule="exact"/>
        </w:trPr>
        <w:tc>
          <w:tcPr>
            <w:tcW w:w="74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917"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1555" w:type="dxa"/>
            <w:tcBorders>
              <w:top w:val="none"/>
              <w:left w:val="none"/>
              <w:bottom w:val="none"/>
              <w:right w:val="none"/>
            </w:tcBorders>
            <w:textDirection w:val="lrTb"/>
            <w:vAlign w:val="center"/>
          </w:tcPr>
          <w:p>
            <w:pPr>
              <w:spacing w:before="0" w:after="0" w:line="217" w:lineRule="exact"/>
              <w:ind w:right="0" w:left="1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1075</w:t>
            </w:r>
          </w:p>
        </w:tc>
        <w:tc>
          <w:tcPr>
            <w:tcW w:w="187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r>
      <w:tr>
        <w:trPr>
          <w:trHeight w:val="230" w:hRule="exact"/>
        </w:trPr>
        <w:tc>
          <w:tcPr>
            <w:tcW w:w="74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917"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1555" w:type="dxa"/>
            <w:tcBorders>
              <w:top w:val="none"/>
              <w:left w:val="none"/>
              <w:bottom w:val="none"/>
              <w:right w:val="none"/>
            </w:tcBorders>
            <w:textDirection w:val="lrTb"/>
            <w:vAlign w:val="center"/>
          </w:tcPr>
          <w:p>
            <w:pPr>
              <w:spacing w:before="0" w:after="0" w:line="217" w:lineRule="exact"/>
              <w:ind w:right="0" w:left="1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1077</w:t>
            </w:r>
          </w:p>
        </w:tc>
        <w:tc>
          <w:tcPr>
            <w:tcW w:w="187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r>
      <w:tr>
        <w:trPr>
          <w:trHeight w:val="288" w:hRule="exact"/>
        </w:trPr>
        <w:tc>
          <w:tcPr>
            <w:tcW w:w="74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917"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1555" w:type="dxa"/>
            <w:tcBorders>
              <w:top w:val="none"/>
              <w:left w:val="none"/>
              <w:bottom w:val="none"/>
              <w:right w:val="none"/>
            </w:tcBorders>
            <w:textDirection w:val="lrTb"/>
            <w:vAlign w:val="center"/>
          </w:tcPr>
          <w:p>
            <w:pPr>
              <w:spacing w:before="0" w:after="47" w:line="227" w:lineRule="exact"/>
              <w:ind w:right="0" w:left="1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1978</w:t>
            </w:r>
          </w:p>
        </w:tc>
        <w:tc>
          <w:tcPr>
            <w:tcW w:w="187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r>
      <w:tr>
        <w:trPr>
          <w:trHeight w:val="293" w:hRule="exact"/>
        </w:trPr>
        <w:tc>
          <w:tcPr>
            <w:tcW w:w="749" w:type="dxa"/>
            <w:tcBorders>
              <w:top w:val="none"/>
              <w:left w:val="none"/>
              <w:bottom w:val="none"/>
              <w:right w:val="none"/>
            </w:tcBorders>
            <w:textDirection w:val="lrTb"/>
            <w:vAlign w:val="center"/>
          </w:tcPr>
          <w:p>
            <w:pPr>
              <w:spacing w:before="71" w:after="0" w:line="212"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30</w:t>
            </w:r>
          </w:p>
        </w:tc>
        <w:tc>
          <w:tcPr>
            <w:tcW w:w="3917" w:type="dxa"/>
            <w:tcBorders>
              <w:top w:val="none"/>
              <w:left w:val="none"/>
              <w:bottom w:val="none"/>
              <w:right w:val="none"/>
            </w:tcBorders>
            <w:textDirection w:val="lrTb"/>
            <w:vAlign w:val="center"/>
          </w:tcPr>
          <w:p>
            <w:pPr>
              <w:spacing w:before="71" w:after="0" w:line="212" w:lineRule="exact"/>
              <w:ind w:right="0" w:left="20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METHANE or NATURAL GAS</w:t>
            </w:r>
          </w:p>
        </w:tc>
        <w:tc>
          <w:tcPr>
            <w:tcW w:w="1555" w:type="dxa"/>
            <w:tcBorders>
              <w:top w:val="none"/>
              <w:left w:val="none"/>
              <w:bottom w:val="none"/>
              <w:right w:val="none"/>
            </w:tcBorders>
            <w:textDirection w:val="lrTb"/>
            <w:vAlign w:val="center"/>
          </w:tcPr>
          <w:p>
            <w:pPr>
              <w:spacing w:before="66" w:after="0" w:line="217" w:lineRule="exact"/>
              <w:ind w:right="0" w:left="1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1971</w:t>
            </w:r>
          </w:p>
        </w:tc>
        <w:tc>
          <w:tcPr>
            <w:tcW w:w="1879" w:type="dxa"/>
            <w:tcBorders>
              <w:top w:val="none"/>
              <w:left w:val="none"/>
              <w:bottom w:val="none"/>
              <w:right w:val="none"/>
            </w:tcBorders>
            <w:textDirection w:val="lrTb"/>
            <w:vAlign w:val="center"/>
          </w:tcPr>
          <w:p>
            <w:pPr>
              <w:spacing w:before="71" w:after="0" w:line="212"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200</w:t>
            </w:r>
          </w:p>
        </w:tc>
      </w:tr>
      <w:tr>
        <w:trPr>
          <w:trHeight w:val="288" w:hRule="exact"/>
        </w:trPr>
        <w:tc>
          <w:tcPr>
            <w:tcW w:w="74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917"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1555" w:type="dxa"/>
            <w:tcBorders>
              <w:top w:val="none"/>
              <w:left w:val="none"/>
              <w:bottom w:val="none"/>
              <w:right w:val="none"/>
            </w:tcBorders>
            <w:textDirection w:val="lrTb"/>
            <w:vAlign w:val="center"/>
          </w:tcPr>
          <w:p>
            <w:pPr>
              <w:spacing w:before="0" w:after="43" w:line="227" w:lineRule="exact"/>
              <w:ind w:right="0" w:left="1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1972</w:t>
            </w:r>
          </w:p>
        </w:tc>
        <w:tc>
          <w:tcPr>
            <w:tcW w:w="187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r>
      <w:tr>
        <w:trPr>
          <w:trHeight w:val="350" w:hRule="exact"/>
        </w:trPr>
        <w:tc>
          <w:tcPr>
            <w:tcW w:w="749" w:type="dxa"/>
            <w:tcBorders>
              <w:top w:val="none"/>
              <w:left w:val="none"/>
              <w:bottom w:val="none"/>
              <w:right w:val="none"/>
            </w:tcBorders>
            <w:textDirection w:val="lrTb"/>
            <w:vAlign w:val="center"/>
          </w:tcPr>
          <w:p>
            <w:pPr>
              <w:spacing w:before="71" w:after="38" w:line="227"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31</w:t>
            </w:r>
          </w:p>
        </w:tc>
        <w:tc>
          <w:tcPr>
            <w:tcW w:w="3917" w:type="dxa"/>
            <w:tcBorders>
              <w:top w:val="none"/>
              <w:left w:val="none"/>
              <w:bottom w:val="none"/>
              <w:right w:val="none"/>
            </w:tcBorders>
            <w:textDirection w:val="lrTb"/>
            <w:vAlign w:val="center"/>
          </w:tcPr>
          <w:p>
            <w:pPr>
              <w:spacing w:before="71" w:after="38" w:line="227" w:lineRule="exact"/>
              <w:ind w:right="0" w:left="20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METHYL BROMIDE</w:t>
            </w:r>
          </w:p>
        </w:tc>
        <w:tc>
          <w:tcPr>
            <w:tcW w:w="1555" w:type="dxa"/>
            <w:tcBorders>
              <w:top w:val="none"/>
              <w:left w:val="none"/>
              <w:bottom w:val="none"/>
              <w:right w:val="none"/>
            </w:tcBorders>
            <w:textDirection w:val="lrTb"/>
            <w:vAlign w:val="center"/>
          </w:tcPr>
          <w:p>
            <w:pPr>
              <w:spacing w:before="71" w:after="38" w:line="227" w:lineRule="exact"/>
              <w:ind w:right="0" w:left="1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1062</w:t>
            </w:r>
          </w:p>
        </w:tc>
        <w:tc>
          <w:tcPr>
            <w:tcW w:w="1879" w:type="dxa"/>
            <w:tcBorders>
              <w:top w:val="none"/>
              <w:left w:val="none"/>
              <w:bottom w:val="none"/>
              <w:right w:val="none"/>
            </w:tcBorders>
            <w:textDirection w:val="lrTb"/>
            <w:vAlign w:val="center"/>
          </w:tcPr>
          <w:p>
            <w:pPr>
              <w:spacing w:before="71" w:after="38" w:line="227"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200</w:t>
            </w:r>
          </w:p>
        </w:tc>
      </w:tr>
      <w:tr>
        <w:trPr>
          <w:trHeight w:val="360" w:hRule="exact"/>
        </w:trPr>
        <w:tc>
          <w:tcPr>
            <w:tcW w:w="749" w:type="dxa"/>
            <w:tcBorders>
              <w:top w:val="none"/>
              <w:left w:val="none"/>
              <w:bottom w:val="none"/>
              <w:right w:val="none"/>
            </w:tcBorders>
            <w:textDirection w:val="lrTb"/>
            <w:vAlign w:val="center"/>
          </w:tcPr>
          <w:p>
            <w:pPr>
              <w:spacing w:before="71" w:after="48" w:line="227"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32</w:t>
            </w:r>
          </w:p>
        </w:tc>
        <w:tc>
          <w:tcPr>
            <w:tcW w:w="3917" w:type="dxa"/>
            <w:tcBorders>
              <w:top w:val="none"/>
              <w:left w:val="none"/>
              <w:bottom w:val="none"/>
              <w:right w:val="none"/>
            </w:tcBorders>
            <w:textDirection w:val="lrTb"/>
            <w:vAlign w:val="center"/>
          </w:tcPr>
          <w:p>
            <w:pPr>
              <w:spacing w:before="71" w:after="48" w:line="227" w:lineRule="exact"/>
              <w:ind w:right="0" w:left="20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METHYL ISOCYANATE</w:t>
            </w:r>
          </w:p>
        </w:tc>
        <w:tc>
          <w:tcPr>
            <w:tcW w:w="1555" w:type="dxa"/>
            <w:tcBorders>
              <w:top w:val="none"/>
              <w:left w:val="none"/>
              <w:bottom w:val="none"/>
              <w:right w:val="none"/>
            </w:tcBorders>
            <w:textDirection w:val="lrTb"/>
            <w:vAlign w:val="center"/>
          </w:tcPr>
          <w:p>
            <w:pPr>
              <w:spacing w:before="71" w:after="48" w:line="227" w:lineRule="exact"/>
              <w:ind w:right="0" w:left="1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2480</w:t>
            </w:r>
          </w:p>
        </w:tc>
        <w:tc>
          <w:tcPr>
            <w:tcW w:w="1879" w:type="dxa"/>
            <w:tcBorders>
              <w:top w:val="none"/>
              <w:left w:val="none"/>
              <w:bottom w:val="none"/>
              <w:right w:val="none"/>
            </w:tcBorders>
            <w:textDirection w:val="lrTb"/>
            <w:vAlign w:val="center"/>
          </w:tcPr>
          <w:p>
            <w:pPr>
              <w:spacing w:before="78" w:after="33" w:line="235"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0</w:t>
            </w:r>
            <w:r>
              <w:rPr>
                <w:rFonts w:ascii="Tahoma" w:hAnsi="Tahoma" w:eastAsia="Tahoma"/>
                <w:color w:val="000000"/>
                <w:spacing w:val="0"/>
                <w:w w:val="100"/>
                <w:sz w:val="20"/>
                <w:vertAlign w:val="baseline"/>
                <w:lang w:val="en-US"/>
              </w:rPr>
              <w:t xml:space="preserve">.</w:t>
            </w:r>
            <w:r>
              <w:rPr>
                <w:rFonts w:ascii="Times New Roman" w:hAnsi="Times New Roman" w:eastAsia="Times New Roman"/>
                <w:color w:val="000000"/>
                <w:spacing w:val="0"/>
                <w:w w:val="100"/>
                <w:sz w:val="20"/>
                <w:vertAlign w:val="baseline"/>
                <w:lang w:val="en-US"/>
              </w:rPr>
              <w:t xml:space="preserve">15</w:t>
            </w:r>
          </w:p>
        </w:tc>
      </w:tr>
      <w:tr>
        <w:trPr>
          <w:trHeight w:val="293" w:hRule="exact"/>
        </w:trPr>
        <w:tc>
          <w:tcPr>
            <w:tcW w:w="749" w:type="dxa"/>
            <w:tcBorders>
              <w:top w:val="none"/>
              <w:left w:val="none"/>
              <w:bottom w:val="none"/>
              <w:right w:val="none"/>
            </w:tcBorders>
            <w:textDirection w:val="lrTb"/>
            <w:vAlign w:val="center"/>
          </w:tcPr>
          <w:p>
            <w:pPr>
              <w:spacing w:before="76" w:after="0" w:line="212"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33</w:t>
            </w:r>
          </w:p>
        </w:tc>
        <w:tc>
          <w:tcPr>
            <w:tcW w:w="3917" w:type="dxa"/>
            <w:tcBorders>
              <w:top w:val="none"/>
              <w:left w:val="none"/>
              <w:bottom w:val="none"/>
              <w:right w:val="none"/>
            </w:tcBorders>
            <w:textDirection w:val="lrTb"/>
            <w:vAlign w:val="center"/>
          </w:tcPr>
          <w:p>
            <w:pPr>
              <w:spacing w:before="71" w:after="0" w:line="217" w:lineRule="exact"/>
              <w:ind w:right="0" w:left="20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OXIDES OF NITROGEN, including nitrous</w:t>
            </w:r>
          </w:p>
        </w:tc>
        <w:tc>
          <w:tcPr>
            <w:tcW w:w="1555" w:type="dxa"/>
            <w:tcBorders>
              <w:top w:val="none"/>
              <w:left w:val="none"/>
              <w:bottom w:val="none"/>
              <w:right w:val="none"/>
            </w:tcBorders>
            <w:textDirection w:val="lrTb"/>
            <w:vAlign w:val="center"/>
          </w:tcPr>
          <w:p>
            <w:pPr>
              <w:spacing w:before="71" w:after="0" w:line="217" w:lineRule="exact"/>
              <w:ind w:right="0" w:left="1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1067</w:t>
            </w:r>
          </w:p>
        </w:tc>
        <w:tc>
          <w:tcPr>
            <w:tcW w:w="1879" w:type="dxa"/>
            <w:tcBorders>
              <w:top w:val="none"/>
              <w:left w:val="none"/>
              <w:bottom w:val="none"/>
              <w:right w:val="none"/>
            </w:tcBorders>
            <w:textDirection w:val="lrTb"/>
            <w:vAlign w:val="center"/>
          </w:tcPr>
          <w:p>
            <w:pPr>
              <w:spacing w:before="76" w:after="0" w:line="212"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50</w:t>
            </w:r>
          </w:p>
        </w:tc>
      </w:tr>
      <w:tr>
        <w:trPr>
          <w:trHeight w:val="231" w:hRule="exact"/>
        </w:trPr>
        <w:tc>
          <w:tcPr>
            <w:tcW w:w="74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917" w:type="dxa"/>
            <w:tcBorders>
              <w:top w:val="none"/>
              <w:left w:val="none"/>
              <w:bottom w:val="none"/>
              <w:right w:val="none"/>
            </w:tcBorders>
            <w:textDirection w:val="lrTb"/>
            <w:vAlign w:val="center"/>
          </w:tcPr>
          <w:p>
            <w:pPr>
              <w:spacing w:before="0" w:after="0" w:line="216" w:lineRule="exact"/>
              <w:ind w:right="0" w:left="20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oxide, nitrogen dioxide and nitrogen trioxide</w:t>
            </w:r>
          </w:p>
        </w:tc>
        <w:tc>
          <w:tcPr>
            <w:tcW w:w="1555" w:type="dxa"/>
            <w:tcBorders>
              <w:top w:val="none"/>
              <w:left w:val="none"/>
              <w:bottom w:val="none"/>
              <w:right w:val="none"/>
            </w:tcBorders>
            <w:textDirection w:val="lrTb"/>
            <w:vAlign w:val="center"/>
          </w:tcPr>
          <w:p>
            <w:pPr>
              <w:spacing w:before="0" w:after="0" w:line="216" w:lineRule="exact"/>
              <w:ind w:right="0" w:left="1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1070</w:t>
            </w:r>
          </w:p>
        </w:tc>
        <w:tc>
          <w:tcPr>
            <w:tcW w:w="187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r>
      <w:tr>
        <w:trPr>
          <w:trHeight w:val="230" w:hRule="exact"/>
        </w:trPr>
        <w:tc>
          <w:tcPr>
            <w:tcW w:w="74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917"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1555" w:type="dxa"/>
            <w:tcBorders>
              <w:top w:val="none"/>
              <w:left w:val="none"/>
              <w:bottom w:val="none"/>
              <w:right w:val="none"/>
            </w:tcBorders>
            <w:textDirection w:val="lrTb"/>
            <w:vAlign w:val="center"/>
          </w:tcPr>
          <w:p>
            <w:pPr>
              <w:spacing w:before="0" w:after="0" w:line="217" w:lineRule="exact"/>
              <w:ind w:right="0" w:left="1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1660</w:t>
            </w:r>
          </w:p>
        </w:tc>
        <w:tc>
          <w:tcPr>
            <w:tcW w:w="187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r>
      <w:tr>
        <w:trPr>
          <w:trHeight w:val="226" w:hRule="exact"/>
        </w:trPr>
        <w:tc>
          <w:tcPr>
            <w:tcW w:w="74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917"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1555" w:type="dxa"/>
            <w:tcBorders>
              <w:top w:val="none"/>
              <w:left w:val="none"/>
              <w:bottom w:val="none"/>
              <w:right w:val="none"/>
            </w:tcBorders>
            <w:textDirection w:val="lrTb"/>
            <w:vAlign w:val="center"/>
          </w:tcPr>
          <w:p>
            <w:pPr>
              <w:spacing w:before="0" w:after="0" w:line="217" w:lineRule="exact"/>
              <w:ind w:right="0" w:left="1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1975</w:t>
            </w:r>
          </w:p>
        </w:tc>
        <w:tc>
          <w:tcPr>
            <w:tcW w:w="187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r>
      <w:tr>
        <w:trPr>
          <w:trHeight w:val="230" w:hRule="exact"/>
        </w:trPr>
        <w:tc>
          <w:tcPr>
            <w:tcW w:w="74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917"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1555" w:type="dxa"/>
            <w:tcBorders>
              <w:top w:val="none"/>
              <w:left w:val="none"/>
              <w:bottom w:val="none"/>
              <w:right w:val="none"/>
            </w:tcBorders>
            <w:textDirection w:val="lrTb"/>
            <w:vAlign w:val="center"/>
          </w:tcPr>
          <w:p>
            <w:pPr>
              <w:spacing w:before="0" w:after="0" w:line="217" w:lineRule="exact"/>
              <w:ind w:right="0" w:left="1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2201</w:t>
            </w:r>
          </w:p>
        </w:tc>
        <w:tc>
          <w:tcPr>
            <w:tcW w:w="187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r>
      <w:tr>
        <w:trPr>
          <w:trHeight w:val="256" w:hRule="exact"/>
        </w:trPr>
        <w:tc>
          <w:tcPr>
            <w:tcW w:w="74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917"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1555" w:type="dxa"/>
            <w:tcBorders>
              <w:top w:val="none"/>
              <w:left w:val="none"/>
              <w:bottom w:val="none"/>
              <w:right w:val="none"/>
            </w:tcBorders>
            <w:textDirection w:val="lrTb"/>
            <w:vAlign w:val="center"/>
          </w:tcPr>
          <w:p>
            <w:pPr>
              <w:spacing w:before="0" w:after="4" w:line="227" w:lineRule="exact"/>
              <w:ind w:right="0" w:left="1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2421</w:t>
            </w:r>
          </w:p>
        </w:tc>
        <w:tc>
          <w:tcPr>
            <w:tcW w:w="187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r>
    </w:tbl>
    <w:p>
      <w:pPr>
        <w:spacing w:before="0" w:after="916" w:line="20" w:lineRule="exact"/>
      </w:pPr>
    </w:p>
    <w:p>
      <w:pPr>
        <w:spacing w:before="0" w:after="916" w:line="20" w:lineRule="exact"/>
        <w:sectPr>
          <w:type w:val="nextPage"/>
          <w:pgSz w:w="11909" w:h="16838" w:orient="portrait"/>
          <w:pgMar w:bottom="1082" w:top="1140" w:right="1861" w:left="1948"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485</w:t>
      </w:r>
    </w:p>
    <w:p>
      <w:pPr>
        <w:sectPr>
          <w:type w:val="continuous"/>
          <w:pgSz w:w="11909" w:h="16838" w:orient="portrait"/>
          <w:pgMar w:bottom="1082" w:top="1140" w:right="5814" w:left="1975" w:header="720" w:footer="720"/>
          <w:titlePg w:val="false"/>
          <w:textDirection w:val="lrTb"/>
        </w:sectPr>
      </w:pPr>
    </w:p>
    <w:p>
      <w:pPr>
        <w:spacing w:before="6" w:after="0" w:line="225"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spacing w:before="236" w:after="227" w:line="225"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Schedule 15 Hazardous chemicals at major hazard facilities (and their threshold quantity)</w:t>
      </w:r>
    </w:p>
    <w:p>
      <w:pPr>
        <w:spacing w:before="268" w:after="0" w:line="20" w:lineRule="exact"/>
      </w:pPr>
      <w:r>
        <w:pict>
          <v:line strokeweight="0.5pt" strokecolor="#000000" from="97.4pt,103.9pt" to="498.05pt,103.9pt" style="position:absolute;mso-position-horizontal-relative:page;mso-position-vertical-relative:page;">
            <v:stroke dashstyle="solid"/>
          </v:line>
        </w:pict>
      </w:r>
      <w:r>
        <w:pict>
          <v:line strokeweight="0.7pt" strokecolor="#000000" from="97.4pt,115.9pt" to="502.45pt,115.9pt" style="position:absolute;mso-position-horizontal-relative:page;mso-position-vertical-relative:page;">
            <v:stroke dashstyle="solid"/>
          </v:line>
        </w:pict>
      </w:r>
    </w:p>
    <w:tbl>
      <w:tblPr>
        <w:jc w:val="left"/>
        <w:tblLayout w:type="fixed"/>
        <w:tblCellMar>
          <w:left w:w="0" w:type="dxa"/>
          <w:right w:w="0" w:type="dxa"/>
        </w:tblCellMar>
      </w:tblPr>
      <w:tblGrid>
        <w:gridCol w:w="749"/>
        <w:gridCol w:w="3850"/>
        <w:gridCol w:w="1622"/>
        <w:gridCol w:w="1879"/>
      </w:tblGrid>
      <w:tr>
        <w:trPr>
          <w:trHeight w:val="1072" w:hRule="exact"/>
        </w:trPr>
        <w:tc>
          <w:tcPr>
            <w:tcW w:w="749" w:type="dxa"/>
            <w:tcBorders>
              <w:top w:val="none"/>
              <w:left w:val="none"/>
              <w:bottom w:val="single" w:sz="5" w:color="000000"/>
              <w:right w:val="none"/>
            </w:tcBorders>
            <w:textDirection w:val="lrTb"/>
            <w:vAlign w:val="top"/>
          </w:tcPr>
          <w:p>
            <w:pPr>
              <w:spacing w:before="332" w:after="509" w:line="226" w:lineRule="exact"/>
              <w:ind w:right="0" w:left="0" w:firstLine="0"/>
              <w:jc w:val="center"/>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Item</w:t>
            </w:r>
          </w:p>
        </w:tc>
        <w:tc>
          <w:tcPr>
            <w:tcW w:w="3850" w:type="dxa"/>
            <w:tcBorders>
              <w:top w:val="none"/>
              <w:left w:val="none"/>
              <w:bottom w:val="single" w:sz="5" w:color="000000"/>
              <w:right w:val="none"/>
            </w:tcBorders>
            <w:textDirection w:val="lrTb"/>
            <w:vAlign w:val="top"/>
          </w:tcPr>
          <w:p>
            <w:pPr>
              <w:spacing w:before="44" w:after="0" w:line="226" w:lineRule="exact"/>
              <w:ind w:right="0" w:left="216"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Column 1</w:t>
            </w:r>
          </w:p>
          <w:p>
            <w:pPr>
              <w:spacing w:before="62" w:after="509" w:line="226" w:lineRule="exact"/>
              <w:ind w:right="0" w:left="216"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Hazardous chemical</w:t>
            </w:r>
          </w:p>
        </w:tc>
        <w:tc>
          <w:tcPr>
            <w:tcW w:w="1622" w:type="dxa"/>
            <w:tcBorders>
              <w:top w:val="none"/>
              <w:left w:val="none"/>
              <w:bottom w:val="single" w:sz="5" w:color="000000"/>
              <w:right w:val="none"/>
            </w:tcBorders>
            <w:textDirection w:val="lrTb"/>
            <w:vAlign w:val="top"/>
          </w:tcPr>
          <w:p>
            <w:pPr>
              <w:spacing w:before="44" w:after="0" w:line="226" w:lineRule="exact"/>
              <w:ind w:right="0" w:left="216"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Column 2</w:t>
            </w:r>
          </w:p>
          <w:p>
            <w:pPr>
              <w:spacing w:before="62" w:after="0" w:line="226" w:lineRule="exact"/>
              <w:ind w:right="0" w:left="216"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UN Nos</w:t>
            </w:r>
          </w:p>
          <w:p>
            <w:pPr>
              <w:spacing w:before="0" w:after="49" w:line="230" w:lineRule="exact"/>
              <w:ind w:right="0" w:left="216"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included under name</w:t>
            </w:r>
          </w:p>
        </w:tc>
        <w:tc>
          <w:tcPr>
            <w:tcW w:w="1879" w:type="dxa"/>
            <w:tcBorders>
              <w:top w:val="none"/>
              <w:left w:val="none"/>
              <w:bottom w:val="single" w:sz="5" w:color="000000"/>
              <w:right w:val="none"/>
            </w:tcBorders>
            <w:textDirection w:val="lrTb"/>
            <w:vAlign w:val="top"/>
          </w:tcPr>
          <w:p>
            <w:pPr>
              <w:spacing w:before="44" w:after="0" w:line="226" w:lineRule="exact"/>
              <w:ind w:right="0" w:left="14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Column 3</w:t>
            </w:r>
          </w:p>
          <w:p>
            <w:pPr>
              <w:spacing w:before="62" w:after="0" w:line="226" w:lineRule="exact"/>
              <w:ind w:right="0" w:left="14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Threshold</w:t>
            </w:r>
          </w:p>
          <w:p>
            <w:pPr>
              <w:spacing w:before="4" w:after="279" w:line="226" w:lineRule="exact"/>
              <w:ind w:right="0" w:left="14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quantity (tonnes)</w:t>
            </w:r>
          </w:p>
        </w:tc>
      </w:tr>
      <w:tr>
        <w:trPr>
          <w:trHeight w:val="293" w:hRule="exact"/>
        </w:trPr>
        <w:tc>
          <w:tcPr>
            <w:tcW w:w="749" w:type="dxa"/>
            <w:tcBorders>
              <w:top w:val="single" w:sz="5" w:color="000000"/>
              <w:left w:val="none"/>
              <w:bottom w:val="none"/>
              <w:right w:val="none"/>
            </w:tcBorders>
            <w:textDirection w:val="lrTb"/>
            <w:vAlign w:val="center"/>
          </w:tcPr>
          <w:p>
            <w:pPr>
              <w:spacing w:before="71" w:after="0" w:line="212"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34</w:t>
            </w:r>
          </w:p>
        </w:tc>
        <w:tc>
          <w:tcPr>
            <w:tcW w:w="3850" w:type="dxa"/>
            <w:tcBorders>
              <w:top w:val="single" w:sz="5" w:color="000000"/>
              <w:left w:val="none"/>
              <w:bottom w:val="none"/>
              <w:right w:val="none"/>
            </w:tcBorders>
            <w:textDirection w:val="lrTb"/>
            <w:vAlign w:val="center"/>
          </w:tcPr>
          <w:p>
            <w:pPr>
              <w:spacing w:before="71" w:after="0" w:line="212" w:lineRule="exact"/>
              <w:ind w:right="0" w:left="21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OXYGEN</w:t>
            </w:r>
          </w:p>
        </w:tc>
        <w:tc>
          <w:tcPr>
            <w:tcW w:w="1622" w:type="dxa"/>
            <w:tcBorders>
              <w:top w:val="single" w:sz="5" w:color="000000"/>
              <w:left w:val="none"/>
              <w:bottom w:val="none"/>
              <w:right w:val="none"/>
            </w:tcBorders>
            <w:textDirection w:val="lrTb"/>
            <w:vAlign w:val="center"/>
          </w:tcPr>
          <w:p>
            <w:pPr>
              <w:spacing w:before="66" w:after="0" w:line="217" w:lineRule="exact"/>
              <w:ind w:right="0" w:left="19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1072</w:t>
            </w:r>
          </w:p>
        </w:tc>
        <w:tc>
          <w:tcPr>
            <w:tcW w:w="1879" w:type="dxa"/>
            <w:tcBorders>
              <w:top w:val="single" w:sz="5" w:color="000000"/>
              <w:left w:val="none"/>
              <w:bottom w:val="none"/>
              <w:right w:val="none"/>
            </w:tcBorders>
            <w:textDirection w:val="lrTb"/>
            <w:vAlign w:val="center"/>
          </w:tcPr>
          <w:p>
            <w:pPr>
              <w:spacing w:before="71" w:after="0" w:line="212"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2000</w:t>
            </w:r>
          </w:p>
        </w:tc>
      </w:tr>
      <w:tr>
        <w:trPr>
          <w:trHeight w:val="293" w:hRule="exact"/>
        </w:trPr>
        <w:tc>
          <w:tcPr>
            <w:tcW w:w="74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850"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1622" w:type="dxa"/>
            <w:tcBorders>
              <w:top w:val="none"/>
              <w:left w:val="none"/>
              <w:bottom w:val="none"/>
              <w:right w:val="none"/>
            </w:tcBorders>
            <w:textDirection w:val="lrTb"/>
            <w:vAlign w:val="center"/>
          </w:tcPr>
          <w:p>
            <w:pPr>
              <w:spacing w:before="0" w:after="59" w:line="225" w:lineRule="exact"/>
              <w:ind w:right="0" w:left="19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1073</w:t>
            </w:r>
          </w:p>
        </w:tc>
        <w:tc>
          <w:tcPr>
            <w:tcW w:w="187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r>
      <w:tr>
        <w:trPr>
          <w:trHeight w:val="360" w:hRule="exact"/>
        </w:trPr>
        <w:tc>
          <w:tcPr>
            <w:tcW w:w="749" w:type="dxa"/>
            <w:tcBorders>
              <w:top w:val="none"/>
              <w:left w:val="none"/>
              <w:bottom w:val="none"/>
              <w:right w:val="none"/>
            </w:tcBorders>
            <w:textDirection w:val="lrTb"/>
            <w:vAlign w:val="center"/>
          </w:tcPr>
          <w:p>
            <w:pPr>
              <w:spacing w:before="66" w:after="68" w:line="225"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35</w:t>
            </w:r>
          </w:p>
        </w:tc>
        <w:tc>
          <w:tcPr>
            <w:tcW w:w="3850" w:type="dxa"/>
            <w:tcBorders>
              <w:top w:val="none"/>
              <w:left w:val="none"/>
              <w:bottom w:val="none"/>
              <w:right w:val="none"/>
            </w:tcBorders>
            <w:textDirection w:val="lrTb"/>
            <w:vAlign w:val="center"/>
          </w:tcPr>
          <w:p>
            <w:pPr>
              <w:spacing w:before="66" w:after="68" w:line="225" w:lineRule="exact"/>
              <w:ind w:right="0" w:left="21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PHOSGENE</w:t>
            </w:r>
          </w:p>
        </w:tc>
        <w:tc>
          <w:tcPr>
            <w:tcW w:w="1622" w:type="dxa"/>
            <w:tcBorders>
              <w:top w:val="none"/>
              <w:left w:val="none"/>
              <w:bottom w:val="none"/>
              <w:right w:val="none"/>
            </w:tcBorders>
            <w:textDirection w:val="lrTb"/>
            <w:vAlign w:val="center"/>
          </w:tcPr>
          <w:p>
            <w:pPr>
              <w:spacing w:before="66" w:after="68" w:line="225" w:lineRule="exact"/>
              <w:ind w:right="0" w:left="19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1076</w:t>
            </w:r>
          </w:p>
        </w:tc>
        <w:tc>
          <w:tcPr>
            <w:tcW w:w="1879" w:type="dxa"/>
            <w:tcBorders>
              <w:top w:val="none"/>
              <w:left w:val="none"/>
              <w:bottom w:val="none"/>
              <w:right w:val="none"/>
            </w:tcBorders>
            <w:textDirection w:val="lrTb"/>
            <w:vAlign w:val="center"/>
          </w:tcPr>
          <w:p>
            <w:pPr>
              <w:spacing w:before="57" w:after="53" w:line="249"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0</w:t>
            </w:r>
            <w:r>
              <w:rPr>
                <w:rFonts w:ascii="Symbol" w:hAnsi="Symbol" w:eastAsia="Symbol"/>
                <w:color w:val="000000"/>
                <w:spacing w:val="0"/>
                <w:w w:val="100"/>
                <w:sz w:val="20"/>
                <w:vertAlign w:val="baseline"/>
                <w:lang w:val="en-US"/>
              </w:rPr>
              <w:t xml:space="preserve">⋅</w:t>
            </w:r>
            <w:r>
              <w:rPr>
                <w:rFonts w:ascii="Times New Roman" w:hAnsi="Times New Roman" w:eastAsia="Times New Roman"/>
                <w:color w:val="000000"/>
                <w:spacing w:val="0"/>
                <w:w w:val="100"/>
                <w:sz w:val="20"/>
                <w:vertAlign w:val="baseline"/>
                <w:lang w:val="en-US"/>
              </w:rPr>
              <w:t xml:space="preserve">75</w:t>
            </w:r>
          </w:p>
        </w:tc>
      </w:tr>
      <w:tr>
        <w:trPr>
          <w:trHeight w:val="350" w:hRule="exact"/>
        </w:trPr>
        <w:tc>
          <w:tcPr>
            <w:tcW w:w="749" w:type="dxa"/>
            <w:tcBorders>
              <w:top w:val="none"/>
              <w:left w:val="none"/>
              <w:bottom w:val="none"/>
              <w:right w:val="none"/>
            </w:tcBorders>
            <w:textDirection w:val="lrTb"/>
            <w:vAlign w:val="center"/>
          </w:tcPr>
          <w:p>
            <w:pPr>
              <w:spacing w:before="70" w:after="50" w:line="225"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36</w:t>
            </w:r>
          </w:p>
        </w:tc>
        <w:tc>
          <w:tcPr>
            <w:tcW w:w="3850" w:type="dxa"/>
            <w:tcBorders>
              <w:top w:val="none"/>
              <w:left w:val="none"/>
              <w:bottom w:val="none"/>
              <w:right w:val="none"/>
            </w:tcBorders>
            <w:textDirection w:val="lrTb"/>
            <w:vAlign w:val="center"/>
          </w:tcPr>
          <w:p>
            <w:pPr>
              <w:spacing w:before="70" w:after="50" w:line="225" w:lineRule="exact"/>
              <w:ind w:right="0" w:left="21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PROPYLENE OXIDE</w:t>
            </w:r>
          </w:p>
        </w:tc>
        <w:tc>
          <w:tcPr>
            <w:tcW w:w="1622" w:type="dxa"/>
            <w:tcBorders>
              <w:top w:val="none"/>
              <w:left w:val="none"/>
              <w:bottom w:val="none"/>
              <w:right w:val="none"/>
            </w:tcBorders>
            <w:textDirection w:val="lrTb"/>
            <w:vAlign w:val="center"/>
          </w:tcPr>
          <w:p>
            <w:pPr>
              <w:spacing w:before="70" w:after="50" w:line="225" w:lineRule="exact"/>
              <w:ind w:right="0" w:left="19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1280</w:t>
            </w:r>
          </w:p>
        </w:tc>
        <w:tc>
          <w:tcPr>
            <w:tcW w:w="1879" w:type="dxa"/>
            <w:tcBorders>
              <w:top w:val="none"/>
              <w:left w:val="none"/>
              <w:bottom w:val="none"/>
              <w:right w:val="none"/>
            </w:tcBorders>
            <w:textDirection w:val="lrTb"/>
            <w:vAlign w:val="center"/>
          </w:tcPr>
          <w:p>
            <w:pPr>
              <w:spacing w:before="70" w:after="50" w:line="225"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50</w:t>
            </w:r>
          </w:p>
        </w:tc>
      </w:tr>
      <w:tr>
        <w:trPr>
          <w:trHeight w:val="350" w:hRule="exact"/>
        </w:trPr>
        <w:tc>
          <w:tcPr>
            <w:tcW w:w="749" w:type="dxa"/>
            <w:tcBorders>
              <w:top w:val="none"/>
              <w:left w:val="none"/>
              <w:bottom w:val="none"/>
              <w:right w:val="none"/>
            </w:tcBorders>
            <w:textDirection w:val="lrTb"/>
            <w:vAlign w:val="center"/>
          </w:tcPr>
          <w:p>
            <w:pPr>
              <w:spacing w:before="71" w:after="44" w:line="225"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37</w:t>
            </w:r>
          </w:p>
        </w:tc>
        <w:tc>
          <w:tcPr>
            <w:tcW w:w="3850" w:type="dxa"/>
            <w:tcBorders>
              <w:top w:val="none"/>
              <w:left w:val="none"/>
              <w:bottom w:val="none"/>
              <w:right w:val="none"/>
            </w:tcBorders>
            <w:textDirection w:val="lrTb"/>
            <w:vAlign w:val="center"/>
          </w:tcPr>
          <w:p>
            <w:pPr>
              <w:spacing w:before="71" w:after="44" w:line="225" w:lineRule="exact"/>
              <w:ind w:right="0" w:left="21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PROPYLENEIMINE</w:t>
            </w:r>
          </w:p>
        </w:tc>
        <w:tc>
          <w:tcPr>
            <w:tcW w:w="1622" w:type="dxa"/>
            <w:tcBorders>
              <w:top w:val="none"/>
              <w:left w:val="none"/>
              <w:bottom w:val="none"/>
              <w:right w:val="none"/>
            </w:tcBorders>
            <w:textDirection w:val="lrTb"/>
            <w:vAlign w:val="center"/>
          </w:tcPr>
          <w:p>
            <w:pPr>
              <w:spacing w:before="71" w:after="44" w:line="225" w:lineRule="exact"/>
              <w:ind w:right="0" w:left="19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1921</w:t>
            </w:r>
          </w:p>
        </w:tc>
        <w:tc>
          <w:tcPr>
            <w:tcW w:w="1879" w:type="dxa"/>
            <w:tcBorders>
              <w:top w:val="none"/>
              <w:left w:val="none"/>
              <w:bottom w:val="none"/>
              <w:right w:val="none"/>
            </w:tcBorders>
            <w:textDirection w:val="lrTb"/>
            <w:vAlign w:val="center"/>
          </w:tcPr>
          <w:p>
            <w:pPr>
              <w:spacing w:before="71" w:after="44" w:line="225"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200</w:t>
            </w:r>
          </w:p>
        </w:tc>
      </w:tr>
      <w:tr>
        <w:trPr>
          <w:trHeight w:val="351" w:hRule="exact"/>
        </w:trPr>
        <w:tc>
          <w:tcPr>
            <w:tcW w:w="749" w:type="dxa"/>
            <w:tcBorders>
              <w:top w:val="none"/>
              <w:left w:val="none"/>
              <w:bottom w:val="none"/>
              <w:right w:val="none"/>
            </w:tcBorders>
            <w:textDirection w:val="lrTb"/>
            <w:vAlign w:val="center"/>
          </w:tcPr>
          <w:p>
            <w:pPr>
              <w:spacing w:before="71" w:after="54" w:line="225"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38</w:t>
            </w:r>
          </w:p>
        </w:tc>
        <w:tc>
          <w:tcPr>
            <w:tcW w:w="3850" w:type="dxa"/>
            <w:tcBorders>
              <w:top w:val="none"/>
              <w:left w:val="none"/>
              <w:bottom w:val="none"/>
              <w:right w:val="none"/>
            </w:tcBorders>
            <w:textDirection w:val="lrTb"/>
            <w:vAlign w:val="center"/>
          </w:tcPr>
          <w:p>
            <w:pPr>
              <w:spacing w:before="71" w:after="54" w:line="225" w:lineRule="exact"/>
              <w:ind w:right="0" w:left="21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SODIUM CHLORATE, solid</w:t>
            </w:r>
          </w:p>
        </w:tc>
        <w:tc>
          <w:tcPr>
            <w:tcW w:w="1622" w:type="dxa"/>
            <w:tcBorders>
              <w:top w:val="none"/>
              <w:left w:val="none"/>
              <w:bottom w:val="none"/>
              <w:right w:val="none"/>
            </w:tcBorders>
            <w:textDirection w:val="lrTb"/>
            <w:vAlign w:val="center"/>
          </w:tcPr>
          <w:p>
            <w:pPr>
              <w:spacing w:before="71" w:after="54" w:line="225" w:lineRule="exact"/>
              <w:ind w:right="0" w:left="19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1495</w:t>
            </w:r>
          </w:p>
        </w:tc>
        <w:tc>
          <w:tcPr>
            <w:tcW w:w="1879" w:type="dxa"/>
            <w:tcBorders>
              <w:top w:val="none"/>
              <w:left w:val="none"/>
              <w:bottom w:val="none"/>
              <w:right w:val="none"/>
            </w:tcBorders>
            <w:textDirection w:val="lrTb"/>
            <w:vAlign w:val="center"/>
          </w:tcPr>
          <w:p>
            <w:pPr>
              <w:spacing w:before="71" w:after="54" w:line="225"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200</w:t>
            </w:r>
          </w:p>
        </w:tc>
      </w:tr>
      <w:tr>
        <w:trPr>
          <w:trHeight w:val="350" w:hRule="exact"/>
        </w:trPr>
        <w:tc>
          <w:tcPr>
            <w:tcW w:w="749" w:type="dxa"/>
            <w:tcBorders>
              <w:top w:val="none"/>
              <w:left w:val="none"/>
              <w:bottom w:val="none"/>
              <w:right w:val="none"/>
            </w:tcBorders>
            <w:textDirection w:val="lrTb"/>
            <w:vAlign w:val="center"/>
          </w:tcPr>
          <w:p>
            <w:pPr>
              <w:spacing w:before="71" w:after="49" w:line="225"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39</w:t>
            </w:r>
          </w:p>
        </w:tc>
        <w:tc>
          <w:tcPr>
            <w:tcW w:w="3850" w:type="dxa"/>
            <w:tcBorders>
              <w:top w:val="none"/>
              <w:left w:val="none"/>
              <w:bottom w:val="none"/>
              <w:right w:val="none"/>
            </w:tcBorders>
            <w:textDirection w:val="lrTb"/>
            <w:vAlign w:val="center"/>
          </w:tcPr>
          <w:p>
            <w:pPr>
              <w:spacing w:before="71" w:after="49" w:line="225" w:lineRule="exact"/>
              <w:ind w:right="0" w:left="21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SULFUR DICHLORIDE</w:t>
            </w:r>
          </w:p>
        </w:tc>
        <w:tc>
          <w:tcPr>
            <w:tcW w:w="1622" w:type="dxa"/>
            <w:tcBorders>
              <w:top w:val="none"/>
              <w:left w:val="none"/>
              <w:bottom w:val="none"/>
              <w:right w:val="none"/>
            </w:tcBorders>
            <w:textDirection w:val="lrTb"/>
            <w:vAlign w:val="center"/>
          </w:tcPr>
          <w:p>
            <w:pPr>
              <w:spacing w:before="71" w:after="49" w:line="225" w:lineRule="exact"/>
              <w:ind w:right="0" w:left="19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1828</w:t>
            </w:r>
          </w:p>
        </w:tc>
        <w:tc>
          <w:tcPr>
            <w:tcW w:w="1879" w:type="dxa"/>
            <w:tcBorders>
              <w:top w:val="none"/>
              <w:left w:val="none"/>
              <w:bottom w:val="none"/>
              <w:right w:val="none"/>
            </w:tcBorders>
            <w:textDirection w:val="lrTb"/>
            <w:vAlign w:val="center"/>
          </w:tcPr>
          <w:p>
            <w:pPr>
              <w:spacing w:before="71" w:after="49" w:line="225"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w:t>
            </w:r>
          </w:p>
        </w:tc>
      </w:tr>
      <w:tr>
        <w:trPr>
          <w:trHeight w:val="346" w:hRule="exact"/>
        </w:trPr>
        <w:tc>
          <w:tcPr>
            <w:tcW w:w="749" w:type="dxa"/>
            <w:tcBorders>
              <w:top w:val="none"/>
              <w:left w:val="none"/>
              <w:bottom w:val="none"/>
              <w:right w:val="none"/>
            </w:tcBorders>
            <w:textDirection w:val="lrTb"/>
            <w:vAlign w:val="center"/>
          </w:tcPr>
          <w:p>
            <w:pPr>
              <w:spacing w:before="71" w:after="45" w:line="225"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40</w:t>
            </w:r>
          </w:p>
        </w:tc>
        <w:tc>
          <w:tcPr>
            <w:tcW w:w="3850" w:type="dxa"/>
            <w:tcBorders>
              <w:top w:val="none"/>
              <w:left w:val="none"/>
              <w:bottom w:val="none"/>
              <w:right w:val="none"/>
            </w:tcBorders>
            <w:textDirection w:val="lrTb"/>
            <w:vAlign w:val="center"/>
          </w:tcPr>
          <w:p>
            <w:pPr>
              <w:spacing w:before="71" w:after="45" w:line="225" w:lineRule="exact"/>
              <w:ind w:right="0" w:left="21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SULFUR DIOXIDE, LIQUEFIED</w:t>
            </w:r>
          </w:p>
        </w:tc>
        <w:tc>
          <w:tcPr>
            <w:tcW w:w="1622" w:type="dxa"/>
            <w:tcBorders>
              <w:top w:val="none"/>
              <w:left w:val="none"/>
              <w:bottom w:val="none"/>
              <w:right w:val="none"/>
            </w:tcBorders>
            <w:textDirection w:val="lrTb"/>
            <w:vAlign w:val="center"/>
          </w:tcPr>
          <w:p>
            <w:pPr>
              <w:spacing w:before="71" w:after="45" w:line="225" w:lineRule="exact"/>
              <w:ind w:right="0" w:left="19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1079</w:t>
            </w:r>
          </w:p>
        </w:tc>
        <w:tc>
          <w:tcPr>
            <w:tcW w:w="1879" w:type="dxa"/>
            <w:tcBorders>
              <w:top w:val="none"/>
              <w:left w:val="none"/>
              <w:bottom w:val="none"/>
              <w:right w:val="none"/>
            </w:tcBorders>
            <w:textDirection w:val="lrTb"/>
            <w:vAlign w:val="center"/>
          </w:tcPr>
          <w:p>
            <w:pPr>
              <w:spacing w:before="71" w:after="45" w:line="225"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200</w:t>
            </w:r>
          </w:p>
        </w:tc>
      </w:tr>
      <w:tr>
        <w:trPr>
          <w:trHeight w:val="293" w:hRule="exact"/>
        </w:trPr>
        <w:tc>
          <w:tcPr>
            <w:tcW w:w="749" w:type="dxa"/>
            <w:tcBorders>
              <w:top w:val="none"/>
              <w:left w:val="none"/>
              <w:bottom w:val="none"/>
              <w:right w:val="none"/>
            </w:tcBorders>
            <w:textDirection w:val="lrTb"/>
            <w:vAlign w:val="center"/>
          </w:tcPr>
          <w:p>
            <w:pPr>
              <w:spacing w:before="75" w:after="0" w:line="208"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41</w:t>
            </w:r>
          </w:p>
        </w:tc>
        <w:tc>
          <w:tcPr>
            <w:tcW w:w="3850" w:type="dxa"/>
            <w:tcBorders>
              <w:top w:val="none"/>
              <w:left w:val="none"/>
              <w:bottom w:val="none"/>
              <w:right w:val="none"/>
            </w:tcBorders>
            <w:textDirection w:val="lrTb"/>
            <w:vAlign w:val="center"/>
          </w:tcPr>
          <w:p>
            <w:pPr>
              <w:spacing w:before="71" w:after="0" w:line="212" w:lineRule="exact"/>
              <w:ind w:right="0" w:left="21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SULFURIC ANHYDRIDE (Alt. SULFUR</w:t>
            </w:r>
          </w:p>
        </w:tc>
        <w:tc>
          <w:tcPr>
            <w:tcW w:w="1622" w:type="dxa"/>
            <w:tcBorders>
              <w:top w:val="none"/>
              <w:left w:val="none"/>
              <w:bottom w:val="none"/>
              <w:right w:val="none"/>
            </w:tcBorders>
            <w:textDirection w:val="lrTb"/>
            <w:vAlign w:val="center"/>
          </w:tcPr>
          <w:p>
            <w:pPr>
              <w:spacing w:before="75" w:after="0" w:line="208" w:lineRule="exact"/>
              <w:ind w:right="0" w:left="19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1829</w:t>
            </w:r>
          </w:p>
        </w:tc>
        <w:tc>
          <w:tcPr>
            <w:tcW w:w="1879" w:type="dxa"/>
            <w:tcBorders>
              <w:top w:val="none"/>
              <w:left w:val="none"/>
              <w:bottom w:val="none"/>
              <w:right w:val="none"/>
            </w:tcBorders>
            <w:textDirection w:val="lrTb"/>
            <w:vAlign w:val="center"/>
          </w:tcPr>
          <w:p>
            <w:pPr>
              <w:spacing w:before="75" w:after="0" w:line="208"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75</w:t>
            </w:r>
          </w:p>
        </w:tc>
      </w:tr>
      <w:tr>
        <w:trPr>
          <w:trHeight w:val="288" w:hRule="exact"/>
        </w:trPr>
        <w:tc>
          <w:tcPr>
            <w:tcW w:w="74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850" w:type="dxa"/>
            <w:tcBorders>
              <w:top w:val="none"/>
              <w:left w:val="none"/>
              <w:bottom w:val="none"/>
              <w:right w:val="none"/>
            </w:tcBorders>
            <w:textDirection w:val="lrTb"/>
            <w:vAlign w:val="center"/>
          </w:tcPr>
          <w:p>
            <w:pPr>
              <w:spacing w:before="0" w:after="45" w:line="225" w:lineRule="exact"/>
              <w:ind w:right="0" w:left="21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TRIOXIDE)</w:t>
            </w:r>
          </w:p>
        </w:tc>
        <w:tc>
          <w:tcPr>
            <w:tcW w:w="1622"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187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r>
      <w:tr>
        <w:trPr>
          <w:trHeight w:val="355" w:hRule="exact"/>
        </w:trPr>
        <w:tc>
          <w:tcPr>
            <w:tcW w:w="749" w:type="dxa"/>
            <w:tcBorders>
              <w:top w:val="none"/>
              <w:left w:val="none"/>
              <w:bottom w:val="none"/>
              <w:right w:val="none"/>
            </w:tcBorders>
            <w:textDirection w:val="lrTb"/>
            <w:vAlign w:val="center"/>
          </w:tcPr>
          <w:p>
            <w:pPr>
              <w:spacing w:before="75" w:after="50" w:line="225"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42</w:t>
            </w:r>
          </w:p>
        </w:tc>
        <w:tc>
          <w:tcPr>
            <w:tcW w:w="3850" w:type="dxa"/>
            <w:tcBorders>
              <w:top w:val="none"/>
              <w:left w:val="none"/>
              <w:bottom w:val="none"/>
              <w:right w:val="none"/>
            </w:tcBorders>
            <w:textDirection w:val="lrTb"/>
            <w:vAlign w:val="center"/>
          </w:tcPr>
          <w:p>
            <w:pPr>
              <w:spacing w:before="75" w:after="50" w:line="225" w:lineRule="exact"/>
              <w:ind w:right="0" w:left="21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TITANIUM TETRACHLORIDE</w:t>
            </w:r>
          </w:p>
        </w:tc>
        <w:tc>
          <w:tcPr>
            <w:tcW w:w="1622" w:type="dxa"/>
            <w:tcBorders>
              <w:top w:val="none"/>
              <w:left w:val="none"/>
              <w:bottom w:val="none"/>
              <w:right w:val="none"/>
            </w:tcBorders>
            <w:textDirection w:val="lrTb"/>
            <w:vAlign w:val="center"/>
          </w:tcPr>
          <w:p>
            <w:pPr>
              <w:spacing w:before="75" w:after="50" w:line="225" w:lineRule="exact"/>
              <w:ind w:right="0" w:left="19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1838</w:t>
            </w:r>
          </w:p>
        </w:tc>
        <w:tc>
          <w:tcPr>
            <w:tcW w:w="1879" w:type="dxa"/>
            <w:tcBorders>
              <w:top w:val="none"/>
              <w:left w:val="none"/>
              <w:bottom w:val="none"/>
              <w:right w:val="none"/>
            </w:tcBorders>
            <w:textDirection w:val="lrTb"/>
            <w:vAlign w:val="center"/>
          </w:tcPr>
          <w:p>
            <w:pPr>
              <w:spacing w:before="75" w:after="50" w:line="225"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500</w:t>
            </w:r>
          </w:p>
        </w:tc>
      </w:tr>
      <w:tr>
        <w:trPr>
          <w:trHeight w:val="350" w:hRule="exact"/>
        </w:trPr>
        <w:tc>
          <w:tcPr>
            <w:tcW w:w="749" w:type="dxa"/>
            <w:tcBorders>
              <w:top w:val="none"/>
              <w:left w:val="none"/>
              <w:bottom w:val="single" w:sz="5" w:color="000000"/>
              <w:right w:val="none"/>
            </w:tcBorders>
            <w:textDirection w:val="lrTb"/>
            <w:vAlign w:val="center"/>
          </w:tcPr>
          <w:p>
            <w:pPr>
              <w:spacing w:before="71" w:after="44" w:line="225"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43</w:t>
            </w:r>
          </w:p>
        </w:tc>
        <w:tc>
          <w:tcPr>
            <w:tcW w:w="3850" w:type="dxa"/>
            <w:tcBorders>
              <w:top w:val="none"/>
              <w:left w:val="none"/>
              <w:bottom w:val="single" w:sz="5" w:color="000000"/>
              <w:right w:val="none"/>
            </w:tcBorders>
            <w:textDirection w:val="lrTb"/>
            <w:vAlign w:val="center"/>
          </w:tcPr>
          <w:p>
            <w:pPr>
              <w:spacing w:before="71" w:after="44" w:line="225" w:lineRule="exact"/>
              <w:ind w:right="0" w:left="21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TOLUENE DIISOCYANATE</w:t>
            </w:r>
          </w:p>
        </w:tc>
        <w:tc>
          <w:tcPr>
            <w:tcW w:w="1622" w:type="dxa"/>
            <w:tcBorders>
              <w:top w:val="none"/>
              <w:left w:val="none"/>
              <w:bottom w:val="single" w:sz="5" w:color="000000"/>
              <w:right w:val="none"/>
            </w:tcBorders>
            <w:textDirection w:val="lrTb"/>
            <w:vAlign w:val="center"/>
          </w:tcPr>
          <w:p>
            <w:pPr>
              <w:spacing w:before="71" w:after="44" w:line="225" w:lineRule="exact"/>
              <w:ind w:right="0" w:left="19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2078</w:t>
            </w:r>
          </w:p>
        </w:tc>
        <w:tc>
          <w:tcPr>
            <w:tcW w:w="1879" w:type="dxa"/>
            <w:tcBorders>
              <w:top w:val="none"/>
              <w:left w:val="none"/>
              <w:bottom w:val="single" w:sz="5" w:color="000000"/>
              <w:right w:val="none"/>
            </w:tcBorders>
            <w:textDirection w:val="lrTb"/>
            <w:vAlign w:val="center"/>
          </w:tcPr>
          <w:p>
            <w:pPr>
              <w:spacing w:before="71" w:after="44" w:line="225"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200</w:t>
            </w:r>
          </w:p>
        </w:tc>
      </w:tr>
    </w:tbl>
    <w:p>
      <w:pPr>
        <w:spacing w:before="0" w:after="312" w:line="20" w:lineRule="exact"/>
      </w:pPr>
    </w:p>
    <w:p>
      <w:pPr>
        <w:rPr>
          <w:sz w:val="2"/>
        </w:rPr>
      </w:pPr>
      <w:r>
        <w:pict>
          <v:line strokeweight="0.5pt" strokecolor="#000000" from="97.4pt,728.15pt" to="498.05pt,728.15pt" style="position:absolute;mso-position-horizontal-relative:page;mso-position-vertical-relative:page;">
            <v:stroke dashstyle="solid"/>
          </v:line>
        </w:pict>
      </w:r>
    </w:p>
    <w:tbl>
      <w:tblPr>
        <w:jc w:val="left"/>
        <w:tblLayout w:type="fixed"/>
        <w:tblCellMar>
          <w:left w:w="0" w:type="dxa"/>
          <w:right w:w="0" w:type="dxa"/>
        </w:tblCellMar>
      </w:tblPr>
      <w:tblGrid>
        <w:gridCol w:w="941"/>
        <w:gridCol w:w="1882"/>
        <w:gridCol w:w="3398"/>
        <w:gridCol w:w="1879"/>
      </w:tblGrid>
      <w:tr>
        <w:trPr>
          <w:trHeight w:val="600" w:hRule="exact"/>
        </w:trPr>
        <w:tc>
          <w:tcPr>
            <w:tcW w:w="941" w:type="dxa"/>
            <w:tcBorders>
              <w:top w:val="none"/>
              <w:left w:val="none"/>
              <w:bottom w:val="single" w:sz="5" w:color="000000"/>
              <w:right w:val="none"/>
            </w:tcBorders>
            <w:textDirection w:val="lrTb"/>
            <w:vAlign w:val="bottom"/>
          </w:tcPr>
          <w:p>
            <w:pPr>
              <w:spacing w:before="320" w:after="48" w:line="226" w:lineRule="exact"/>
              <w:ind w:right="0" w:left="0" w:firstLine="0"/>
              <w:jc w:val="center"/>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Table 15.2</w:t>
            </w:r>
          </w:p>
        </w:tc>
        <w:tc>
          <w:tcPr>
            <w:tcW w:w="1882" w:type="dxa"/>
            <w:tcBorders>
              <w:top w:val="none"/>
              <w:left w:val="none"/>
              <w:bottom w:val="single" w:sz="5" w:color="000000"/>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398" w:type="dxa"/>
            <w:tcBorders>
              <w:top w:val="none"/>
              <w:left w:val="none"/>
              <w:bottom w:val="single" w:sz="5" w:color="000000"/>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1879" w:type="dxa"/>
            <w:tcBorders>
              <w:top w:val="none"/>
              <w:left w:val="none"/>
              <w:bottom w:val="single" w:sz="5" w:color="000000"/>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r>
      <w:tr>
        <w:trPr>
          <w:trHeight w:val="336" w:hRule="exact"/>
        </w:trPr>
        <w:tc>
          <w:tcPr>
            <w:tcW w:w="941" w:type="dxa"/>
            <w:tcBorders>
              <w:top w:val="single" w:sz="5" w:color="000000"/>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1882" w:type="dxa"/>
            <w:tcBorders>
              <w:top w:val="single" w:sz="5" w:color="000000"/>
              <w:left w:val="none"/>
              <w:bottom w:val="none"/>
              <w:right w:val="none"/>
            </w:tcBorders>
            <w:textDirection w:val="lrTb"/>
            <w:vAlign w:val="center"/>
          </w:tcPr>
          <w:p>
            <w:pPr>
              <w:spacing w:before="89" w:after="10" w:line="226" w:lineRule="exact"/>
              <w:ind w:right="0" w:left="2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Column 1</w:t>
            </w:r>
          </w:p>
        </w:tc>
        <w:tc>
          <w:tcPr>
            <w:tcW w:w="3398" w:type="dxa"/>
            <w:tcBorders>
              <w:top w:val="single" w:sz="5" w:color="000000"/>
              <w:left w:val="none"/>
              <w:bottom w:val="none"/>
              <w:right w:val="none"/>
            </w:tcBorders>
            <w:textDirection w:val="lrTb"/>
            <w:vAlign w:val="center"/>
          </w:tcPr>
          <w:p>
            <w:pPr>
              <w:spacing w:before="89" w:after="10" w:line="226" w:lineRule="exact"/>
              <w:ind w:right="0" w:left="125"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Column 2</w:t>
            </w:r>
          </w:p>
        </w:tc>
        <w:tc>
          <w:tcPr>
            <w:tcW w:w="1879" w:type="dxa"/>
            <w:tcBorders>
              <w:top w:val="single" w:sz="5" w:color="000000"/>
              <w:left w:val="none"/>
              <w:bottom w:val="none"/>
              <w:right w:val="none"/>
            </w:tcBorders>
            <w:textDirection w:val="lrTb"/>
            <w:vAlign w:val="center"/>
          </w:tcPr>
          <w:p>
            <w:pPr>
              <w:spacing w:before="89" w:after="10" w:line="226" w:lineRule="exact"/>
              <w:ind w:right="0" w:left="13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Column 3</w:t>
            </w:r>
          </w:p>
        </w:tc>
      </w:tr>
      <w:tr>
        <w:trPr>
          <w:trHeight w:val="552" w:hRule="exact"/>
        </w:trPr>
        <w:tc>
          <w:tcPr>
            <w:tcW w:w="941" w:type="dxa"/>
            <w:tcBorders>
              <w:top w:val="none"/>
              <w:left w:val="none"/>
              <w:bottom w:val="single" w:sz="5" w:color="000000"/>
              <w:right w:val="none"/>
            </w:tcBorders>
            <w:textDirection w:val="lrTb"/>
            <w:vAlign w:val="top"/>
          </w:tcPr>
          <w:p>
            <w:pPr>
              <w:spacing w:before="37" w:after="288" w:line="226" w:lineRule="exact"/>
              <w:ind w:right="379" w:left="0" w:firstLine="0"/>
              <w:jc w:val="righ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Item</w:t>
            </w:r>
          </w:p>
        </w:tc>
        <w:tc>
          <w:tcPr>
            <w:tcW w:w="1882" w:type="dxa"/>
            <w:tcBorders>
              <w:top w:val="none"/>
              <w:left w:val="none"/>
              <w:bottom w:val="single" w:sz="5" w:color="000000"/>
              <w:right w:val="none"/>
            </w:tcBorders>
            <w:textDirection w:val="lrTb"/>
            <w:vAlign w:val="top"/>
          </w:tcPr>
          <w:p>
            <w:pPr>
              <w:spacing w:before="37" w:after="288" w:line="226" w:lineRule="exact"/>
              <w:ind w:right="0" w:left="2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Hazardous chemical</w:t>
            </w:r>
          </w:p>
        </w:tc>
        <w:tc>
          <w:tcPr>
            <w:tcW w:w="3398" w:type="dxa"/>
            <w:tcBorders>
              <w:top w:val="none"/>
              <w:left w:val="none"/>
              <w:bottom w:val="single" w:sz="5" w:color="000000"/>
              <w:right w:val="none"/>
            </w:tcBorders>
            <w:textDirection w:val="lrTb"/>
            <w:vAlign w:val="top"/>
          </w:tcPr>
          <w:p>
            <w:pPr>
              <w:spacing w:before="37" w:after="288" w:line="226" w:lineRule="exact"/>
              <w:ind w:right="0" w:left="125"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Description</w:t>
            </w:r>
          </w:p>
        </w:tc>
        <w:tc>
          <w:tcPr>
            <w:tcW w:w="1879" w:type="dxa"/>
            <w:tcBorders>
              <w:top w:val="none"/>
              <w:left w:val="none"/>
              <w:bottom w:val="single" w:sz="5" w:color="000000"/>
              <w:right w:val="none"/>
            </w:tcBorders>
            <w:textDirection w:val="lrTb"/>
            <w:vAlign w:val="top"/>
          </w:tcPr>
          <w:p>
            <w:pPr>
              <w:spacing w:before="33" w:after="58" w:line="230" w:lineRule="exact"/>
              <w:ind w:right="288" w:left="10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Threshold quantity (tonnes)</w:t>
            </w:r>
          </w:p>
        </w:tc>
      </w:tr>
      <w:tr>
        <w:trPr>
          <w:trHeight w:val="360" w:hRule="exact"/>
        </w:trPr>
        <w:tc>
          <w:tcPr>
            <w:tcW w:w="941" w:type="dxa"/>
            <w:tcBorders>
              <w:top w:val="single" w:sz="5" w:color="000000"/>
              <w:left w:val="none"/>
              <w:bottom w:val="none"/>
              <w:right w:val="none"/>
            </w:tcBorders>
            <w:textDirection w:val="lrTb"/>
            <w:vAlign w:val="center"/>
          </w:tcPr>
          <w:p>
            <w:pPr>
              <w:spacing w:before="85" w:after="49" w:line="225" w:lineRule="exact"/>
              <w:ind w:right="379"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w:t>
            </w:r>
          </w:p>
        </w:tc>
        <w:tc>
          <w:tcPr>
            <w:tcW w:w="1882" w:type="dxa"/>
            <w:tcBorders>
              <w:top w:val="single" w:sz="5" w:color="000000"/>
              <w:left w:val="none"/>
              <w:bottom w:val="none"/>
              <w:right w:val="none"/>
            </w:tcBorders>
            <w:textDirection w:val="lrTb"/>
            <w:vAlign w:val="center"/>
          </w:tcPr>
          <w:p>
            <w:pPr>
              <w:spacing w:before="85" w:after="49" w:line="225" w:lineRule="exact"/>
              <w:ind w:right="0" w:left="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Explosive materials</w:t>
            </w:r>
          </w:p>
        </w:tc>
        <w:tc>
          <w:tcPr>
            <w:tcW w:w="3398" w:type="dxa"/>
            <w:tcBorders>
              <w:top w:val="single" w:sz="5" w:color="000000"/>
              <w:left w:val="none"/>
              <w:bottom w:val="none"/>
              <w:right w:val="none"/>
            </w:tcBorders>
            <w:textDirection w:val="lrTb"/>
            <w:vAlign w:val="center"/>
          </w:tcPr>
          <w:p>
            <w:pPr>
              <w:spacing w:before="85" w:after="49" w:line="225" w:lineRule="exact"/>
              <w:ind w:right="0" w:left="1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Explosive of Division 1.1A</w:t>
            </w:r>
          </w:p>
        </w:tc>
        <w:tc>
          <w:tcPr>
            <w:tcW w:w="1879" w:type="dxa"/>
            <w:tcBorders>
              <w:top w:val="single" w:sz="5" w:color="000000"/>
              <w:left w:val="none"/>
              <w:bottom w:val="none"/>
              <w:right w:val="none"/>
            </w:tcBorders>
            <w:textDirection w:val="lrTb"/>
            <w:vAlign w:val="center"/>
          </w:tcPr>
          <w:p>
            <w:pPr>
              <w:spacing w:before="85" w:after="49" w:line="225"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w:t>
            </w:r>
          </w:p>
        </w:tc>
      </w:tr>
      <w:tr>
        <w:trPr>
          <w:trHeight w:val="355" w:hRule="exact"/>
        </w:trPr>
        <w:tc>
          <w:tcPr>
            <w:tcW w:w="941"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1882"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398" w:type="dxa"/>
            <w:tcBorders>
              <w:top w:val="none"/>
              <w:left w:val="none"/>
              <w:bottom w:val="none"/>
              <w:right w:val="none"/>
            </w:tcBorders>
            <w:textDirection w:val="lrTb"/>
            <w:vAlign w:val="center"/>
          </w:tcPr>
          <w:p>
            <w:pPr>
              <w:spacing w:before="75" w:after="45" w:line="225" w:lineRule="exact"/>
              <w:ind w:right="0" w:left="1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All other explosives of Division 1.1</w:t>
            </w:r>
          </w:p>
        </w:tc>
        <w:tc>
          <w:tcPr>
            <w:tcW w:w="1879" w:type="dxa"/>
            <w:tcBorders>
              <w:top w:val="none"/>
              <w:left w:val="none"/>
              <w:bottom w:val="none"/>
              <w:right w:val="none"/>
            </w:tcBorders>
            <w:textDirection w:val="lrTb"/>
            <w:vAlign w:val="center"/>
          </w:tcPr>
          <w:p>
            <w:pPr>
              <w:spacing w:before="75" w:after="45" w:line="225"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50</w:t>
            </w:r>
          </w:p>
        </w:tc>
      </w:tr>
      <w:tr>
        <w:trPr>
          <w:trHeight w:val="350" w:hRule="exact"/>
        </w:trPr>
        <w:tc>
          <w:tcPr>
            <w:tcW w:w="941"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1882"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398" w:type="dxa"/>
            <w:tcBorders>
              <w:top w:val="none"/>
              <w:left w:val="none"/>
              <w:bottom w:val="none"/>
              <w:right w:val="none"/>
            </w:tcBorders>
            <w:textDirection w:val="lrTb"/>
            <w:vAlign w:val="center"/>
          </w:tcPr>
          <w:p>
            <w:pPr>
              <w:spacing w:before="70" w:after="55" w:line="225" w:lineRule="exact"/>
              <w:ind w:right="0" w:left="1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Explosive of Division 1.2</w:t>
            </w:r>
          </w:p>
        </w:tc>
        <w:tc>
          <w:tcPr>
            <w:tcW w:w="1879" w:type="dxa"/>
            <w:tcBorders>
              <w:top w:val="none"/>
              <w:left w:val="none"/>
              <w:bottom w:val="none"/>
              <w:right w:val="none"/>
            </w:tcBorders>
            <w:textDirection w:val="lrTb"/>
            <w:vAlign w:val="center"/>
          </w:tcPr>
          <w:p>
            <w:pPr>
              <w:spacing w:before="70" w:after="55" w:line="225"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200</w:t>
            </w:r>
          </w:p>
        </w:tc>
      </w:tr>
      <w:tr>
        <w:trPr>
          <w:trHeight w:val="351" w:hRule="exact"/>
        </w:trPr>
        <w:tc>
          <w:tcPr>
            <w:tcW w:w="941"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1882"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398" w:type="dxa"/>
            <w:tcBorders>
              <w:top w:val="none"/>
              <w:left w:val="none"/>
              <w:bottom w:val="none"/>
              <w:right w:val="none"/>
            </w:tcBorders>
            <w:textDirection w:val="lrTb"/>
            <w:vAlign w:val="center"/>
          </w:tcPr>
          <w:p>
            <w:pPr>
              <w:spacing w:before="71" w:after="49" w:line="225" w:lineRule="exact"/>
              <w:ind w:right="0" w:left="1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Explosive of Division 1.3</w:t>
            </w:r>
          </w:p>
        </w:tc>
        <w:tc>
          <w:tcPr>
            <w:tcW w:w="1879" w:type="dxa"/>
            <w:tcBorders>
              <w:top w:val="none"/>
              <w:left w:val="none"/>
              <w:bottom w:val="none"/>
              <w:right w:val="none"/>
            </w:tcBorders>
            <w:textDirection w:val="lrTb"/>
            <w:vAlign w:val="center"/>
          </w:tcPr>
          <w:p>
            <w:pPr>
              <w:spacing w:before="71" w:after="49" w:line="225"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200</w:t>
            </w:r>
          </w:p>
        </w:tc>
      </w:tr>
      <w:tr>
        <w:trPr>
          <w:trHeight w:val="576" w:hRule="exact"/>
        </w:trPr>
        <w:tc>
          <w:tcPr>
            <w:tcW w:w="941" w:type="dxa"/>
            <w:tcBorders>
              <w:top w:val="none"/>
              <w:left w:val="none"/>
              <w:bottom w:val="none"/>
              <w:right w:val="none"/>
            </w:tcBorders>
            <w:textDirection w:val="lrTb"/>
            <w:vAlign w:val="top"/>
          </w:tcPr>
          <w:p>
            <w:pPr>
              <w:spacing w:before="70" w:after="275" w:line="225" w:lineRule="exact"/>
              <w:ind w:right="379"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w:t>
            </w:r>
          </w:p>
        </w:tc>
        <w:tc>
          <w:tcPr>
            <w:tcW w:w="1882" w:type="dxa"/>
            <w:tcBorders>
              <w:top w:val="none"/>
              <w:left w:val="none"/>
              <w:bottom w:val="none"/>
              <w:right w:val="none"/>
            </w:tcBorders>
            <w:textDirection w:val="lrTb"/>
            <w:vAlign w:val="top"/>
          </w:tcPr>
          <w:p>
            <w:pPr>
              <w:spacing w:before="59" w:after="49" w:line="231"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Compressed and liquefied gases</w:t>
            </w:r>
          </w:p>
        </w:tc>
        <w:tc>
          <w:tcPr>
            <w:tcW w:w="3398" w:type="dxa"/>
            <w:tcBorders>
              <w:top w:val="none"/>
              <w:left w:val="none"/>
              <w:bottom w:val="none"/>
              <w:right w:val="none"/>
            </w:tcBorders>
            <w:textDirection w:val="lrTb"/>
            <w:vAlign w:val="top"/>
          </w:tcPr>
          <w:p>
            <w:pPr>
              <w:spacing w:before="59" w:after="49" w:line="231" w:lineRule="exact"/>
              <w:ind w:right="0" w:left="10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Compressed or liquefied gases of Division 2.1 or Subsidiary Risk 2.1</w:t>
            </w:r>
          </w:p>
        </w:tc>
        <w:tc>
          <w:tcPr>
            <w:tcW w:w="1879" w:type="dxa"/>
            <w:tcBorders>
              <w:top w:val="none"/>
              <w:left w:val="none"/>
              <w:bottom w:val="none"/>
              <w:right w:val="none"/>
            </w:tcBorders>
            <w:textDirection w:val="lrTb"/>
            <w:vAlign w:val="top"/>
          </w:tcPr>
          <w:p>
            <w:pPr>
              <w:spacing w:before="70" w:after="275" w:line="225"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200</w:t>
            </w:r>
          </w:p>
        </w:tc>
      </w:tr>
      <w:tr>
        <w:trPr>
          <w:trHeight w:val="350" w:hRule="exact"/>
        </w:trPr>
        <w:tc>
          <w:tcPr>
            <w:tcW w:w="941"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1882"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398" w:type="dxa"/>
            <w:tcBorders>
              <w:top w:val="none"/>
              <w:left w:val="none"/>
              <w:bottom w:val="none"/>
              <w:right w:val="none"/>
            </w:tcBorders>
            <w:textDirection w:val="lrTb"/>
            <w:vAlign w:val="center"/>
          </w:tcPr>
          <w:p>
            <w:pPr>
              <w:spacing w:before="70" w:after="45" w:line="225" w:lineRule="exact"/>
              <w:ind w:right="0" w:left="1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Liquefied gases of Subsidiary Risk 5</w:t>
            </w:r>
          </w:p>
        </w:tc>
        <w:tc>
          <w:tcPr>
            <w:tcW w:w="1879" w:type="dxa"/>
            <w:tcBorders>
              <w:top w:val="none"/>
              <w:left w:val="none"/>
              <w:bottom w:val="none"/>
              <w:right w:val="none"/>
            </w:tcBorders>
            <w:textDirection w:val="lrTb"/>
            <w:vAlign w:val="center"/>
          </w:tcPr>
          <w:p>
            <w:pPr>
              <w:spacing w:before="70" w:after="45" w:line="225"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200</w:t>
            </w:r>
          </w:p>
        </w:tc>
      </w:tr>
      <w:tr>
        <w:trPr>
          <w:trHeight w:val="811" w:hRule="exact"/>
        </w:trPr>
        <w:tc>
          <w:tcPr>
            <w:tcW w:w="941"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1882"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398" w:type="dxa"/>
            <w:tcBorders>
              <w:top w:val="none"/>
              <w:left w:val="none"/>
              <w:bottom w:val="none"/>
              <w:right w:val="none"/>
            </w:tcBorders>
            <w:textDirection w:val="lrTb"/>
            <w:vAlign w:val="top"/>
          </w:tcPr>
          <w:p>
            <w:pPr>
              <w:spacing w:before="60" w:after="55" w:line="232" w:lineRule="exact"/>
              <w:ind w:right="504" w:left="108" w:firstLine="0"/>
              <w:jc w:val="left"/>
              <w:textAlignment w:val="baseline"/>
              <w:rPr>
                <w:rFonts w:ascii="Times New Roman" w:hAnsi="Times New Roman" w:eastAsia="Times New Roman"/>
                <w:color w:val="000000"/>
                <w:spacing w:val="-2"/>
                <w:w w:val="100"/>
                <w:sz w:val="20"/>
                <w:vertAlign w:val="baseline"/>
                <w:lang w:val="en-US"/>
              </w:rPr>
            </w:pPr>
            <w:r>
              <w:rPr>
                <w:rFonts w:ascii="Times New Roman" w:hAnsi="Times New Roman" w:eastAsia="Times New Roman"/>
                <w:color w:val="000000"/>
                <w:spacing w:val="-2"/>
                <w:w w:val="100"/>
                <w:sz w:val="20"/>
                <w:vertAlign w:val="baseline"/>
                <w:lang w:val="en-US"/>
              </w:rPr>
              <w:t xml:space="preserve">Compressed or liquefied gases that meet the criteria for Very Toxic in table 15.3</w:t>
            </w:r>
          </w:p>
        </w:tc>
        <w:tc>
          <w:tcPr>
            <w:tcW w:w="1879" w:type="dxa"/>
            <w:tcBorders>
              <w:top w:val="none"/>
              <w:left w:val="none"/>
              <w:bottom w:val="none"/>
              <w:right w:val="none"/>
            </w:tcBorders>
            <w:textDirection w:val="lrTb"/>
            <w:vAlign w:val="top"/>
          </w:tcPr>
          <w:p>
            <w:pPr>
              <w:spacing w:before="71" w:after="515" w:line="225"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w:t>
            </w:r>
          </w:p>
        </w:tc>
      </w:tr>
      <w:tr>
        <w:trPr>
          <w:trHeight w:val="576" w:hRule="exact"/>
        </w:trPr>
        <w:tc>
          <w:tcPr>
            <w:tcW w:w="941"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1882"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398" w:type="dxa"/>
            <w:tcBorders>
              <w:top w:val="none"/>
              <w:left w:val="none"/>
              <w:bottom w:val="none"/>
              <w:right w:val="none"/>
            </w:tcBorders>
            <w:textDirection w:val="lrTb"/>
            <w:vAlign w:val="top"/>
          </w:tcPr>
          <w:p>
            <w:pPr>
              <w:spacing w:before="61" w:after="55" w:line="230" w:lineRule="exact"/>
              <w:ind w:right="144" w:left="108"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Compressed or liquefied gases that meet the criteria for Toxic in table 15.3</w:t>
            </w:r>
          </w:p>
        </w:tc>
        <w:tc>
          <w:tcPr>
            <w:tcW w:w="1879" w:type="dxa"/>
            <w:tcBorders>
              <w:top w:val="none"/>
              <w:left w:val="none"/>
              <w:bottom w:val="none"/>
              <w:right w:val="none"/>
            </w:tcBorders>
            <w:textDirection w:val="lrTb"/>
            <w:vAlign w:val="top"/>
          </w:tcPr>
          <w:p>
            <w:pPr>
              <w:spacing w:before="71" w:after="280" w:line="225"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200</w:t>
            </w:r>
          </w:p>
        </w:tc>
      </w:tr>
      <w:tr>
        <w:trPr>
          <w:trHeight w:val="293" w:hRule="exact"/>
        </w:trPr>
        <w:tc>
          <w:tcPr>
            <w:tcW w:w="941" w:type="dxa"/>
            <w:tcBorders>
              <w:top w:val="none"/>
              <w:left w:val="none"/>
              <w:bottom w:val="none"/>
              <w:right w:val="none"/>
            </w:tcBorders>
            <w:textDirection w:val="lrTb"/>
            <w:vAlign w:val="center"/>
          </w:tcPr>
          <w:p>
            <w:pPr>
              <w:spacing w:before="76" w:after="0" w:line="212" w:lineRule="exact"/>
              <w:ind w:right="379"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w:t>
            </w:r>
          </w:p>
        </w:tc>
        <w:tc>
          <w:tcPr>
            <w:tcW w:w="1882" w:type="dxa"/>
            <w:tcBorders>
              <w:top w:val="none"/>
              <w:left w:val="none"/>
              <w:bottom w:val="none"/>
              <w:right w:val="none"/>
            </w:tcBorders>
            <w:textDirection w:val="lrTb"/>
            <w:vAlign w:val="center"/>
          </w:tcPr>
          <w:p>
            <w:pPr>
              <w:spacing w:before="76" w:after="0" w:line="212" w:lineRule="exact"/>
              <w:ind w:right="0" w:left="2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Flammable materials</w:t>
            </w:r>
          </w:p>
        </w:tc>
        <w:tc>
          <w:tcPr>
            <w:tcW w:w="3398" w:type="dxa"/>
            <w:tcBorders>
              <w:top w:val="none"/>
              <w:left w:val="none"/>
              <w:bottom w:val="none"/>
              <w:right w:val="none"/>
            </w:tcBorders>
            <w:textDirection w:val="lrTb"/>
            <w:vAlign w:val="center"/>
          </w:tcPr>
          <w:p>
            <w:pPr>
              <w:spacing w:before="71" w:after="0" w:line="217" w:lineRule="exact"/>
              <w:ind w:right="0" w:left="1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Liquids that meet the criteria for Class</w:t>
            </w:r>
          </w:p>
        </w:tc>
        <w:tc>
          <w:tcPr>
            <w:tcW w:w="1879" w:type="dxa"/>
            <w:tcBorders>
              <w:top w:val="none"/>
              <w:left w:val="none"/>
              <w:bottom w:val="none"/>
              <w:right w:val="none"/>
            </w:tcBorders>
            <w:textDirection w:val="lrTb"/>
            <w:vAlign w:val="center"/>
          </w:tcPr>
          <w:p>
            <w:pPr>
              <w:spacing w:before="76" w:after="0" w:line="212"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200</w:t>
            </w:r>
          </w:p>
        </w:tc>
      </w:tr>
      <w:tr>
        <w:trPr>
          <w:trHeight w:val="518" w:hRule="exact"/>
        </w:trPr>
        <w:tc>
          <w:tcPr>
            <w:tcW w:w="941"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1882"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398" w:type="dxa"/>
            <w:tcBorders>
              <w:top w:val="none"/>
              <w:left w:val="none"/>
              <w:bottom w:val="none"/>
              <w:right w:val="none"/>
            </w:tcBorders>
            <w:textDirection w:val="lrTb"/>
            <w:vAlign w:val="top"/>
          </w:tcPr>
          <w:p>
            <w:pPr>
              <w:spacing w:before="0" w:after="49" w:line="231" w:lineRule="exact"/>
              <w:ind w:right="360" w:left="108"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3 Packing Group I Materials (except for crude oil in remote locations)</w:t>
            </w:r>
          </w:p>
        </w:tc>
        <w:tc>
          <w:tcPr>
            <w:tcW w:w="187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r>
      <w:tr>
        <w:trPr>
          <w:trHeight w:val="597" w:hRule="exact"/>
        </w:trPr>
        <w:tc>
          <w:tcPr>
            <w:tcW w:w="941"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1882"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398" w:type="dxa"/>
            <w:tcBorders>
              <w:top w:val="none"/>
              <w:left w:val="none"/>
              <w:bottom w:val="none"/>
              <w:right w:val="none"/>
            </w:tcBorders>
            <w:textDirection w:val="lrTb"/>
            <w:vAlign w:val="top"/>
          </w:tcPr>
          <w:p>
            <w:pPr>
              <w:spacing w:before="66" w:after="59" w:line="230" w:lineRule="exact"/>
              <w:ind w:right="144" w:left="108" w:firstLine="0"/>
              <w:jc w:val="both"/>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Crude oil in remote locations that meet the criteria for Class 3 Packing Group I</w:t>
            </w:r>
          </w:p>
        </w:tc>
        <w:tc>
          <w:tcPr>
            <w:tcW w:w="1879" w:type="dxa"/>
            <w:tcBorders>
              <w:top w:val="none"/>
              <w:left w:val="none"/>
              <w:bottom w:val="none"/>
              <w:right w:val="none"/>
            </w:tcBorders>
            <w:textDirection w:val="lrTb"/>
            <w:vAlign w:val="top"/>
          </w:tcPr>
          <w:p>
            <w:pPr>
              <w:spacing w:before="76" w:after="284" w:line="225" w:lineRule="exact"/>
              <w:ind w:right="0" w:left="13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2 000</w:t>
            </w:r>
          </w:p>
        </w:tc>
      </w:tr>
    </w:tbl>
    <w:p>
      <w:pPr>
        <w:spacing w:before="0" w:after="772" w:line="20" w:lineRule="exact"/>
      </w:pPr>
    </w:p>
    <w:p>
      <w:pPr>
        <w:spacing w:before="0" w:after="772" w:line="20" w:lineRule="exact"/>
        <w:sectPr>
          <w:type w:val="nextPage"/>
          <w:pgSz w:w="11909" w:h="16838" w:orient="portrait"/>
          <w:pgMar w:bottom="1082" w:top="1140" w:right="1861" w:left="1948"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486</w:t>
      </w:r>
    </w:p>
    <w:p>
      <w:pPr>
        <w:sectPr>
          <w:type w:val="continuous"/>
          <w:pgSz w:w="11909" w:h="16838" w:orient="portrait"/>
          <w:pgMar w:bottom="1082" w:top="1140" w:right="5812" w:left="1977" w:header="720" w:footer="720"/>
          <w:titlePg w:val="false"/>
          <w:textDirection w:val="lrTb"/>
        </w:sectPr>
      </w:pPr>
    </w:p>
    <w:p>
      <w:pPr>
        <w:spacing w:before="6" w:after="0"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spacing w:before="234" w:after="225" w:line="227"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Schedule 15 Hazardous chemicals at major hazard facilities (and their threshold quantity)</w:t>
      </w:r>
    </w:p>
    <w:p>
      <w:pPr>
        <w:spacing w:before="268" w:after="0" w:line="20" w:lineRule="exact"/>
      </w:pPr>
      <w:r>
        <w:pict>
          <v:line strokeweight="0.5pt" strokecolor="#000000" from="97.4pt,103.9pt" to="498.05pt,103.9pt" style="position:absolute;mso-position-horizontal-relative:page;mso-position-vertical-relative:page;">
            <v:stroke dashstyle="solid"/>
          </v:line>
        </w:pict>
      </w:r>
      <w:r>
        <w:pict>
          <v:line strokeweight="0.7pt" strokecolor="#000000" from="97.4pt,115.9pt" to="502.45pt,115.9pt" style="position:absolute;mso-position-horizontal-relative:page;mso-position-vertical-relative:page;">
            <v:stroke dashstyle="solid"/>
          </v:line>
        </w:pict>
      </w:r>
      <w:r>
        <w:pict>
          <v:line strokeweight="0.5pt" strokecolor="#000000" from="97.4pt,728.15pt" to="498.05pt,728.15pt" style="position:absolute;mso-position-horizontal-relative:page;mso-position-vertical-relative:page;">
            <v:stroke dashstyle="solid"/>
          </v:line>
        </w:pict>
      </w:r>
    </w:p>
    <w:tbl>
      <w:tblPr>
        <w:jc w:val="left"/>
        <w:tblLayout w:type="fixed"/>
        <w:tblCellMar>
          <w:left w:w="0" w:type="dxa"/>
          <w:right w:w="0" w:type="dxa"/>
        </w:tblCellMar>
      </w:tblPr>
      <w:tblGrid>
        <w:gridCol w:w="749"/>
        <w:gridCol w:w="2074"/>
        <w:gridCol w:w="3417"/>
        <w:gridCol w:w="1860"/>
      </w:tblGrid>
      <w:tr>
        <w:trPr>
          <w:trHeight w:val="842" w:hRule="exact"/>
        </w:trPr>
        <w:tc>
          <w:tcPr>
            <w:tcW w:w="749" w:type="dxa"/>
            <w:tcBorders>
              <w:top w:val="none"/>
              <w:left w:val="none"/>
              <w:bottom w:val="single" w:sz="5" w:color="000000"/>
              <w:right w:val="none"/>
            </w:tcBorders>
            <w:textDirection w:val="lrTb"/>
            <w:vAlign w:val="center"/>
          </w:tcPr>
          <w:p>
            <w:pPr>
              <w:spacing w:before="332" w:after="278" w:line="226" w:lineRule="exact"/>
              <w:ind w:right="201" w:left="0" w:firstLine="0"/>
              <w:jc w:val="righ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Item</w:t>
            </w:r>
          </w:p>
        </w:tc>
        <w:tc>
          <w:tcPr>
            <w:tcW w:w="2074" w:type="dxa"/>
            <w:tcBorders>
              <w:top w:val="none"/>
              <w:left w:val="none"/>
              <w:bottom w:val="single" w:sz="5" w:color="000000"/>
              <w:right w:val="none"/>
            </w:tcBorders>
            <w:textDirection w:val="lrTb"/>
            <w:vAlign w:val="top"/>
          </w:tcPr>
          <w:p>
            <w:pPr>
              <w:spacing w:before="44" w:after="0" w:line="226" w:lineRule="exact"/>
              <w:ind w:right="0" w:left="216"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Column 1</w:t>
            </w:r>
          </w:p>
          <w:p>
            <w:pPr>
              <w:spacing w:before="62" w:after="278" w:line="226" w:lineRule="exact"/>
              <w:ind w:right="0" w:left="216"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Hazardous chemical</w:t>
            </w:r>
          </w:p>
        </w:tc>
        <w:tc>
          <w:tcPr>
            <w:tcW w:w="3417" w:type="dxa"/>
            <w:tcBorders>
              <w:top w:val="none"/>
              <w:left w:val="none"/>
              <w:bottom w:val="single" w:sz="5" w:color="000000"/>
              <w:right w:val="none"/>
            </w:tcBorders>
            <w:textDirection w:val="lrTb"/>
            <w:vAlign w:val="top"/>
          </w:tcPr>
          <w:p>
            <w:pPr>
              <w:spacing w:before="0" w:after="278" w:line="279" w:lineRule="exact"/>
              <w:ind w:right="0" w:left="10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Column 2</w:t>
              <w:br/>
            </w:r>
            <w:r>
              <w:rPr>
                <w:rFonts w:ascii="Times New Roman" w:hAnsi="Times New Roman" w:eastAsia="Times New Roman"/>
                <w:b w:val="true"/>
                <w:color w:val="000000"/>
                <w:spacing w:val="0"/>
                <w:w w:val="100"/>
                <w:sz w:val="20"/>
                <w:vertAlign w:val="baseline"/>
                <w:lang w:val="en-US"/>
              </w:rPr>
              <w:t xml:space="preserve">Description</w:t>
            </w:r>
          </w:p>
        </w:tc>
        <w:tc>
          <w:tcPr>
            <w:tcW w:w="1860" w:type="dxa"/>
            <w:tcBorders>
              <w:top w:val="none"/>
              <w:left w:val="none"/>
              <w:bottom w:val="single" w:sz="5" w:color="000000"/>
              <w:right w:val="none"/>
            </w:tcBorders>
            <w:textDirection w:val="lrTb"/>
            <w:vAlign w:val="top"/>
          </w:tcPr>
          <w:p>
            <w:pPr>
              <w:spacing w:before="44" w:after="0" w:line="226" w:lineRule="exact"/>
              <w:ind w:right="0" w:left="14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Column 3</w:t>
            </w:r>
          </w:p>
          <w:p>
            <w:pPr>
              <w:spacing w:before="62" w:after="0" w:line="226" w:lineRule="exact"/>
              <w:ind w:right="0" w:left="14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Threshold</w:t>
            </w:r>
          </w:p>
          <w:p>
            <w:pPr>
              <w:spacing w:before="4" w:after="48" w:line="226" w:lineRule="exact"/>
              <w:ind w:right="0" w:left="14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quantity (tonnes)</w:t>
            </w:r>
          </w:p>
        </w:tc>
      </w:tr>
      <w:tr>
        <w:trPr>
          <w:trHeight w:val="288" w:hRule="exact"/>
        </w:trPr>
        <w:tc>
          <w:tcPr>
            <w:tcW w:w="749" w:type="dxa"/>
            <w:tcBorders>
              <w:top w:val="single" w:sz="5" w:color="000000"/>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074" w:type="dxa"/>
            <w:tcBorders>
              <w:top w:val="single" w:sz="5" w:color="000000"/>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417" w:type="dxa"/>
            <w:tcBorders>
              <w:top w:val="single" w:sz="5" w:color="000000"/>
              <w:left w:val="none"/>
              <w:bottom w:val="none"/>
              <w:right w:val="none"/>
            </w:tcBorders>
            <w:textDirection w:val="lrTb"/>
            <w:vAlign w:val="center"/>
          </w:tcPr>
          <w:p>
            <w:pPr>
              <w:spacing w:before="66" w:after="0" w:line="216" w:lineRule="exact"/>
              <w:ind w:right="0" w:left="1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Liquids that meet the criteria for Class</w:t>
            </w:r>
          </w:p>
        </w:tc>
        <w:tc>
          <w:tcPr>
            <w:tcW w:w="1860" w:type="dxa"/>
            <w:tcBorders>
              <w:top w:val="single" w:sz="5" w:color="000000"/>
              <w:left w:val="none"/>
              <w:bottom w:val="none"/>
              <w:right w:val="none"/>
            </w:tcBorders>
            <w:textDirection w:val="lrTb"/>
            <w:vAlign w:val="center"/>
          </w:tcPr>
          <w:p>
            <w:pPr>
              <w:spacing w:before="70" w:after="0" w:line="212"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50 000</w:t>
            </w:r>
          </w:p>
        </w:tc>
      </w:tr>
      <w:tr>
        <w:trPr>
          <w:trHeight w:val="288" w:hRule="exact"/>
        </w:trPr>
        <w:tc>
          <w:tcPr>
            <w:tcW w:w="74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074"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417" w:type="dxa"/>
            <w:tcBorders>
              <w:top w:val="none"/>
              <w:left w:val="none"/>
              <w:bottom w:val="none"/>
              <w:right w:val="none"/>
            </w:tcBorders>
            <w:textDirection w:val="lrTb"/>
            <w:vAlign w:val="center"/>
          </w:tcPr>
          <w:p>
            <w:pPr>
              <w:spacing w:before="0" w:after="42" w:line="227" w:lineRule="exact"/>
              <w:ind w:right="0" w:left="1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 Packing Group II or III</w:t>
            </w:r>
          </w:p>
        </w:tc>
        <w:tc>
          <w:tcPr>
            <w:tcW w:w="1860"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r>
      <w:tr>
        <w:trPr>
          <w:trHeight w:val="811" w:hRule="exact"/>
        </w:trPr>
        <w:tc>
          <w:tcPr>
            <w:tcW w:w="74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074"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417" w:type="dxa"/>
            <w:tcBorders>
              <w:top w:val="none"/>
              <w:left w:val="none"/>
              <w:bottom w:val="none"/>
              <w:right w:val="none"/>
            </w:tcBorders>
            <w:textDirection w:val="lrTb"/>
            <w:vAlign w:val="top"/>
          </w:tcPr>
          <w:p>
            <w:pPr>
              <w:spacing w:before="64" w:after="38" w:line="233" w:lineRule="exact"/>
              <w:ind w:right="324" w:left="108"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Liquids with flash points &lt;61°C kept above their boiling points at ambient conditions</w:t>
            </w:r>
          </w:p>
        </w:tc>
        <w:tc>
          <w:tcPr>
            <w:tcW w:w="1860" w:type="dxa"/>
            <w:tcBorders>
              <w:top w:val="none"/>
              <w:left w:val="none"/>
              <w:bottom w:val="none"/>
              <w:right w:val="none"/>
            </w:tcBorders>
            <w:textDirection w:val="lrTb"/>
            <w:vAlign w:val="top"/>
          </w:tcPr>
          <w:p>
            <w:pPr>
              <w:spacing w:before="75" w:after="499" w:line="227"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200</w:t>
            </w:r>
          </w:p>
        </w:tc>
      </w:tr>
      <w:tr>
        <w:trPr>
          <w:trHeight w:val="302" w:hRule="exact"/>
        </w:trPr>
        <w:tc>
          <w:tcPr>
            <w:tcW w:w="74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074"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417" w:type="dxa"/>
            <w:tcBorders>
              <w:top w:val="none"/>
              <w:left w:val="none"/>
              <w:bottom w:val="none"/>
              <w:right w:val="none"/>
            </w:tcBorders>
            <w:textDirection w:val="lrTb"/>
            <w:vAlign w:val="center"/>
          </w:tcPr>
          <w:p>
            <w:pPr>
              <w:spacing w:before="71" w:after="0" w:line="221" w:lineRule="exact"/>
              <w:ind w:right="0" w:left="1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Materials that meet the criteria for</w:t>
            </w:r>
          </w:p>
        </w:tc>
        <w:tc>
          <w:tcPr>
            <w:tcW w:w="1860" w:type="dxa"/>
            <w:tcBorders>
              <w:top w:val="none"/>
              <w:left w:val="none"/>
              <w:bottom w:val="none"/>
              <w:right w:val="none"/>
            </w:tcBorders>
            <w:textDirection w:val="lrTb"/>
            <w:vAlign w:val="center"/>
          </w:tcPr>
          <w:p>
            <w:pPr>
              <w:spacing w:before="75" w:after="0" w:line="217"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200</w:t>
            </w:r>
          </w:p>
        </w:tc>
      </w:tr>
      <w:tr>
        <w:trPr>
          <w:trHeight w:val="298" w:hRule="exact"/>
        </w:trPr>
        <w:tc>
          <w:tcPr>
            <w:tcW w:w="74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074"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417" w:type="dxa"/>
            <w:tcBorders>
              <w:top w:val="none"/>
              <w:left w:val="none"/>
              <w:bottom w:val="none"/>
              <w:right w:val="none"/>
            </w:tcBorders>
            <w:textDirection w:val="lrTb"/>
            <w:vAlign w:val="center"/>
          </w:tcPr>
          <w:p>
            <w:pPr>
              <w:spacing w:before="0" w:after="67" w:line="226" w:lineRule="exact"/>
              <w:ind w:right="0" w:left="1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Division 4.1 Packing Group I</w:t>
            </w:r>
          </w:p>
        </w:tc>
        <w:tc>
          <w:tcPr>
            <w:tcW w:w="1860"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r>
      <w:tr>
        <w:trPr>
          <w:trHeight w:val="499" w:hRule="exact"/>
        </w:trPr>
        <w:tc>
          <w:tcPr>
            <w:tcW w:w="74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074"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417" w:type="dxa"/>
            <w:tcBorders>
              <w:top w:val="none"/>
              <w:left w:val="none"/>
              <w:bottom w:val="none"/>
              <w:right w:val="none"/>
            </w:tcBorders>
            <w:textDirection w:val="lrTb"/>
            <w:vAlign w:val="center"/>
          </w:tcPr>
          <w:p>
            <w:pPr>
              <w:spacing w:before="37" w:after="0" w:line="231" w:lineRule="exact"/>
              <w:ind w:right="288" w:left="108"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Spontaneously combustible materials that meet the criteria for Division 4.2</w:t>
            </w:r>
          </w:p>
        </w:tc>
        <w:tc>
          <w:tcPr>
            <w:tcW w:w="1860" w:type="dxa"/>
            <w:tcBorders>
              <w:top w:val="none"/>
              <w:left w:val="none"/>
              <w:bottom w:val="none"/>
              <w:right w:val="none"/>
            </w:tcBorders>
            <w:textDirection w:val="lrTb"/>
            <w:vAlign w:val="top"/>
          </w:tcPr>
          <w:p>
            <w:pPr>
              <w:spacing w:before="56" w:after="216" w:line="227"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200</w:t>
            </w:r>
          </w:p>
        </w:tc>
      </w:tr>
      <w:tr>
        <w:trPr>
          <w:trHeight w:val="293" w:hRule="exact"/>
        </w:trPr>
        <w:tc>
          <w:tcPr>
            <w:tcW w:w="74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074"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417" w:type="dxa"/>
            <w:tcBorders>
              <w:top w:val="none"/>
              <w:left w:val="none"/>
              <w:bottom w:val="none"/>
              <w:right w:val="none"/>
            </w:tcBorders>
            <w:textDirection w:val="lrTb"/>
            <w:vAlign w:val="center"/>
          </w:tcPr>
          <w:p>
            <w:pPr>
              <w:spacing w:before="0" w:after="48" w:line="227" w:lineRule="exact"/>
              <w:ind w:right="0" w:left="1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Packing Group I or II</w:t>
            </w:r>
          </w:p>
        </w:tc>
        <w:tc>
          <w:tcPr>
            <w:tcW w:w="1860"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r>
      <w:tr>
        <w:trPr>
          <w:trHeight w:val="749" w:hRule="exact"/>
        </w:trPr>
        <w:tc>
          <w:tcPr>
            <w:tcW w:w="74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074"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417" w:type="dxa"/>
            <w:tcBorders>
              <w:top w:val="none"/>
              <w:left w:val="none"/>
              <w:bottom w:val="none"/>
              <w:right w:val="none"/>
            </w:tcBorders>
            <w:textDirection w:val="lrTb"/>
            <w:vAlign w:val="top"/>
          </w:tcPr>
          <w:p>
            <w:pPr>
              <w:spacing w:before="59" w:after="0" w:line="228" w:lineRule="exact"/>
              <w:ind w:right="144" w:left="108" w:firstLine="0"/>
              <w:jc w:val="both"/>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Materials that liberate flammable gases or react violently on contact with water which meet the criteria for Division 4.3</w:t>
            </w:r>
          </w:p>
        </w:tc>
        <w:tc>
          <w:tcPr>
            <w:tcW w:w="1860" w:type="dxa"/>
            <w:tcBorders>
              <w:top w:val="none"/>
              <w:left w:val="none"/>
              <w:bottom w:val="none"/>
              <w:right w:val="none"/>
            </w:tcBorders>
            <w:textDirection w:val="lrTb"/>
            <w:vAlign w:val="top"/>
          </w:tcPr>
          <w:p>
            <w:pPr>
              <w:spacing w:before="75" w:after="441" w:line="227"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200</w:t>
            </w:r>
          </w:p>
        </w:tc>
      </w:tr>
      <w:tr>
        <w:trPr>
          <w:trHeight w:val="288" w:hRule="exact"/>
        </w:trPr>
        <w:tc>
          <w:tcPr>
            <w:tcW w:w="74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074"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417" w:type="dxa"/>
            <w:tcBorders>
              <w:top w:val="none"/>
              <w:left w:val="none"/>
              <w:bottom w:val="none"/>
              <w:right w:val="none"/>
            </w:tcBorders>
            <w:textDirection w:val="lrTb"/>
            <w:vAlign w:val="center"/>
          </w:tcPr>
          <w:p>
            <w:pPr>
              <w:spacing w:before="0" w:after="42" w:line="227" w:lineRule="exact"/>
              <w:ind w:right="0" w:left="1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Packing Group I or II</w:t>
            </w:r>
          </w:p>
        </w:tc>
        <w:tc>
          <w:tcPr>
            <w:tcW w:w="1860"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r>
      <w:tr>
        <w:trPr>
          <w:trHeight w:val="297" w:hRule="exact"/>
        </w:trPr>
        <w:tc>
          <w:tcPr>
            <w:tcW w:w="74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074"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417" w:type="dxa"/>
            <w:tcBorders>
              <w:top w:val="none"/>
              <w:left w:val="none"/>
              <w:bottom w:val="none"/>
              <w:right w:val="none"/>
            </w:tcBorders>
            <w:textDirection w:val="lrTb"/>
            <w:vAlign w:val="center"/>
          </w:tcPr>
          <w:p>
            <w:pPr>
              <w:spacing w:before="70" w:after="0" w:line="212" w:lineRule="exact"/>
              <w:ind w:right="0" w:left="1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Materials that belong to Classes 3 or 8</w:t>
            </w:r>
          </w:p>
        </w:tc>
        <w:tc>
          <w:tcPr>
            <w:tcW w:w="1860" w:type="dxa"/>
            <w:tcBorders>
              <w:top w:val="none"/>
              <w:left w:val="none"/>
              <w:bottom w:val="none"/>
              <w:right w:val="none"/>
            </w:tcBorders>
            <w:textDirection w:val="lrTb"/>
            <w:vAlign w:val="center"/>
          </w:tcPr>
          <w:p>
            <w:pPr>
              <w:spacing w:before="75" w:after="0" w:line="207"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500</w:t>
            </w:r>
          </w:p>
        </w:tc>
      </w:tr>
      <w:tr>
        <w:trPr>
          <w:trHeight w:val="226" w:hRule="exact"/>
        </w:trPr>
        <w:tc>
          <w:tcPr>
            <w:tcW w:w="74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074"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417" w:type="dxa"/>
            <w:tcBorders>
              <w:top w:val="none"/>
              <w:left w:val="none"/>
              <w:bottom w:val="none"/>
              <w:right w:val="none"/>
            </w:tcBorders>
            <w:textDirection w:val="lrTb"/>
            <w:vAlign w:val="center"/>
          </w:tcPr>
          <w:p>
            <w:pPr>
              <w:spacing w:before="0" w:after="0" w:line="207" w:lineRule="exact"/>
              <w:ind w:right="0" w:left="1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Packing Group I or II which have</w:t>
            </w:r>
          </w:p>
        </w:tc>
        <w:tc>
          <w:tcPr>
            <w:tcW w:w="1860"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r>
      <w:tr>
        <w:trPr>
          <w:trHeight w:val="518" w:hRule="exact"/>
        </w:trPr>
        <w:tc>
          <w:tcPr>
            <w:tcW w:w="74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074"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417" w:type="dxa"/>
            <w:tcBorders>
              <w:top w:val="none"/>
              <w:left w:val="none"/>
              <w:bottom w:val="none"/>
              <w:right w:val="none"/>
            </w:tcBorders>
            <w:textDirection w:val="lrTb"/>
            <w:vAlign w:val="top"/>
          </w:tcPr>
          <w:p>
            <w:pPr>
              <w:spacing w:before="0" w:after="42" w:line="231" w:lineRule="exact"/>
              <w:ind w:right="144" w:left="108"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Hazchem codes of 4WE (materials that react violently with water)</w:t>
            </w:r>
          </w:p>
        </w:tc>
        <w:tc>
          <w:tcPr>
            <w:tcW w:w="1860"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r>
      <w:tr>
        <w:trPr>
          <w:trHeight w:val="293" w:hRule="exact"/>
        </w:trPr>
        <w:tc>
          <w:tcPr>
            <w:tcW w:w="749" w:type="dxa"/>
            <w:tcBorders>
              <w:top w:val="none"/>
              <w:left w:val="none"/>
              <w:bottom w:val="none"/>
              <w:right w:val="none"/>
            </w:tcBorders>
            <w:textDirection w:val="lrTb"/>
            <w:vAlign w:val="center"/>
          </w:tcPr>
          <w:p>
            <w:pPr>
              <w:spacing w:before="76" w:after="0" w:line="217" w:lineRule="exact"/>
              <w:ind w:right="201"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w:t>
            </w:r>
          </w:p>
        </w:tc>
        <w:tc>
          <w:tcPr>
            <w:tcW w:w="2074" w:type="dxa"/>
            <w:tcBorders>
              <w:top w:val="none"/>
              <w:left w:val="none"/>
              <w:bottom w:val="none"/>
              <w:right w:val="none"/>
            </w:tcBorders>
            <w:textDirection w:val="lrTb"/>
            <w:vAlign w:val="center"/>
          </w:tcPr>
          <w:p>
            <w:pPr>
              <w:spacing w:before="76" w:after="0" w:line="217" w:lineRule="exact"/>
              <w:ind w:right="0" w:left="21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Oxidising materials</w:t>
            </w:r>
          </w:p>
        </w:tc>
        <w:tc>
          <w:tcPr>
            <w:tcW w:w="3417" w:type="dxa"/>
            <w:tcBorders>
              <w:top w:val="none"/>
              <w:left w:val="none"/>
              <w:bottom w:val="none"/>
              <w:right w:val="none"/>
            </w:tcBorders>
            <w:textDirection w:val="lrTb"/>
            <w:vAlign w:val="center"/>
          </w:tcPr>
          <w:p>
            <w:pPr>
              <w:spacing w:before="71" w:after="0" w:line="222" w:lineRule="exact"/>
              <w:ind w:right="0" w:left="1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Oxidising material listed in Appendix</w:t>
            </w:r>
          </w:p>
        </w:tc>
        <w:tc>
          <w:tcPr>
            <w:tcW w:w="1860" w:type="dxa"/>
            <w:tcBorders>
              <w:top w:val="none"/>
              <w:left w:val="none"/>
              <w:bottom w:val="none"/>
              <w:right w:val="none"/>
            </w:tcBorders>
            <w:textDirection w:val="lrTb"/>
            <w:vAlign w:val="center"/>
          </w:tcPr>
          <w:p>
            <w:pPr>
              <w:spacing w:before="76" w:after="0" w:line="217"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50</w:t>
            </w:r>
          </w:p>
        </w:tc>
      </w:tr>
      <w:tr>
        <w:trPr>
          <w:trHeight w:val="288" w:hRule="exact"/>
        </w:trPr>
        <w:tc>
          <w:tcPr>
            <w:tcW w:w="74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074"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417" w:type="dxa"/>
            <w:tcBorders>
              <w:top w:val="none"/>
              <w:left w:val="none"/>
              <w:bottom w:val="none"/>
              <w:right w:val="none"/>
            </w:tcBorders>
            <w:textDirection w:val="lrTb"/>
            <w:vAlign w:val="center"/>
          </w:tcPr>
          <w:p>
            <w:pPr>
              <w:spacing w:before="0" w:after="53" w:line="227" w:lineRule="exact"/>
              <w:ind w:right="0" w:left="1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to the ADG Code</w:t>
            </w:r>
          </w:p>
        </w:tc>
        <w:tc>
          <w:tcPr>
            <w:tcW w:w="1860"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r>
      <w:tr>
        <w:trPr>
          <w:trHeight w:val="518" w:hRule="exact"/>
        </w:trPr>
        <w:tc>
          <w:tcPr>
            <w:tcW w:w="74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074"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417" w:type="dxa"/>
            <w:tcBorders>
              <w:top w:val="none"/>
              <w:left w:val="none"/>
              <w:bottom w:val="none"/>
              <w:right w:val="none"/>
            </w:tcBorders>
            <w:textDirection w:val="lrTb"/>
            <w:vAlign w:val="top"/>
          </w:tcPr>
          <w:p>
            <w:pPr>
              <w:spacing w:before="58" w:after="0" w:line="223" w:lineRule="exact"/>
              <w:ind w:right="648" w:left="108"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Oxidising materials that meet the criteria for Division 5.1 Packing</w:t>
            </w:r>
          </w:p>
        </w:tc>
        <w:tc>
          <w:tcPr>
            <w:tcW w:w="1860" w:type="dxa"/>
            <w:tcBorders>
              <w:top w:val="none"/>
              <w:left w:val="none"/>
              <w:bottom w:val="none"/>
              <w:right w:val="none"/>
            </w:tcBorders>
            <w:textDirection w:val="lrTb"/>
            <w:vAlign w:val="top"/>
          </w:tcPr>
          <w:p>
            <w:pPr>
              <w:spacing w:before="76" w:after="201" w:line="227"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200</w:t>
            </w:r>
          </w:p>
        </w:tc>
      </w:tr>
      <w:tr>
        <w:trPr>
          <w:trHeight w:val="288" w:hRule="exact"/>
        </w:trPr>
        <w:tc>
          <w:tcPr>
            <w:tcW w:w="74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074"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417" w:type="dxa"/>
            <w:tcBorders>
              <w:top w:val="none"/>
              <w:left w:val="none"/>
              <w:bottom w:val="none"/>
              <w:right w:val="none"/>
            </w:tcBorders>
            <w:textDirection w:val="lrTb"/>
            <w:vAlign w:val="center"/>
          </w:tcPr>
          <w:p>
            <w:pPr>
              <w:spacing w:before="0" w:after="33" w:line="227" w:lineRule="exact"/>
              <w:ind w:right="0" w:left="1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Group I or II</w:t>
            </w:r>
          </w:p>
        </w:tc>
        <w:tc>
          <w:tcPr>
            <w:tcW w:w="1860"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r>
      <w:tr>
        <w:trPr>
          <w:trHeight w:val="581" w:hRule="exact"/>
        </w:trPr>
        <w:tc>
          <w:tcPr>
            <w:tcW w:w="749" w:type="dxa"/>
            <w:tcBorders>
              <w:top w:val="none"/>
              <w:left w:val="none"/>
              <w:bottom w:val="none"/>
              <w:right w:val="none"/>
            </w:tcBorders>
            <w:textDirection w:val="lrTb"/>
            <w:vAlign w:val="top"/>
          </w:tcPr>
          <w:p>
            <w:pPr>
              <w:spacing w:before="76" w:after="273" w:line="227" w:lineRule="exact"/>
              <w:ind w:right="201"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w:t>
            </w:r>
          </w:p>
        </w:tc>
        <w:tc>
          <w:tcPr>
            <w:tcW w:w="2074" w:type="dxa"/>
            <w:tcBorders>
              <w:top w:val="none"/>
              <w:left w:val="none"/>
              <w:bottom w:val="none"/>
              <w:right w:val="none"/>
            </w:tcBorders>
            <w:textDirection w:val="lrTb"/>
            <w:vAlign w:val="top"/>
          </w:tcPr>
          <w:p>
            <w:pPr>
              <w:spacing w:before="76" w:after="273" w:line="227" w:lineRule="exact"/>
              <w:ind w:right="0" w:left="21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Peroxides</w:t>
            </w:r>
          </w:p>
        </w:tc>
        <w:tc>
          <w:tcPr>
            <w:tcW w:w="3417" w:type="dxa"/>
            <w:tcBorders>
              <w:top w:val="none"/>
              <w:left w:val="none"/>
              <w:bottom w:val="none"/>
              <w:right w:val="none"/>
            </w:tcBorders>
            <w:textDirection w:val="lrTb"/>
            <w:vAlign w:val="top"/>
          </w:tcPr>
          <w:p>
            <w:pPr>
              <w:spacing w:before="63" w:after="43" w:line="235" w:lineRule="exact"/>
              <w:ind w:right="144" w:left="108"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Peroxides that are listed in Appendix A to the ADG Code</w:t>
            </w:r>
          </w:p>
        </w:tc>
        <w:tc>
          <w:tcPr>
            <w:tcW w:w="1860" w:type="dxa"/>
            <w:tcBorders>
              <w:top w:val="none"/>
              <w:left w:val="none"/>
              <w:bottom w:val="none"/>
              <w:right w:val="none"/>
            </w:tcBorders>
            <w:textDirection w:val="lrTb"/>
            <w:vAlign w:val="top"/>
          </w:tcPr>
          <w:p>
            <w:pPr>
              <w:spacing w:before="76" w:after="273" w:line="227"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50</w:t>
            </w:r>
          </w:p>
        </w:tc>
      </w:tr>
      <w:tr>
        <w:trPr>
          <w:trHeight w:val="653" w:hRule="exact"/>
        </w:trPr>
        <w:tc>
          <w:tcPr>
            <w:tcW w:w="74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074"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417" w:type="dxa"/>
            <w:tcBorders>
              <w:top w:val="none"/>
              <w:left w:val="none"/>
              <w:bottom w:val="none"/>
              <w:right w:val="none"/>
            </w:tcBorders>
            <w:textDirection w:val="lrTb"/>
            <w:vAlign w:val="top"/>
          </w:tcPr>
          <w:p>
            <w:pPr>
              <w:spacing w:before="63" w:after="110" w:line="235" w:lineRule="exact"/>
              <w:ind w:right="108" w:left="108"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Organic Peroxides that meet the criteria for Division 5.2</w:t>
            </w:r>
          </w:p>
        </w:tc>
        <w:tc>
          <w:tcPr>
            <w:tcW w:w="1860" w:type="dxa"/>
            <w:tcBorders>
              <w:top w:val="none"/>
              <w:left w:val="none"/>
              <w:bottom w:val="none"/>
              <w:right w:val="none"/>
            </w:tcBorders>
            <w:textDirection w:val="lrTb"/>
            <w:vAlign w:val="top"/>
          </w:tcPr>
          <w:p>
            <w:pPr>
              <w:spacing w:before="76" w:after="340" w:line="227"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200</w:t>
            </w:r>
          </w:p>
        </w:tc>
      </w:tr>
      <w:tr>
        <w:trPr>
          <w:trHeight w:val="816" w:hRule="exact"/>
        </w:trPr>
        <w:tc>
          <w:tcPr>
            <w:tcW w:w="749" w:type="dxa"/>
            <w:tcBorders>
              <w:top w:val="none"/>
              <w:left w:val="none"/>
              <w:bottom w:val="none"/>
              <w:right w:val="none"/>
            </w:tcBorders>
            <w:textDirection w:val="lrTb"/>
            <w:vAlign w:val="top"/>
          </w:tcPr>
          <w:p>
            <w:pPr>
              <w:spacing w:before="143" w:after="441" w:line="227" w:lineRule="exact"/>
              <w:ind w:right="201"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w:t>
            </w:r>
          </w:p>
        </w:tc>
        <w:tc>
          <w:tcPr>
            <w:tcW w:w="2074" w:type="dxa"/>
            <w:tcBorders>
              <w:top w:val="none"/>
              <w:left w:val="none"/>
              <w:bottom w:val="none"/>
              <w:right w:val="none"/>
            </w:tcBorders>
            <w:textDirection w:val="lrTb"/>
            <w:vAlign w:val="top"/>
          </w:tcPr>
          <w:p>
            <w:pPr>
              <w:spacing w:before="135" w:after="216" w:line="230" w:lineRule="exact"/>
              <w:ind w:right="0" w:left="21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Toxic solids and</w:t>
              <w:br/>
            </w:r>
            <w:r>
              <w:rPr>
                <w:rFonts w:ascii="Times New Roman" w:hAnsi="Times New Roman" w:eastAsia="Times New Roman"/>
                <w:color w:val="000000"/>
                <w:spacing w:val="0"/>
                <w:w w:val="100"/>
                <w:sz w:val="20"/>
                <w:vertAlign w:val="baseline"/>
                <w:lang w:val="en-US"/>
              </w:rPr>
              <w:t xml:space="preserve">liquids</w:t>
            </w:r>
          </w:p>
        </w:tc>
        <w:tc>
          <w:tcPr>
            <w:tcW w:w="3417" w:type="dxa"/>
            <w:tcBorders>
              <w:top w:val="none"/>
              <w:left w:val="none"/>
              <w:bottom w:val="none"/>
              <w:right w:val="none"/>
            </w:tcBorders>
            <w:textDirection w:val="lrTb"/>
            <w:vAlign w:val="top"/>
          </w:tcPr>
          <w:p>
            <w:pPr>
              <w:spacing w:before="126" w:after="0" w:line="228" w:lineRule="exact"/>
              <w:ind w:right="540" w:left="10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Materials that meet the criteria for Very Toxic in table 15.3 except materials that are classified as</w:t>
            </w:r>
          </w:p>
        </w:tc>
        <w:tc>
          <w:tcPr>
            <w:tcW w:w="1860" w:type="dxa"/>
            <w:tcBorders>
              <w:top w:val="none"/>
              <w:left w:val="none"/>
              <w:bottom w:val="none"/>
              <w:right w:val="none"/>
            </w:tcBorders>
            <w:textDirection w:val="lrTb"/>
            <w:vAlign w:val="top"/>
          </w:tcPr>
          <w:p>
            <w:pPr>
              <w:spacing w:before="143" w:after="441" w:line="227"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w:t>
            </w:r>
          </w:p>
        </w:tc>
      </w:tr>
      <w:tr>
        <w:trPr>
          <w:trHeight w:val="518" w:hRule="exact"/>
        </w:trPr>
        <w:tc>
          <w:tcPr>
            <w:tcW w:w="74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074"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417" w:type="dxa"/>
            <w:tcBorders>
              <w:top w:val="none"/>
              <w:left w:val="none"/>
              <w:bottom w:val="none"/>
              <w:right w:val="none"/>
            </w:tcBorders>
            <w:textDirection w:val="lrTb"/>
            <w:vAlign w:val="top"/>
          </w:tcPr>
          <w:p>
            <w:pPr>
              <w:spacing w:before="0" w:after="42" w:line="231" w:lineRule="exact"/>
              <w:ind w:right="144" w:left="108"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Infectious Substances (Division 6.2) or as Radioactive (Class 7)</w:t>
            </w:r>
          </w:p>
        </w:tc>
        <w:tc>
          <w:tcPr>
            <w:tcW w:w="1860"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r>
      <w:tr>
        <w:trPr>
          <w:trHeight w:val="293" w:hRule="exact"/>
        </w:trPr>
        <w:tc>
          <w:tcPr>
            <w:tcW w:w="749"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074"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417" w:type="dxa"/>
            <w:tcBorders>
              <w:top w:val="none"/>
              <w:left w:val="none"/>
              <w:bottom w:val="none"/>
              <w:right w:val="none"/>
            </w:tcBorders>
            <w:textDirection w:val="lrTb"/>
            <w:vAlign w:val="center"/>
          </w:tcPr>
          <w:p>
            <w:pPr>
              <w:spacing w:before="71" w:after="0" w:line="212" w:lineRule="exact"/>
              <w:ind w:right="0" w:left="1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Materials that meet the criteria for</w:t>
            </w:r>
          </w:p>
        </w:tc>
        <w:tc>
          <w:tcPr>
            <w:tcW w:w="1860" w:type="dxa"/>
            <w:tcBorders>
              <w:top w:val="none"/>
              <w:left w:val="none"/>
              <w:bottom w:val="none"/>
              <w:right w:val="none"/>
            </w:tcBorders>
            <w:textDirection w:val="lrTb"/>
            <w:vAlign w:val="center"/>
          </w:tcPr>
          <w:p>
            <w:pPr>
              <w:spacing w:before="76" w:after="0" w:line="207" w:lineRule="exact"/>
              <w:ind w:right="0" w:left="11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200</w:t>
            </w:r>
          </w:p>
        </w:tc>
      </w:tr>
      <w:tr>
        <w:trPr>
          <w:trHeight w:val="293" w:hRule="exact"/>
        </w:trPr>
        <w:tc>
          <w:tcPr>
            <w:tcW w:w="749" w:type="dxa"/>
            <w:tcBorders>
              <w:top w:val="none"/>
              <w:left w:val="none"/>
              <w:bottom w:val="single" w:sz="5" w:color="000000"/>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2074" w:type="dxa"/>
            <w:tcBorders>
              <w:top w:val="none"/>
              <w:left w:val="none"/>
              <w:bottom w:val="single" w:sz="5" w:color="000000"/>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3417" w:type="dxa"/>
            <w:tcBorders>
              <w:top w:val="none"/>
              <w:left w:val="none"/>
              <w:bottom w:val="single" w:sz="5" w:color="000000"/>
              <w:right w:val="none"/>
            </w:tcBorders>
            <w:textDirection w:val="lrTb"/>
            <w:vAlign w:val="center"/>
          </w:tcPr>
          <w:p>
            <w:pPr>
              <w:spacing w:before="0" w:after="53" w:line="227" w:lineRule="exact"/>
              <w:ind w:right="0" w:left="12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Toxic in table 15.3</w:t>
            </w:r>
          </w:p>
        </w:tc>
        <w:tc>
          <w:tcPr>
            <w:tcW w:w="1860" w:type="dxa"/>
            <w:tcBorders>
              <w:top w:val="none"/>
              <w:left w:val="none"/>
              <w:bottom w:val="single" w:sz="5" w:color="000000"/>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r>
    </w:tbl>
    <w:p>
      <w:pPr>
        <w:spacing w:before="0" w:after="2540" w:line="20" w:lineRule="exact"/>
      </w:pPr>
    </w:p>
    <w:p>
      <w:pPr>
        <w:spacing w:before="0" w:after="2540" w:line="20" w:lineRule="exact"/>
        <w:sectPr>
          <w:type w:val="nextPage"/>
          <w:pgSz w:w="11909" w:h="16838" w:orient="portrait"/>
          <w:pgMar w:bottom="1082" w:top="1140" w:right="1861" w:left="1948"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487</w:t>
      </w:r>
    </w:p>
    <w:p>
      <w:pPr>
        <w:sectPr>
          <w:type w:val="continuous"/>
          <w:pgSz w:w="11909" w:h="16838" w:orient="portrait"/>
          <w:pgMar w:bottom="1082" w:top="1140" w:right="5812" w:left="1977" w:header="720" w:footer="720"/>
          <w:titlePg w:val="false"/>
          <w:textDirection w:val="lrTb"/>
        </w:sectPr>
      </w:pPr>
    </w:p>
    <w:p>
      <w:pPr>
        <w:spacing w:before="6" w:after="0" w:line="229"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spacing w:before="232" w:after="223" w:line="229"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Schedule 15 Hazardous chemicals at major hazard facilities (and their threshold quantity)</w:t>
      </w:r>
    </w:p>
    <w:p>
      <w:pPr>
        <w:spacing w:before="260" w:after="30" w:line="230" w:lineRule="exact"/>
        <w:ind w:right="0" w:left="72"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5.45pt,103.9pt" to="500.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Table 15.3 Criteria for toxicity</w:t>
      </w:r>
    </w:p>
    <w:p>
      <w:pPr>
        <w:rPr>
          <w:sz w:val="2"/>
        </w:rPr>
      </w:pPr>
      <w:r>
        <w:pict>
          <v:line strokeweight="0.7pt" strokecolor="#000000" from="99.35pt,130.3pt" to="496.6pt,130.3pt" style="position:absolute;mso-position-horizontal-relative:page;mso-position-vertical-relative:page;">
            <v:stroke dashstyle="solid"/>
          </v:line>
        </w:pict>
      </w:r>
      <w:r>
        <w:pict>
          <v:line strokeweight="0.7pt" strokecolor="#000000" from="417.85pt,157.9pt" to="496.6pt,157.9pt" style="position:absolute;mso-position-horizontal-relative:page;mso-position-vertical-relative:page;">
            <v:stroke dashstyle="solid"/>
          </v:line>
        </w:pict>
      </w:r>
      <w:r>
        <w:pict>
          <v:line strokeweight="0.7pt" strokecolor="#000000" from="417.85pt,193.7pt" to="496.6pt,193.7pt" style="position:absolute;mso-position-horizontal-relative:page;mso-position-vertical-relative:page;">
            <v:stroke dashstyle="solid"/>
          </v:line>
        </w:pict>
      </w:r>
    </w:p>
    <w:tbl>
      <w:tblPr>
        <w:jc w:val="left"/>
        <w:tblInd w:w="72" w:type="dxa"/>
        <w:tblLayout w:type="fixed"/>
        <w:tblCellMar>
          <w:left w:w="0" w:type="dxa"/>
          <w:right w:w="0" w:type="dxa"/>
        </w:tblCellMar>
      </w:tblPr>
      <w:tblGrid>
        <w:gridCol w:w="1336"/>
        <w:gridCol w:w="1632"/>
        <w:gridCol w:w="1699"/>
        <w:gridCol w:w="1741"/>
      </w:tblGrid>
      <w:tr>
        <w:trPr>
          <w:trHeight w:val="291" w:hRule="exact"/>
        </w:trPr>
        <w:tc>
          <w:tcPr>
            <w:tcW w:w="1336" w:type="dxa"/>
            <w:tcBorders>
              <w:top w:val="none"/>
              <w:left w:val="none"/>
              <w:bottom w:val="none"/>
              <w:right w:val="none"/>
            </w:tcBorders>
            <w:textDirection w:val="lrTb"/>
            <w:vAlign w:val="center"/>
          </w:tcPr>
          <w:p>
            <w:pPr>
              <w:spacing w:before="93" w:after="0" w:line="189" w:lineRule="exact"/>
              <w:ind w:right="0" w:left="112" w:firstLine="0"/>
              <w:jc w:val="left"/>
              <w:textAlignment w:val="baseline"/>
              <w:rPr>
                <w:rFonts w:ascii="Times New Roman" w:hAnsi="Times New Roman" w:eastAsia="Times New Roman"/>
                <w:b w:val="true"/>
                <w:color w:val="000000"/>
                <w:spacing w:val="0"/>
                <w:w w:val="100"/>
                <w:sz w:val="18"/>
                <w:vertAlign w:val="baseline"/>
                <w:lang w:val="en-US"/>
              </w:rPr>
            </w:pPr>
            <w:r>
              <w:rPr>
                <w:rFonts w:ascii="Times New Roman" w:hAnsi="Times New Roman" w:eastAsia="Times New Roman"/>
                <w:b w:val="true"/>
                <w:color w:val="000000"/>
                <w:spacing w:val="0"/>
                <w:w w:val="100"/>
                <w:sz w:val="18"/>
                <w:vertAlign w:val="baseline"/>
                <w:lang w:val="en-US"/>
              </w:rPr>
              <w:t xml:space="preserve">Description</w:t>
            </w:r>
          </w:p>
        </w:tc>
        <w:tc>
          <w:tcPr>
            <w:tcW w:w="1632" w:type="dxa"/>
            <w:tcBorders>
              <w:top w:val="none"/>
              <w:left w:val="none"/>
              <w:bottom w:val="none"/>
              <w:right w:val="none"/>
            </w:tcBorders>
            <w:textDirection w:val="lrTb"/>
            <w:vAlign w:val="center"/>
          </w:tcPr>
          <w:p>
            <w:pPr>
              <w:spacing w:before="83" w:after="0" w:line="199" w:lineRule="exact"/>
              <w:ind w:right="0" w:left="312" w:firstLine="0"/>
              <w:jc w:val="left"/>
              <w:textAlignment w:val="baseline"/>
              <w:rPr>
                <w:rFonts w:ascii="Times New Roman" w:hAnsi="Times New Roman" w:eastAsia="Times New Roman"/>
                <w:b w:val="true"/>
                <w:color w:val="000000"/>
                <w:spacing w:val="0"/>
                <w:w w:val="100"/>
                <w:sz w:val="18"/>
                <w:vertAlign w:val="baseline"/>
                <w:lang w:val="en-US"/>
              </w:rPr>
            </w:pPr>
            <w:r>
              <w:rPr>
                <w:rFonts w:ascii="Times New Roman" w:hAnsi="Times New Roman" w:eastAsia="Times New Roman"/>
                <w:b w:val="true"/>
                <w:color w:val="000000"/>
                <w:spacing w:val="0"/>
                <w:w w:val="100"/>
                <w:sz w:val="18"/>
                <w:vertAlign w:val="baseline"/>
                <w:lang w:val="en-US"/>
              </w:rPr>
              <w:t xml:space="preserve">Oral Toxicity</w:t>
            </w:r>
            <w:r>
              <w:rPr>
                <w:rFonts w:ascii="Times New Roman" w:hAnsi="Times New Roman" w:eastAsia="Times New Roman"/>
                <w:b w:val="true"/>
                <w:color w:val="000000"/>
                <w:spacing w:val="0"/>
                <w:w w:val="100"/>
                <w:sz w:val="18"/>
                <w:vertAlign w:val="superscript"/>
                <w:lang w:val="en-US"/>
              </w:rPr>
              <w:t xml:space="preserve">1</w:t>
            </w:r>
            <w:r>
              <w:rPr>
                <w:rFonts w:ascii="Times New Roman" w:hAnsi="Times New Roman" w:eastAsia="Times New Roman"/>
                <w:b w:val="true"/>
                <w:color w:val="000000"/>
                <w:spacing w:val="0"/>
                <w:w w:val="100"/>
                <w:sz w:val="12"/>
                <w:vertAlign w:val="baseline"/>
                <w:lang w:val="en-US"/>
              </w:rPr>
              <w:t xml:space="preserve">
</w:t>
            </w:r>
          </w:p>
        </w:tc>
        <w:tc>
          <w:tcPr>
            <w:tcW w:w="1699" w:type="dxa"/>
            <w:tcBorders>
              <w:top w:val="none"/>
              <w:left w:val="none"/>
              <w:bottom w:val="none"/>
              <w:right w:val="none"/>
            </w:tcBorders>
            <w:textDirection w:val="lrTb"/>
            <w:vAlign w:val="center"/>
          </w:tcPr>
          <w:p>
            <w:pPr>
              <w:spacing w:before="83" w:after="0" w:line="199" w:lineRule="exact"/>
              <w:ind w:right="0" w:left="206" w:firstLine="0"/>
              <w:jc w:val="left"/>
              <w:textAlignment w:val="baseline"/>
              <w:rPr>
                <w:rFonts w:ascii="Times New Roman" w:hAnsi="Times New Roman" w:eastAsia="Times New Roman"/>
                <w:b w:val="true"/>
                <w:color w:val="000000"/>
                <w:spacing w:val="0"/>
                <w:w w:val="100"/>
                <w:sz w:val="18"/>
                <w:vertAlign w:val="baseline"/>
                <w:lang w:val="en-US"/>
              </w:rPr>
            </w:pPr>
            <w:r>
              <w:rPr>
                <w:rFonts w:ascii="Times New Roman" w:hAnsi="Times New Roman" w:eastAsia="Times New Roman"/>
                <w:b w:val="true"/>
                <w:color w:val="000000"/>
                <w:spacing w:val="0"/>
                <w:w w:val="100"/>
                <w:sz w:val="18"/>
                <w:vertAlign w:val="baseline"/>
                <w:lang w:val="en-US"/>
              </w:rPr>
              <w:t xml:space="preserve">Dermal Toxicity</w:t>
            </w:r>
            <w:r>
              <w:rPr>
                <w:rFonts w:ascii="Times New Roman" w:hAnsi="Times New Roman" w:eastAsia="Times New Roman"/>
                <w:b w:val="true"/>
                <w:color w:val="000000"/>
                <w:spacing w:val="0"/>
                <w:w w:val="100"/>
                <w:sz w:val="18"/>
                <w:vertAlign w:val="superscript"/>
                <w:lang w:val="en-US"/>
              </w:rPr>
              <w:t xml:space="preserve">2</w:t>
            </w:r>
            <w:r>
              <w:rPr>
                <w:rFonts w:ascii="Times New Roman" w:hAnsi="Times New Roman" w:eastAsia="Times New Roman"/>
                <w:b w:val="true"/>
                <w:color w:val="000000"/>
                <w:spacing w:val="0"/>
                <w:w w:val="100"/>
                <w:sz w:val="12"/>
                <w:vertAlign w:val="baseline"/>
                <w:lang w:val="en-US"/>
              </w:rPr>
              <w:t xml:space="preserve">
</w:t>
            </w:r>
          </w:p>
        </w:tc>
        <w:tc>
          <w:tcPr>
            <w:tcW w:w="1741" w:type="dxa"/>
            <w:tcBorders>
              <w:top w:val="none"/>
              <w:left w:val="none"/>
              <w:bottom w:val="none"/>
              <w:right w:val="none"/>
            </w:tcBorders>
            <w:textDirection w:val="lrTb"/>
            <w:vAlign w:val="center"/>
          </w:tcPr>
          <w:p>
            <w:pPr>
              <w:spacing w:before="84" w:after="0" w:line="198" w:lineRule="exact"/>
              <w:ind w:right="0" w:left="173" w:firstLine="0"/>
              <w:jc w:val="left"/>
              <w:textAlignment w:val="baseline"/>
              <w:rPr>
                <w:rFonts w:ascii="Times New Roman" w:hAnsi="Times New Roman" w:eastAsia="Times New Roman"/>
                <w:b w:val="true"/>
                <w:color w:val="000000"/>
                <w:spacing w:val="0"/>
                <w:w w:val="100"/>
                <w:sz w:val="18"/>
                <w:vertAlign w:val="baseline"/>
                <w:lang w:val="en-US"/>
              </w:rPr>
            </w:pPr>
            <w:r>
              <w:rPr>
                <w:rFonts w:ascii="Times New Roman" w:hAnsi="Times New Roman" w:eastAsia="Times New Roman"/>
                <w:b w:val="true"/>
                <w:color w:val="000000"/>
                <w:spacing w:val="0"/>
                <w:w w:val="100"/>
                <w:sz w:val="18"/>
                <w:vertAlign w:val="baseline"/>
                <w:lang w:val="en-US"/>
              </w:rPr>
              <w:t xml:space="preserve">Inhalation Toxicity</w:t>
            </w:r>
            <w:r>
              <w:rPr>
                <w:rFonts w:ascii="Times New Roman" w:hAnsi="Times New Roman" w:eastAsia="Times New Roman"/>
                <w:b w:val="true"/>
                <w:color w:val="000000"/>
                <w:spacing w:val="0"/>
                <w:w w:val="100"/>
                <w:sz w:val="18"/>
                <w:vertAlign w:val="superscript"/>
                <w:lang w:val="en-US"/>
              </w:rPr>
              <w:t xml:space="preserve">3</w:t>
            </w:r>
            <w:r>
              <w:rPr>
                <w:rFonts w:ascii="Times New Roman" w:hAnsi="Times New Roman" w:eastAsia="Times New Roman"/>
                <w:b w:val="true"/>
                <w:color w:val="000000"/>
                <w:spacing w:val="0"/>
                <w:w w:val="100"/>
                <w:sz w:val="12"/>
                <w:vertAlign w:val="baseline"/>
                <w:lang w:val="en-US"/>
              </w:rPr>
              <w:t xml:space="preserve">
</w:t>
            </w:r>
          </w:p>
        </w:tc>
      </w:tr>
      <w:tr>
        <w:trPr>
          <w:trHeight w:val="269" w:hRule="exact"/>
        </w:trPr>
        <w:tc>
          <w:tcPr>
            <w:tcW w:w="1336" w:type="dxa"/>
            <w:tcBorders>
              <w:top w:val="none"/>
              <w:left w:val="none"/>
              <w:bottom w:val="single" w:sz="5" w:color="000000"/>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1632" w:type="dxa"/>
            <w:tcBorders>
              <w:top w:val="none"/>
              <w:left w:val="none"/>
              <w:bottom w:val="single" w:sz="5" w:color="000000"/>
              <w:right w:val="none"/>
            </w:tcBorders>
            <w:textDirection w:val="lrTb"/>
            <w:vAlign w:val="center"/>
          </w:tcPr>
          <w:p>
            <w:pPr>
              <w:spacing w:before="0" w:after="47" w:line="210" w:lineRule="exact"/>
              <w:ind w:right="0" w:left="312" w:firstLine="0"/>
              <w:jc w:val="left"/>
              <w:textAlignment w:val="baseline"/>
              <w:rPr>
                <w:rFonts w:ascii="Times New Roman" w:hAnsi="Times New Roman" w:eastAsia="Times New Roman"/>
                <w:b w:val="true"/>
                <w:color w:val="000000"/>
                <w:spacing w:val="0"/>
                <w:w w:val="100"/>
                <w:sz w:val="18"/>
                <w:vertAlign w:val="baseline"/>
                <w:lang w:val="en-US"/>
              </w:rPr>
            </w:pPr>
            <w:r>
              <w:rPr>
                <w:rFonts w:ascii="Times New Roman" w:hAnsi="Times New Roman" w:eastAsia="Times New Roman"/>
                <w:b w:val="true"/>
                <w:color w:val="000000"/>
                <w:spacing w:val="0"/>
                <w:w w:val="100"/>
                <w:sz w:val="18"/>
                <w:vertAlign w:val="baseline"/>
                <w:lang w:val="en-US"/>
              </w:rPr>
              <w:t xml:space="preserve">LD</w:t>
            </w:r>
            <w:r>
              <w:rPr>
                <w:rFonts w:ascii="Times New Roman" w:hAnsi="Times New Roman" w:eastAsia="Times New Roman"/>
                <w:b w:val="true"/>
                <w:color w:val="000000"/>
                <w:spacing w:val="0"/>
                <w:w w:val="100"/>
                <w:sz w:val="12"/>
                <w:vertAlign w:val="baseline"/>
                <w:lang w:val="en-US"/>
              </w:rPr>
              <w:t xml:space="preserve">50 </w:t>
            </w:r>
            <w:r>
              <w:rPr>
                <w:rFonts w:ascii="Times New Roman" w:hAnsi="Times New Roman" w:eastAsia="Times New Roman"/>
                <w:b w:val="true"/>
                <w:color w:val="000000"/>
                <w:spacing w:val="0"/>
                <w:w w:val="100"/>
                <w:sz w:val="18"/>
                <w:vertAlign w:val="baseline"/>
                <w:lang w:val="en-US"/>
              </w:rPr>
              <w:t xml:space="preserve">(mg/kg)</w:t>
            </w:r>
          </w:p>
        </w:tc>
        <w:tc>
          <w:tcPr>
            <w:tcW w:w="1699" w:type="dxa"/>
            <w:tcBorders>
              <w:top w:val="none"/>
              <w:left w:val="none"/>
              <w:bottom w:val="single" w:sz="5" w:color="000000"/>
              <w:right w:val="none"/>
            </w:tcBorders>
            <w:textDirection w:val="lrTb"/>
            <w:vAlign w:val="center"/>
          </w:tcPr>
          <w:p>
            <w:pPr>
              <w:spacing w:before="0" w:after="47" w:line="210" w:lineRule="exact"/>
              <w:ind w:right="0" w:left="206" w:firstLine="0"/>
              <w:jc w:val="left"/>
              <w:textAlignment w:val="baseline"/>
              <w:rPr>
                <w:rFonts w:ascii="Times New Roman" w:hAnsi="Times New Roman" w:eastAsia="Times New Roman"/>
                <w:b w:val="true"/>
                <w:color w:val="000000"/>
                <w:spacing w:val="0"/>
                <w:w w:val="100"/>
                <w:sz w:val="18"/>
                <w:vertAlign w:val="baseline"/>
                <w:lang w:val="en-US"/>
              </w:rPr>
            </w:pPr>
            <w:r>
              <w:rPr>
                <w:rFonts w:ascii="Times New Roman" w:hAnsi="Times New Roman" w:eastAsia="Times New Roman"/>
                <w:b w:val="true"/>
                <w:color w:val="000000"/>
                <w:spacing w:val="0"/>
                <w:w w:val="100"/>
                <w:sz w:val="18"/>
                <w:vertAlign w:val="baseline"/>
                <w:lang w:val="en-US"/>
              </w:rPr>
              <w:t xml:space="preserve">LD</w:t>
            </w:r>
            <w:r>
              <w:rPr>
                <w:rFonts w:ascii="Times New Roman" w:hAnsi="Times New Roman" w:eastAsia="Times New Roman"/>
                <w:b w:val="true"/>
                <w:color w:val="000000"/>
                <w:spacing w:val="0"/>
                <w:w w:val="100"/>
                <w:sz w:val="12"/>
                <w:vertAlign w:val="baseline"/>
                <w:lang w:val="en-US"/>
              </w:rPr>
              <w:t xml:space="preserve">50 </w:t>
            </w:r>
            <w:r>
              <w:rPr>
                <w:rFonts w:ascii="Times New Roman" w:hAnsi="Times New Roman" w:eastAsia="Times New Roman"/>
                <w:b w:val="true"/>
                <w:color w:val="000000"/>
                <w:spacing w:val="0"/>
                <w:w w:val="100"/>
                <w:sz w:val="18"/>
                <w:vertAlign w:val="baseline"/>
                <w:lang w:val="en-US"/>
              </w:rPr>
              <w:t xml:space="preserve">(mg/kg)</w:t>
            </w:r>
          </w:p>
        </w:tc>
        <w:tc>
          <w:tcPr>
            <w:tcW w:w="1741" w:type="dxa"/>
            <w:tcBorders>
              <w:top w:val="none"/>
              <w:left w:val="none"/>
              <w:bottom w:val="single" w:sz="5" w:color="000000"/>
              <w:right w:val="none"/>
            </w:tcBorders>
            <w:textDirection w:val="lrTb"/>
            <w:vAlign w:val="center"/>
          </w:tcPr>
          <w:p>
            <w:pPr>
              <w:spacing w:before="0" w:after="47" w:line="210" w:lineRule="exact"/>
              <w:ind w:right="0" w:left="173" w:firstLine="0"/>
              <w:jc w:val="left"/>
              <w:textAlignment w:val="baseline"/>
              <w:rPr>
                <w:rFonts w:ascii="Times New Roman" w:hAnsi="Times New Roman" w:eastAsia="Times New Roman"/>
                <w:b w:val="true"/>
                <w:color w:val="000000"/>
                <w:spacing w:val="0"/>
                <w:w w:val="100"/>
                <w:sz w:val="18"/>
                <w:vertAlign w:val="baseline"/>
                <w:lang w:val="en-US"/>
              </w:rPr>
            </w:pPr>
            <w:r>
              <w:rPr>
                <w:rFonts w:ascii="Times New Roman" w:hAnsi="Times New Roman" w:eastAsia="Times New Roman"/>
                <w:b w:val="true"/>
                <w:color w:val="000000"/>
                <w:spacing w:val="0"/>
                <w:w w:val="100"/>
                <w:sz w:val="18"/>
                <w:vertAlign w:val="baseline"/>
                <w:lang w:val="en-US"/>
              </w:rPr>
              <w:t xml:space="preserve">LC</w:t>
            </w:r>
            <w:r>
              <w:rPr>
                <w:rFonts w:ascii="Times New Roman" w:hAnsi="Times New Roman" w:eastAsia="Times New Roman"/>
                <w:b w:val="true"/>
                <w:color w:val="000000"/>
                <w:spacing w:val="0"/>
                <w:w w:val="100"/>
                <w:sz w:val="12"/>
                <w:vertAlign w:val="baseline"/>
                <w:lang w:val="en-US"/>
              </w:rPr>
              <w:t xml:space="preserve">50 </w:t>
            </w:r>
            <w:r>
              <w:rPr>
                <w:rFonts w:ascii="Times New Roman" w:hAnsi="Times New Roman" w:eastAsia="Times New Roman"/>
                <w:b w:val="true"/>
                <w:color w:val="000000"/>
                <w:spacing w:val="0"/>
                <w:w w:val="100"/>
                <w:sz w:val="18"/>
                <w:vertAlign w:val="baseline"/>
                <w:lang w:val="en-US"/>
              </w:rPr>
              <w:t xml:space="preserve">(mg/L)</w:t>
            </w:r>
          </w:p>
        </w:tc>
      </w:tr>
      <w:tr>
        <w:trPr>
          <w:trHeight w:val="365" w:hRule="exact"/>
        </w:trPr>
        <w:tc>
          <w:tcPr>
            <w:tcW w:w="1336" w:type="dxa"/>
            <w:tcBorders>
              <w:top w:val="single" w:sz="5" w:color="000000"/>
              <w:left w:val="none"/>
              <w:bottom w:val="none"/>
              <w:right w:val="none"/>
            </w:tcBorders>
            <w:textDirection w:val="lrTb"/>
            <w:vAlign w:val="center"/>
          </w:tcPr>
          <w:p>
            <w:pPr>
              <w:spacing w:before="86" w:after="40" w:line="229" w:lineRule="exact"/>
              <w:ind w:right="0" w:left="11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Very Toxic</w:t>
            </w:r>
          </w:p>
        </w:tc>
        <w:tc>
          <w:tcPr>
            <w:tcW w:w="1632" w:type="dxa"/>
            <w:tcBorders>
              <w:top w:val="single" w:sz="5" w:color="000000"/>
              <w:left w:val="none"/>
              <w:bottom w:val="none"/>
              <w:right w:val="none"/>
            </w:tcBorders>
            <w:textDirection w:val="lrTb"/>
            <w:vAlign w:val="center"/>
          </w:tcPr>
          <w:p>
            <w:pPr>
              <w:spacing w:before="92" w:after="34" w:line="229" w:lineRule="exact"/>
              <w:ind w:right="0" w:left="31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LD</w:t>
            </w:r>
            <w:r>
              <w:rPr>
                <w:rFonts w:ascii="Times New Roman" w:hAnsi="Times New Roman" w:eastAsia="Times New Roman"/>
                <w:color w:val="000000"/>
                <w:spacing w:val="0"/>
                <w:w w:val="100"/>
                <w:sz w:val="13"/>
                <w:vertAlign w:val="baseline"/>
                <w:lang w:val="en-US"/>
              </w:rPr>
              <w:t xml:space="preserve">50 </w:t>
            </w:r>
            <w:r>
              <w:rPr>
                <w:rFonts w:ascii="Times New Roman" w:hAnsi="Times New Roman" w:eastAsia="Times New Roman"/>
                <w:color w:val="000000"/>
                <w:spacing w:val="0"/>
                <w:w w:val="100"/>
                <w:sz w:val="20"/>
                <w:vertAlign w:val="baseline"/>
                <w:lang w:val="en-US"/>
              </w:rPr>
              <w:t xml:space="preserve">≤ 5</w:t>
            </w:r>
          </w:p>
        </w:tc>
        <w:tc>
          <w:tcPr>
            <w:tcW w:w="1699" w:type="dxa"/>
            <w:tcBorders>
              <w:top w:val="single" w:sz="5" w:color="000000"/>
              <w:left w:val="none"/>
              <w:bottom w:val="none"/>
              <w:right w:val="none"/>
            </w:tcBorders>
            <w:textDirection w:val="lrTb"/>
            <w:vAlign w:val="center"/>
          </w:tcPr>
          <w:p>
            <w:pPr>
              <w:spacing w:before="91" w:after="35" w:line="229" w:lineRule="exact"/>
              <w:ind w:right="0" w:left="20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LD</w:t>
            </w:r>
            <w:r>
              <w:rPr>
                <w:rFonts w:ascii="Times New Roman" w:hAnsi="Times New Roman" w:eastAsia="Times New Roman"/>
                <w:color w:val="000000"/>
                <w:spacing w:val="0"/>
                <w:w w:val="100"/>
                <w:sz w:val="13"/>
                <w:vertAlign w:val="baseline"/>
                <w:lang w:val="en-US"/>
              </w:rPr>
              <w:t xml:space="preserve">50 </w:t>
            </w:r>
            <w:r>
              <w:rPr>
                <w:rFonts w:ascii="Times New Roman" w:hAnsi="Times New Roman" w:eastAsia="Times New Roman"/>
                <w:color w:val="000000"/>
                <w:spacing w:val="0"/>
                <w:w w:val="100"/>
                <w:sz w:val="20"/>
                <w:vertAlign w:val="baseline"/>
                <w:lang w:val="en-US"/>
              </w:rPr>
              <w:t xml:space="preserve">≤ 40</w:t>
            </w:r>
          </w:p>
        </w:tc>
        <w:tc>
          <w:tcPr>
            <w:tcW w:w="1741" w:type="dxa"/>
            <w:tcBorders>
              <w:top w:val="single" w:sz="5" w:color="000000"/>
              <w:left w:val="none"/>
              <w:bottom w:val="none"/>
              <w:right w:val="none"/>
            </w:tcBorders>
            <w:textDirection w:val="lrTb"/>
            <w:vAlign w:val="center"/>
          </w:tcPr>
          <w:p>
            <w:pPr>
              <w:spacing w:before="90" w:after="36" w:line="229" w:lineRule="exact"/>
              <w:ind w:right="0" w:left="173"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LC</w:t>
            </w:r>
            <w:r>
              <w:rPr>
                <w:rFonts w:ascii="Times New Roman" w:hAnsi="Times New Roman" w:eastAsia="Times New Roman"/>
                <w:color w:val="000000"/>
                <w:spacing w:val="0"/>
                <w:w w:val="100"/>
                <w:sz w:val="13"/>
                <w:vertAlign w:val="baseline"/>
                <w:lang w:val="en-US"/>
              </w:rPr>
              <w:t xml:space="preserve">50 </w:t>
            </w:r>
            <w:r>
              <w:rPr>
                <w:rFonts w:ascii="Times New Roman" w:hAnsi="Times New Roman" w:eastAsia="Times New Roman"/>
                <w:color w:val="000000"/>
                <w:spacing w:val="0"/>
                <w:w w:val="100"/>
                <w:sz w:val="20"/>
                <w:vertAlign w:val="baseline"/>
                <w:lang w:val="en-US"/>
              </w:rPr>
              <w:t xml:space="preserve">≤ 0·5</w:t>
            </w:r>
          </w:p>
        </w:tc>
      </w:tr>
      <w:tr>
        <w:trPr>
          <w:trHeight w:val="351" w:hRule="exact"/>
        </w:trPr>
        <w:tc>
          <w:tcPr>
            <w:tcW w:w="1336" w:type="dxa"/>
            <w:tcBorders>
              <w:top w:val="none"/>
              <w:left w:val="none"/>
              <w:bottom w:val="single" w:sz="5" w:color="000000"/>
              <w:right w:val="none"/>
            </w:tcBorders>
            <w:textDirection w:val="lrTb"/>
            <w:vAlign w:val="center"/>
          </w:tcPr>
          <w:p>
            <w:pPr>
              <w:spacing w:before="71" w:after="50" w:line="229" w:lineRule="exact"/>
              <w:ind w:right="0" w:left="11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Toxic</w:t>
            </w:r>
          </w:p>
        </w:tc>
        <w:tc>
          <w:tcPr>
            <w:tcW w:w="1632" w:type="dxa"/>
            <w:tcBorders>
              <w:top w:val="none"/>
              <w:left w:val="none"/>
              <w:bottom w:val="single" w:sz="5" w:color="000000"/>
              <w:right w:val="none"/>
            </w:tcBorders>
            <w:textDirection w:val="lrTb"/>
            <w:vAlign w:val="center"/>
          </w:tcPr>
          <w:p>
            <w:pPr>
              <w:spacing w:before="75" w:after="46" w:line="229" w:lineRule="exact"/>
              <w:ind w:right="0" w:left="31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 &lt; LD</w:t>
            </w:r>
            <w:r>
              <w:rPr>
                <w:rFonts w:ascii="Times New Roman" w:hAnsi="Times New Roman" w:eastAsia="Times New Roman"/>
                <w:color w:val="000000"/>
                <w:spacing w:val="0"/>
                <w:w w:val="100"/>
                <w:sz w:val="13"/>
                <w:vertAlign w:val="baseline"/>
                <w:lang w:val="en-US"/>
              </w:rPr>
              <w:t xml:space="preserve">50 </w:t>
            </w:r>
            <w:r>
              <w:rPr>
                <w:rFonts w:ascii="Times New Roman" w:hAnsi="Times New Roman" w:eastAsia="Times New Roman"/>
                <w:color w:val="000000"/>
                <w:spacing w:val="0"/>
                <w:w w:val="100"/>
                <w:sz w:val="20"/>
                <w:vertAlign w:val="baseline"/>
                <w:lang w:val="en-US"/>
              </w:rPr>
              <w:t xml:space="preserve">≤ 50</w:t>
            </w:r>
          </w:p>
        </w:tc>
        <w:tc>
          <w:tcPr>
            <w:tcW w:w="1699" w:type="dxa"/>
            <w:tcBorders>
              <w:top w:val="none"/>
              <w:left w:val="none"/>
              <w:bottom w:val="single" w:sz="5" w:color="000000"/>
              <w:right w:val="none"/>
            </w:tcBorders>
            <w:textDirection w:val="lrTb"/>
            <w:vAlign w:val="center"/>
          </w:tcPr>
          <w:p>
            <w:pPr>
              <w:spacing w:before="74" w:after="47" w:line="229" w:lineRule="exact"/>
              <w:ind w:right="0" w:left="206"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40 &lt; LD</w:t>
            </w:r>
            <w:r>
              <w:rPr>
                <w:rFonts w:ascii="Times New Roman" w:hAnsi="Times New Roman" w:eastAsia="Times New Roman"/>
                <w:color w:val="000000"/>
                <w:spacing w:val="0"/>
                <w:w w:val="100"/>
                <w:sz w:val="13"/>
                <w:vertAlign w:val="baseline"/>
                <w:lang w:val="en-US"/>
              </w:rPr>
              <w:t xml:space="preserve">50 </w:t>
            </w:r>
            <w:r>
              <w:rPr>
                <w:rFonts w:ascii="Times New Roman" w:hAnsi="Times New Roman" w:eastAsia="Times New Roman"/>
                <w:color w:val="000000"/>
                <w:spacing w:val="0"/>
                <w:w w:val="100"/>
                <w:sz w:val="20"/>
                <w:vertAlign w:val="baseline"/>
                <w:lang w:val="en-US"/>
              </w:rPr>
              <w:t xml:space="preserve">≤ 200</w:t>
            </w:r>
          </w:p>
        </w:tc>
        <w:tc>
          <w:tcPr>
            <w:tcW w:w="1741" w:type="dxa"/>
            <w:tcBorders>
              <w:top w:val="none"/>
              <w:left w:val="none"/>
              <w:bottom w:val="single" w:sz="5" w:color="000000"/>
              <w:right w:val="none"/>
            </w:tcBorders>
            <w:textDirection w:val="lrTb"/>
            <w:vAlign w:val="center"/>
          </w:tcPr>
          <w:p>
            <w:pPr>
              <w:spacing w:before="74" w:after="47" w:line="229" w:lineRule="exact"/>
              <w:ind w:right="0" w:left="173"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0·5 &lt; LC</w:t>
            </w:r>
            <w:r>
              <w:rPr>
                <w:rFonts w:ascii="Times New Roman" w:hAnsi="Times New Roman" w:eastAsia="Times New Roman"/>
                <w:color w:val="000000"/>
                <w:spacing w:val="0"/>
                <w:w w:val="100"/>
                <w:sz w:val="13"/>
                <w:vertAlign w:val="baseline"/>
                <w:lang w:val="en-US"/>
              </w:rPr>
              <w:t xml:space="preserve">50 </w:t>
            </w:r>
            <w:r>
              <w:rPr>
                <w:rFonts w:ascii="Times New Roman" w:hAnsi="Times New Roman" w:eastAsia="Times New Roman"/>
                <w:color w:val="000000"/>
                <w:spacing w:val="0"/>
                <w:w w:val="100"/>
                <w:sz w:val="20"/>
                <w:vertAlign w:val="baseline"/>
                <w:lang w:val="en-US"/>
              </w:rPr>
              <w:t xml:space="preserve">≤ 2</w:t>
            </w:r>
          </w:p>
        </w:tc>
      </w:tr>
    </w:tbl>
    <w:p>
      <w:pPr>
        <w:spacing w:before="0" w:after="118" w:line="20" w:lineRule="exact"/>
      </w:pPr>
    </w:p>
    <w:p>
      <w:pPr>
        <w:spacing w:before="4" w:after="0" w:line="230" w:lineRule="exact"/>
        <w:ind w:right="0" w:left="72"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Key</w:t>
      </w:r>
    </w:p>
    <w:p>
      <w:pPr>
        <w:tabs>
          <w:tab w:val="left" w:leader="none" w:pos="504"/>
        </w:tabs>
        <w:spacing w:before="121" w:after="0" w:line="229"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In rats</w:t>
      </w:r>
    </w:p>
    <w:p>
      <w:pPr>
        <w:tabs>
          <w:tab w:val="left" w:leader="none" w:pos="504"/>
        </w:tabs>
        <w:spacing w:before="121" w:after="0" w:line="229"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In rats or rabbits</w:t>
      </w:r>
    </w:p>
    <w:p>
      <w:pPr>
        <w:tabs>
          <w:tab w:val="left" w:leader="none" w:pos="504"/>
        </w:tabs>
        <w:spacing w:before="122" w:after="9247" w:line="229"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	</w:t>
      </w:r>
      <w:r>
        <w:rPr>
          <w:rFonts w:ascii="Times New Roman" w:hAnsi="Times New Roman" w:eastAsia="Times New Roman"/>
          <w:color w:val="000000"/>
          <w:spacing w:val="0"/>
          <w:w w:val="100"/>
          <w:sz w:val="20"/>
          <w:vertAlign w:val="baseline"/>
          <w:lang w:val="en-US"/>
        </w:rPr>
        <w:t xml:space="preserve">4 hours in rats</w:t>
      </w:r>
    </w:p>
    <w:p>
      <w:pPr>
        <w:spacing w:before="333"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5.05pt,0.3pt" style="position:absolute;mso-position-horizontal-relative:text;mso-position-vertical-relative:text;">
            <v:stroke dashstyle="solid"/>
          </v:line>
        </w:pict>
      </w:r>
    </w:p>
    <w:p>
      <w:pPr>
        <w:sectPr>
          <w:type w:val="nextPage"/>
          <w:pgSz w:w="11909" w:h="16838" w:orient="portrait"/>
          <w:pgMar w:bottom="1082" w:top="1140" w:right="1900" w:left="190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488</w:t>
      </w:r>
    </w:p>
    <w:p>
      <w:pPr>
        <w:sectPr>
          <w:type w:val="continuous"/>
          <w:pgSz w:w="11909" w:h="16838" w:orient="portrait"/>
          <w:pgMar w:bottom="1082" w:top="1140" w:right="5814" w:left="1975" w:header="720" w:footer="720"/>
          <w:titlePg w:val="false"/>
          <w:textDirection w:val="lrTb"/>
        </w:sectPr>
      </w:pPr>
    </w:p>
    <w:p>
      <w:pPr>
        <w:spacing w:before="6" w:after="0" w:line="228" w:lineRule="exact"/>
        <w:ind w:right="36"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spacing w:before="233" w:after="224" w:line="228" w:lineRule="exact"/>
        <w:ind w:right="36"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Schedule 16 Matters to be included in emergency plan for major hazard facility</w:t>
      </w:r>
    </w:p>
    <w:p>
      <w:pPr>
        <w:spacing w:before="254" w:after="0" w:line="321" w:lineRule="exact"/>
        <w:ind w:right="216" w:left="1584" w:hanging="1512"/>
        <w:jc w:val="left"/>
        <w:textAlignment w:val="baseline"/>
        <w:rPr>
          <w:rFonts w:ascii="Times New Roman" w:hAnsi="Times New Roman" w:eastAsia="Times New Roman"/>
          <w:b w:val="true"/>
          <w:color w:val="000000"/>
          <w:spacing w:val="0"/>
          <w:w w:val="100"/>
          <w:sz w:val="28"/>
          <w:vertAlign w:val="baseline"/>
          <w:lang w:val="en-US"/>
        </w:rPr>
      </w:pPr>
      <w:r>
        <w:pict>
          <v:line strokeweight="0.5pt" strokecolor="#000000" from="95.45pt,103.9pt" to="500.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8"/>
          <w:vertAlign w:val="baseline"/>
          <w:lang w:val="en-US"/>
        </w:rPr>
        <w:t xml:space="preserve">Schedule 16 Matters to be included in emergency plan for major hazard facility</w:t>
      </w:r>
    </w:p>
    <w:p>
      <w:pPr>
        <w:spacing w:before="122" w:after="0" w:line="228" w:lineRule="exact"/>
        <w:ind w:right="36" w:left="72"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Regulation 557</w:t>
      </w:r>
    </w:p>
    <w:p>
      <w:pPr>
        <w:spacing w:before="119" w:after="0" w:line="274" w:lineRule="exact"/>
        <w:ind w:right="36" w:left="36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 Site and hazard detail</w:t>
      </w:r>
    </w:p>
    <w:p>
      <w:pPr>
        <w:spacing w:before="123" w:after="0" w:line="274" w:lineRule="exact"/>
        <w:ind w:right="648" w:left="144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1.1 The location of the facility, including its street address and the nearest intersection (if any).</w:t>
      </w:r>
    </w:p>
    <w:p>
      <w:pPr>
        <w:spacing w:before="129" w:after="0" w:line="225" w:lineRule="exact"/>
        <w:ind w:right="36" w:left="144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Note</w:t>
      </w:r>
    </w:p>
    <w:p>
      <w:pPr>
        <w:spacing w:before="117" w:after="0" w:line="231" w:lineRule="exact"/>
        <w:ind w:right="216" w:left="1440" w:firstLine="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Sufficient detail must be provided to enable a person not familiar with the site to find it.</w:t>
      </w:r>
    </w:p>
    <w:p>
      <w:pPr>
        <w:spacing w:before="119" w:after="0" w:line="273" w:lineRule="exact"/>
        <w:ind w:right="36"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1.2 A map:</w:t>
      </w:r>
    </w:p>
    <w:p>
      <w:pPr>
        <w:numPr>
          <w:ilvl w:val="0"/>
          <w:numId w:val="1148"/>
        </w:numPr>
        <w:tabs>
          <w:tab w:val="clear" w:pos="360"/>
          <w:tab w:val="left" w:pos="1944"/>
        </w:tabs>
        <w:spacing w:before="125" w:after="0" w:line="273" w:lineRule="exact"/>
        <w:ind w:right="36"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showing the site of the major hazard facility; and</w:t>
      </w:r>
    </w:p>
    <w:p>
      <w:pPr>
        <w:numPr>
          <w:ilvl w:val="0"/>
          <w:numId w:val="1148"/>
        </w:numPr>
        <w:tabs>
          <w:tab w:val="clear" w:pos="360"/>
          <w:tab w:val="left" w:pos="1944"/>
        </w:tabs>
        <w:spacing w:before="118" w:after="0" w:line="276" w:lineRule="exact"/>
        <w:ind w:right="36"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showing land use and occupancy in the surrounding area, and any other closely located major hazard facilities and hazardous chemical storage sites; and</w:t>
      </w:r>
    </w:p>
    <w:p>
      <w:pPr>
        <w:numPr>
          <w:ilvl w:val="0"/>
          <w:numId w:val="1148"/>
        </w:numPr>
        <w:tabs>
          <w:tab w:val="clear" w:pos="360"/>
          <w:tab w:val="left" w:pos="1944"/>
        </w:tabs>
        <w:spacing w:before="122" w:after="0" w:line="276" w:lineRule="exact"/>
        <w:ind w:right="360"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identifying all potentially hazardous inventories in the area that are known to the operator and the location of all staging points for emergency service organisations.</w:t>
      </w:r>
    </w:p>
    <w:p>
      <w:pPr>
        <w:spacing w:before="116" w:after="0" w:line="278" w:lineRule="exact"/>
        <w:ind w:right="576" w:left="144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1.3 An inventory of all hazardous chemicals present or likely to be present at the facility, and their location.</w:t>
      </w:r>
    </w:p>
    <w:p>
      <w:pPr>
        <w:spacing w:before="121" w:after="0" w:line="273" w:lineRule="exact"/>
        <w:ind w:right="36"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1.4 A brief description of the nature of the facility and its operation.</w:t>
      </w:r>
    </w:p>
    <w:p>
      <w:pPr>
        <w:spacing w:before="124" w:after="0" w:line="274" w:lineRule="exact"/>
        <w:ind w:right="360" w:left="1440" w:hanging="432"/>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1.5 The maximum number of persons, including workers, likely to be present at the facility on a normal working day.</w:t>
      </w:r>
    </w:p>
    <w:p>
      <w:pPr>
        <w:spacing w:before="124" w:after="0" w:line="274" w:lineRule="exact"/>
        <w:ind w:right="216" w:left="1440" w:hanging="432"/>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1.6 The emergency planning assumptions, including emergency measures planned for identified incidents and likely areas affected.</w:t>
      </w:r>
    </w:p>
    <w:p>
      <w:pPr>
        <w:spacing w:before="4" w:after="0" w:line="394" w:lineRule="exact"/>
        <w:ind w:right="1224"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1.7 The protective resources available to control an incident. 1.8 The emergency response procedures.</w:t>
      </w:r>
    </w:p>
    <w:p>
      <w:pPr>
        <w:spacing w:before="124" w:after="0" w:line="274" w:lineRule="exact"/>
        <w:ind w:right="432" w:left="144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1.9 The infrastructure (on-site and off-site) likely to be affected by a major incident.</w:t>
      </w:r>
    </w:p>
    <w:p>
      <w:pPr>
        <w:spacing w:before="125" w:after="0" w:line="274" w:lineRule="exact"/>
        <w:ind w:right="36" w:left="36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 Command structure and site personnel</w:t>
      </w:r>
    </w:p>
    <w:p>
      <w:pPr>
        <w:spacing w:before="117" w:after="0" w:line="276" w:lineRule="exact"/>
        <w:ind w:right="360" w:left="1440" w:hanging="432"/>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2.1 The command philosophy and structure to be activated in an emergency, so that it is clear what actions will be taken, who will take these actions and how, when and where they will be taken.</w:t>
      </w:r>
    </w:p>
    <w:p>
      <w:pPr>
        <w:spacing w:before="124" w:after="1257" w:line="274" w:lineRule="exact"/>
        <w:ind w:right="216" w:left="1440" w:hanging="432"/>
        <w:jc w:val="both"/>
        <w:textAlignment w:val="baseline"/>
        <w:rPr>
          <w:rFonts w:ascii="Times New Roman" w:hAnsi="Times New Roman" w:eastAsia="Times New Roman"/>
          <w:color w:val="000000"/>
          <w:spacing w:val="0"/>
          <w:w w:val="100"/>
          <w:sz w:val="24"/>
          <w:vertAlign w:val="baseline"/>
          <w:lang w:val="en-US"/>
        </w:rPr>
      </w:pPr>
      <w:r>
        <w:pict>
          <v:line strokeweight="0.5pt" strokecolor="#000000" from="95.45pt,728.15pt" to="500.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2.2 Details of the person who can clarify the content of the emergency plan if necessary.</w:t>
      </w:r>
    </w:p>
    <w:p>
      <w:pPr>
        <w:spacing w:before="124" w:after="1257" w:line="274" w:lineRule="exact"/>
        <w:sectPr>
          <w:type w:val="nextPage"/>
          <w:pgSz w:w="11909" w:h="16838" w:orient="portrait"/>
          <w:pgMar w:bottom="1082" w:top="1140" w:right="1900" w:left="190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489</w:t>
      </w:r>
    </w:p>
    <w:p>
      <w:pPr>
        <w:sectPr>
          <w:type w:val="continuous"/>
          <w:pgSz w:w="11909" w:h="16838" w:orient="portrait"/>
          <w:pgMar w:bottom="1082" w:top="1140" w:right="5812" w:left="1977" w:header="720" w:footer="720"/>
          <w:titlePg w:val="false"/>
          <w:textDirection w:val="lrTb"/>
        </w:sectPr>
      </w:pPr>
    </w:p>
    <w:p>
      <w:pPr>
        <w:spacing w:before="6" w:after="0" w:line="229"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spacing w:before="232" w:after="223" w:line="229"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Schedule 16 Matters to be included in emergency plan for major hazard facility</w:t>
      </w:r>
    </w:p>
    <w:p>
      <w:pPr>
        <w:spacing w:before="248" w:after="0" w:line="276" w:lineRule="exact"/>
        <w:ind w:right="288" w:left="1440" w:hanging="432"/>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5.45pt,103.9pt" to="500.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2.3 The contact details of, and the means of contacting, the persons at the facility responsible for liaising with emergency service organisations.</w:t>
      </w:r>
    </w:p>
    <w:p>
      <w:pPr>
        <w:spacing w:before="126"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2.4 A list of 24 hour emergency contacts.</w:t>
      </w:r>
    </w:p>
    <w:p>
      <w:pPr>
        <w:spacing w:before="114" w:after="0" w:line="279" w:lineRule="exact"/>
        <w:ind w:right="216" w:left="1440" w:hanging="432"/>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2.5 Arrangements for assisting emergency service organisations and nearby facilities with control actions taken in the surrounding area.</w:t>
      </w:r>
    </w:p>
    <w:p>
      <w:pPr>
        <w:spacing w:before="120" w:after="0" w:line="274" w:lineRule="exact"/>
        <w:ind w:right="0" w:left="36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3 Notifications</w:t>
      </w:r>
    </w:p>
    <w:p>
      <w:pPr>
        <w:spacing w:before="125" w:after="0" w:line="273" w:lineRule="exact"/>
        <w:ind w:right="360" w:left="144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3.1 In the event of the occurrence of a major incident or an event that could reasonably be expected to lead to a major incident,</w:t>
      </w:r>
    </w:p>
    <w:p>
      <w:pPr>
        <w:spacing w:before="6" w:after="0" w:line="273" w:lineRule="exact"/>
        <w:ind w:right="288" w:left="1440" w:firstLine="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procedures for notifying the emergency service organisations with which the emergency plan was prepared under regulation 557.</w:t>
      </w:r>
    </w:p>
    <w:p>
      <w:pPr>
        <w:spacing w:before="124" w:after="0" w:line="275" w:lineRule="exact"/>
        <w:ind w:right="216" w:left="144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3.2 After a major incident has occurred, procedures for providing the local community and the local authority for the local authority area in which the facility and the surrounding area are located with information about the major incident under regulation 573.</w:t>
      </w:r>
    </w:p>
    <w:p>
      <w:pPr>
        <w:spacing w:before="121"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3.3 On-site and off-site warning systems.</w:t>
      </w:r>
    </w:p>
    <w:p>
      <w:pPr>
        <w:spacing w:before="122" w:after="0" w:line="276" w:lineRule="exact"/>
        <w:ind w:right="504" w:left="1440" w:hanging="432"/>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3.4 Contact details for emergency service organisations and other support services that can assist in providing resources and implementing evacuation plans in the event of a major incident.</w:t>
      </w:r>
    </w:p>
    <w:p>
      <w:pPr>
        <w:spacing w:before="121"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3.5 On-site communication systems.</w:t>
      </w:r>
    </w:p>
    <w:p>
      <w:pPr>
        <w:spacing w:before="125" w:after="0" w:line="274" w:lineRule="exact"/>
        <w:ind w:right="0" w:left="36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4 Resources and equipment</w:t>
      </w:r>
    </w:p>
    <w:p>
      <w:pPr>
        <w:spacing w:before="119" w:after="0" w:line="276" w:lineRule="exact"/>
        <w:ind w:right="576" w:left="144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4.1 On-site emergency resources, including emergency equipment, personnel, gas detectors, wind velocity detectors, sand, lime, neutralising agents, absorbents, spill bins and decontamination equipment.</w:t>
      </w:r>
    </w:p>
    <w:p>
      <w:pPr>
        <w:spacing w:before="118" w:after="0" w:line="276" w:lineRule="exact"/>
        <w:ind w:right="72" w:left="144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4.2 Off-site emergency resources, including arrangements for obtaining additional external resources (specific to the likely major incidents) to assist the control of major incidents and major incident hazards.</w:t>
      </w:r>
    </w:p>
    <w:p>
      <w:pPr>
        <w:spacing w:before="125" w:after="0" w:line="274" w:lineRule="exact"/>
        <w:ind w:right="0" w:left="36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5 Procedures</w:t>
      </w:r>
    </w:p>
    <w:p>
      <w:pPr>
        <w:spacing w:before="115" w:after="0" w:line="278" w:lineRule="exact"/>
        <w:ind w:right="72" w:left="144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5.1 Procedures for the safe evacuation of, and accounting for, all people on site.</w:t>
      </w:r>
    </w:p>
    <w:p>
      <w:pPr>
        <w:spacing w:before="116" w:after="0" w:line="278" w:lineRule="exact"/>
        <w:ind w:right="216" w:left="144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5.2 Procedures and control points for utilities, including gas, water and electricity.</w:t>
      </w:r>
    </w:p>
    <w:p>
      <w:pPr>
        <w:spacing w:before="116" w:after="1368" w:line="278" w:lineRule="exact"/>
        <w:ind w:right="432" w:left="1440" w:hanging="432"/>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5.45pt,728.15pt" to="500.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5.3 Procedures for the control of any incident involving Schedule 15 chemicals.</w:t>
      </w:r>
    </w:p>
    <w:p>
      <w:pPr>
        <w:spacing w:before="116" w:after="1368" w:line="278" w:lineRule="exact"/>
        <w:sectPr>
          <w:type w:val="nextPage"/>
          <w:pgSz w:w="11909" w:h="16838" w:orient="portrait"/>
          <w:pgMar w:bottom="1082" w:top="1140" w:right="1900" w:left="190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490</w:t>
      </w:r>
    </w:p>
    <w:p>
      <w:pPr>
        <w:sectPr>
          <w:type w:val="continuous"/>
          <w:pgSz w:w="11909" w:h="16838" w:orient="portrait"/>
          <w:pgMar w:bottom="1082" w:top="1140" w:right="5812" w:left="1977" w:header="720" w:footer="720"/>
          <w:titlePg w:val="false"/>
          <w:textDirection w:val="lrTb"/>
        </w:sectPr>
      </w:pPr>
    </w:p>
    <w:p>
      <w:pPr>
        <w:spacing w:before="6" w:after="0" w:line="229"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spacing w:before="232" w:after="223" w:line="229"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Schedule 16 Matters to be included in emergency plan for major hazard facility</w:t>
      </w:r>
    </w:p>
    <w:p>
      <w:pPr>
        <w:spacing w:before="246" w:after="11668" w:line="279" w:lineRule="exact"/>
        <w:ind w:right="504" w:left="1440" w:hanging="432"/>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5.45pt,103.9pt" to="500.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5.4 Procedures for decontamination following an incident involving Schedule 15 chemicals.</w:t>
      </w:r>
    </w:p>
    <w:p>
      <w:pPr>
        <w:spacing w:before="333"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5.05pt,0.3pt" style="position:absolute;mso-position-horizontal-relative:text;mso-position-vertical-relative:text;">
            <v:stroke dashstyle="solid"/>
          </v:line>
        </w:pict>
      </w:r>
    </w:p>
    <w:p>
      <w:pPr>
        <w:sectPr>
          <w:type w:val="nextPage"/>
          <w:pgSz w:w="11909" w:h="16838" w:orient="portrait"/>
          <w:pgMar w:bottom="1082" w:top="1140" w:right="1900" w:left="190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491</w:t>
      </w:r>
    </w:p>
    <w:p>
      <w:pPr>
        <w:sectPr>
          <w:type w:val="continuous"/>
          <w:pgSz w:w="11909" w:h="16838" w:orient="portrait"/>
          <w:pgMar w:bottom="1082" w:top="1140" w:right="5819" w:left="1970" w:header="720" w:footer="720"/>
          <w:titlePg w:val="false"/>
          <w:textDirection w:val="lrTb"/>
        </w:sectPr>
      </w:pPr>
    </w:p>
    <w:p>
      <w:pPr>
        <w:spacing w:before="6" w:after="0" w:line="230"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spacing w:before="231" w:after="222" w:line="230" w:lineRule="exact"/>
        <w:ind w:right="432"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Schedule 17 Additional matters to be included in safety management system of major hazard facility</w:t>
      </w:r>
    </w:p>
    <w:p>
      <w:pPr>
        <w:spacing w:before="252" w:after="0" w:line="322" w:lineRule="exact"/>
        <w:ind w:right="1152" w:left="1584" w:hanging="1512"/>
        <w:jc w:val="left"/>
        <w:textAlignment w:val="baseline"/>
        <w:rPr>
          <w:rFonts w:ascii="Times New Roman" w:hAnsi="Times New Roman" w:eastAsia="Times New Roman"/>
          <w:b w:val="true"/>
          <w:color w:val="000000"/>
          <w:spacing w:val="0"/>
          <w:w w:val="100"/>
          <w:sz w:val="28"/>
          <w:vertAlign w:val="baseline"/>
          <w:lang w:val="en-US"/>
        </w:rPr>
      </w:pPr>
      <w:r>
        <w:pict>
          <v:line strokeweight="0.5pt" strokecolor="#000000" from="95.45pt,115.45pt" to="500.5pt,115.45pt" style="position:absolute;mso-position-horizontal-relative:page;mso-position-vertical-relative:page;">
            <v:stroke dashstyle="solid"/>
          </v:line>
        </w:pict>
      </w:r>
      <w:r>
        <w:rPr>
          <w:rFonts w:ascii="Times New Roman" w:hAnsi="Times New Roman" w:eastAsia="Times New Roman"/>
          <w:b w:val="true"/>
          <w:color w:val="000000"/>
          <w:spacing w:val="0"/>
          <w:w w:val="100"/>
          <w:sz w:val="28"/>
          <w:vertAlign w:val="baseline"/>
          <w:lang w:val="en-US"/>
        </w:rPr>
        <w:t xml:space="preserve">Schedule 17 Additional matters to be included in safety management system of major hazard facility</w:t>
      </w:r>
    </w:p>
    <w:p>
      <w:pPr>
        <w:spacing w:before="121" w:after="0" w:line="230" w:lineRule="exact"/>
        <w:ind w:right="0" w:left="72"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Regulation 558</w:t>
      </w:r>
    </w:p>
    <w:p>
      <w:pPr>
        <w:spacing w:before="117" w:after="0" w:line="274" w:lineRule="exact"/>
        <w:ind w:right="0" w:left="36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 Safety policy and safety objectives</w:t>
      </w:r>
    </w:p>
    <w:p>
      <w:pPr>
        <w:spacing w:before="124" w:after="0" w:line="275" w:lineRule="exact"/>
        <w:ind w:right="144" w:left="144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1.1 A description of the means by which the operator's safety policy and specific safety objectives are to be communicated to all persons who are to participate in the implementation of the safety management system.</w:t>
      </w:r>
    </w:p>
    <w:p>
      <w:pPr>
        <w:spacing w:before="126" w:after="0" w:line="273" w:lineRule="exact"/>
        <w:ind w:right="216" w:left="144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1.2 The safety policy must include an express commitment to ongoing improvement of all aspects of the safety management system.</w:t>
      </w:r>
    </w:p>
    <w:p>
      <w:pPr>
        <w:spacing w:before="125" w:after="0" w:line="274" w:lineRule="exact"/>
        <w:ind w:right="0" w:left="36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 Organisation and personnel</w:t>
      </w:r>
    </w:p>
    <w:p>
      <w:pPr>
        <w:spacing w:before="117" w:after="0" w:line="276" w:lineRule="exact"/>
        <w:ind w:right="216" w:left="144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2.1 The identification (according to position description and location) of the persons who are to participate in the implementation of the safety management system, and a description of the command structure in which these persons work and of the specific tasks and responsibilities allocated to them.</w:t>
      </w:r>
    </w:p>
    <w:p>
      <w:pPr>
        <w:spacing w:before="120" w:after="0" w:line="276" w:lineRule="exact"/>
        <w:ind w:right="288" w:left="144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2.2 A description of the means of ensuring that these persons have the knowledge and skills necessary to enable them to undertake their allocated tasks and discharge their allocated responsibilities, and that they retain such knowledge and skills.</w:t>
      </w:r>
    </w:p>
    <w:p>
      <w:pPr>
        <w:spacing w:before="120" w:after="0" w:line="274" w:lineRule="exact"/>
        <w:ind w:right="0" w:left="36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3 Operational controls</w:t>
      </w:r>
    </w:p>
    <w:p>
      <w:pPr>
        <w:spacing w:before="124" w:after="0" w:line="274"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3.1 A description of the procedures and instructions for:</w:t>
      </w:r>
    </w:p>
    <w:p>
      <w:pPr>
        <w:numPr>
          <w:ilvl w:val="0"/>
          <w:numId w:val="1149"/>
        </w:numPr>
        <w:tabs>
          <w:tab w:val="clear" w:pos="360"/>
          <w:tab w:val="left" w:pos="1944"/>
        </w:tabs>
        <w:spacing w:before="116" w:after="0" w:line="278" w:lineRule="exact"/>
        <w:ind w:right="648"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safe operation of plant (including as to inspection and maintenance); and</w:t>
      </w:r>
    </w:p>
    <w:p>
      <w:pPr>
        <w:numPr>
          <w:ilvl w:val="0"/>
          <w:numId w:val="1149"/>
        </w:numPr>
        <w:tabs>
          <w:tab w:val="clear" w:pos="360"/>
          <w:tab w:val="left" w:pos="1944"/>
        </w:tabs>
        <w:spacing w:before="120" w:after="0" w:line="274" w:lineRule="exact"/>
        <w:ind w:right="0"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mechanical integrity of plant; and</w:t>
      </w:r>
    </w:p>
    <w:p>
      <w:pPr>
        <w:numPr>
          <w:ilvl w:val="0"/>
          <w:numId w:val="1149"/>
        </w:numPr>
        <w:tabs>
          <w:tab w:val="clear" w:pos="360"/>
          <w:tab w:val="left" w:pos="1944"/>
        </w:tabs>
        <w:spacing w:before="124" w:after="0" w:line="274" w:lineRule="exact"/>
        <w:ind w:right="0"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plant processes; and</w:t>
      </w:r>
    </w:p>
    <w:p>
      <w:pPr>
        <w:numPr>
          <w:ilvl w:val="0"/>
          <w:numId w:val="1149"/>
        </w:numPr>
        <w:tabs>
          <w:tab w:val="clear" w:pos="360"/>
          <w:tab w:val="left" w:pos="1944"/>
        </w:tabs>
        <w:spacing w:before="116" w:after="0" w:line="278" w:lineRule="exact"/>
        <w:ind w:right="216"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control of abnormal operations and emergency shut down or decommissioning.</w:t>
      </w:r>
    </w:p>
    <w:p>
      <w:pPr>
        <w:spacing w:before="118" w:after="0" w:line="276" w:lineRule="exact"/>
        <w:ind w:right="288" w:left="144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3.2 Provision of adequate means of achieving isolation of the major hazard facility or any part of the major hazard facility in the event of an emergency.</w:t>
      </w:r>
    </w:p>
    <w:p>
      <w:pPr>
        <w:spacing w:before="122" w:after="1367" w:line="276" w:lineRule="exact"/>
        <w:ind w:right="432" w:left="1440" w:hanging="432"/>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5.45pt,728.15pt" to="500.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3.3 Provision of adequate means of gaining access for service and maintenance of the major hazard facility or any part of the major hazard facility.</w:t>
      </w:r>
    </w:p>
    <w:p>
      <w:pPr>
        <w:spacing w:before="122" w:after="1367" w:line="276" w:lineRule="exact"/>
        <w:sectPr>
          <w:type w:val="nextPage"/>
          <w:pgSz w:w="11909" w:h="16838" w:orient="portrait"/>
          <w:pgMar w:bottom="1082" w:top="1140" w:right="1900" w:left="190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492</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spacing w:before="231" w:after="222" w:line="230" w:lineRule="exact"/>
        <w:ind w:right="432"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Schedule 17 Additional matters to be included in safety management system of major hazard facility</w:t>
      </w:r>
    </w:p>
    <w:p>
      <w:pPr>
        <w:spacing w:before="251" w:after="0" w:line="273" w:lineRule="exact"/>
        <w:ind w:right="288" w:left="1440" w:hanging="432"/>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5.45pt,115.45pt" to="500.5pt,115.4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3.4 A description of the roles of persons and of the interfaces between persons and plant.</w:t>
      </w:r>
    </w:p>
    <w:p>
      <w:pPr>
        <w:spacing w:before="126"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3.5 Provision for alarm systems.</w:t>
      </w:r>
    </w:p>
    <w:p>
      <w:pPr>
        <w:spacing w:before="120" w:after="0" w:line="274" w:lineRule="exact"/>
        <w:ind w:right="0" w:left="36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4 Duties of operators</w:t>
      </w:r>
    </w:p>
    <w:p>
      <w:pPr>
        <w:spacing w:before="122" w:after="0" w:line="276" w:lineRule="exact"/>
        <w:ind w:right="360" w:left="144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4.1 A description of the means by which the operator proposes to comply with the Act and with Division 3 of Part 9.3, Part 9.4 and Part 9.5 of these Regulations.</w:t>
      </w:r>
    </w:p>
    <w:p>
      <w:pPr>
        <w:spacing w:before="116" w:after="0" w:line="277" w:lineRule="exact"/>
        <w:ind w:right="216" w:left="144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4.2 In relation to each part of the documented safety management system that describes the means of compliance with a provision of Chapter 9, an annotation or cross-reference identifying the specific provision being complied with.</w:t>
      </w:r>
    </w:p>
    <w:p>
      <w:pPr>
        <w:spacing w:before="120" w:after="0" w:line="274" w:lineRule="exact"/>
        <w:ind w:right="0" w:left="36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5 Management of change</w:t>
      </w:r>
    </w:p>
    <w:p>
      <w:pPr>
        <w:spacing w:before="125" w:after="0" w:line="273" w:lineRule="exact"/>
        <w:ind w:right="144" w:left="1440"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description of the procedures for planning modifications to major hazard facilities.</w:t>
      </w:r>
    </w:p>
    <w:p>
      <w:pPr>
        <w:spacing w:before="126" w:after="0" w:line="274" w:lineRule="exact"/>
        <w:ind w:right="0" w:left="36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6 Principles and standards</w:t>
      </w:r>
    </w:p>
    <w:p>
      <w:pPr>
        <w:spacing w:before="116" w:after="0" w:line="276" w:lineRule="exact"/>
        <w:ind w:right="72" w:left="144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6.1 A statement of the principles, especially the design principles and engineering standards, being used to ensure the safe operation of the major hazard facility.</w:t>
      </w:r>
    </w:p>
    <w:p>
      <w:pPr>
        <w:spacing w:before="123" w:after="0" w:line="276" w:lineRule="exact"/>
        <w:ind w:right="648" w:left="144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6.2 A description of any technical standards, whether published or proprietary, being relied on in relation to such principles and standards.</w:t>
      </w:r>
    </w:p>
    <w:p>
      <w:pPr>
        <w:spacing w:before="120" w:after="0" w:line="274" w:lineRule="exact"/>
        <w:ind w:right="0" w:left="36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7 Performance monitoring</w:t>
      </w:r>
    </w:p>
    <w:p>
      <w:pPr>
        <w:spacing w:before="125" w:after="0" w:line="273" w:lineRule="exact"/>
        <w:ind w:right="144" w:left="1440" w:hanging="432"/>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7.1 Performance standards for measuring the effectiveness of the safety management system, that:</w:t>
      </w:r>
    </w:p>
    <w:p>
      <w:pPr>
        <w:numPr>
          <w:ilvl w:val="0"/>
          <w:numId w:val="1150"/>
        </w:numPr>
        <w:tabs>
          <w:tab w:val="clear" w:pos="360"/>
          <w:tab w:val="left" w:pos="1944"/>
        </w:tabs>
        <w:spacing w:before="126" w:after="0" w:line="273" w:lineRule="exact"/>
        <w:ind w:right="0"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relate to all aspects of the safety management system; and</w:t>
      </w:r>
    </w:p>
    <w:p>
      <w:pPr>
        <w:numPr>
          <w:ilvl w:val="0"/>
          <w:numId w:val="1150"/>
        </w:numPr>
        <w:tabs>
          <w:tab w:val="clear" w:pos="360"/>
          <w:tab w:val="left" w:pos="1944"/>
        </w:tabs>
        <w:spacing w:before="117" w:after="0" w:line="276" w:lineRule="exact"/>
        <w:ind w:right="144"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are sufficiently detailed to ensure that the ability of the operator to ensure the effectiveness of all aspects of the safety management system is apparent from the documentation; and</w:t>
      </w:r>
    </w:p>
    <w:p>
      <w:pPr>
        <w:numPr>
          <w:ilvl w:val="0"/>
          <w:numId w:val="1150"/>
        </w:numPr>
        <w:tabs>
          <w:tab w:val="clear" w:pos="360"/>
          <w:tab w:val="left" w:pos="1944"/>
        </w:tabs>
        <w:spacing w:before="126" w:after="0" w:line="273" w:lineRule="exact"/>
        <w:ind w:right="144"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include steps to be taken to continually improve all aspects of the safety management system.</w:t>
      </w:r>
    </w:p>
    <w:p>
      <w:pPr>
        <w:spacing w:before="126" w:after="0" w:line="273" w:lineRule="exact"/>
        <w:ind w:right="216" w:left="1440" w:hanging="432"/>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7.2 A description of the way in which these performance standards are to be met.</w:t>
      </w:r>
    </w:p>
    <w:p>
      <w:pPr>
        <w:spacing w:before="126" w:after="0" w:line="273" w:lineRule="exact"/>
        <w:ind w:right="432" w:left="144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7.3 Performance indicators for the effectiveness of control measures implemented, including:</w:t>
      </w:r>
    </w:p>
    <w:p>
      <w:pPr>
        <w:spacing w:before="126" w:after="897" w:line="273" w:lineRule="exact"/>
        <w:ind w:right="0" w:left="1440"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5.45pt,728.15pt" to="500.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tests of the effectiveness of the control measures; and</w:t>
      </w:r>
    </w:p>
    <w:p>
      <w:pPr>
        <w:spacing w:before="126" w:after="897" w:line="273" w:lineRule="exact"/>
        <w:sectPr>
          <w:type w:val="nextPage"/>
          <w:pgSz w:w="11909" w:h="16838" w:orient="portrait"/>
          <w:pgMar w:bottom="1082" w:top="1140" w:right="1900" w:left="190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493</w:t>
      </w:r>
    </w:p>
    <w:p>
      <w:pPr>
        <w:sectPr>
          <w:type w:val="continuous"/>
          <w:pgSz w:w="11909" w:h="16838" w:orient="portrait"/>
          <w:pgMar w:bottom="1082" w:top="1140" w:right="5817" w:left="1972" w:header="720" w:footer="720"/>
          <w:titlePg w:val="false"/>
          <w:textDirection w:val="lrTb"/>
        </w:sectPr>
      </w:pPr>
    </w:p>
    <w:p>
      <w:pPr>
        <w:spacing w:before="6" w:after="0" w:line="230"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spacing w:before="231" w:after="222" w:line="230" w:lineRule="exact"/>
        <w:ind w:right="432"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Schedule 17 Additional matters to be included in safety management system of major hazard facility</w:t>
      </w:r>
    </w:p>
    <w:p>
      <w:pPr>
        <w:numPr>
          <w:ilvl w:val="0"/>
          <w:numId w:val="1151"/>
        </w:numPr>
        <w:tabs>
          <w:tab w:val="clear" w:pos="360"/>
          <w:tab w:val="left" w:pos="1944"/>
        </w:tabs>
        <w:spacing w:before="251" w:after="0" w:line="273" w:lineRule="exact"/>
        <w:ind w:right="0" w:left="1944"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5.45pt,115.45pt" to="500.5pt,115.4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indicators of the failure of any control measure; and</w:t>
      </w:r>
    </w:p>
    <w:p>
      <w:pPr>
        <w:numPr>
          <w:ilvl w:val="0"/>
          <w:numId w:val="1151"/>
        </w:numPr>
        <w:tabs>
          <w:tab w:val="clear" w:pos="360"/>
          <w:tab w:val="left" w:pos="1944"/>
        </w:tabs>
        <w:spacing w:before="120" w:after="0" w:line="273" w:lineRule="exact"/>
        <w:ind w:right="0"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actions to be taken in reporting any such failure; and</w:t>
      </w:r>
    </w:p>
    <w:p>
      <w:pPr>
        <w:numPr>
          <w:ilvl w:val="0"/>
          <w:numId w:val="1151"/>
        </w:numPr>
        <w:tabs>
          <w:tab w:val="clear" w:pos="360"/>
          <w:tab w:val="left" w:pos="1944"/>
        </w:tabs>
        <w:spacing w:before="126" w:after="0" w:line="273" w:lineRule="exact"/>
        <w:ind w:right="432"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other corrective actions to be taken in the event of any such failure.</w:t>
      </w:r>
    </w:p>
    <w:p>
      <w:pPr>
        <w:spacing w:before="126" w:after="0" w:line="273" w:lineRule="exact"/>
        <w:ind w:right="0" w:left="36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8 Audit</w:t>
      </w:r>
    </w:p>
    <w:p>
      <w:pPr>
        <w:spacing w:before="117" w:after="9308" w:line="276" w:lineRule="exact"/>
        <w:ind w:right="144" w:left="1440"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Provision for the auditing of performance against the performance standards, including the methods, frequency and results of the audit process.</w:t>
      </w:r>
    </w:p>
    <w:p>
      <w:pPr>
        <w:spacing w:before="333"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5.05pt,0.3pt" style="position:absolute;mso-position-horizontal-relative:text;mso-position-vertical-relative:text;">
            <v:stroke dashstyle="solid"/>
          </v:line>
        </w:pict>
      </w:r>
    </w:p>
    <w:p>
      <w:pPr>
        <w:sectPr>
          <w:type w:val="nextPage"/>
          <w:pgSz w:w="11909" w:h="16838" w:orient="portrait"/>
          <w:pgMar w:bottom="1082" w:top="1140" w:right="1900" w:left="190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494</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spacing w:before="231" w:after="222" w:line="230"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Schedule 18 Additional matters to be included in safety case for a major hazard facility</w:t>
      </w:r>
    </w:p>
    <w:p>
      <w:pPr>
        <w:spacing w:before="254" w:after="0" w:line="321" w:lineRule="exact"/>
        <w:ind w:right="144" w:left="1584" w:hanging="1512"/>
        <w:jc w:val="left"/>
        <w:textAlignment w:val="baseline"/>
        <w:rPr>
          <w:rFonts w:ascii="Times New Roman" w:hAnsi="Times New Roman" w:eastAsia="Times New Roman"/>
          <w:b w:val="true"/>
          <w:color w:val="000000"/>
          <w:spacing w:val="0"/>
          <w:w w:val="100"/>
          <w:sz w:val="28"/>
          <w:vertAlign w:val="baseline"/>
          <w:lang w:val="en-US"/>
        </w:rPr>
      </w:pPr>
      <w:r>
        <w:pict>
          <v:line strokeweight="0.5pt" strokecolor="#000000" from="95.45pt,103.9pt" to="500.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8"/>
          <w:vertAlign w:val="baseline"/>
          <w:lang w:val="en-US"/>
        </w:rPr>
        <w:t xml:space="preserve">Schedule 18 Additional matters to be included in safety case for a major hazard facility</w:t>
      </w:r>
    </w:p>
    <w:p>
      <w:pPr>
        <w:spacing w:before="122" w:after="0" w:line="230" w:lineRule="exact"/>
        <w:ind w:right="0" w:left="72" w:firstLine="0"/>
        <w:jc w:val="righ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Regulation 561</w:t>
      </w:r>
    </w:p>
    <w:p>
      <w:pPr>
        <w:tabs>
          <w:tab w:val="left" w:leader="none" w:pos="1368"/>
        </w:tabs>
        <w:spacing w:before="243" w:after="0" w:line="317" w:lineRule="exact"/>
        <w:ind w:right="0" w:left="72" w:firstLine="0"/>
        <w:jc w:val="left"/>
        <w:textAlignment w:val="baseline"/>
        <w:rPr>
          <w:rFonts w:ascii="Times New Roman" w:hAnsi="Times New Roman" w:eastAsia="Times New Roman"/>
          <w:b w:val="true"/>
          <w:color w:val="000000"/>
          <w:spacing w:val="0"/>
          <w:w w:val="100"/>
          <w:sz w:val="28"/>
          <w:vertAlign w:val="baseline"/>
          <w:lang w:val="en-US"/>
        </w:rPr>
      </w:pPr>
      <w:r>
        <w:rPr>
          <w:rFonts w:ascii="Times New Roman" w:hAnsi="Times New Roman" w:eastAsia="Times New Roman"/>
          <w:b w:val="true"/>
          <w:color w:val="000000"/>
          <w:spacing w:val="0"/>
          <w:w w:val="100"/>
          <w:sz w:val="28"/>
          <w:vertAlign w:val="baseline"/>
          <w:lang w:val="en-US"/>
        </w:rPr>
        <w:t xml:space="preserve">Part 1	</w:t>
      </w:r>
      <w:r>
        <w:rPr>
          <w:rFonts w:ascii="Times New Roman" w:hAnsi="Times New Roman" w:eastAsia="Times New Roman"/>
          <w:b w:val="true"/>
          <w:color w:val="000000"/>
          <w:spacing w:val="0"/>
          <w:w w:val="100"/>
          <w:sz w:val="28"/>
          <w:vertAlign w:val="baseline"/>
          <w:lang w:val="en-US"/>
        </w:rPr>
        <w:t xml:space="preserve">Facility description</w:t>
      </w:r>
    </w:p>
    <w:p>
      <w:pPr>
        <w:spacing w:before="119" w:after="0" w:line="273" w:lineRule="exact"/>
        <w:ind w:right="0" w:left="36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1 The facility</w:t>
      </w:r>
    </w:p>
    <w:p>
      <w:pPr>
        <w:spacing w:before="121" w:after="0" w:line="276" w:lineRule="exact"/>
        <w:ind w:right="504" w:left="144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1.1 A brief description of the nature of the facility and its operation, including a description of on-site activities and processes that involve or will involve Schedule 15 chemicals.</w:t>
      </w:r>
    </w:p>
    <w:p>
      <w:pPr>
        <w:spacing w:before="116" w:after="0" w:line="278" w:lineRule="exact"/>
        <w:ind w:right="72" w:left="1440" w:hanging="432"/>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1.2 A description of the Schedule 15 chemicals and any other hazardous chemicals present or likely to be present at the facility, including:</w:t>
      </w:r>
    </w:p>
    <w:p>
      <w:pPr>
        <w:numPr>
          <w:ilvl w:val="0"/>
          <w:numId w:val="1152"/>
        </w:numPr>
        <w:tabs>
          <w:tab w:val="clear" w:pos="360"/>
          <w:tab w:val="left" w:pos="1944"/>
        </w:tabs>
        <w:spacing w:before="116" w:after="0" w:line="278" w:lineRule="exact"/>
        <w:ind w:right="144" w:left="1944"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their identification by name and by any other means necessary for a clear identification; and</w:t>
      </w:r>
    </w:p>
    <w:p>
      <w:pPr>
        <w:numPr>
          <w:ilvl w:val="0"/>
          <w:numId w:val="1152"/>
        </w:numPr>
        <w:tabs>
          <w:tab w:val="clear" w:pos="360"/>
          <w:tab w:val="left" w:pos="1944"/>
        </w:tabs>
        <w:spacing w:before="116" w:after="0" w:line="278" w:lineRule="exact"/>
        <w:ind w:right="144" w:left="1944"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quantity present or likely to be present at the major hazard facility; and</w:t>
      </w:r>
    </w:p>
    <w:p>
      <w:pPr>
        <w:numPr>
          <w:ilvl w:val="0"/>
          <w:numId w:val="1152"/>
        </w:numPr>
        <w:tabs>
          <w:tab w:val="clear" w:pos="360"/>
          <w:tab w:val="left" w:pos="1944"/>
        </w:tabs>
        <w:spacing w:before="118" w:after="0" w:line="276" w:lineRule="exact"/>
        <w:ind w:right="216"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their physical, chemical and toxicological characteristics, and any other hazardous characteristics, both immediate and delayed; and</w:t>
      </w:r>
    </w:p>
    <w:p>
      <w:pPr>
        <w:numPr>
          <w:ilvl w:val="0"/>
          <w:numId w:val="1152"/>
        </w:numPr>
        <w:tabs>
          <w:tab w:val="clear" w:pos="360"/>
          <w:tab w:val="left" w:pos="1944"/>
        </w:tabs>
        <w:spacing w:before="124" w:after="0" w:line="274" w:lineRule="exact"/>
        <w:ind w:right="72" w:left="1944"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their physical and chemical behaviour under normal conditions of use or under foreseeable abnormal conditions.</w:t>
      </w:r>
    </w:p>
    <w:p>
      <w:pPr>
        <w:spacing w:before="122" w:after="0" w:line="276" w:lineRule="exact"/>
        <w:ind w:right="432" w:left="144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1.3 A description of the chemical and physical processes associated with any Schedule 15 chemicals present or likely to be present at the facility, including:</w:t>
      </w:r>
    </w:p>
    <w:p>
      <w:pPr>
        <w:numPr>
          <w:ilvl w:val="0"/>
          <w:numId w:val="1153"/>
        </w:numPr>
        <w:tabs>
          <w:tab w:val="clear" w:pos="360"/>
          <w:tab w:val="left" w:pos="1944"/>
        </w:tabs>
        <w:spacing w:before="122" w:after="0" w:line="272" w:lineRule="exact"/>
        <w:ind w:right="0"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main units of plant used in those processes; and</w:t>
      </w:r>
    </w:p>
    <w:p>
      <w:pPr>
        <w:numPr>
          <w:ilvl w:val="0"/>
          <w:numId w:val="1153"/>
        </w:numPr>
        <w:tabs>
          <w:tab w:val="clear" w:pos="360"/>
          <w:tab w:val="left" w:pos="1944"/>
        </w:tabs>
        <w:spacing w:before="124" w:after="0" w:line="274" w:lineRule="exact"/>
        <w:ind w:right="72" w:left="1944" w:hanging="360"/>
        <w:jc w:val="both"/>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process flow drawing, or set of flow drawings, describing the processes.</w:t>
      </w:r>
    </w:p>
    <w:p>
      <w:pPr>
        <w:spacing w:before="124" w:after="0" w:line="274" w:lineRule="exact"/>
        <w:ind w:right="216" w:left="144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1.4 A drawing of the major hazard facility's general layout, containing the location of:</w:t>
      </w:r>
    </w:p>
    <w:p>
      <w:pPr>
        <w:numPr>
          <w:ilvl w:val="0"/>
          <w:numId w:val="1154"/>
        </w:numPr>
        <w:tabs>
          <w:tab w:val="clear" w:pos="360"/>
          <w:tab w:val="left" w:pos="1944"/>
        </w:tabs>
        <w:spacing w:before="126" w:after="0" w:line="272" w:lineRule="exact"/>
        <w:ind w:right="0"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main process units; and</w:t>
      </w:r>
    </w:p>
    <w:p>
      <w:pPr>
        <w:numPr>
          <w:ilvl w:val="0"/>
          <w:numId w:val="1154"/>
        </w:numPr>
        <w:tabs>
          <w:tab w:val="clear" w:pos="360"/>
          <w:tab w:val="left" w:pos="1944"/>
        </w:tabs>
        <w:spacing w:before="122" w:after="0" w:line="272" w:lineRule="exact"/>
        <w:ind w:right="0"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main storage areas; and</w:t>
      </w:r>
    </w:p>
    <w:p>
      <w:pPr>
        <w:numPr>
          <w:ilvl w:val="0"/>
          <w:numId w:val="1154"/>
        </w:numPr>
        <w:tabs>
          <w:tab w:val="clear" w:pos="360"/>
          <w:tab w:val="left" w:pos="1944"/>
        </w:tabs>
        <w:spacing w:before="126" w:after="0" w:line="272" w:lineRule="exact"/>
        <w:ind w:right="0"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major incident hazards and major incident initiators.</w:t>
      </w:r>
    </w:p>
    <w:p>
      <w:pPr>
        <w:spacing w:before="116" w:after="0" w:line="278" w:lineRule="exact"/>
        <w:ind w:right="648" w:left="144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1.5 In relation to proposed changes at the major hazard facility for which no new control measures are implemented:</w:t>
      </w:r>
    </w:p>
    <w:p>
      <w:pPr>
        <w:spacing w:before="116" w:after="1071" w:line="278" w:lineRule="exact"/>
        <w:ind w:right="504" w:left="1944"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5.45pt,728.15pt" to="500.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a description of any proposed changes to the major hazard facility that would:</w:t>
      </w:r>
    </w:p>
    <w:p>
      <w:pPr>
        <w:spacing w:before="116" w:after="1071" w:line="278" w:lineRule="exact"/>
        <w:sectPr>
          <w:type w:val="nextPage"/>
          <w:pgSz w:w="11909" w:h="16838" w:orient="portrait"/>
          <w:pgMar w:bottom="1082" w:top="1140" w:right="1900" w:left="190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495</w:t>
      </w:r>
    </w:p>
    <w:p>
      <w:pPr>
        <w:sectPr>
          <w:type w:val="continuous"/>
          <w:pgSz w:w="11909" w:h="16838" w:orient="portrait"/>
          <w:pgMar w:bottom="1082" w:top="1140" w:right="5814" w:left="1975" w:header="720" w:footer="720"/>
          <w:titlePg w:val="false"/>
          <w:textDirection w:val="lrTb"/>
        </w:sectPr>
      </w:pPr>
    </w:p>
    <w:p>
      <w:pPr>
        <w:spacing w:before="6" w:after="0" w:line="230"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spacing w:before="231" w:after="222" w:line="230"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Schedule 18 Additional matters to be included in safety case for a major hazard facility</w:t>
      </w:r>
    </w:p>
    <w:p>
      <w:pPr>
        <w:numPr>
          <w:ilvl w:val="0"/>
          <w:numId w:val="1155"/>
        </w:numPr>
        <w:tabs>
          <w:tab w:val="clear" w:pos="360"/>
          <w:tab w:val="left" w:pos="2448"/>
        </w:tabs>
        <w:spacing w:before="245" w:after="0" w:line="279" w:lineRule="exact"/>
        <w:ind w:right="720" w:left="2448" w:hanging="36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5.45pt,103.9pt" to="500.5pt,103.9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alter the production capacity or profile of the major hazard facility; or</w:t>
      </w:r>
    </w:p>
    <w:p>
      <w:pPr>
        <w:numPr>
          <w:ilvl w:val="0"/>
          <w:numId w:val="1155"/>
        </w:numPr>
        <w:tabs>
          <w:tab w:val="clear" w:pos="360"/>
          <w:tab w:val="left" w:pos="2448"/>
        </w:tabs>
        <w:spacing w:before="114" w:after="0" w:line="279" w:lineRule="exact"/>
        <w:ind w:right="576" w:left="244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involve the deletion, addition or modification of any processes; and</w:t>
      </w:r>
    </w:p>
    <w:p>
      <w:pPr>
        <w:spacing w:before="117" w:after="0" w:line="276" w:lineRule="exact"/>
        <w:ind w:right="576"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(b) a statement as to how existing control measures and WHS management systems are capable of maintaining the safe operation of the major hazard facility.</w:t>
      </w:r>
    </w:p>
    <w:p>
      <w:pPr>
        <w:spacing w:before="126" w:after="0" w:line="274" w:lineRule="exact"/>
        <w:ind w:right="0" w:left="36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2 The surrounding area</w:t>
      </w:r>
    </w:p>
    <w:p>
      <w:pPr>
        <w:spacing w:before="113" w:after="0" w:line="279" w:lineRule="exact"/>
        <w:ind w:right="936" w:left="144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2.1 A detailed scale plan of the facility and its surrounding area showing:</w:t>
      </w:r>
    </w:p>
    <w:p>
      <w:pPr>
        <w:numPr>
          <w:ilvl w:val="0"/>
          <w:numId w:val="1156"/>
        </w:numPr>
        <w:tabs>
          <w:tab w:val="clear" w:pos="360"/>
          <w:tab w:val="left" w:pos="1944"/>
        </w:tabs>
        <w:spacing w:before="120" w:after="0" w:line="273" w:lineRule="exact"/>
        <w:ind w:right="0"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location of the facility within the surrounding area; and</w:t>
      </w:r>
    </w:p>
    <w:p>
      <w:pPr>
        <w:numPr>
          <w:ilvl w:val="0"/>
          <w:numId w:val="1156"/>
        </w:numPr>
        <w:tabs>
          <w:tab w:val="clear" w:pos="360"/>
          <w:tab w:val="left" w:pos="1944"/>
        </w:tabs>
        <w:spacing w:before="126" w:after="0" w:line="273" w:lineRule="exact"/>
        <w:ind w:right="0"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topographical information; and</w:t>
      </w:r>
    </w:p>
    <w:p>
      <w:pPr>
        <w:numPr>
          <w:ilvl w:val="0"/>
          <w:numId w:val="1156"/>
        </w:numPr>
        <w:tabs>
          <w:tab w:val="clear" w:pos="360"/>
          <w:tab w:val="left" w:pos="1944"/>
        </w:tabs>
        <w:spacing w:before="117" w:after="0" w:line="276" w:lineRule="exact"/>
        <w:ind w:right="72"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land use, occupancy and activities in the surrounding area and any other closely located major hazard facilities and hazardous chemical storage sites; and</w:t>
      </w:r>
    </w:p>
    <w:p>
      <w:pPr>
        <w:numPr>
          <w:ilvl w:val="0"/>
          <w:numId w:val="1156"/>
        </w:numPr>
        <w:tabs>
          <w:tab w:val="clear" w:pos="360"/>
          <w:tab w:val="left" w:pos="1944"/>
        </w:tabs>
        <w:spacing w:before="118" w:after="0" w:line="276" w:lineRule="exact"/>
        <w:ind w:right="72"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location of any identified external conditions (including other major hazard facilities or other facilities that could affect the safety of the major hazard facility).</w:t>
      </w:r>
    </w:p>
    <w:p>
      <w:pPr>
        <w:spacing w:before="122" w:after="0" w:line="276" w:lineRule="exact"/>
        <w:ind w:right="216" w:left="144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2.2 Graphically presented demographic information for the local community, including surrounding land uses permitted by the local authority.</w:t>
      </w:r>
    </w:p>
    <w:p>
      <w:pPr>
        <w:spacing w:before="116" w:after="4676" w:line="278" w:lineRule="exact"/>
        <w:ind w:right="216" w:left="144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2.3 Meteorological data relevant to the estimation of the effects of any major incident.</w:t>
      </w:r>
    </w:p>
    <w:p>
      <w:pPr>
        <w:spacing w:before="333"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0.3pt" to="405.05pt,0.3pt" style="position:absolute;mso-position-horizontal-relative:text;mso-position-vertical-relative:text;">
            <v:stroke dashstyle="solid"/>
          </v:line>
        </w:pict>
      </w:r>
    </w:p>
    <w:p>
      <w:pPr>
        <w:sectPr>
          <w:type w:val="nextPage"/>
          <w:pgSz w:w="11909" w:h="16838" w:orient="portrait"/>
          <w:pgMar w:bottom="1082" w:top="1140" w:right="1900" w:left="190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496</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spacing w:before="231" w:after="222" w:line="230"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Schedule 18 Additional matters to be included in safety case for a major hazard facility</w:t>
      </w:r>
    </w:p>
    <w:p>
      <w:pPr>
        <w:tabs>
          <w:tab w:val="left" w:leader="none" w:pos="1368"/>
        </w:tabs>
        <w:spacing w:before="258" w:after="0" w:line="317" w:lineRule="exact"/>
        <w:ind w:right="0" w:left="72" w:firstLine="0"/>
        <w:jc w:val="left"/>
        <w:textAlignment w:val="baseline"/>
        <w:rPr>
          <w:rFonts w:ascii="Times New Roman" w:hAnsi="Times New Roman" w:eastAsia="Times New Roman"/>
          <w:b w:val="true"/>
          <w:color w:val="000000"/>
          <w:spacing w:val="-1"/>
          <w:w w:val="100"/>
          <w:sz w:val="28"/>
          <w:vertAlign w:val="baseline"/>
          <w:lang w:val="en-US"/>
        </w:rPr>
      </w:pPr>
      <w:r>
        <w:pict>
          <v:line strokeweight="0.5pt" strokecolor="#000000" from="95.45pt,103.9pt" to="500.5pt,103.9pt" style="position:absolute;mso-position-horizontal-relative:page;mso-position-vertical-relative:page;">
            <v:stroke dashstyle="solid"/>
          </v:line>
        </w:pict>
      </w:r>
      <w:r>
        <w:rPr>
          <w:rFonts w:ascii="Times New Roman" w:hAnsi="Times New Roman" w:eastAsia="Times New Roman"/>
          <w:b w:val="true"/>
          <w:color w:val="000000"/>
          <w:spacing w:val="-1"/>
          <w:w w:val="100"/>
          <w:sz w:val="28"/>
          <w:vertAlign w:val="baseline"/>
          <w:lang w:val="en-US"/>
        </w:rPr>
        <w:t xml:space="preserve">Part 2	</w:t>
      </w:r>
      <w:r>
        <w:rPr>
          <w:rFonts w:ascii="Times New Roman" w:hAnsi="Times New Roman" w:eastAsia="Times New Roman"/>
          <w:b w:val="true"/>
          <w:color w:val="000000"/>
          <w:spacing w:val="-1"/>
          <w:w w:val="100"/>
          <w:sz w:val="28"/>
          <w:vertAlign w:val="baseline"/>
          <w:lang w:val="en-US"/>
        </w:rPr>
        <w:t xml:space="preserve">Safety information</w:t>
      </w:r>
    </w:p>
    <w:p>
      <w:pPr>
        <w:spacing w:before="0" w:after="0" w:line="394" w:lineRule="exact"/>
        <w:ind w:right="1080" w:left="1008" w:hanging="648"/>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3 Control measures to limit the consequences of major incidents </w:t>
      </w:r>
      <w:r>
        <w:rPr>
          <w:rFonts w:ascii="Times New Roman" w:hAnsi="Times New Roman" w:eastAsia="Times New Roman"/>
          <w:color w:val="000000"/>
          <w:spacing w:val="0"/>
          <w:w w:val="100"/>
          <w:sz w:val="24"/>
          <w:vertAlign w:val="baseline"/>
          <w:lang w:val="en-US"/>
        </w:rPr>
        <w:t xml:space="preserve">3.1 A detailed description of:</w:t>
      </w:r>
    </w:p>
    <w:p>
      <w:pPr>
        <w:numPr>
          <w:ilvl w:val="0"/>
          <w:numId w:val="1157"/>
        </w:numPr>
        <w:tabs>
          <w:tab w:val="clear" w:pos="360"/>
          <w:tab w:val="left" w:pos="1944"/>
        </w:tabs>
        <w:spacing w:before="118" w:after="0" w:line="276" w:lineRule="exact"/>
        <w:ind w:right="288"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instrumentation and other equipment installed in the facility and the processes and procedures in place that are the control measures to be implemented by the operator; and</w:t>
      </w:r>
    </w:p>
    <w:p>
      <w:pPr>
        <w:numPr>
          <w:ilvl w:val="0"/>
          <w:numId w:val="1157"/>
        </w:numPr>
        <w:tabs>
          <w:tab w:val="clear" w:pos="360"/>
          <w:tab w:val="left" w:pos="1944"/>
        </w:tabs>
        <w:spacing w:before="124" w:after="0" w:line="274" w:lineRule="exact"/>
        <w:ind w:right="360"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critical operating parameters for those control measures; and</w:t>
      </w:r>
    </w:p>
    <w:p>
      <w:pPr>
        <w:numPr>
          <w:ilvl w:val="0"/>
          <w:numId w:val="1157"/>
        </w:numPr>
        <w:tabs>
          <w:tab w:val="clear" w:pos="360"/>
          <w:tab w:val="left" w:pos="1944"/>
        </w:tabs>
        <w:spacing w:before="122" w:after="0" w:line="276" w:lineRule="exact"/>
        <w:ind w:right="288" w:left="1944" w:hanging="360"/>
        <w:jc w:val="left"/>
        <w:textAlignment w:val="baseline"/>
        <w:rPr>
          <w:rFonts w:ascii="Times New Roman" w:hAnsi="Times New Roman" w:eastAsia="Times New Roman"/>
          <w:color w:val="000000"/>
          <w:spacing w:val="-1"/>
          <w:w w:val="100"/>
          <w:sz w:val="24"/>
          <w:vertAlign w:val="baseline"/>
          <w:lang w:val="en-US"/>
        </w:rPr>
      </w:pPr>
      <w:r>
        <w:rPr>
          <w:rFonts w:ascii="Times New Roman" w:hAnsi="Times New Roman" w:eastAsia="Times New Roman"/>
          <w:color w:val="000000"/>
          <w:spacing w:val="-1"/>
          <w:w w:val="100"/>
          <w:sz w:val="24"/>
          <w:vertAlign w:val="baseline"/>
          <w:lang w:val="en-US"/>
        </w:rPr>
        <w:t xml:space="preserve">key personnel and resources (internal and external) available to intervene in the event of any failure of a control measure, whether or not that failure results in a major incident; and</w:t>
      </w:r>
    </w:p>
    <w:p>
      <w:pPr>
        <w:numPr>
          <w:ilvl w:val="0"/>
          <w:numId w:val="1157"/>
        </w:numPr>
        <w:tabs>
          <w:tab w:val="clear" w:pos="360"/>
          <w:tab w:val="left" w:pos="1944"/>
        </w:tabs>
        <w:spacing w:before="118" w:after="0" w:line="276" w:lineRule="exact"/>
        <w:ind w:right="360"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summary of the emergency plan, including specific information about how the plan can be expected to limit the consequences of a major incident; and</w:t>
      </w:r>
    </w:p>
    <w:p>
      <w:pPr>
        <w:numPr>
          <w:ilvl w:val="0"/>
          <w:numId w:val="1157"/>
        </w:numPr>
        <w:tabs>
          <w:tab w:val="clear" w:pos="360"/>
          <w:tab w:val="left" w:pos="1944"/>
        </w:tabs>
        <w:spacing w:before="122" w:after="0" w:line="276" w:lineRule="exact"/>
        <w:ind w:right="144" w:left="1944"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the means of ensuring that there is at all times in place a command structure for the major hazard facility that applies in the event of an emergency, and that this command structure has been communicated to workers throughout the major hazard facility.</w:t>
      </w:r>
    </w:p>
    <w:p>
      <w:pPr>
        <w:spacing w:before="121" w:after="0" w:line="273" w:lineRule="exact"/>
        <w:ind w:right="0" w:left="1008"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3.2 In item 3.1:</w:t>
      </w:r>
    </w:p>
    <w:p>
      <w:pPr>
        <w:spacing w:before="122" w:after="0" w:line="276" w:lineRule="exact"/>
        <w:ind w:right="144" w:left="1944" w:hanging="504"/>
        <w:jc w:val="left"/>
        <w:textAlignment w:val="baseline"/>
        <w:rPr>
          <w:rFonts w:ascii="Times New Roman" w:hAnsi="Times New Roman" w:eastAsia="Times New Roman"/>
          <w:b w:val="true"/>
          <w:i w:val="true"/>
          <w:color w:val="000000"/>
          <w:spacing w:val="-1"/>
          <w:w w:val="100"/>
          <w:sz w:val="24"/>
          <w:vertAlign w:val="baseline"/>
          <w:lang w:val="en-US"/>
        </w:rPr>
      </w:pPr>
      <w:r>
        <w:rPr>
          <w:rFonts w:ascii="Times New Roman" w:hAnsi="Times New Roman" w:eastAsia="Times New Roman"/>
          <w:b w:val="true"/>
          <w:i w:val="true"/>
          <w:color w:val="000000"/>
          <w:spacing w:val="-1"/>
          <w:w w:val="100"/>
          <w:sz w:val="24"/>
          <w:vertAlign w:val="baseline"/>
          <w:lang w:val="en-US"/>
        </w:rPr>
        <w:t xml:space="preserve">critical operating parameters </w:t>
      </w:r>
      <w:r>
        <w:rPr>
          <w:rFonts w:ascii="Times New Roman" w:hAnsi="Times New Roman" w:eastAsia="Times New Roman"/>
          <w:color w:val="000000"/>
          <w:spacing w:val="-1"/>
          <w:w w:val="100"/>
          <w:sz w:val="24"/>
          <w:vertAlign w:val="baseline"/>
          <w:lang w:val="en-US"/>
        </w:rPr>
        <w:t xml:space="preserve">means the upper or lower performance limits of any equipment, process or procedure, compliance with which is necessary to avoid a major incident.</w:t>
      </w:r>
    </w:p>
    <w:p>
      <w:pPr>
        <w:spacing w:before="121" w:after="0" w:line="274" w:lineRule="exact"/>
        <w:ind w:right="0" w:left="1440" w:firstLine="0"/>
        <w:jc w:val="left"/>
        <w:textAlignment w:val="baseline"/>
        <w:rPr>
          <w:rFonts w:ascii="Times New Roman" w:hAnsi="Times New Roman" w:eastAsia="Times New Roman"/>
          <w:b w:val="true"/>
          <w:i w:val="true"/>
          <w:color w:val="000000"/>
          <w:spacing w:val="0"/>
          <w:w w:val="100"/>
          <w:sz w:val="24"/>
          <w:vertAlign w:val="baseline"/>
          <w:lang w:val="en-US"/>
        </w:rPr>
      </w:pPr>
      <w:r>
        <w:rPr>
          <w:rFonts w:ascii="Times New Roman" w:hAnsi="Times New Roman" w:eastAsia="Times New Roman"/>
          <w:b w:val="true"/>
          <w:i w:val="true"/>
          <w:color w:val="000000"/>
          <w:spacing w:val="0"/>
          <w:w w:val="100"/>
          <w:sz w:val="24"/>
          <w:vertAlign w:val="baseline"/>
          <w:lang w:val="en-US"/>
        </w:rPr>
        <w:t xml:space="preserve">failure of a control measure </w:t>
      </w:r>
      <w:r>
        <w:rPr>
          <w:rFonts w:ascii="Times New Roman" w:hAnsi="Times New Roman" w:eastAsia="Times New Roman"/>
          <w:color w:val="000000"/>
          <w:spacing w:val="0"/>
          <w:w w:val="100"/>
          <w:sz w:val="24"/>
          <w:vertAlign w:val="baseline"/>
          <w:lang w:val="en-US"/>
        </w:rPr>
        <w:t xml:space="preserve">means:</w:t>
      </w:r>
    </w:p>
    <w:p>
      <w:pPr>
        <w:numPr>
          <w:ilvl w:val="0"/>
          <w:numId w:val="1158"/>
        </w:numPr>
        <w:tabs>
          <w:tab w:val="clear" w:pos="360"/>
          <w:tab w:val="left" w:pos="2448"/>
        </w:tabs>
        <w:spacing w:before="121" w:after="0" w:line="276" w:lineRule="exact"/>
        <w:ind w:right="144" w:left="244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control measure is a positive action or event—the non-occurrence or the defective occurrence of that action or event; or</w:t>
      </w:r>
    </w:p>
    <w:p>
      <w:pPr>
        <w:numPr>
          <w:ilvl w:val="0"/>
          <w:numId w:val="1158"/>
        </w:numPr>
        <w:tabs>
          <w:tab w:val="clear" w:pos="360"/>
          <w:tab w:val="left" w:pos="2448"/>
        </w:tabs>
        <w:spacing w:before="118" w:after="0" w:line="276" w:lineRule="exact"/>
        <w:ind w:right="144" w:left="2448" w:hanging="36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if the control measure consists of a limitation on an operational activity, process or procedure—the breach of that limitation.</w:t>
      </w:r>
    </w:p>
    <w:p>
      <w:pPr>
        <w:spacing w:before="121" w:after="0" w:line="273" w:lineRule="exact"/>
        <w:ind w:right="0" w:left="36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4 Performance monitoring</w:t>
      </w:r>
    </w:p>
    <w:p>
      <w:pPr>
        <w:spacing w:before="122" w:after="1718" w:line="276" w:lineRule="exact"/>
        <w:ind w:right="576" w:left="1440" w:firstLine="0"/>
        <w:jc w:val="left"/>
        <w:textAlignment w:val="baseline"/>
        <w:rPr>
          <w:rFonts w:ascii="Times New Roman" w:hAnsi="Times New Roman" w:eastAsia="Times New Roman"/>
          <w:color w:val="000000"/>
          <w:spacing w:val="0"/>
          <w:w w:val="100"/>
          <w:sz w:val="24"/>
          <w:vertAlign w:val="baseline"/>
          <w:lang w:val="en-US"/>
        </w:rPr>
      </w:pPr>
      <w:r>
        <w:pict>
          <v:line strokeweight="0.5pt" strokecolor="#000000" from="95.45pt,728.15pt" to="500.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detailed description of the performance standards and performance indicators required by item 7 of Schedule 17 to be included in the safety management system.</w:t>
      </w:r>
    </w:p>
    <w:p>
      <w:pPr>
        <w:spacing w:before="122" w:after="1718" w:line="276" w:lineRule="exact"/>
        <w:sectPr>
          <w:type w:val="nextPage"/>
          <w:pgSz w:w="11909" w:h="16838" w:orient="portrait"/>
          <w:pgMar w:bottom="1082" w:top="1140" w:right="1900" w:left="190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497</w:t>
      </w:r>
    </w:p>
    <w:p>
      <w:pPr>
        <w:sectPr>
          <w:type w:val="continuous"/>
          <w:pgSz w:w="11909" w:h="16838" w:orient="portrait"/>
          <w:pgMar w:bottom="1082" w:top="1140" w:right="5812" w:left="1977" w:header="720" w:footer="720"/>
          <w:titlePg w:val="false"/>
          <w:textDirection w:val="lrTb"/>
        </w:sectPr>
      </w:pPr>
    </w:p>
    <w:p>
      <w:pPr>
        <w:spacing w:before="6" w:after="0" w:line="230"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w:t>
      </w:r>
    </w:p>
    <w:p>
      <w:pPr>
        <w:spacing w:before="231" w:after="222" w:line="230"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Schedule 18 Additional matters to be included in safety case for a major hazard facility</w:t>
      </w:r>
    </w:p>
    <w:p>
      <w:pPr>
        <w:spacing w:before="251" w:after="0" w:line="274" w:lineRule="exact"/>
        <w:ind w:right="0" w:left="360" w:firstLine="0"/>
        <w:jc w:val="left"/>
        <w:textAlignment w:val="baseline"/>
        <w:rPr>
          <w:rFonts w:ascii="Times New Roman" w:hAnsi="Times New Roman" w:eastAsia="Times New Roman"/>
          <w:b w:val="true"/>
          <w:color w:val="000000"/>
          <w:spacing w:val="0"/>
          <w:w w:val="100"/>
          <w:sz w:val="24"/>
          <w:vertAlign w:val="baseline"/>
          <w:lang w:val="en-US"/>
        </w:rPr>
      </w:pPr>
      <w:r>
        <w:pict>
          <v:line strokeweight="0.5pt" strokecolor="#000000" from="95.45pt,103.9pt" to="500.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4"/>
          <w:vertAlign w:val="baseline"/>
          <w:lang w:val="en-US"/>
        </w:rPr>
        <w:t xml:space="preserve">5 Safety management system</w:t>
      </w:r>
    </w:p>
    <w:p>
      <w:pPr>
        <w:spacing w:before="123" w:after="0" w:line="276" w:lineRule="exact"/>
        <w:ind w:right="288" w:left="144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5.1 At all points in the safety case where the matter addressed is covered by the safety management system, a clear reference to the relevant part of the documented safety management system.</w:t>
      </w:r>
    </w:p>
    <w:p>
      <w:pPr>
        <w:spacing w:before="117" w:after="0" w:line="276" w:lineRule="exact"/>
        <w:ind w:right="216" w:left="1440" w:hanging="432"/>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5.2 A description of those parts of the documented safety management system that address the ongoing effective implementation and ongoing review and revision of the safety management system.</w:t>
      </w:r>
    </w:p>
    <w:p>
      <w:pPr>
        <w:spacing w:before="125" w:after="0" w:line="274" w:lineRule="exact"/>
        <w:ind w:right="0" w:left="36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6 Safety and reliability of facility structures and plant</w:t>
      </w:r>
    </w:p>
    <w:p>
      <w:pPr>
        <w:spacing w:before="117" w:after="0" w:line="276" w:lineRule="exact"/>
        <w:ind w:right="216" w:left="1440" w:firstLine="0"/>
        <w:jc w:val="left"/>
        <w:textAlignment w:val="baseline"/>
        <w:rPr>
          <w:rFonts w:ascii="Times New Roman" w:hAnsi="Times New Roman" w:eastAsia="Times New Roman"/>
          <w:color w:val="000000"/>
          <w:spacing w:val="0"/>
          <w:w w:val="100"/>
          <w:sz w:val="24"/>
          <w:vertAlign w:val="baseline"/>
          <w:lang w:val="en-US"/>
        </w:rPr>
      </w:pPr>
      <w:r>
        <w:rPr>
          <w:rFonts w:ascii="Times New Roman" w:hAnsi="Times New Roman" w:eastAsia="Times New Roman"/>
          <w:color w:val="000000"/>
          <w:spacing w:val="0"/>
          <w:w w:val="100"/>
          <w:sz w:val="24"/>
          <w:vertAlign w:val="baseline"/>
          <w:lang w:val="en-US"/>
        </w:rPr>
        <w:t xml:space="preserve">A description of the steps taken to ensure that safety and reliability are incorporated into the design and construction of all aspects of the major hazard facility itself, whether the operator is directly engaged in the design and construction or has engaged another person to carry out the design and construction.</w:t>
      </w:r>
    </w:p>
    <w:p>
      <w:pPr>
        <w:spacing w:before="120" w:after="0" w:line="274" w:lineRule="exact"/>
        <w:ind w:right="0" w:left="360" w:firstLine="0"/>
        <w:jc w:val="left"/>
        <w:textAlignment w:val="baseline"/>
        <w:rPr>
          <w:rFonts w:ascii="Times New Roman" w:hAnsi="Times New Roman" w:eastAsia="Times New Roman"/>
          <w:b w:val="true"/>
          <w:color w:val="000000"/>
          <w:spacing w:val="0"/>
          <w:w w:val="100"/>
          <w:sz w:val="24"/>
          <w:vertAlign w:val="baseline"/>
          <w:lang w:val="en-US"/>
        </w:rPr>
      </w:pPr>
      <w:r>
        <w:rPr>
          <w:rFonts w:ascii="Times New Roman" w:hAnsi="Times New Roman" w:eastAsia="Times New Roman"/>
          <w:b w:val="true"/>
          <w:color w:val="000000"/>
          <w:spacing w:val="0"/>
          <w:w w:val="100"/>
          <w:sz w:val="24"/>
          <w:vertAlign w:val="baseline"/>
          <w:lang w:val="en-US"/>
        </w:rPr>
        <w:t xml:space="preserve">7 Major incident history</w:t>
      </w:r>
    </w:p>
    <w:p>
      <w:pPr>
        <w:spacing w:before="120" w:after="7089" w:line="276" w:lineRule="exact"/>
        <w:ind w:right="288" w:left="1440" w:firstLine="0"/>
        <w:jc w:val="left"/>
        <w:textAlignment w:val="baseline"/>
        <w:rPr>
          <w:rFonts w:ascii="Times New Roman" w:hAnsi="Times New Roman" w:eastAsia="Times New Roman"/>
          <w:color w:val="000000"/>
          <w:spacing w:val="0"/>
          <w:w w:val="100"/>
          <w:sz w:val="24"/>
          <w:vertAlign w:val="baseline"/>
          <w:lang w:val="en-US"/>
        </w:rPr>
      </w:pPr>
      <w:r>
        <w:pict>
          <v:line strokeweight="0.7pt" strokecolor="#000000" from="243.6pt,391.9pt" to="352.15pt,391.9pt" style="position:absolute;mso-position-horizontal-relative:page;mso-position-vertical-relative:page;">
            <v:stroke dashstyle="solid"/>
          </v:line>
        </w:pict>
      </w:r>
      <w:r>
        <w:pict>
          <v:line strokeweight="0.5pt" strokecolor="#000000" from="95.45pt,728.15pt" to="500.5pt,728.15pt" style="position:absolute;mso-position-horizontal-relative:page;mso-position-vertical-relative:page;">
            <v:stroke dashstyle="solid"/>
          </v:line>
        </w:pict>
      </w:r>
      <w:r>
        <w:rPr>
          <w:rFonts w:ascii="Times New Roman" w:hAnsi="Times New Roman" w:eastAsia="Times New Roman"/>
          <w:color w:val="000000"/>
          <w:spacing w:val="0"/>
          <w:w w:val="100"/>
          <w:sz w:val="24"/>
          <w:vertAlign w:val="baseline"/>
          <w:lang w:val="en-US"/>
        </w:rPr>
        <w:t xml:space="preserve">A summary of the major incidents that have occurred at the major hazard facility over the previous 5 years.</w:t>
      </w:r>
    </w:p>
    <w:p>
      <w:pPr>
        <w:spacing w:before="321" w:after="0" w:line="288" w:lineRule="exact"/>
        <w:ind w:right="0" w:left="0" w:firstLine="0"/>
        <w:jc w:val="left"/>
        <w:textAlignment w:val="baseline"/>
        <w:rPr>
          <w:rFonts w:ascii="Times New Roman" w:hAnsi="Times New Roman" w:eastAsia="Times New Roman"/>
          <w:color w:val="000000"/>
          <w:w w:val="100"/>
          <w:sz w:val="24"/>
          <w:vertAlign w:val="baseline"/>
          <w:lang w:val="en-US"/>
        </w:rPr>
      </w:pPr>
    </w:p>
    <w:p>
      <w:pPr>
        <w:sectPr>
          <w:type w:val="nextPage"/>
          <w:pgSz w:w="11909" w:h="16838" w:orient="portrait"/>
          <w:pgMar w:bottom="1082" w:top="1140" w:right="1900" w:left="190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498</w:t>
      </w:r>
    </w:p>
    <w:p>
      <w:pPr>
        <w:sectPr>
          <w:type w:val="continuous"/>
          <w:pgSz w:w="11909" w:h="16838" w:orient="portrait"/>
          <w:pgMar w:bottom="1082" w:top="1140" w:right="5814" w:left="1975" w:header="720" w:footer="720"/>
          <w:titlePg w:val="false"/>
          <w:textDirection w:val="lrTb"/>
        </w:sectPr>
      </w:pPr>
    </w:p>
    <w:p>
      <w:pPr>
        <w:spacing w:before="0" w:after="225" w:line="347"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</w:t>
        <w:br/>
      </w:r>
      <w:r>
        <w:rPr>
          <w:rFonts w:ascii="Times New Roman" w:hAnsi="Times New Roman" w:eastAsia="Times New Roman"/>
          <w:color w:val="000000"/>
          <w:spacing w:val="0"/>
          <w:w w:val="100"/>
          <w:sz w:val="20"/>
          <w:vertAlign w:val="baseline"/>
          <w:lang w:val="en-US"/>
        </w:rPr>
        <w:t xml:space="preserve">APPENDIX Jurisdictional Notes</w:t>
      </w:r>
    </w:p>
    <w:p>
      <w:pPr>
        <w:spacing w:before="261" w:after="370" w:line="249" w:lineRule="exact"/>
        <w:ind w:right="0" w:left="144"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5.45pt,103.9pt" to="500.5pt,103.9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APPENDIX </w:t>
      </w:r>
      <w:r>
        <w:rPr>
          <w:rFonts w:ascii="Times New Roman" w:hAnsi="Times New Roman" w:eastAsia="Times New Roman"/>
          <w:b w:val="true"/>
          <w:color w:val="000000"/>
          <w:spacing w:val="0"/>
          <w:w w:val="100"/>
          <w:sz w:val="22"/>
          <w:vertAlign w:val="baseline"/>
          <w:lang w:val="en-US"/>
        </w:rPr>
        <w:t xml:space="preserve">JURISDICTIONAL NOTES</w:t>
      </w:r>
    </w:p>
    <w:p>
      <w:pPr>
        <w:tabs>
          <w:tab w:val="left" w:leader="none" w:pos="2160"/>
        </w:tabs>
        <w:spacing w:before="87" w:after="35" w:line="230" w:lineRule="exact"/>
        <w:ind w:right="0" w:left="144"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9.35pt,148.3pt" to="496.6pt,148.3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Regulation	</w:t>
      </w:r>
      <w:r>
        <w:rPr>
          <w:rFonts w:ascii="Times New Roman" w:hAnsi="Times New Roman" w:eastAsia="Times New Roman"/>
          <w:b w:val="true"/>
          <w:color w:val="000000"/>
          <w:spacing w:val="0"/>
          <w:w w:val="100"/>
          <w:sz w:val="20"/>
          <w:vertAlign w:val="baseline"/>
          <w:lang w:val="en-US"/>
        </w:rPr>
        <w:t xml:space="preserve">Jurisdictional Note</w:t>
      </w:r>
    </w:p>
    <w:p>
      <w:pPr>
        <w:tabs>
          <w:tab w:val="left" w:leader="none" w:pos="2160"/>
        </w:tabs>
        <w:spacing w:before="78" w:after="0" w:line="233" w:lineRule="exact"/>
        <w:ind w:right="360" w:left="2088" w:hanging="1944"/>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9.35pt,166.3pt" to="496.6pt,166.3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Appropriate local provisions to be inserted. However, a uniform form of citation is suggested, for example, the </w:t>
      </w:r>
      <w:r>
        <w:rPr>
          <w:rFonts w:ascii="Times New Roman" w:hAnsi="Times New Roman" w:eastAsia="Times New Roman"/>
          <w:i w:val="true"/>
          <w:color w:val="000000"/>
          <w:spacing w:val="0"/>
          <w:w w:val="100"/>
          <w:sz w:val="20"/>
          <w:vertAlign w:val="baseline"/>
          <w:lang w:val="en-US"/>
        </w:rPr>
        <w:t xml:space="preserve">Work Health and Safety Regulations 2011</w:t>
      </w:r>
      <w:r>
        <w:rPr>
          <w:rFonts w:ascii="Times New Roman" w:hAnsi="Times New Roman" w:eastAsia="Times New Roman"/>
          <w:color w:val="000000"/>
          <w:spacing w:val="0"/>
          <w:w w:val="100"/>
          <w:sz w:val="20"/>
          <w:vertAlign w:val="baseline"/>
          <w:lang w:val="en-US"/>
        </w:rPr>
        <w:t xml:space="preserve">.</w:t>
      </w:r>
    </w:p>
    <w:p>
      <w:pPr>
        <w:tabs>
          <w:tab w:val="left" w:leader="none" w:pos="2160"/>
        </w:tabs>
        <w:spacing w:before="112" w:after="0" w:line="231" w:lineRule="exact"/>
        <w:ind w:right="216" w:left="2088" w:hanging="1944"/>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	</w:t>
      </w:r>
      <w:r>
        <w:rPr>
          <w:rFonts w:ascii="Times New Roman" w:hAnsi="Times New Roman" w:eastAsia="Times New Roman"/>
          <w:color w:val="000000"/>
          <w:spacing w:val="0"/>
          <w:w w:val="100"/>
          <w:sz w:val="20"/>
          <w:vertAlign w:val="baseline"/>
          <w:lang w:val="en-US"/>
        </w:rPr>
        <w:t xml:space="preserve">Jurisdictions that address the authorisation of Regulations other than by a substantive provision may do so, and may omit this regulation.</w:t>
      </w:r>
    </w:p>
    <w:p>
      <w:pPr>
        <w:tabs>
          <w:tab w:val="left" w:leader="none" w:pos="2160"/>
        </w:tabs>
        <w:spacing w:before="122" w:after="0" w:line="229" w:lineRule="exact"/>
        <w:ind w:right="360" w:left="2448" w:hanging="2304"/>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 (and Schedule 1)	</w:t>
      </w:r>
      <w:r>
        <w:rPr>
          <w:rFonts w:ascii="Times New Roman" w:hAnsi="Times New Roman" w:eastAsia="Times New Roman"/>
          <w:color w:val="000000"/>
          <w:spacing w:val="0"/>
          <w:w w:val="100"/>
          <w:sz w:val="20"/>
          <w:vertAlign w:val="baseline"/>
          <w:lang w:val="en-US"/>
        </w:rPr>
        <w:t xml:space="preserve">1 Jurisdictions with existing Regulations to revoke will list these in Schedule 1.</w:t>
      </w:r>
    </w:p>
    <w:p>
      <w:pPr>
        <w:tabs>
          <w:tab w:val="left" w:leader="none" w:pos="2520"/>
        </w:tabs>
        <w:spacing w:before="62" w:after="0" w:line="231" w:lineRule="exact"/>
        <w:ind w:right="360" w:left="2448" w:hanging="36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Jurisdictions that "repeal" Regulations will draft regulation 4 and Schedule 1 accordingly.</w:t>
      </w:r>
    </w:p>
    <w:p>
      <w:pPr>
        <w:tabs>
          <w:tab w:val="left" w:leader="none" w:pos="2520"/>
        </w:tabs>
        <w:spacing w:before="58" w:after="0" w:line="230" w:lineRule="exact"/>
        <w:ind w:right="360" w:left="2448" w:hanging="360"/>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	</w:t>
      </w:r>
      <w:r>
        <w:rPr>
          <w:rFonts w:ascii="Times New Roman" w:hAnsi="Times New Roman" w:eastAsia="Times New Roman"/>
          <w:color w:val="000000"/>
          <w:spacing w:val="0"/>
          <w:w w:val="100"/>
          <w:sz w:val="20"/>
          <w:vertAlign w:val="baseline"/>
          <w:lang w:val="en-US"/>
        </w:rPr>
        <w:t xml:space="preserve">Jurisdictions that do not require an express revocation of existing Regulations may omit regulation 4 (and Schedule 1).</w:t>
      </w:r>
    </w:p>
    <w:p>
      <w:pPr>
        <w:spacing w:before="123" w:after="0" w:line="227"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 (Definitions)</w:t>
      </w:r>
    </w:p>
    <w:p>
      <w:pPr>
        <w:tabs>
          <w:tab w:val="left" w:leader="none" w:pos="2160"/>
        </w:tabs>
        <w:spacing w:before="113" w:after="0" w:line="233" w:lineRule="exact"/>
        <w:ind w:right="216" w:left="2088" w:hanging="194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5(1)	</w:t>
      </w:r>
      <w:r>
        <w:rPr>
          <w:rFonts w:ascii="Times New Roman" w:hAnsi="Times New Roman" w:eastAsia="Times New Roman"/>
          <w:color w:val="000000"/>
          <w:spacing w:val="0"/>
          <w:w w:val="100"/>
          <w:sz w:val="20"/>
          <w:vertAlign w:val="baseline"/>
          <w:lang w:val="en-US"/>
        </w:rPr>
        <w:t xml:space="preserve">Jurisdictions that have located definitions in a Dictionary at the back of their Work Health and Safety Bill may do likewise in the Regulations, and should insert an explanatory Note here.</w:t>
      </w:r>
    </w:p>
    <w:p>
      <w:pPr>
        <w:tabs>
          <w:tab w:val="left" w:leader="none" w:pos="2160"/>
        </w:tabs>
        <w:spacing w:before="123" w:after="0" w:line="229" w:lineRule="exact"/>
        <w:ind w:right="0" w:left="144" w:firstLine="0"/>
        <w:jc w:val="left"/>
        <w:textAlignment w:val="baseline"/>
        <w:rPr>
          <w:rFonts w:ascii="Times New Roman" w:hAnsi="Times New Roman" w:eastAsia="Times New Roman"/>
          <w:i w:val="true"/>
          <w:color w:val="000000"/>
          <w:spacing w:val="0"/>
          <w:w w:val="100"/>
          <w:sz w:val="20"/>
          <w:vertAlign w:val="baseline"/>
          <w:lang w:val="en-US"/>
        </w:rPr>
      </w:pPr>
      <w:r>
        <w:rPr>
          <w:rFonts w:ascii="Times New Roman" w:hAnsi="Times New Roman" w:eastAsia="Times New Roman"/>
          <w:i w:val="true"/>
          <w:color w:val="000000"/>
          <w:spacing w:val="0"/>
          <w:w w:val="100"/>
          <w:sz w:val="20"/>
          <w:vertAlign w:val="baseline"/>
          <w:lang w:val="en-US"/>
        </w:rPr>
        <w:t xml:space="preserve">accredited assessor	</w:t>
      </w:r>
      <w:r>
        <w:rPr>
          <w:rFonts w:ascii="Times New Roman" w:hAnsi="Times New Roman" w:eastAsia="Times New Roman"/>
          <w:color w:val="000000"/>
          <w:spacing w:val="0"/>
          <w:w w:val="100"/>
          <w:sz w:val="20"/>
          <w:vertAlign w:val="baseline"/>
          <w:lang w:val="en-US"/>
        </w:rPr>
        <w:t xml:space="preserve">See jurisdictional note relating to Part 4.5, Division 2 heading.</w:t>
      </w:r>
    </w:p>
    <w:p>
      <w:pPr>
        <w:tabs>
          <w:tab w:val="left" w:leader="none" w:pos="2160"/>
        </w:tabs>
        <w:spacing w:before="116" w:after="0" w:line="229" w:lineRule="exact"/>
        <w:ind w:right="576" w:left="144" w:firstLine="0"/>
        <w:jc w:val="left"/>
        <w:textAlignment w:val="baseline"/>
        <w:rPr>
          <w:rFonts w:ascii="Times New Roman" w:hAnsi="Times New Roman" w:eastAsia="Times New Roman"/>
          <w:i w:val="true"/>
          <w:color w:val="000000"/>
          <w:spacing w:val="0"/>
          <w:w w:val="100"/>
          <w:sz w:val="20"/>
          <w:vertAlign w:val="baseline"/>
          <w:lang w:val="en-US"/>
        </w:rPr>
      </w:pPr>
      <w:r>
        <w:rPr>
          <w:rFonts w:ascii="Times New Roman" w:hAnsi="Times New Roman" w:eastAsia="Times New Roman"/>
          <w:i w:val="true"/>
          <w:color w:val="000000"/>
          <w:spacing w:val="0"/>
          <w:w w:val="100"/>
          <w:sz w:val="20"/>
          <w:vertAlign w:val="baseline"/>
          <w:lang w:val="en-US"/>
        </w:rPr>
        <w:t xml:space="preserve">amusement device	</w:t>
      </w:r>
      <w:r>
        <w:rPr>
          <w:rFonts w:ascii="Times New Roman" w:hAnsi="Times New Roman" w:eastAsia="Times New Roman"/>
          <w:color w:val="000000"/>
          <w:spacing w:val="0"/>
          <w:w w:val="100"/>
          <w:sz w:val="20"/>
          <w:vertAlign w:val="baseline"/>
          <w:lang w:val="en-US"/>
        </w:rPr>
        <w:t xml:space="preserve">The Commonwealth will need to express this provision differently. (para (b))</w:t>
      </w:r>
    </w:p>
    <w:p>
      <w:pPr>
        <w:tabs>
          <w:tab w:val="left" w:leader="none" w:pos="2160"/>
        </w:tabs>
        <w:spacing w:before="128" w:after="0" w:line="229" w:lineRule="exact"/>
        <w:ind w:right="0" w:left="144" w:firstLine="0"/>
        <w:jc w:val="left"/>
        <w:textAlignment w:val="baseline"/>
        <w:rPr>
          <w:rFonts w:ascii="Times New Roman" w:hAnsi="Times New Roman" w:eastAsia="Times New Roman"/>
          <w:i w:val="true"/>
          <w:color w:val="000000"/>
          <w:spacing w:val="0"/>
          <w:w w:val="100"/>
          <w:sz w:val="20"/>
          <w:vertAlign w:val="baseline"/>
          <w:lang w:val="en-US"/>
        </w:rPr>
      </w:pPr>
      <w:r>
        <w:rPr>
          <w:rFonts w:ascii="Times New Roman" w:hAnsi="Times New Roman" w:eastAsia="Times New Roman"/>
          <w:i w:val="true"/>
          <w:color w:val="000000"/>
          <w:spacing w:val="0"/>
          <w:w w:val="100"/>
          <w:sz w:val="20"/>
          <w:vertAlign w:val="baseline"/>
          <w:lang w:val="en-US"/>
        </w:rPr>
        <w:t xml:space="preserve">combustible liquid	</w:t>
      </w:r>
      <w:r>
        <w:rPr>
          <w:rFonts w:ascii="Times New Roman" w:hAnsi="Times New Roman" w:eastAsia="Times New Roman"/>
          <w:color w:val="000000"/>
          <w:spacing w:val="0"/>
          <w:w w:val="100"/>
          <w:sz w:val="20"/>
          <w:vertAlign w:val="baseline"/>
          <w:lang w:val="en-US"/>
        </w:rPr>
        <w:t xml:space="preserve">Jurisdictions may insert their own definition or omit the definition.</w:t>
      </w:r>
    </w:p>
    <w:p>
      <w:pPr>
        <w:tabs>
          <w:tab w:val="left" w:leader="none" w:pos="2160"/>
        </w:tabs>
        <w:spacing w:before="403" w:after="105" w:line="230" w:lineRule="exact"/>
        <w:ind w:right="216" w:left="2088" w:hanging="1944"/>
        <w:jc w:val="left"/>
        <w:textAlignment w:val="baseline"/>
        <w:rPr>
          <w:rFonts w:ascii="Times New Roman" w:hAnsi="Times New Roman" w:eastAsia="Times New Roman"/>
          <w:i w:val="true"/>
          <w:color w:val="000000"/>
          <w:spacing w:val="0"/>
          <w:w w:val="100"/>
          <w:sz w:val="20"/>
          <w:vertAlign w:val="baseline"/>
          <w:lang w:val="en-US"/>
        </w:rPr>
      </w:pPr>
      <w:r>
        <w:rPr>
          <w:rFonts w:ascii="Times New Roman" w:hAnsi="Times New Roman" w:eastAsia="Times New Roman"/>
          <w:i w:val="true"/>
          <w:color w:val="000000"/>
          <w:spacing w:val="0"/>
          <w:w w:val="100"/>
          <w:sz w:val="20"/>
          <w:vertAlign w:val="baseline"/>
          <w:lang w:val="en-US"/>
        </w:rPr>
        <w:t xml:space="preserve">competent person	</w:t>
      </w:r>
      <w:r>
        <w:rPr>
          <w:rFonts w:ascii="Times New Roman" w:hAnsi="Times New Roman" w:eastAsia="Times New Roman"/>
          <w:color w:val="000000"/>
          <w:spacing w:val="0"/>
          <w:w w:val="100"/>
          <w:sz w:val="20"/>
          <w:vertAlign w:val="baseline"/>
          <w:lang w:val="en-US"/>
        </w:rPr>
        <w:t xml:space="preserve">Jurisdictions will insert into paragraph (a) a reference to the licence or other authorisation required under local electricity safety legislation for a person to carry out electrical work on energised electrical equipment.</w:t>
      </w:r>
    </w:p>
    <w:p>
      <w:pPr>
        <w:spacing w:before="403" w:after="105" w:line="230" w:lineRule="exact"/>
        <w:sectPr>
          <w:type w:val="nextPage"/>
          <w:pgSz w:w="11909" w:h="16838" w:orient="portrait"/>
          <w:pgMar w:bottom="1082" w:top="1140" w:right="1900" w:left="1909" w:header="720" w:footer="720"/>
          <w:titlePg w:val="false"/>
          <w:textDirection w:val="lrTb"/>
        </w:sectPr>
      </w:pPr>
    </w:p>
    <w:p>
      <w:pPr>
        <w:spacing w:before="3" w:after="0" w:line="230" w:lineRule="exact"/>
        <w:ind w:right="0" w:left="0" w:firstLine="0"/>
        <w:jc w:val="left"/>
        <w:textAlignment w:val="baseline"/>
        <w:rPr>
          <w:rFonts w:ascii="Times New Roman" w:hAnsi="Times New Roman" w:eastAsia="Times New Roman"/>
          <w:i w:val="true"/>
          <w:color w:val="000000"/>
          <w:spacing w:val="0"/>
          <w:w w:val="100"/>
          <w:sz w:val="20"/>
          <w:vertAlign w:val="baseline"/>
          <w:lang w:val="en-US"/>
        </w:rPr>
      </w:pPr>
      <w:r>
        <w:rPr>
          <w:rFonts w:ascii="Times New Roman" w:hAnsi="Times New Roman" w:eastAsia="Times New Roman"/>
          <w:i w:val="true"/>
          <w:color w:val="000000"/>
          <w:spacing w:val="0"/>
          <w:w w:val="100"/>
          <w:sz w:val="20"/>
          <w:vertAlign w:val="baseline"/>
          <w:lang w:val="en-US"/>
        </w:rPr>
        <w:t xml:space="preserve">electricity supply authority</w:t>
      </w:r>
    </w:p>
    <w:p>
      <w:pPr>
        <w:spacing w:before="350" w:after="0" w:line="231" w:lineRule="exact"/>
        <w:ind w:right="0" w:left="0" w:firstLine="0"/>
        <w:jc w:val="left"/>
        <w:textAlignment w:val="baseline"/>
        <w:rPr>
          <w:rFonts w:ascii="Times New Roman" w:hAnsi="Times New Roman" w:eastAsia="Times New Roman"/>
          <w:i w:val="true"/>
          <w:color w:val="000000"/>
          <w:spacing w:val="0"/>
          <w:w w:val="100"/>
          <w:sz w:val="20"/>
          <w:vertAlign w:val="baseline"/>
          <w:lang w:val="en-US"/>
        </w:rPr>
      </w:pPr>
      <w:r>
        <w:rPr>
          <w:rFonts w:ascii="Times New Roman" w:hAnsi="Times New Roman" w:eastAsia="Times New Roman"/>
          <w:i w:val="true"/>
          <w:color w:val="000000"/>
          <w:spacing w:val="0"/>
          <w:w w:val="100"/>
          <w:sz w:val="20"/>
          <w:vertAlign w:val="baseline"/>
          <w:lang w:val="en-US"/>
        </w:rPr>
        <w:t xml:space="preserve">emergency service organisation</w:t>
      </w:r>
    </w:p>
    <w:p>
      <w:pPr>
        <w:spacing w:before="341" w:after="0" w:line="229" w:lineRule="exact"/>
        <w:ind w:right="0" w:left="0" w:firstLine="0"/>
        <w:jc w:val="left"/>
        <w:textAlignment w:val="baseline"/>
        <w:rPr>
          <w:rFonts w:ascii="Times New Roman" w:hAnsi="Times New Roman" w:eastAsia="Times New Roman"/>
          <w:i w:val="true"/>
          <w:color w:val="000000"/>
          <w:spacing w:val="0"/>
          <w:w w:val="100"/>
          <w:sz w:val="20"/>
          <w:vertAlign w:val="baseline"/>
          <w:lang w:val="en-US"/>
        </w:rPr>
      </w:pPr>
      <w:r>
        <w:rPr>
          <w:rFonts w:ascii="Times New Roman" w:hAnsi="Times New Roman" w:eastAsia="Times New Roman"/>
          <w:i w:val="true"/>
          <w:color w:val="000000"/>
          <w:spacing w:val="0"/>
          <w:w w:val="100"/>
          <w:sz w:val="20"/>
          <w:vertAlign w:val="baseline"/>
          <w:lang w:val="en-US"/>
        </w:rPr>
        <w:t xml:space="preserve">emergency service worker</w:t>
      </w:r>
    </w:p>
    <w:p>
      <w:pPr>
        <w:spacing w:before="2" w:after="0" w:line="230" w:lineRule="exact"/>
        <w:ind w:right="0" w:left="0" w:firstLine="0"/>
        <w:jc w:val="left"/>
        <w:textAlignment w:val="baseline"/>
        <w:rPr>
          <w:rFonts w:ascii="Times New Roman" w:hAnsi="Times New Roman" w:eastAsia="Times New Roman"/>
          <w:color w:val="000000"/>
          <w:spacing w:val="0"/>
          <w:w w:val="100"/>
          <w:sz w:val="20"/>
          <w:vertAlign w:val="baseline"/>
          <w:lang w:val="en-US"/>
        </w:rPr>
      </w:pPr>
      <w:r>
        <w:br w:type="column"/>
      </w:r>
      <w:r>
        <w:rPr>
          <w:rFonts w:ascii="Times New Roman" w:hAnsi="Times New Roman" w:eastAsia="Times New Roman"/>
          <w:color w:val="000000"/>
          <w:spacing w:val="0"/>
          <w:w w:val="100"/>
          <w:sz w:val="20"/>
          <w:vertAlign w:val="baseline"/>
          <w:lang w:val="en-US"/>
        </w:rPr>
        <w:t xml:space="preserve">Jurisdictions will insert a definition that identifies the relevant person or body engaged in the distribution of electricity to the public or the transmission or supply, directly or indirectly, to the public.</w:t>
      </w:r>
    </w:p>
    <w:p>
      <w:pPr>
        <w:spacing w:before="121" w:after="0" w:line="230" w:lineRule="exact"/>
        <w:ind w:right="36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Appropriate local provisions to be inserted. However, a uniform approach to the types of emergency service organisation included is important.</w:t>
      </w:r>
    </w:p>
    <w:p>
      <w:pPr>
        <w:spacing w:before="111" w:after="0" w:line="230" w:lineRule="exact"/>
        <w:ind w:right="576"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Appropriate local provisions to be inserted. However, a uniform approach to the types of workers included is important.</w:t>
      </w:r>
    </w:p>
    <w:p>
      <w:pPr>
        <w:sectPr>
          <w:type w:val="continuous"/>
          <w:pgSz w:w="11909" w:h="16838" w:orient="portrait"/>
          <w:pgMar w:bottom="1082" w:top="1140" w:right="2083" w:left="2093" w:header="720" w:footer="720"/>
          <w:cols w:sep="0" w:num="2" w:space="0" w:equalWidth="0">
            <w:col w:w="1493" w:space="456"/>
            <w:col w:w="5784" w:space="0"/>
          </w:cols>
          <w:titlePg w:val="false"/>
          <w:textDirection w:val="lrTb"/>
        </w:sectPr>
      </w:pPr>
    </w:p>
    <w:p>
      <w:pPr>
        <w:tabs>
          <w:tab w:val="left" w:leader="none" w:pos="2160"/>
        </w:tabs>
        <w:spacing w:before="120" w:after="0" w:line="229" w:lineRule="exact"/>
        <w:ind w:right="0" w:left="144" w:firstLine="0"/>
        <w:jc w:val="left"/>
        <w:textAlignment w:val="baseline"/>
        <w:rPr>
          <w:rFonts w:ascii="Times New Roman" w:hAnsi="Times New Roman" w:eastAsia="Times New Roman"/>
          <w:i w:val="true"/>
          <w:color w:val="000000"/>
          <w:spacing w:val="0"/>
          <w:w w:val="100"/>
          <w:sz w:val="20"/>
          <w:vertAlign w:val="baseline"/>
          <w:lang w:val="en-US"/>
        </w:rPr>
      </w:pPr>
      <w:r>
        <w:rPr>
          <w:rFonts w:ascii="Times New Roman" w:hAnsi="Times New Roman" w:eastAsia="Times New Roman"/>
          <w:i w:val="true"/>
          <w:color w:val="000000"/>
          <w:spacing w:val="0"/>
          <w:w w:val="100"/>
          <w:sz w:val="20"/>
          <w:vertAlign w:val="baseline"/>
          <w:lang w:val="en-US"/>
        </w:rPr>
        <w:t xml:space="preserve">excavation	</w:t>
      </w:r>
      <w:r>
        <w:rPr>
          <w:rFonts w:ascii="Times New Roman" w:hAnsi="Times New Roman" w:eastAsia="Times New Roman"/>
          <w:color w:val="000000"/>
          <w:spacing w:val="0"/>
          <w:w w:val="100"/>
          <w:sz w:val="20"/>
          <w:vertAlign w:val="baseline"/>
          <w:lang w:val="en-US"/>
        </w:rPr>
        <w:t xml:space="preserve">A jurisdiction will insert the relevant water law.</w:t>
      </w:r>
    </w:p>
    <w:p>
      <w:pPr>
        <w:spacing w:before="117" w:after="0" w:line="228" w:lineRule="exact"/>
        <w:ind w:right="0" w:left="144" w:firstLine="0"/>
        <w:jc w:val="left"/>
        <w:textAlignment w:val="baseline"/>
        <w:rPr>
          <w:rFonts w:ascii="Times New Roman" w:hAnsi="Times New Roman" w:eastAsia="Times New Roman"/>
          <w:i w:val="true"/>
          <w:color w:val="000000"/>
          <w:spacing w:val="3"/>
          <w:w w:val="100"/>
          <w:sz w:val="20"/>
          <w:vertAlign w:val="baseline"/>
          <w:lang w:val="en-US"/>
        </w:rPr>
      </w:pPr>
      <w:r>
        <w:rPr>
          <w:rFonts w:ascii="Times New Roman" w:hAnsi="Times New Roman" w:eastAsia="Times New Roman"/>
          <w:i w:val="true"/>
          <w:color w:val="000000"/>
          <w:spacing w:val="3"/>
          <w:w w:val="100"/>
          <w:sz w:val="20"/>
          <w:vertAlign w:val="baseline"/>
          <w:lang w:val="en-US"/>
        </w:rPr>
        <w:t xml:space="preserve">general construction </w:t>
      </w:r>
      <w:r>
        <w:rPr>
          <w:rFonts w:ascii="Times New Roman" w:hAnsi="Times New Roman" w:eastAsia="Times New Roman"/>
          <w:color w:val="000000"/>
          <w:spacing w:val="3"/>
          <w:w w:val="100"/>
          <w:sz w:val="20"/>
          <w:vertAlign w:val="baseline"/>
          <w:lang w:val="en-US"/>
        </w:rPr>
        <w:t xml:space="preserve">Jurisdictions in which the scheme of general construction induction</w:t>
      </w:r>
    </w:p>
    <w:p>
      <w:pPr>
        <w:tabs>
          <w:tab w:val="left" w:leader="none" w:pos="2160"/>
        </w:tabs>
        <w:spacing w:before="0" w:after="0" w:line="229" w:lineRule="exact"/>
        <w:ind w:right="0" w:left="144" w:firstLine="0"/>
        <w:jc w:val="left"/>
        <w:textAlignment w:val="baseline"/>
        <w:rPr>
          <w:rFonts w:ascii="Times New Roman" w:hAnsi="Times New Roman" w:eastAsia="Times New Roman"/>
          <w:i w:val="true"/>
          <w:color w:val="000000"/>
          <w:spacing w:val="0"/>
          <w:w w:val="100"/>
          <w:sz w:val="20"/>
          <w:vertAlign w:val="baseline"/>
          <w:lang w:val="en-US"/>
        </w:rPr>
      </w:pPr>
      <w:r>
        <w:rPr>
          <w:rFonts w:ascii="Times New Roman" w:hAnsi="Times New Roman" w:eastAsia="Times New Roman"/>
          <w:i w:val="true"/>
          <w:color w:val="000000"/>
          <w:spacing w:val="0"/>
          <w:w w:val="100"/>
          <w:sz w:val="20"/>
          <w:vertAlign w:val="baseline"/>
          <w:lang w:val="en-US"/>
        </w:rPr>
        <w:t xml:space="preserve">induction training	</w:t>
      </w:r>
      <w:r>
        <w:rPr>
          <w:rFonts w:ascii="Times New Roman" w:hAnsi="Times New Roman" w:eastAsia="Times New Roman"/>
          <w:color w:val="000000"/>
          <w:spacing w:val="0"/>
          <w:w w:val="100"/>
          <w:sz w:val="20"/>
          <w:vertAlign w:val="baseline"/>
          <w:lang w:val="en-US"/>
        </w:rPr>
        <w:t xml:space="preserve">training cards is administered by RTOs rather than the regulator should</w:t>
      </w:r>
    </w:p>
    <w:p>
      <w:pPr>
        <w:tabs>
          <w:tab w:val="left" w:leader="none" w:pos="2160"/>
        </w:tabs>
        <w:spacing w:before="0" w:after="0" w:line="230" w:lineRule="exact"/>
        <w:ind w:right="144" w:left="2088" w:hanging="1944"/>
        <w:jc w:val="left"/>
        <w:textAlignment w:val="baseline"/>
        <w:rPr>
          <w:rFonts w:ascii="Times New Roman" w:hAnsi="Times New Roman" w:eastAsia="Times New Roman"/>
          <w:i w:val="true"/>
          <w:color w:val="000000"/>
          <w:spacing w:val="0"/>
          <w:w w:val="100"/>
          <w:sz w:val="20"/>
          <w:vertAlign w:val="baseline"/>
          <w:lang w:val="en-US"/>
        </w:rPr>
      </w:pPr>
      <w:r>
        <w:rPr>
          <w:rFonts w:ascii="Times New Roman" w:hAnsi="Times New Roman" w:eastAsia="Times New Roman"/>
          <w:i w:val="true"/>
          <w:color w:val="000000"/>
          <w:spacing w:val="0"/>
          <w:w w:val="100"/>
          <w:sz w:val="20"/>
          <w:vertAlign w:val="baseline"/>
          <w:lang w:val="en-US"/>
        </w:rPr>
        <w:t xml:space="preserve">card	</w:t>
      </w:r>
      <w:r>
        <w:rPr>
          <w:rFonts w:ascii="Times New Roman" w:hAnsi="Times New Roman" w:eastAsia="Times New Roman"/>
          <w:color w:val="000000"/>
          <w:spacing w:val="0"/>
          <w:w w:val="100"/>
          <w:sz w:val="20"/>
          <w:vertAlign w:val="baseline"/>
          <w:lang w:val="en-US"/>
        </w:rPr>
        <w:t xml:space="preserve">alter this definition so that it refers to a general construction induction training card issued by an RTO. (See the jurisdictional note for Part 6.5 below.)</w:t>
      </w:r>
    </w:p>
    <w:p>
      <w:pPr>
        <w:tabs>
          <w:tab w:val="left" w:leader="none" w:pos="2160"/>
        </w:tabs>
        <w:spacing w:before="121" w:after="312" w:line="230" w:lineRule="exact"/>
        <w:ind w:right="144" w:left="2088" w:hanging="1944"/>
        <w:jc w:val="left"/>
        <w:textAlignment w:val="baseline"/>
        <w:rPr>
          <w:rFonts w:ascii="Times New Roman" w:hAnsi="Times New Roman" w:eastAsia="Times New Roman"/>
          <w:i w:val="true"/>
          <w:color w:val="000000"/>
          <w:spacing w:val="0"/>
          <w:w w:val="100"/>
          <w:sz w:val="20"/>
          <w:vertAlign w:val="baseline"/>
          <w:lang w:val="en-US"/>
        </w:rPr>
      </w:pPr>
      <w:r>
        <w:rPr>
          <w:rFonts w:ascii="Times New Roman" w:hAnsi="Times New Roman" w:eastAsia="Times New Roman"/>
          <w:i w:val="true"/>
          <w:color w:val="000000"/>
          <w:spacing w:val="0"/>
          <w:w w:val="100"/>
          <w:sz w:val="20"/>
          <w:vertAlign w:val="baseline"/>
          <w:lang w:val="en-US"/>
        </w:rPr>
        <w:t xml:space="preserve">pressure piping	</w:t>
      </w:r>
      <w:r>
        <w:rPr>
          <w:rFonts w:ascii="Times New Roman" w:hAnsi="Times New Roman" w:eastAsia="Times New Roman"/>
          <w:color w:val="000000"/>
          <w:spacing w:val="0"/>
          <w:w w:val="100"/>
          <w:sz w:val="20"/>
          <w:vertAlign w:val="baseline"/>
          <w:lang w:val="en-US"/>
        </w:rPr>
        <w:t xml:space="preserve">Jurisdictions may insert a reference to legislation that regulates pressure piping.</w:t>
      </w:r>
    </w:p>
    <w:p>
      <w:pPr>
        <w:tabs>
          <w:tab w:val="left" w:leader="none" w:pos="3960"/>
        </w:tabs>
        <w:spacing w:before="379" w:after="0" w:line="179" w:lineRule="exact"/>
        <w:ind w:right="0" w:left="144" w:firstLine="0"/>
        <w:jc w:val="left"/>
        <w:textAlignment w:val="baseline"/>
        <w:rPr>
          <w:rFonts w:ascii="Times New Roman" w:hAnsi="Times New Roman" w:eastAsia="Times New Roman"/>
          <w:color w:val="000000"/>
          <w:spacing w:val="0"/>
          <w:w w:val="100"/>
          <w:sz w:val="16"/>
          <w:vertAlign w:val="baseline"/>
          <w:lang w:val="en-US"/>
        </w:rPr>
      </w:pPr>
      <w:r>
        <w:pict>
          <v:line strokeweight="0.5pt" strokecolor="#000000" from="95.45pt,728.15pt" to="500.5pt,728.15pt" style="position:absolute;mso-position-horizontal-relative:page;mso-position-vertical-relative:page;">
            <v:stroke dashstyle="solid"/>
          </v:line>
        </w:pict>
      </w: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499</w:t>
      </w:r>
    </w:p>
    <w:p>
      <w:pPr>
        <w:sectPr>
          <w:type w:val="continuous"/>
          <w:pgSz w:w="11909" w:h="16838" w:orient="portrait"/>
          <w:pgMar w:bottom="1082" w:top="1140" w:right="1900" w:left="1909" w:header="720" w:footer="720"/>
          <w:titlePg w:val="false"/>
          <w:textDirection w:val="lrTb"/>
        </w:sectPr>
      </w:pPr>
    </w:p>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pict>
          <v:shapetype id="_x0000_t118" coordsize="21600,21600" o:spt="202" path="m,l,21600r21600,l21600,xe">
            <v:stroke joinstyle="miter"/>
            <v:path gradientshapeok="t" o:connecttype="rect"/>
          </v:shapetype>
          <v:shape id="_x0000_s117" type="#_x0000_t118" filled="f" stroked="f" style="position:absolute;width:405pt;height:46.6pt;z-index:-1;margin-left:95.45pt;margin-top:57pt;mso-wrap-distance-left:0pt;mso-wrap-distance-right:0pt;mso-position-horizontal-relative:page;mso-position-vertical-relative:page">
            <w10:wrap type="square" side="both"/>
            <v:fill opacity="1" o:opacity2="1" recolor="f" rotate="f" type="solid"/>
            <v:textbox inset="0pt, 0pt, 0pt, 0pt">
              <w:txbxContent>
                <w:p>
                  <w:pPr>
                    <w:spacing w:before="0" w:after="224" w:line="347"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</w:t>
                    <w:br/>
                  </w:r>
                  <w:r>
                    <w:rPr>
                      <w:rFonts w:ascii="Times New Roman" w:hAnsi="Times New Roman" w:eastAsia="Times New Roman"/>
                      <w:color w:val="000000"/>
                      <w:spacing w:val="0"/>
                      <w:w w:val="100"/>
                      <w:sz w:val="20"/>
                      <w:vertAlign w:val="baseline"/>
                      <w:lang w:val="en-US"/>
                    </w:rPr>
                    <w:t xml:space="preserve">APPENDIX Jurisdictional Notes</w:t>
                  </w:r>
                </w:p>
              </w:txbxContent>
            </v:textbox>
          </v:shape>
        </w:pict>
      </w:r>
      <w:r>
        <w:pict>
          <v:shapetype id="_x0000_t119" coordsize="21600,21600" o:spt="202" path="m,l,21600r21600,l21600,xe">
            <v:stroke joinstyle="miter"/>
            <v:path gradientshapeok="t" o:connecttype="rect"/>
          </v:shapetype>
          <v:shape id="_x0000_s118" type="#_x0000_t119" filled="f" stroked="f" style="position:absolute;width:405pt;height:33.4pt;z-index:-1;margin-left:95.45pt;margin-top:103.6pt;mso-wrap-distance-left:0pt;mso-wrap-distance-right:0pt;mso-position-horizontal-relative:page;mso-position-vertical-relative:page">
            <w10:wrap type="square" side="both"/>
            <v:fill opacity="1" o:opacity2="1" recolor="f" rotate="f" type="solid"/>
            <v:textbox inset="0pt, 0pt, 0pt, 0pt">
              <w:txbxContent>
                <w:p>
                  <w:pPr>
                    <w:tabs>
                      <w:tab w:val="left" w:leader="none" w:pos="2160"/>
                    </w:tabs>
                    <w:spacing w:before="327" w:after="107" w:line="230" w:lineRule="exact"/>
                    <w:ind w:right="0" w:left="144"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Regulation	</w:t>
                  </w:r>
                  <w:r>
                    <w:rPr>
                      <w:rFonts w:ascii="Times New Roman" w:hAnsi="Times New Roman" w:eastAsia="Times New Roman"/>
                      <w:b w:val="true"/>
                      <w:color w:val="000000"/>
                      <w:spacing w:val="0"/>
                      <w:w w:val="100"/>
                      <w:sz w:val="20"/>
                      <w:vertAlign w:val="baseline"/>
                      <w:lang w:val="en-US"/>
                    </w:rPr>
                    <w:t xml:space="preserve">Jurisdictional Note</w:t>
                  </w:r>
                </w:p>
              </w:txbxContent>
            </v:textbox>
          </v:shape>
        </w:pict>
      </w:r>
      <w:r>
        <w:pict>
          <v:shapetype id="_x0000_t120" coordsize="21600,21600" o:spt="202" path="m,l,21600r21600,l21600,xe">
            <v:stroke joinstyle="miter"/>
            <v:path gradientshapeok="t" o:connecttype="rect"/>
          </v:shapetype>
          <v:shape id="_x0000_s119" type="#_x0000_t120" filled="f" stroked="f" style="position:absolute;width:288pt;height:401.55pt;z-index:-1;margin-left:202.3pt;margin-top:137pt;mso-wrap-distance-left:0pt;mso-wrap-distance-right:0pt;mso-position-horizontal-relative:page;mso-position-vertical-relative:page">
            <w10:wrap type="square" side="both"/>
            <v:fill opacity="1" o:opacity2="1" recolor="f" rotate="f" type="solid"/>
            <v:textbox inset="0pt, 0pt, 0pt, 0pt">
              <w:txbxContent>
                <w:p>
                  <w:pPr>
                    <w:spacing w:before="1" w:after="0" w:line="231" w:lineRule="exact"/>
                    <w:ind w:right="288"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Jurisdictions may determine the relevant primary emergency service organisation.</w:t>
                  </w:r>
                </w:p>
                <w:p>
                  <w:pPr>
                    <w:spacing w:before="121" w:after="0" w:line="230" w:lineRule="exact"/>
                    <w:ind w:right="72"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Jurisdictions in which an RTO is required to enter into an agreement with the regulator to deliver training and conduct assessments, may use the following definition:</w:t>
                  </w:r>
                </w:p>
                <w:p>
                  <w:pPr>
                    <w:spacing w:before="63" w:after="0" w:line="233" w:lineRule="exact"/>
                    <w:ind w:right="72" w:left="0"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w:t>
                  </w:r>
                  <w:r>
                    <w:rPr>
                      <w:rFonts w:ascii="Times New Roman" w:hAnsi="Times New Roman" w:eastAsia="Times New Roman"/>
                      <w:b w:val="true"/>
                      <w:i w:val="true"/>
                      <w:color w:val="000000"/>
                      <w:spacing w:val="-1"/>
                      <w:w w:val="100"/>
                      <w:sz w:val="21"/>
                      <w:vertAlign w:val="baseline"/>
                      <w:lang w:val="en-US"/>
                    </w:rPr>
                    <w:t xml:space="preserve">registered training organisation </w:t>
                  </w:r>
                  <w:r>
                    <w:rPr>
                      <w:rFonts w:ascii="Times New Roman" w:hAnsi="Times New Roman" w:eastAsia="Times New Roman"/>
                      <w:color w:val="000000"/>
                      <w:spacing w:val="-1"/>
                      <w:w w:val="100"/>
                      <w:sz w:val="20"/>
                      <w:vertAlign w:val="baseline"/>
                      <w:lang w:val="en-US"/>
                    </w:rPr>
                    <w:t xml:space="preserve">means a training organisation that:</w:t>
                  </w:r>
                </w:p>
                <w:p>
                  <w:pPr>
                    <w:numPr>
                      <w:ilvl w:val="0"/>
                      <w:numId w:val="1159"/>
                    </w:numPr>
                    <w:tabs>
                      <w:tab w:val="clear" w:pos="504"/>
                      <w:tab w:val="left" w:pos="864"/>
                    </w:tabs>
                    <w:spacing w:before="56" w:after="0" w:line="230" w:lineRule="exact"/>
                    <w:ind w:right="72" w:left="864" w:hanging="50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is listed as a registered training organisation on the National Register established under the </w:t>
                  </w:r>
                  <w:r>
                    <w:rPr>
                      <w:rFonts w:ascii="Times New Roman" w:hAnsi="Times New Roman" w:eastAsia="Times New Roman"/>
                      <w:i w:val="true"/>
                      <w:color w:val="000000"/>
                      <w:spacing w:val="0"/>
                      <w:w w:val="100"/>
                      <w:sz w:val="20"/>
                      <w:vertAlign w:val="baseline"/>
                      <w:lang w:val="en-US"/>
                    </w:rPr>
                    <w:t xml:space="preserve">National Vocational Education and Training Regulator Act 2011 </w:t>
                  </w:r>
                  <w:r>
                    <w:rPr>
                      <w:rFonts w:ascii="Times New Roman" w:hAnsi="Times New Roman" w:eastAsia="Times New Roman"/>
                      <w:color w:val="000000"/>
                      <w:spacing w:val="0"/>
                      <w:w w:val="100"/>
                      <w:sz w:val="20"/>
                      <w:vertAlign w:val="baseline"/>
                      <w:lang w:val="en-US"/>
                    </w:rPr>
                    <w:t xml:space="preserve">of the Commonwealth; and</w:t>
                  </w:r>
                </w:p>
                <w:p>
                  <w:pPr>
                    <w:numPr>
                      <w:ilvl w:val="0"/>
                      <w:numId w:val="1159"/>
                    </w:numPr>
                    <w:tabs>
                      <w:tab w:val="clear" w:pos="504"/>
                      <w:tab w:val="left" w:pos="864"/>
                    </w:tabs>
                    <w:spacing w:before="58" w:after="0" w:line="230" w:lineRule="exact"/>
                    <w:ind w:right="216" w:left="864" w:hanging="50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has entered into an agreement with the regulator to deliver training and conduct assessments.".</w:t>
                  </w:r>
                </w:p>
                <w:p>
                  <w:pPr>
                    <w:tabs>
                      <w:tab w:val="left" w:leader="none" w:pos="360"/>
                    </w:tabs>
                    <w:spacing w:before="121" w:after="0" w:line="230" w:lineRule="exact"/>
                    <w:ind w:right="504" w:left="360" w:hanging="36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Subject to Note 2, jurisdictions will insert the relevant fees in Schedule 2.</w:t>
                  </w:r>
                </w:p>
                <w:p>
                  <w:pPr>
                    <w:tabs>
                      <w:tab w:val="left" w:leader="none" w:pos="360"/>
                    </w:tabs>
                    <w:spacing w:before="60" w:after="0" w:line="230" w:lineRule="exact"/>
                    <w:ind w:right="72" w:left="360" w:hanging="36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A jurisdiction in which fees are determined and published by means of an instrument under the Act other than these Regulations will insert an explanatory Note in Schedule 2 specifying where the relevant fees are published and identifying the instrument by which they are determined.</w:t>
                  </w:r>
                </w:p>
                <w:p>
                  <w:pPr>
                    <w:tabs>
                      <w:tab w:val="left" w:leader="none" w:pos="360"/>
                    </w:tabs>
                    <w:spacing w:before="112" w:after="0" w:line="233" w:lineRule="exact"/>
                    <w:ind w:right="72" w:left="360" w:hanging="36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	</w:t>
                  </w:r>
                  <w:r>
                    <w:rPr>
                      <w:rFonts w:ascii="Times New Roman" w:hAnsi="Times New Roman" w:eastAsia="Times New Roman"/>
                      <w:color w:val="000000"/>
                      <w:spacing w:val="0"/>
                      <w:w w:val="100"/>
                      <w:sz w:val="20"/>
                      <w:vertAlign w:val="baseline"/>
                      <w:lang w:val="en-US"/>
                    </w:rPr>
                    <w:t xml:space="preserve">In setting application fees, jurisdictions must use methods based on the principle of full cost recovery. Jurisdictions may continue to use current methods based on that principle.</w:t>
                  </w:r>
                </w:p>
                <w:p>
                  <w:pPr>
                    <w:tabs>
                      <w:tab w:val="left" w:leader="none" w:pos="360"/>
                    </w:tabs>
                    <w:spacing w:before="60" w:after="0" w:line="230" w:lineRule="exact"/>
                    <w:ind w:right="72" w:left="360" w:hanging="36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	</w:t>
                  </w:r>
                  <w:r>
                    <w:rPr>
                      <w:rFonts w:ascii="Times New Roman" w:hAnsi="Times New Roman" w:eastAsia="Times New Roman"/>
                      <w:color w:val="000000"/>
                      <w:spacing w:val="0"/>
                      <w:w w:val="100"/>
                      <w:sz w:val="20"/>
                      <w:vertAlign w:val="baseline"/>
                      <w:lang w:val="en-US"/>
                    </w:rPr>
                    <w:t xml:space="preserve">Jurisdictions that set fees for administering licensing, registration or other authorisation schemes must use methods based on the principle of full cost recovery. Jurisdictions may continue to use current methods based on that principle. A jurisdiction that sets an administration fee may waive that fee for the first year of the licence or registration.</w:t>
                  </w:r>
                </w:p>
                <w:p>
                  <w:pPr>
                    <w:spacing w:before="116" w:after="104" w:line="230" w:lineRule="exact"/>
                    <w:ind w:right="72"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Jurisdictions in which there is a specified VET course for general diving work should include an additional paragraph for that course in this definition</w:t>
                  </w:r>
                </w:p>
              </w:txbxContent>
            </v:textbox>
          </v:shape>
        </w:pict>
      </w:r>
      <w:r>
        <w:pict>
          <v:shapetype id="_x0000_t121" coordsize="21600,21600" o:spt="202" path="m,l,21600r21600,l21600,xe">
            <v:stroke joinstyle="miter"/>
            <v:path gradientshapeok="t" o:connecttype="rect"/>
          </v:shapetype>
          <v:shape id="_x0000_s120" type="#_x0000_t121" filled="f" stroked="f" style="position:absolute;width:83.25pt;height:52.3pt;z-index:-1;margin-left:103.45pt;margin-top:137pt;mso-wrap-distance-left:0pt;mso-wrap-distance-right:0pt;mso-position-horizontal-relative:page;mso-position-vertical-relative:page">
            <w10:wrap type="square" side="both"/>
            <v:fill opacity="1" o:opacity2="1" recolor="f" rotate="f" type="solid"/>
            <v:textbox inset="0pt, 0pt, 0pt, 0pt">
              <w:txbxContent>
                <w:p>
                  <w:pPr>
                    <w:spacing w:before="2" w:after="0" w:line="231" w:lineRule="exact"/>
                    <w:ind w:right="0" w:left="0" w:firstLine="0"/>
                    <w:jc w:val="left"/>
                    <w:textAlignment w:val="baseline"/>
                    <w:rPr>
                      <w:rFonts w:ascii="Times New Roman" w:hAnsi="Times New Roman" w:eastAsia="Times New Roman"/>
                      <w:i w:val="true"/>
                      <w:color w:val="000000"/>
                      <w:spacing w:val="0"/>
                      <w:w w:val="100"/>
                      <w:sz w:val="20"/>
                      <w:vertAlign w:val="baseline"/>
                      <w:lang w:val="en-US"/>
                    </w:rPr>
                  </w:pPr>
                  <w:r>
                    <w:rPr>
                      <w:rFonts w:ascii="Times New Roman" w:hAnsi="Times New Roman" w:eastAsia="Times New Roman"/>
                      <w:i w:val="true"/>
                      <w:color w:val="000000"/>
                      <w:spacing w:val="0"/>
                      <w:w w:val="100"/>
                      <w:sz w:val="20"/>
                      <w:vertAlign w:val="baseline"/>
                      <w:lang w:val="en-US"/>
                    </w:rPr>
                    <w:t xml:space="preserve">primary emergency service organisation</w:t>
                  </w:r>
                </w:p>
                <w:p>
                  <w:pPr>
                    <w:spacing w:before="119" w:after="0" w:line="224" w:lineRule="exact"/>
                    <w:ind w:right="0" w:left="0" w:firstLine="0"/>
                    <w:jc w:val="left"/>
                    <w:textAlignment w:val="baseline"/>
                    <w:rPr>
                      <w:rFonts w:ascii="Times New Roman" w:hAnsi="Times New Roman" w:eastAsia="Times New Roman"/>
                      <w:i w:val="true"/>
                      <w:color w:val="000000"/>
                      <w:spacing w:val="0"/>
                      <w:w w:val="100"/>
                      <w:sz w:val="20"/>
                      <w:vertAlign w:val="baseline"/>
                      <w:lang w:val="en-US"/>
                    </w:rPr>
                  </w:pPr>
                  <w:r>
                    <w:rPr>
                      <w:rFonts w:ascii="Times New Roman" w:hAnsi="Times New Roman" w:eastAsia="Times New Roman"/>
                      <w:i w:val="true"/>
                      <w:color w:val="000000"/>
                      <w:spacing w:val="0"/>
                      <w:w w:val="100"/>
                      <w:sz w:val="20"/>
                      <w:vertAlign w:val="baseline"/>
                      <w:lang w:val="en-US"/>
                    </w:rPr>
                    <w:t xml:space="preserve">registered training organisation</w:t>
                  </w:r>
                </w:p>
              </w:txbxContent>
            </v:textbox>
          </v:shape>
        </w:pict>
      </w:r>
      <w:r>
        <w:pict>
          <v:shapetype id="_x0000_t122" coordsize="21600,21600" o:spt="202" path="m,l,21600r21600,l21600,xe">
            <v:stroke joinstyle="miter"/>
            <v:path gradientshapeok="t" o:connecttype="rect"/>
          </v:shapetype>
          <v:shape id="_x0000_s121" type="#_x0000_t122" filled="f" stroked="f" style="position:absolute;width:64.55pt;height:23.1pt;z-index:-1;margin-left:104.65pt;margin-top:296.15pt;mso-wrap-distance-left:0pt;mso-wrap-distance-right:0pt;mso-position-horizontal-relative:page;mso-position-vertical-relative:page">
            <w10:wrap type="square" side="both"/>
            <v:fill opacity="1" o:opacity2="1" recolor="f" rotate="f" type="solid"/>
            <v:textbox inset="0pt, 0pt, 0pt, 0pt">
              <w:txbxContent>
                <w:p>
                  <w:pPr>
                    <w:spacing w:before="2" w:after="0" w:line="227" w:lineRule="exact"/>
                    <w:ind w:right="0" w:left="0" w:firstLine="0"/>
                    <w:jc w:val="left"/>
                    <w:textAlignment w:val="baseline"/>
                    <w:rPr>
                      <w:rFonts w:ascii="Times New Roman" w:hAnsi="Times New Roman" w:eastAsia="Times New Roman"/>
                      <w:i w:val="true"/>
                      <w:color w:val="000000"/>
                      <w:spacing w:val="0"/>
                      <w:w w:val="100"/>
                      <w:sz w:val="20"/>
                      <w:vertAlign w:val="baseline"/>
                      <w:lang w:val="en-US"/>
                    </w:rPr>
                  </w:pPr>
                  <w:r>
                    <w:rPr>
                      <w:rFonts w:ascii="Times New Roman" w:hAnsi="Times New Roman" w:eastAsia="Times New Roman"/>
                      <w:i w:val="true"/>
                      <w:color w:val="000000"/>
                      <w:spacing w:val="0"/>
                      <w:w w:val="100"/>
                      <w:sz w:val="20"/>
                      <w:vertAlign w:val="baseline"/>
                      <w:lang w:val="en-US"/>
                    </w:rPr>
                    <w:t xml:space="preserve">relevant fee </w:t>
                  </w:r>
                  <w:r>
                    <w:rPr>
                      <w:rFonts w:ascii="Times New Roman" w:hAnsi="Times New Roman" w:eastAsia="Times New Roman"/>
                      <w:color w:val="000000"/>
                      <w:spacing w:val="0"/>
                      <w:w w:val="100"/>
                      <w:sz w:val="20"/>
                      <w:vertAlign w:val="baseline"/>
                      <w:lang w:val="en-US"/>
                    </w:rPr>
                    <w:t xml:space="preserve">and Schedule 2</w:t>
                  </w:r>
                </w:p>
              </w:txbxContent>
            </v:textbox>
          </v:shape>
        </w:pict>
      </w:r>
      <w:r>
        <w:pict>
          <v:shapetype id="_x0000_t123" coordsize="21600,21600" o:spt="202" path="m,l,21600r21600,l21600,xe">
            <v:stroke joinstyle="miter"/>
            <v:path gradientshapeok="t" o:connecttype="rect"/>
          </v:shapetype>
          <v:shape id="_x0000_s122" type="#_x0000_t123" filled="f" stroked="f" style="position:absolute;width:85.7pt;height:23.45pt;z-index:-1;margin-left:104.4pt;margin-top:498pt;mso-wrap-distance-left:0pt;mso-wrap-distance-right:0pt;mso-position-horizontal-relative:page;mso-position-vertical-relative:page">
            <w10:wrap type="square" side="both"/>
            <v:fill opacity="1" o:opacity2="1" recolor="f" rotate="f" type="solid"/>
            <v:textbox inset="0pt, 0pt, 0pt, 0pt">
              <w:txbxContent>
                <w:p>
                  <w:pPr>
                    <w:spacing w:before="0" w:after="0" w:line="232" w:lineRule="exact"/>
                    <w:ind w:right="0" w:left="0" w:firstLine="0"/>
                    <w:jc w:val="left"/>
                    <w:textAlignment w:val="baseline"/>
                    <w:rPr>
                      <w:rFonts w:ascii="Times New Roman" w:hAnsi="Times New Roman" w:eastAsia="Times New Roman"/>
                      <w:i w:val="true"/>
                      <w:color w:val="000000"/>
                      <w:spacing w:val="-1"/>
                      <w:w w:val="100"/>
                      <w:sz w:val="20"/>
                      <w:vertAlign w:val="baseline"/>
                      <w:lang w:val="en-US"/>
                    </w:rPr>
                  </w:pPr>
                  <w:r>
                    <w:rPr>
                      <w:rFonts w:ascii="Times New Roman" w:hAnsi="Times New Roman" w:eastAsia="Times New Roman"/>
                      <w:i w:val="true"/>
                      <w:color w:val="000000"/>
                      <w:spacing w:val="-1"/>
                      <w:w w:val="100"/>
                      <w:sz w:val="20"/>
                      <w:vertAlign w:val="baseline"/>
                      <w:lang w:val="en-US"/>
                    </w:rPr>
                    <w:t xml:space="preserve">specified VET course </w:t>
                  </w:r>
                  <w:r>
                    <w:rPr>
                      <w:rFonts w:ascii="Times New Roman" w:hAnsi="Times New Roman" w:eastAsia="Times New Roman"/>
                      <w:color w:val="000000"/>
                      <w:spacing w:val="-1"/>
                      <w:w w:val="100"/>
                      <w:sz w:val="20"/>
                      <w:vertAlign w:val="baseline"/>
                      <w:lang w:val="en-US"/>
                    </w:rPr>
                    <w:t xml:space="preserve">(and reg 171(a))</w:t>
                  </w:r>
                </w:p>
              </w:txbxContent>
            </v:textbox>
          </v:shape>
        </w:pict>
      </w:r>
      <w:r>
        <w:pict>
          <v:shapetype id="_x0000_t124" coordsize="21600,21600" o:spt="202" path="m,l,21600r21600,l21600,xe">
            <v:stroke joinstyle="miter"/>
            <v:path gradientshapeok="t" o:connecttype="rect"/>
          </v:shapetype>
          <v:shape id="_x0000_s123" type="#_x0000_t124" filled="f" stroked="f" style="position:absolute;width:405pt;height:189.3pt;z-index:-1;margin-left:95.45pt;margin-top:538.55pt;mso-wrap-distance-left:0pt;mso-wrap-distance-right:0pt;mso-position-horizontal-relative:page;mso-position-vertical-relative:page">
            <w10:wrap type="square" side="both"/>
            <v:fill opacity="1" o:opacity2="1" recolor="f" rotate="f" type="solid"/>
            <v:textbox inset="0pt, 0pt, 0pt, 0pt">
              <w:txbxContent>
                <w:p>
                  <w:pPr>
                    <w:tabs>
                      <w:tab w:val="left" w:leader="none" w:pos="2160"/>
                    </w:tabs>
                    <w:spacing w:before="3" w:after="0" w:line="230" w:lineRule="exact"/>
                    <w:ind w:right="504" w:left="2448" w:hanging="230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5(2)	</w:t>
                  </w:r>
                  <w:r>
                    <w:rPr>
                      <w:rFonts w:ascii="Times New Roman" w:hAnsi="Times New Roman" w:eastAsia="Times New Roman"/>
                      <w:color w:val="000000"/>
                      <w:spacing w:val="0"/>
                      <w:w w:val="100"/>
                      <w:sz w:val="20"/>
                      <w:vertAlign w:val="baseline"/>
                      <w:lang w:val="en-US"/>
                    </w:rPr>
                    <w:t xml:space="preserve">1 Jurisdictions may omit subregulation (2) if it is unnecessary because the matter is already provided for in their interpretation legislation.</w:t>
                  </w:r>
                </w:p>
                <w:p>
                  <w:pPr>
                    <w:tabs>
                      <w:tab w:val="left" w:leader="none" w:pos="2520"/>
                    </w:tabs>
                    <w:spacing w:before="60" w:after="0" w:line="230" w:lineRule="exact"/>
                    <w:ind w:right="432" w:left="2448" w:hanging="36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Jurisdictions that have made different arrangements for the approval of forms under their Work Health and Safety Bill may insert an additional subregulation here explaining the arrangements. It is not necessary for explanatory Notes to assert the mandatory nature of the forms, as this is addressed in the process provisions.</w:t>
                  </w:r>
                </w:p>
                <w:p>
                  <w:pPr>
                    <w:tabs>
                      <w:tab w:val="left" w:leader="none" w:pos="2160"/>
                    </w:tabs>
                    <w:spacing w:before="120" w:after="1060" w:line="230" w:lineRule="exact"/>
                    <w:ind w:right="1080" w:left="2088" w:hanging="194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15	</w:t>
                  </w:r>
                  <w:r>
                    <w:rPr>
                      <w:rFonts w:ascii="Times New Roman" w:hAnsi="Times New Roman" w:eastAsia="Times New Roman"/>
                      <w:color w:val="000000"/>
                      <w:spacing w:val="0"/>
                      <w:w w:val="100"/>
                      <w:sz w:val="20"/>
                      <w:vertAlign w:val="baseline"/>
                      <w:lang w:val="en-US"/>
                    </w:rPr>
                    <w:t xml:space="preserve">Jurisdictions may need to alter this provision in light of their interpretation legislation.</w:t>
                  </w:r>
                </w:p>
              </w:txbxContent>
            </v:textbox>
          </v:shape>
        </w:pict>
      </w:r>
      <w:r>
        <w:pict>
          <v:shapetype id="_x0000_t125" coordsize="21600,21600" o:spt="202" path="m,l,21600r21600,l21600,xe">
            <v:stroke joinstyle="miter"/>
            <v:path gradientshapeok="t" o:connecttype="rect"/>
          </v:shapetype>
          <v:shape id="_x0000_s124" type="#_x0000_t125" filled="f" stroked="f" style="position:absolute;width:405pt;height:40.15pt;z-index:-1;margin-left:95.45pt;margin-top:727.85pt;mso-wrap-distance-left:0pt;mso-wrap-distance-right:0pt;mso-position-horizontal-relative:page;mso-position-vertical-relative:page">
            <w10:wrap type="square" side="both"/>
            <v:fill opacity="1" o:opacity2="1" recolor="f" rotate="f" type="solid"/>
            <v:textbox inset="0pt, 0pt, 0pt, 0pt">
              <w:txbxContent>
                <w:p>
                  <w:pPr>
                    <w:tabs>
                      <w:tab w:val="left" w:leader="none" w:pos="3960"/>
                    </w:tabs>
                    <w:spacing w:before="609" w:after="5" w:line="179" w:lineRule="exact"/>
                    <w:ind w:right="0" w:left="144"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500</w:t>
                  </w:r>
                </w:p>
              </w:txbxContent>
            </v:textbox>
          </v:shape>
        </w:pict>
      </w:r>
      <w:r>
        <w:pict>
          <v:line strokeweight="0.5pt" strokecolor="#000000" from="95.45pt,103.9pt" to="500.5pt,103.9pt" style="position:absolute;mso-position-horizontal-relative:page;mso-position-vertical-relative:page;">
            <v:stroke dashstyle="solid"/>
          </v:line>
        </w:pict>
      </w:r>
      <w:r>
        <w:pict>
          <v:line strokeweight="0.5pt" strokecolor="#000000" from="99.35pt,115.9pt" to="496.6pt,115.9pt" style="position:absolute;mso-position-horizontal-relative:page;mso-position-vertical-relative:page;">
            <v:stroke dashstyle="solid"/>
          </v:line>
        </w:pict>
      </w:r>
      <w:r>
        <w:pict>
          <v:line strokeweight="0.5pt" strokecolor="#000000" from="99.35pt,133.9pt" to="496.6pt,133.9pt" style="position:absolute;mso-position-horizontal-relative:page;mso-position-vertical-relative:page;">
            <v:stroke dashstyle="solid"/>
          </v:line>
        </w:pict>
      </w:r>
      <w:r>
        <w:pict>
          <v:line strokeweight="0.5pt" strokecolor="#000000" from="95.45pt,728.15pt" to="500.5pt,728.15pt" style="position:absolute;mso-position-horizontal-relative:page;mso-position-vertical-relative:page;">
            <v:stroke dashstyle="solid"/>
          </v:line>
        </w:pict>
      </w:r>
    </w:p>
    <w:p>
      <w:pPr>
        <w:sectPr>
          <w:type w:val="nextPage"/>
          <w:pgSz w:w="11909" w:h="16838" w:orient="portrait"/>
          <w:pgMar w:bottom="1096" w:top="852" w:right="1900" w:left="1909" w:header="720" w:footer="720"/>
          <w:titlePg w:val="false"/>
          <w:textDirection w:val="lrTb"/>
        </w:sectPr>
      </w:pPr>
    </w:p>
    <w:p>
      <w:pPr>
        <w:spacing w:before="0" w:after="225" w:line="347"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</w:t>
        <w:br/>
      </w:r>
      <w:r>
        <w:rPr>
          <w:rFonts w:ascii="Times New Roman" w:hAnsi="Times New Roman" w:eastAsia="Times New Roman"/>
          <w:color w:val="000000"/>
          <w:spacing w:val="0"/>
          <w:w w:val="100"/>
          <w:sz w:val="20"/>
          <w:vertAlign w:val="baseline"/>
          <w:lang w:val="en-US"/>
        </w:rPr>
        <w:t xml:space="preserve">APPENDIX Jurisdictional Notes</w:t>
      </w:r>
    </w:p>
    <w:p>
      <w:pPr>
        <w:tabs>
          <w:tab w:val="left" w:leader="none" w:pos="2160"/>
        </w:tabs>
        <w:spacing w:before="327" w:after="35" w:line="230" w:lineRule="exact"/>
        <w:ind w:right="0" w:left="144"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5.45pt,103.9pt" to="500.5pt,103.9pt" style="position:absolute;mso-position-horizontal-relative:page;mso-position-vertical-relative:page;">
            <v:stroke dashstyle="solid"/>
          </v:line>
        </w:pict>
      </w:r>
      <w:r>
        <w:pict>
          <v:line strokeweight="0.5pt" strokecolor="#000000" from="99.35pt,115.9pt" to="496.6pt,115.9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Regulation	</w:t>
      </w:r>
      <w:r>
        <w:rPr>
          <w:rFonts w:ascii="Times New Roman" w:hAnsi="Times New Roman" w:eastAsia="Times New Roman"/>
          <w:b w:val="true"/>
          <w:color w:val="000000"/>
          <w:spacing w:val="0"/>
          <w:w w:val="100"/>
          <w:sz w:val="20"/>
          <w:vertAlign w:val="baseline"/>
          <w:lang w:val="en-US"/>
        </w:rPr>
        <w:t xml:space="preserve">Jurisdictional Note</w:t>
      </w:r>
    </w:p>
    <w:p>
      <w:pPr>
        <w:tabs>
          <w:tab w:val="left" w:leader="none" w:pos="2160"/>
        </w:tabs>
        <w:spacing w:before="68" w:after="0" w:line="231" w:lineRule="exact"/>
        <w:ind w:right="864" w:left="2448" w:hanging="2304"/>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9.35pt,133.9pt" to="496.6pt,133.9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21	</w:t>
      </w:r>
      <w:r>
        <w:rPr>
          <w:rFonts w:ascii="Times New Roman" w:hAnsi="Times New Roman" w:eastAsia="Times New Roman"/>
          <w:color w:val="000000"/>
          <w:spacing w:val="0"/>
          <w:w w:val="100"/>
          <w:sz w:val="20"/>
          <w:vertAlign w:val="baseline"/>
          <w:lang w:val="en-US"/>
        </w:rPr>
        <w:t xml:space="preserve">1 Jurisdictions will cite local interpretation legislation for the purposes of Note 2.</w:t>
      </w:r>
    </w:p>
    <w:p>
      <w:pPr>
        <w:tabs>
          <w:tab w:val="left" w:leader="none" w:pos="2520"/>
        </w:tabs>
        <w:spacing w:before="63" w:after="0" w:line="230" w:lineRule="exact"/>
        <w:ind w:right="288" w:left="2448" w:hanging="36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If a jurisdiction's interpretation legislation does not provide for revocation or variation of this kind, the jurisdiction may insert the following additional subregulation:</w:t>
      </w:r>
    </w:p>
    <w:p>
      <w:pPr>
        <w:spacing w:before="57" w:after="0" w:line="231" w:lineRule="exact"/>
        <w:ind w:right="576" w:left="3024" w:hanging="576"/>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 The regulator may revoke or vary an approval under this regulation.".</w:t>
      </w:r>
    </w:p>
    <w:p>
      <w:pPr>
        <w:tabs>
          <w:tab w:val="left" w:leader="none" w:pos="2520"/>
        </w:tabs>
        <w:spacing w:before="58" w:after="0" w:line="230" w:lineRule="exact"/>
        <w:ind w:right="1368" w:left="2448" w:hanging="36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	</w:t>
      </w:r>
      <w:r>
        <w:rPr>
          <w:rFonts w:ascii="Times New Roman" w:hAnsi="Times New Roman" w:eastAsia="Times New Roman"/>
          <w:color w:val="000000"/>
          <w:spacing w:val="0"/>
          <w:w w:val="100"/>
          <w:sz w:val="20"/>
          <w:vertAlign w:val="baseline"/>
          <w:lang w:val="en-US"/>
        </w:rPr>
        <w:t xml:space="preserve">Jurisdictions may also insert the following additional subregulation:</w:t>
      </w:r>
    </w:p>
    <w:p>
      <w:pPr>
        <w:spacing w:before="63" w:after="0" w:line="230" w:lineRule="exact"/>
        <w:ind w:right="288" w:left="3024" w:hanging="576"/>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 The regulator may impose conditions on an approval under this regulation and may vary those conditions.".</w:t>
      </w:r>
    </w:p>
    <w:p>
      <w:pPr>
        <w:tabs>
          <w:tab w:val="left" w:leader="none" w:pos="2160"/>
        </w:tabs>
        <w:spacing w:before="111" w:after="0" w:line="235" w:lineRule="exact"/>
        <w:ind w:right="864" w:left="2448" w:hanging="230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25	</w:t>
      </w:r>
      <w:r>
        <w:rPr>
          <w:rFonts w:ascii="Times New Roman" w:hAnsi="Times New Roman" w:eastAsia="Times New Roman"/>
          <w:color w:val="000000"/>
          <w:spacing w:val="0"/>
          <w:w w:val="100"/>
          <w:sz w:val="20"/>
          <w:vertAlign w:val="baseline"/>
          <w:lang w:val="en-US"/>
        </w:rPr>
        <w:t xml:space="preserve">1 Jurisdictions will cite local interpretation legislation for the purposes of Note 1.</w:t>
      </w:r>
    </w:p>
    <w:p>
      <w:pPr>
        <w:tabs>
          <w:tab w:val="left" w:leader="none" w:pos="2520"/>
        </w:tabs>
        <w:spacing w:before="59" w:after="0" w:line="230" w:lineRule="exact"/>
        <w:ind w:right="288" w:left="2448" w:hanging="36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If a jurisdiction's interpretation legislation does not provide for revocation or variation of this kind, the jurisdiction may insert the following additional subregulation:</w:t>
      </w:r>
    </w:p>
    <w:p>
      <w:pPr>
        <w:spacing w:before="58" w:after="0" w:line="230" w:lineRule="exact"/>
        <w:ind w:right="576" w:left="3024" w:hanging="576"/>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 The regulator may revoke or vary an approval under this regulation.".</w:t>
      </w:r>
    </w:p>
    <w:p>
      <w:pPr>
        <w:tabs>
          <w:tab w:val="left" w:leader="none" w:pos="2520"/>
        </w:tabs>
        <w:spacing w:before="57" w:after="0" w:line="231" w:lineRule="exact"/>
        <w:ind w:right="1368" w:left="2448" w:hanging="36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	</w:t>
      </w:r>
      <w:r>
        <w:rPr>
          <w:rFonts w:ascii="Times New Roman" w:hAnsi="Times New Roman" w:eastAsia="Times New Roman"/>
          <w:color w:val="000000"/>
          <w:spacing w:val="0"/>
          <w:w w:val="100"/>
          <w:sz w:val="20"/>
          <w:vertAlign w:val="baseline"/>
          <w:lang w:val="en-US"/>
        </w:rPr>
        <w:t xml:space="preserve">Jurisdictions may also insert the following additional subregulation:</w:t>
      </w:r>
    </w:p>
    <w:p>
      <w:pPr>
        <w:spacing w:before="63" w:after="0" w:line="230" w:lineRule="exact"/>
        <w:ind w:right="288" w:left="3024" w:hanging="576"/>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 The regulator may impose conditions on an approval under this regulation and may vary those conditions.".</w:t>
      </w:r>
    </w:p>
    <w:p>
      <w:pPr>
        <w:tabs>
          <w:tab w:val="left" w:leader="none" w:pos="2160"/>
        </w:tabs>
        <w:spacing w:before="111" w:after="0" w:line="235"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31	</w:t>
      </w:r>
      <w:r>
        <w:rPr>
          <w:rFonts w:ascii="Times New Roman" w:hAnsi="Times New Roman" w:eastAsia="Times New Roman"/>
          <w:color w:val="000000"/>
          <w:spacing w:val="0"/>
          <w:w w:val="100"/>
          <w:sz w:val="20"/>
          <w:vertAlign w:val="baseline"/>
          <w:lang w:val="en-US"/>
        </w:rPr>
        <w:t xml:space="preserve">See the definition of </w:t>
      </w:r>
      <w:r>
        <w:rPr>
          <w:rFonts w:ascii="Times New Roman" w:hAnsi="Times New Roman" w:eastAsia="Times New Roman"/>
          <w:b w:val="true"/>
          <w:i w:val="true"/>
          <w:color w:val="000000"/>
          <w:spacing w:val="0"/>
          <w:w w:val="100"/>
          <w:sz w:val="21"/>
          <w:vertAlign w:val="baseline"/>
          <w:lang w:val="en-US"/>
        </w:rPr>
        <w:t xml:space="preserve">authorising authority </w:t>
      </w:r>
      <w:r>
        <w:rPr>
          <w:rFonts w:ascii="Times New Roman" w:hAnsi="Times New Roman" w:eastAsia="Times New Roman"/>
          <w:color w:val="000000"/>
          <w:spacing w:val="0"/>
          <w:w w:val="100"/>
          <w:sz w:val="20"/>
          <w:vertAlign w:val="baseline"/>
          <w:lang w:val="en-US"/>
        </w:rPr>
        <w:t xml:space="preserve">in the Model Act and the</w:t>
        <w:br/>
      </w:r>
      <w:r>
        <w:rPr>
          <w:rFonts w:ascii="Times New Roman" w:hAnsi="Times New Roman" w:eastAsia="Times New Roman"/>
          <w:color w:val="000000"/>
          <w:spacing w:val="0"/>
          <w:w w:val="100"/>
          <w:sz w:val="20"/>
          <w:vertAlign w:val="baseline"/>
          <w:lang w:val="en-US"/>
        </w:rPr>
        <w:t xml:space="preserve">jurisdictional note relating to that definition.</w:t>
      </w:r>
    </w:p>
    <w:p>
      <w:pPr>
        <w:tabs>
          <w:tab w:val="left" w:leader="none" w:pos="2160"/>
        </w:tabs>
        <w:spacing w:before="116" w:after="114" w:line="230" w:lineRule="exact"/>
        <w:ind w:right="288" w:left="2088" w:hanging="1944"/>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4.5 heading	</w:t>
      </w:r>
      <w:r>
        <w:rPr>
          <w:rFonts w:ascii="Times New Roman" w:hAnsi="Times New Roman" w:eastAsia="Times New Roman"/>
          <w:color w:val="000000"/>
          <w:spacing w:val="0"/>
          <w:w w:val="100"/>
          <w:sz w:val="20"/>
          <w:vertAlign w:val="baseline"/>
          <w:lang w:val="en-US"/>
        </w:rPr>
        <w:t xml:space="preserve">The Commonwealth may omit this Part as it does not license high risk work, but relies on State authorisations.</w:t>
      </w:r>
    </w:p>
    <w:p>
      <w:pPr>
        <w:spacing w:before="116" w:after="114" w:line="230" w:lineRule="exact"/>
        <w:sectPr>
          <w:type w:val="nextPage"/>
          <w:pgSz w:w="11909" w:h="16838" w:orient="portrait"/>
          <w:pgMar w:bottom="1082" w:top="1140" w:right="1900" w:left="1909" w:header="720" w:footer="720"/>
          <w:titlePg w:val="false"/>
          <w:textDirection w:val="lrTb"/>
        </w:sectPr>
      </w:pPr>
    </w:p>
    <w:p>
      <w:pPr>
        <w:spacing w:before="0" w:after="0" w:line="231"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4.5, Division 2, heading</w:t>
      </w:r>
    </w:p>
    <w:p>
      <w:pPr>
        <w:spacing w:before="930" w:after="0" w:line="230" w:lineRule="exact"/>
        <w:ind w:right="0" w:left="0" w:firstLine="0"/>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87(2)(h) and (i), 90(a), 107(2)(a), 116(2)(f) and (g), 119(a), 135(2)(a), 492(2)(f)(i), (ii), (iii) and (iv), 500(1)(a) and (b), 521(2)(a), 538(3)(d)(i) and (ii), 578(2)(f)(i) and (ii), 581(a) and 603(2)(a)</w:t>
      </w:r>
    </w:p>
    <w:p>
      <w:pPr>
        <w:spacing w:before="115" w:after="0" w:line="232" w:lineRule="exact"/>
        <w:ind w:right="0" w:left="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89(2)(c), 256(2), 269(2), 497(2) and 561(6)</w:t>
      </w:r>
    </w:p>
    <w:p>
      <w:pPr>
        <w:tabs>
          <w:tab w:val="left" w:leader="none" w:pos="360"/>
        </w:tabs>
        <w:spacing w:before="2" w:after="0" w:line="230" w:lineRule="exact"/>
        <w:ind w:right="72" w:left="288" w:hanging="288"/>
        <w:jc w:val="left"/>
        <w:textAlignment w:val="baseline"/>
        <w:rPr>
          <w:rFonts w:ascii="Times New Roman" w:hAnsi="Times New Roman" w:eastAsia="Times New Roman"/>
          <w:color w:val="000000"/>
          <w:spacing w:val="0"/>
          <w:w w:val="100"/>
          <w:sz w:val="20"/>
          <w:vertAlign w:val="baseline"/>
          <w:lang w:val="en-US"/>
        </w:rPr>
      </w:pPr>
      <w:r>
        <w:br w:type="column"/>
      </w: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Jurisdictions that rely solely on the national vocational education and training scheme in relation to the authorisation of training assessors may omit Division 2 of this Part.</w:t>
      </w:r>
    </w:p>
    <w:p>
      <w:pPr>
        <w:tabs>
          <w:tab w:val="left" w:leader="none" w:pos="360"/>
        </w:tabs>
        <w:spacing w:before="119" w:after="0" w:line="231" w:lineRule="exact"/>
        <w:ind w:right="0" w:left="288" w:hanging="288"/>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A jurisdiction may modify the provisions in Division 2 in order to accredit a body corporate or training organisation.</w:t>
      </w:r>
    </w:p>
    <w:p>
      <w:pPr>
        <w:spacing w:before="109" w:after="0" w:line="236" w:lineRule="exact"/>
        <w:ind w:right="0" w:left="0" w:firstLine="0"/>
        <w:jc w:val="both"/>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These provisions may be subject to separate legislation in jurisdictions that prohibits, or does not require, the disclosure of spent convictions..</w:t>
      </w:r>
    </w:p>
    <w:p>
      <w:pPr>
        <w:tabs>
          <w:tab w:val="left" w:leader="none" w:pos="360"/>
        </w:tabs>
        <w:spacing w:before="1949" w:after="0" w:line="234" w:lineRule="exact"/>
        <w:ind w:right="0" w:left="288" w:hanging="288"/>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The Commonwealth may replace the residence requirement with a reference to a Commonwealth worker or similar term.</w:t>
      </w:r>
    </w:p>
    <w:p>
      <w:pPr>
        <w:sectPr>
          <w:type w:val="continuous"/>
          <w:pgSz w:w="11909" w:h="16838" w:orient="portrait"/>
          <w:pgMar w:bottom="1082" w:top="1140" w:right="2184" w:left="2093" w:header="720" w:footer="720"/>
          <w:cols w:sep="0" w:num="2" w:space="0" w:equalWidth="0">
            <w:col w:w="1670" w:space="283"/>
            <w:col w:w="5679" w:space="0"/>
          </w:cols>
          <w:titlePg w:val="false"/>
          <w:textDirection w:val="lrTb"/>
        </w:sectPr>
      </w:pPr>
    </w:p>
    <w:p>
      <w:pPr>
        <w:spacing w:before="706" w:after="0" w:line="288" w:lineRule="exact"/>
        <w:ind w:right="0" w:left="0" w:firstLine="0"/>
        <w:jc w:val="left"/>
        <w:textAlignment w:val="baseline"/>
        <w:rPr>
          <w:rFonts w:ascii="Times New Roman" w:hAnsi="Times New Roman" w:eastAsia="Times New Roman"/>
          <w:color w:val="000000"/>
          <w:w w:val="100"/>
          <w:sz w:val="24"/>
          <w:vertAlign w:val="baseline"/>
          <w:lang w:val="en-US"/>
        </w:rPr>
      </w:pPr>
      <w:r>
        <w:pict>
          <v:line strokeweight="0.5pt" strokecolor="#000000" from="0pt,18.95pt" to="405.05pt,18.95pt" style="position:absolute;mso-position-horizontal-relative:text;mso-position-vertical-relative:text;">
            <v:stroke dashstyle="solid"/>
          </v:line>
        </w:pict>
      </w:r>
    </w:p>
    <w:p>
      <w:pPr>
        <w:sectPr>
          <w:type w:val="continuous"/>
          <w:pgSz w:w="11909" w:h="16838" w:orient="portrait"/>
          <w:pgMar w:bottom="1082" w:top="1140" w:right="1900" w:left="1909" w:header="720" w:footer="720"/>
          <w:titlePg w:val="false"/>
          <w:textDirection w:val="lrTb"/>
        </w:sectPr>
      </w:pPr>
    </w:p>
    <w:p>
      <w:pPr>
        <w:tabs>
          <w:tab w:val="left" w:leader="none" w:pos="3888"/>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501</w:t>
      </w:r>
    </w:p>
    <w:p>
      <w:pPr>
        <w:sectPr>
          <w:type w:val="continuous"/>
          <w:pgSz w:w="11909" w:h="16838" w:orient="portrait"/>
          <w:pgMar w:bottom="1082" w:top="1140" w:right="5611" w:left="1978" w:header="720" w:footer="720"/>
          <w:titlePg w:val="false"/>
          <w:textDirection w:val="lrTb"/>
        </w:sectPr>
      </w:pPr>
    </w:p>
    <w:p>
      <w:pPr>
        <w:spacing w:before="0" w:after="225" w:line="347"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</w:t>
        <w:br/>
      </w:r>
      <w:r>
        <w:rPr>
          <w:rFonts w:ascii="Times New Roman" w:hAnsi="Times New Roman" w:eastAsia="Times New Roman"/>
          <w:color w:val="000000"/>
          <w:spacing w:val="0"/>
          <w:w w:val="100"/>
          <w:sz w:val="20"/>
          <w:vertAlign w:val="baseline"/>
          <w:lang w:val="en-US"/>
        </w:rPr>
        <w:t xml:space="preserve">APPENDIX Jurisdictional Notes</w:t>
      </w:r>
    </w:p>
    <w:p>
      <w:pPr>
        <w:tabs>
          <w:tab w:val="left" w:leader="none" w:pos="2160"/>
        </w:tabs>
        <w:spacing w:before="327" w:after="35" w:line="230" w:lineRule="exact"/>
        <w:ind w:right="0" w:left="144"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5.45pt,103.9pt" to="500.5pt,103.9pt" style="position:absolute;mso-position-horizontal-relative:page;mso-position-vertical-relative:page;">
            <v:stroke dashstyle="solid"/>
          </v:line>
        </w:pict>
      </w:r>
      <w:r>
        <w:pict>
          <v:line strokeweight="0.5pt" strokecolor="#000000" from="99.35pt,115.9pt" to="496.6pt,115.9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Regulation	</w:t>
      </w:r>
      <w:r>
        <w:rPr>
          <w:rFonts w:ascii="Times New Roman" w:hAnsi="Times New Roman" w:eastAsia="Times New Roman"/>
          <w:b w:val="true"/>
          <w:color w:val="000000"/>
          <w:spacing w:val="0"/>
          <w:w w:val="100"/>
          <w:sz w:val="20"/>
          <w:vertAlign w:val="baseline"/>
          <w:lang w:val="en-US"/>
        </w:rPr>
        <w:t xml:space="preserve">Jurisdictional Note</w:t>
      </w:r>
    </w:p>
    <w:p>
      <w:pPr>
        <w:tabs>
          <w:tab w:val="left" w:leader="none" w:pos="2520"/>
        </w:tabs>
        <w:spacing w:before="68" w:after="0" w:line="231" w:lineRule="exact"/>
        <w:ind w:right="720" w:left="2448" w:hanging="36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9.35pt,133.9pt" to="496.6pt,133.9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The Commonwealth may make any necessary changes to the references to jurisdiction.</w:t>
      </w:r>
    </w:p>
    <w:p>
      <w:pPr>
        <w:spacing w:before="123" w:after="0" w:line="226" w:lineRule="exact"/>
        <w:ind w:right="0" w:left="72" w:firstLine="0"/>
        <w:jc w:val="center"/>
        <w:textAlignment w:val="baseline"/>
        <w:rPr>
          <w:rFonts w:ascii="Times New Roman" w:hAnsi="Times New Roman" w:eastAsia="Times New Roman"/>
          <w:color w:val="000000"/>
          <w:spacing w:val="2"/>
          <w:w w:val="100"/>
          <w:sz w:val="20"/>
          <w:vertAlign w:val="baseline"/>
          <w:lang w:val="en-US"/>
        </w:rPr>
      </w:pPr>
      <w:r>
        <w:rPr>
          <w:rFonts w:ascii="Times New Roman" w:hAnsi="Times New Roman" w:eastAsia="Times New Roman"/>
          <w:color w:val="000000"/>
          <w:spacing w:val="2"/>
          <w:w w:val="100"/>
          <w:sz w:val="20"/>
          <w:vertAlign w:val="baseline"/>
          <w:lang w:val="en-US"/>
        </w:rPr>
        <w:t xml:space="preserve">105(5)(b), 280(5)(b), Each jurisdiction will insert references to the relevant external review</w:t>
      </w:r>
    </w:p>
    <w:p>
      <w:pPr>
        <w:tabs>
          <w:tab w:val="left" w:leader="none" w:pos="2160"/>
        </w:tabs>
        <w:spacing w:before="0" w:after="0" w:line="231"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519(5)(b), 599(3)(b)	</w:t>
      </w:r>
      <w:r>
        <w:rPr>
          <w:rFonts w:ascii="Times New Roman" w:hAnsi="Times New Roman" w:eastAsia="Times New Roman"/>
          <w:color w:val="000000"/>
          <w:spacing w:val="0"/>
          <w:w w:val="100"/>
          <w:sz w:val="20"/>
          <w:vertAlign w:val="baseline"/>
          <w:lang w:val="en-US"/>
        </w:rPr>
        <w:t xml:space="preserve">body.</w:t>
        <w:br/>
      </w:r>
      <w:r>
        <w:rPr>
          <w:rFonts w:ascii="Times New Roman" w:hAnsi="Times New Roman" w:eastAsia="Times New Roman"/>
          <w:color w:val="000000"/>
          <w:spacing w:val="0"/>
          <w:w w:val="100"/>
          <w:sz w:val="20"/>
          <w:vertAlign w:val="baseline"/>
          <w:lang w:val="en-US"/>
        </w:rPr>
        <w:t xml:space="preserve">and 683</w:t>
      </w:r>
    </w:p>
    <w:p>
      <w:pPr>
        <w:tabs>
          <w:tab w:val="left" w:leader="none" w:pos="2160"/>
        </w:tabs>
        <w:spacing w:before="122" w:after="0" w:line="230" w:lineRule="exact"/>
        <w:ind w:right="216" w:left="2088" w:hanging="1944"/>
        <w:jc w:val="left"/>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141	</w:t>
      </w:r>
      <w:r>
        <w:rPr>
          <w:rFonts w:ascii="Times New Roman" w:hAnsi="Times New Roman" w:eastAsia="Times New Roman"/>
          <w:color w:val="000000"/>
          <w:spacing w:val="1"/>
          <w:w w:val="100"/>
          <w:sz w:val="20"/>
          <w:vertAlign w:val="baseline"/>
          <w:lang w:val="en-US"/>
        </w:rPr>
        <w:t xml:space="preserve">An agreement will provide for the RTO to provide information directly to the regulator or allow the regulator to access information about the applicant, including the applicant's basic personal information and details of the applicant's competency assessment, including classes of licence being assessed, notification of assessment and date of assessment.</w:t>
      </w:r>
    </w:p>
    <w:p>
      <w:pPr>
        <w:tabs>
          <w:tab w:val="left" w:leader="none" w:pos="2160"/>
        </w:tabs>
        <w:spacing w:before="117" w:after="0" w:line="230" w:lineRule="exact"/>
        <w:ind w:right="216" w:left="2088" w:hanging="194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4.6, Division 1	</w:t>
      </w:r>
      <w:r>
        <w:rPr>
          <w:rFonts w:ascii="Times New Roman" w:hAnsi="Times New Roman" w:eastAsia="Times New Roman"/>
          <w:color w:val="000000"/>
          <w:spacing w:val="0"/>
          <w:w w:val="100"/>
          <w:sz w:val="20"/>
          <w:vertAlign w:val="baseline"/>
          <w:lang w:val="en-US"/>
        </w:rPr>
        <w:t xml:space="preserve">Jurisdictions with other local legislation that includes a similar requirement for the notification of proposed demolition work may omit this Division.</w:t>
      </w:r>
    </w:p>
    <w:p>
      <w:pPr>
        <w:tabs>
          <w:tab w:val="left" w:leader="none" w:pos="2160"/>
        </w:tabs>
        <w:spacing w:before="121" w:after="0" w:line="227"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4.6, Division 2	</w:t>
      </w:r>
      <w:r>
        <w:rPr>
          <w:rFonts w:ascii="Times New Roman" w:hAnsi="Times New Roman" w:eastAsia="Times New Roman"/>
          <w:color w:val="000000"/>
          <w:spacing w:val="0"/>
          <w:w w:val="100"/>
          <w:sz w:val="20"/>
          <w:vertAlign w:val="baseline"/>
          <w:lang w:val="en-US"/>
        </w:rPr>
        <w:t xml:space="preserve">A jurisdiction may insert transitional and savings provisions for the</w:t>
      </w:r>
    </w:p>
    <w:p>
      <w:pPr>
        <w:tabs>
          <w:tab w:val="left" w:leader="none" w:pos="2160"/>
        </w:tabs>
        <w:spacing w:before="0" w:after="0" w:line="231" w:lineRule="exact"/>
        <w:ind w:right="360" w:left="2088" w:hanging="1944"/>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and 143	</w:t>
      </w:r>
      <w:r>
        <w:rPr>
          <w:rFonts w:ascii="Times New Roman" w:hAnsi="Times New Roman" w:eastAsia="Times New Roman"/>
          <w:color w:val="000000"/>
          <w:spacing w:val="0"/>
          <w:w w:val="100"/>
          <w:sz w:val="20"/>
          <w:vertAlign w:val="baseline"/>
          <w:lang w:val="en-US"/>
        </w:rPr>
        <w:t xml:space="preserve">licensing of demolishers pending the regulation of demolishers under the Occupational Licensing National Law.</w:t>
      </w:r>
    </w:p>
    <w:p>
      <w:pPr>
        <w:tabs>
          <w:tab w:val="left" w:leader="none" w:pos="2160"/>
        </w:tabs>
        <w:spacing w:before="123" w:after="0" w:line="231" w:lineRule="exact"/>
        <w:ind w:right="504" w:left="2088" w:hanging="194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144(2)	</w:t>
      </w:r>
      <w:r>
        <w:rPr>
          <w:rFonts w:ascii="Times New Roman" w:hAnsi="Times New Roman" w:eastAsia="Times New Roman"/>
          <w:color w:val="000000"/>
          <w:spacing w:val="0"/>
          <w:w w:val="100"/>
          <w:sz w:val="20"/>
          <w:vertAlign w:val="baseline"/>
          <w:lang w:val="en-US"/>
        </w:rPr>
        <w:t xml:space="preserve">Jurisdictions to insert or incorporate appropriate local definitions of </w:t>
      </w:r>
      <w:r>
        <w:rPr>
          <w:rFonts w:ascii="Times New Roman" w:hAnsi="Times New Roman" w:eastAsia="Times New Roman"/>
          <w:b w:val="true"/>
          <w:i w:val="true"/>
          <w:color w:val="000000"/>
          <w:spacing w:val="0"/>
          <w:w w:val="100"/>
          <w:sz w:val="21"/>
          <w:vertAlign w:val="baseline"/>
          <w:lang w:val="en-US"/>
        </w:rPr>
        <w:t xml:space="preserve">motor car </w:t>
      </w:r>
      <w:r>
        <w:rPr>
          <w:rFonts w:ascii="Times New Roman" w:hAnsi="Times New Roman" w:eastAsia="Times New Roman"/>
          <w:color w:val="000000"/>
          <w:spacing w:val="0"/>
          <w:w w:val="100"/>
          <w:sz w:val="20"/>
          <w:vertAlign w:val="baseline"/>
          <w:lang w:val="en-US"/>
        </w:rPr>
        <w:t xml:space="preserve">and </w:t>
      </w:r>
      <w:r>
        <w:rPr>
          <w:rFonts w:ascii="Times New Roman" w:hAnsi="Times New Roman" w:eastAsia="Times New Roman"/>
          <w:b w:val="true"/>
          <w:i w:val="true"/>
          <w:color w:val="000000"/>
          <w:spacing w:val="0"/>
          <w:w w:val="100"/>
          <w:sz w:val="21"/>
          <w:vertAlign w:val="baseline"/>
          <w:lang w:val="en-US"/>
        </w:rPr>
        <w:t xml:space="preserve">motorcycle</w:t>
      </w:r>
      <w:r>
        <w:rPr>
          <w:rFonts w:ascii="Times New Roman" w:hAnsi="Times New Roman" w:eastAsia="Times New Roman"/>
          <w:color w:val="000000"/>
          <w:spacing w:val="0"/>
          <w:w w:val="100"/>
          <w:sz w:val="20"/>
          <w:vertAlign w:val="baseline"/>
          <w:lang w:val="en-US"/>
        </w:rPr>
        <w:t xml:space="preserve">.</w:t>
      </w:r>
    </w:p>
    <w:p>
      <w:pPr>
        <w:tabs>
          <w:tab w:val="left" w:leader="none" w:pos="2160"/>
        </w:tabs>
        <w:spacing w:before="113" w:after="0" w:line="231" w:lineRule="exact"/>
        <w:ind w:right="288" w:left="2448" w:hanging="230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146	</w:t>
      </w:r>
      <w:r>
        <w:rPr>
          <w:rFonts w:ascii="Times New Roman" w:hAnsi="Times New Roman" w:eastAsia="Times New Roman"/>
          <w:color w:val="000000"/>
          <w:spacing w:val="0"/>
          <w:w w:val="100"/>
          <w:sz w:val="20"/>
          <w:vertAlign w:val="baseline"/>
          <w:lang w:val="en-US"/>
        </w:rPr>
        <w:t xml:space="preserve">1 Pending the finalisation of the development of the National Occupational Licensing Scheme, jurisdictions may make amendments to this regulation that are necessary to ensure that the definition of </w:t>
      </w:r>
      <w:r>
        <w:rPr>
          <w:rFonts w:ascii="Times New Roman" w:hAnsi="Times New Roman" w:eastAsia="Times New Roman"/>
          <w:b w:val="true"/>
          <w:i w:val="true"/>
          <w:color w:val="000000"/>
          <w:spacing w:val="0"/>
          <w:w w:val="100"/>
          <w:sz w:val="21"/>
          <w:vertAlign w:val="baseline"/>
          <w:lang w:val="en-US"/>
        </w:rPr>
        <w:t xml:space="preserve">electrical work </w:t>
      </w:r>
      <w:r>
        <w:rPr>
          <w:rFonts w:ascii="Times New Roman" w:hAnsi="Times New Roman" w:eastAsia="Times New Roman"/>
          <w:color w:val="000000"/>
          <w:spacing w:val="0"/>
          <w:w w:val="100"/>
          <w:sz w:val="20"/>
          <w:vertAlign w:val="baseline"/>
          <w:lang w:val="en-US"/>
        </w:rPr>
        <w:t xml:space="preserve">is consistent with local electrical licensing laws.</w:t>
      </w:r>
    </w:p>
    <w:p>
      <w:pPr>
        <w:tabs>
          <w:tab w:val="left" w:leader="none" w:pos="2520"/>
        </w:tabs>
        <w:spacing w:before="117" w:after="0" w:line="230" w:lineRule="exact"/>
        <w:ind w:right="216" w:left="2448" w:hanging="36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If a jurisdiction retains paragraphs (e), (g) or (h) of subregulation (2), the jurisdiction will insert a reference to local legislation under which a person is licensed, registered or otherwise authorised to carry out electrical work. Jurisdictions may include a note to describe or cross-refer to the licensing or registration requirements that apply to electrical work in that jurisdiction.</w:t>
      </w:r>
    </w:p>
    <w:p>
      <w:pPr>
        <w:tabs>
          <w:tab w:val="left" w:leader="none" w:pos="2160"/>
        </w:tabs>
        <w:spacing w:before="113" w:after="0" w:line="233" w:lineRule="exact"/>
        <w:ind w:right="216" w:left="2088" w:hanging="194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152	</w:t>
      </w:r>
      <w:r>
        <w:rPr>
          <w:rFonts w:ascii="Times New Roman" w:hAnsi="Times New Roman" w:eastAsia="Times New Roman"/>
          <w:color w:val="000000"/>
          <w:spacing w:val="0"/>
          <w:w w:val="100"/>
          <w:sz w:val="20"/>
          <w:vertAlign w:val="baseline"/>
          <w:lang w:val="en-US"/>
        </w:rPr>
        <w:t xml:space="preserve">Some jurisdictions may omit this provision, or may amend it to reflect any local competition arrangements that affect who may carry out work of this kind.</w:t>
      </w:r>
    </w:p>
    <w:p>
      <w:pPr>
        <w:tabs>
          <w:tab w:val="left" w:leader="none" w:pos="2160"/>
        </w:tabs>
        <w:spacing w:before="116" w:after="2213" w:line="230" w:lineRule="exact"/>
        <w:ind w:right="216" w:left="2088" w:hanging="1944"/>
        <w:jc w:val="left"/>
        <w:textAlignment w:val="baseline"/>
        <w:rPr>
          <w:rFonts w:ascii="Times New Roman" w:hAnsi="Times New Roman" w:eastAsia="Times New Roman"/>
          <w:color w:val="000000"/>
          <w:spacing w:val="2"/>
          <w:w w:val="100"/>
          <w:sz w:val="20"/>
          <w:vertAlign w:val="baseline"/>
          <w:lang w:val="en-US"/>
        </w:rPr>
      </w:pPr>
      <w:r>
        <w:rPr>
          <w:rFonts w:ascii="Times New Roman" w:hAnsi="Times New Roman" w:eastAsia="Times New Roman"/>
          <w:color w:val="000000"/>
          <w:spacing w:val="2"/>
          <w:w w:val="100"/>
          <w:sz w:val="20"/>
          <w:vertAlign w:val="baseline"/>
          <w:lang w:val="en-US"/>
        </w:rPr>
        <w:t xml:space="preserve">164	</w:t>
      </w:r>
      <w:r>
        <w:rPr>
          <w:rFonts w:ascii="Times New Roman" w:hAnsi="Times New Roman" w:eastAsia="Times New Roman"/>
          <w:color w:val="000000"/>
          <w:spacing w:val="2"/>
          <w:w w:val="100"/>
          <w:sz w:val="20"/>
          <w:vertAlign w:val="baseline"/>
          <w:lang w:val="en-US"/>
        </w:rPr>
        <w:t xml:space="preserve">Jurisdictions may insert a Note explaining the application of other local laws to residual current devices. Jurisdictions will include a transitional provision for this regulation among their transitional provisions.</w:t>
      </w:r>
    </w:p>
    <w:p>
      <w:pPr>
        <w:tabs>
          <w:tab w:val="left" w:leader="none" w:pos="3960"/>
        </w:tabs>
        <w:spacing w:before="430" w:after="0" w:line="179" w:lineRule="exact"/>
        <w:ind w:right="0" w:left="144" w:firstLine="0"/>
        <w:jc w:val="left"/>
        <w:textAlignment w:val="baseline"/>
        <w:rPr>
          <w:rFonts w:ascii="Times New Roman" w:hAnsi="Times New Roman" w:eastAsia="Times New Roman"/>
          <w:color w:val="000000"/>
          <w:spacing w:val="0"/>
          <w:w w:val="100"/>
          <w:sz w:val="16"/>
          <w:vertAlign w:val="baseline"/>
          <w:lang w:val="en-US"/>
        </w:rPr>
      </w:pPr>
      <w:r>
        <w:pict>
          <v:line strokeweight="0.5pt" strokecolor="#000000" from="95.45pt,728.15pt" to="500.5pt,728.15pt" style="position:absolute;mso-position-horizontal-relative:page;mso-position-vertical-relative:page;">
            <v:stroke dashstyle="solid"/>
          </v:line>
        </w:pict>
      </w: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502</w:t>
      </w:r>
    </w:p>
    <w:p>
      <w:pPr>
        <w:sectPr>
          <w:type w:val="nextPage"/>
          <w:pgSz w:w="11909" w:h="16838" w:orient="portrait"/>
          <w:pgMar w:bottom="1082" w:top="1140" w:right="1900" w:left="1909" w:header="720" w:footer="720"/>
          <w:titlePg w:val="false"/>
          <w:textDirection w:val="lrTb"/>
        </w:sectPr>
      </w:pPr>
    </w:p>
    <w:p>
      <w:pPr>
        <w:spacing w:before="0" w:after="226" w:line="346"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</w:t>
        <w:br/>
      </w:r>
      <w:r>
        <w:rPr>
          <w:rFonts w:ascii="Times New Roman" w:hAnsi="Times New Roman" w:eastAsia="Times New Roman"/>
          <w:color w:val="000000"/>
          <w:spacing w:val="0"/>
          <w:w w:val="100"/>
          <w:sz w:val="20"/>
          <w:vertAlign w:val="baseline"/>
          <w:lang w:val="en-US"/>
        </w:rPr>
        <w:t xml:space="preserve">APPENDIX Jurisdictional Notes</w:t>
      </w:r>
    </w:p>
    <w:p>
      <w:pPr>
        <w:tabs>
          <w:tab w:val="left" w:leader="none" w:pos="2160"/>
        </w:tabs>
        <w:spacing w:before="327" w:after="35" w:line="230" w:lineRule="exact"/>
        <w:ind w:right="0" w:left="144"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5.45pt,103.9pt" to="500.5pt,103.9pt" style="position:absolute;mso-position-horizontal-relative:page;mso-position-vertical-relative:page;">
            <v:stroke dashstyle="solid"/>
          </v:line>
        </w:pict>
      </w:r>
      <w:r>
        <w:pict>
          <v:line strokeweight="0.5pt" strokecolor="#000000" from="99.35pt,115.9pt" to="496.6pt,115.9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Regulation	</w:t>
      </w:r>
      <w:r>
        <w:rPr>
          <w:rFonts w:ascii="Times New Roman" w:hAnsi="Times New Roman" w:eastAsia="Times New Roman"/>
          <w:b w:val="true"/>
          <w:color w:val="000000"/>
          <w:spacing w:val="0"/>
          <w:w w:val="100"/>
          <w:sz w:val="20"/>
          <w:vertAlign w:val="baseline"/>
          <w:lang w:val="en-US"/>
        </w:rPr>
        <w:t xml:space="preserve">Jurisdictional Note</w:t>
      </w:r>
    </w:p>
    <w:p>
      <w:pPr>
        <w:tabs>
          <w:tab w:val="left" w:leader="none" w:pos="2160"/>
        </w:tabs>
        <w:spacing w:before="70" w:after="0" w:line="230" w:lineRule="exact"/>
        <w:ind w:right="360" w:left="2448" w:hanging="2304"/>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9.35pt,133.9pt" to="496.6pt,133.9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166	</w:t>
      </w:r>
      <w:r>
        <w:rPr>
          <w:rFonts w:ascii="Times New Roman" w:hAnsi="Times New Roman" w:eastAsia="Times New Roman"/>
          <w:color w:val="000000"/>
          <w:spacing w:val="0"/>
          <w:w w:val="100"/>
          <w:sz w:val="20"/>
          <w:vertAlign w:val="baseline"/>
          <w:lang w:val="en-US"/>
        </w:rPr>
        <w:t xml:space="preserve">1 Jurisdictions may include local provisions to provide that electricity supply authorities are taken to have complied with this regulation if they have complied with the requirements of local laws regulating the work of electricity supply authorities.</w:t>
      </w:r>
    </w:p>
    <w:p>
      <w:pPr>
        <w:tabs>
          <w:tab w:val="left" w:leader="none" w:pos="2520"/>
        </w:tabs>
        <w:spacing w:before="63" w:after="0" w:line="230" w:lineRule="exact"/>
        <w:ind w:right="216" w:left="2448" w:hanging="36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In regulation 166(2)(b), jurisdictions may insert a reference to local electricity safety legislation that applies to work being carried out inside an unsafe distance of an overhead electric line.</w:t>
      </w:r>
    </w:p>
    <w:p>
      <w:pPr>
        <w:tabs>
          <w:tab w:val="left" w:leader="none" w:pos="2520"/>
        </w:tabs>
        <w:spacing w:before="57" w:after="0" w:line="231" w:lineRule="exact"/>
        <w:ind w:right="288" w:left="2448" w:hanging="36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	</w:t>
      </w:r>
      <w:r>
        <w:rPr>
          <w:rFonts w:ascii="Times New Roman" w:hAnsi="Times New Roman" w:eastAsia="Times New Roman"/>
          <w:color w:val="000000"/>
          <w:spacing w:val="0"/>
          <w:w w:val="100"/>
          <w:sz w:val="20"/>
          <w:vertAlign w:val="baseline"/>
          <w:lang w:val="en-US"/>
        </w:rPr>
        <w:t xml:space="preserve">A jurisdiction that does not have appropriate legislation to refer to may omit regulation 166(2)(b).</w:t>
      </w:r>
    </w:p>
    <w:p>
      <w:pPr>
        <w:tabs>
          <w:tab w:val="left" w:leader="none" w:pos="2520"/>
        </w:tabs>
        <w:spacing w:before="58" w:after="0" w:line="230" w:lineRule="exact"/>
        <w:ind w:right="288" w:left="2448" w:hanging="36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	</w:t>
      </w:r>
      <w:r>
        <w:rPr>
          <w:rFonts w:ascii="Times New Roman" w:hAnsi="Times New Roman" w:eastAsia="Times New Roman"/>
          <w:color w:val="000000"/>
          <w:spacing w:val="0"/>
          <w:w w:val="100"/>
          <w:sz w:val="20"/>
          <w:vertAlign w:val="baseline"/>
          <w:lang w:val="en-US"/>
        </w:rPr>
        <w:t xml:space="preserve">The Commonwealth may insert an additional note explaining how electricity safety laws apply in that jurisdiction.</w:t>
      </w:r>
    </w:p>
    <w:p>
      <w:pPr>
        <w:tabs>
          <w:tab w:val="left" w:leader="none" w:pos="2160"/>
        </w:tabs>
        <w:spacing w:before="122" w:after="0" w:line="230" w:lineRule="exact"/>
        <w:ind w:right="360" w:left="2448" w:hanging="230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171	</w:t>
      </w:r>
      <w:r>
        <w:rPr>
          <w:rFonts w:ascii="Times New Roman" w:hAnsi="Times New Roman" w:eastAsia="Times New Roman"/>
          <w:color w:val="000000"/>
          <w:spacing w:val="0"/>
          <w:w w:val="100"/>
          <w:sz w:val="20"/>
          <w:vertAlign w:val="baseline"/>
          <w:lang w:val="en-US"/>
        </w:rPr>
        <w:t xml:space="preserve">1 Jurisdictions that have a specified VET course for general diving work may add, as an alternative qualification, "certification in relation to a specified VET course for general diving work that includes the type of general diving work to be carried out by the person".</w:t>
      </w:r>
    </w:p>
    <w:p>
      <w:pPr>
        <w:tabs>
          <w:tab w:val="left" w:leader="none" w:pos="2520"/>
        </w:tabs>
        <w:spacing w:before="114" w:after="0" w:line="235" w:lineRule="exact"/>
        <w:ind w:right="288" w:left="2448" w:hanging="36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Jurisdictions that do so should make an appropriate addition to the definition of </w:t>
      </w:r>
      <w:r>
        <w:rPr>
          <w:rFonts w:ascii="Times New Roman" w:hAnsi="Times New Roman" w:eastAsia="Times New Roman"/>
          <w:b w:val="true"/>
          <w:i w:val="true"/>
          <w:color w:val="000000"/>
          <w:spacing w:val="0"/>
          <w:w w:val="100"/>
          <w:sz w:val="21"/>
          <w:vertAlign w:val="baseline"/>
          <w:lang w:val="en-US"/>
        </w:rPr>
        <w:t xml:space="preserve">specified VET course </w:t>
      </w:r>
      <w:r>
        <w:rPr>
          <w:rFonts w:ascii="Times New Roman" w:hAnsi="Times New Roman" w:eastAsia="Times New Roman"/>
          <w:color w:val="000000"/>
          <w:spacing w:val="0"/>
          <w:w w:val="100"/>
          <w:sz w:val="20"/>
          <w:vertAlign w:val="baseline"/>
          <w:lang w:val="en-US"/>
        </w:rPr>
        <w:t xml:space="preserve">in regulation 5(1).</w:t>
      </w:r>
    </w:p>
    <w:p>
      <w:pPr>
        <w:tabs>
          <w:tab w:val="left" w:leader="none" w:pos="2160"/>
        </w:tabs>
        <w:spacing w:before="113" w:after="0" w:line="230" w:lineRule="exact"/>
        <w:ind w:right="288" w:left="2088" w:hanging="194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4.8, Division 4	</w:t>
      </w:r>
      <w:r>
        <w:rPr>
          <w:rFonts w:ascii="Times New Roman" w:hAnsi="Times New Roman" w:eastAsia="Times New Roman"/>
          <w:color w:val="000000"/>
          <w:spacing w:val="0"/>
          <w:w w:val="100"/>
          <w:sz w:val="20"/>
          <w:vertAlign w:val="baseline"/>
          <w:lang w:val="en-US"/>
        </w:rPr>
        <w:t xml:space="preserve">The Commonwealth may exempt diving work carried out by a member of the Australian Defence Force from Division 4 of Part 4.8</w:t>
      </w:r>
    </w:p>
    <w:p>
      <w:pPr>
        <w:tabs>
          <w:tab w:val="left" w:leader="none" w:pos="2160"/>
        </w:tabs>
        <w:spacing w:before="122" w:after="0" w:line="226"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235(4)(a) and	</w:t>
      </w:r>
      <w:r>
        <w:rPr>
          <w:rFonts w:ascii="Times New Roman" w:hAnsi="Times New Roman" w:eastAsia="Times New Roman"/>
          <w:color w:val="000000"/>
          <w:spacing w:val="0"/>
          <w:w w:val="100"/>
          <w:sz w:val="20"/>
          <w:vertAlign w:val="baseline"/>
          <w:lang w:val="en-US"/>
        </w:rPr>
        <w:t xml:space="preserve">Jurisdictions that do not have legislation addressing the registration of</w:t>
      </w:r>
    </w:p>
    <w:p>
      <w:pPr>
        <w:tabs>
          <w:tab w:val="left" w:leader="none" w:pos="2160"/>
        </w:tabs>
        <w:spacing w:before="0" w:after="0" w:line="231" w:lineRule="exact"/>
        <w:ind w:right="360" w:left="2088" w:hanging="194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241(5)(a)	</w:t>
      </w:r>
      <w:r>
        <w:rPr>
          <w:rFonts w:ascii="Times New Roman" w:hAnsi="Times New Roman" w:eastAsia="Times New Roman"/>
          <w:color w:val="000000"/>
          <w:spacing w:val="0"/>
          <w:w w:val="100"/>
          <w:sz w:val="20"/>
          <w:vertAlign w:val="baseline"/>
          <w:lang w:val="en-US"/>
        </w:rPr>
        <w:t xml:space="preserve">professional engineers will replace subparagraph (ii) with a provision referring to any professional organisation or association to which the competent person must belong.</w:t>
      </w:r>
    </w:p>
    <w:p>
      <w:pPr>
        <w:tabs>
          <w:tab w:val="left" w:leader="none" w:pos="2160"/>
        </w:tabs>
        <w:spacing w:before="113" w:after="0" w:line="233" w:lineRule="exact"/>
        <w:ind w:right="360" w:left="2088" w:hanging="194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242(1A)	</w:t>
      </w:r>
      <w:r>
        <w:rPr>
          <w:rFonts w:ascii="Times New Roman" w:hAnsi="Times New Roman" w:eastAsia="Times New Roman"/>
          <w:color w:val="000000"/>
          <w:spacing w:val="0"/>
          <w:w w:val="100"/>
          <w:sz w:val="20"/>
          <w:vertAlign w:val="baseline"/>
          <w:lang w:val="en-US"/>
        </w:rPr>
        <w:t xml:space="preserve">Regulation 242(1A)(e) requires that the log book for an amusement device record the total number of hours for which the device has ever been operated.</w:t>
      </w:r>
    </w:p>
    <w:p>
      <w:pPr>
        <w:spacing w:before="59" w:after="0" w:line="230" w:lineRule="exact"/>
        <w:ind w:right="360" w:left="208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For some devices, operated for a period before the commencement of this requirement, that particular information may not be available. A jurisdiction may insert a transitional provision to deal with the requirement in that case.</w:t>
      </w:r>
    </w:p>
    <w:p>
      <w:pPr>
        <w:tabs>
          <w:tab w:val="left" w:leader="none" w:pos="2160"/>
        </w:tabs>
        <w:spacing w:before="113" w:after="0" w:line="232" w:lineRule="exact"/>
        <w:ind w:right="288" w:left="2088" w:hanging="194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242(4)	</w:t>
      </w:r>
      <w:r>
        <w:rPr>
          <w:rFonts w:ascii="Times New Roman" w:hAnsi="Times New Roman" w:eastAsia="Times New Roman"/>
          <w:color w:val="000000"/>
          <w:spacing w:val="0"/>
          <w:w w:val="100"/>
          <w:sz w:val="20"/>
          <w:vertAlign w:val="baseline"/>
          <w:lang w:val="en-US"/>
        </w:rPr>
        <w:t xml:space="preserve">In the definition </w:t>
      </w:r>
      <w:r>
        <w:rPr>
          <w:rFonts w:ascii="Times New Roman" w:hAnsi="Times New Roman" w:eastAsia="Times New Roman"/>
          <w:b w:val="true"/>
          <w:i w:val="true"/>
          <w:color w:val="000000"/>
          <w:spacing w:val="0"/>
          <w:w w:val="100"/>
          <w:sz w:val="21"/>
          <w:vertAlign w:val="baseline"/>
          <w:lang w:val="en-US"/>
        </w:rPr>
        <w:t xml:space="preserve">statutory notice</w:t>
      </w:r>
      <w:r>
        <w:rPr>
          <w:rFonts w:ascii="Times New Roman" w:hAnsi="Times New Roman" w:eastAsia="Times New Roman"/>
          <w:color w:val="000000"/>
          <w:spacing w:val="0"/>
          <w:w w:val="100"/>
          <w:sz w:val="20"/>
          <w:vertAlign w:val="baseline"/>
          <w:lang w:val="en-US"/>
        </w:rPr>
        <w:t xml:space="preserve">, a jurisdiction may replace the reference to an ‘infringement notice’ with another term consistent with the law of the jurisdiction and may include other notices under the law of the jurisdiction.</w:t>
      </w:r>
    </w:p>
    <w:p>
      <w:pPr>
        <w:spacing w:before="120" w:after="0" w:line="226" w:lineRule="exact"/>
        <w:ind w:right="0" w:left="72" w:firstLine="0"/>
        <w:jc w:val="center"/>
        <w:textAlignment w:val="baseline"/>
        <w:rPr>
          <w:rFonts w:ascii="Times New Roman" w:hAnsi="Times New Roman" w:eastAsia="Times New Roman"/>
          <w:color w:val="000000"/>
          <w:spacing w:val="3"/>
          <w:w w:val="100"/>
          <w:sz w:val="20"/>
          <w:vertAlign w:val="baseline"/>
          <w:lang w:val="en-US"/>
        </w:rPr>
      </w:pPr>
      <w:r>
        <w:rPr>
          <w:rFonts w:ascii="Times New Roman" w:hAnsi="Times New Roman" w:eastAsia="Times New Roman"/>
          <w:color w:val="000000"/>
          <w:spacing w:val="3"/>
          <w:w w:val="100"/>
          <w:sz w:val="20"/>
          <w:vertAlign w:val="baseline"/>
          <w:lang w:val="en-US"/>
        </w:rPr>
        <w:t xml:space="preserve">Part 5.3, Divisions 3 The Commonwealth may require the Australian Defence Force to apply</w:t>
      </w:r>
    </w:p>
    <w:p>
      <w:pPr>
        <w:tabs>
          <w:tab w:val="left" w:leader="none" w:pos="2160"/>
        </w:tabs>
        <w:spacing w:before="1" w:after="0" w:line="226"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and 4	</w:t>
      </w:r>
      <w:r>
        <w:rPr>
          <w:rFonts w:ascii="Times New Roman" w:hAnsi="Times New Roman" w:eastAsia="Times New Roman"/>
          <w:color w:val="000000"/>
          <w:spacing w:val="0"/>
          <w:w w:val="100"/>
          <w:sz w:val="20"/>
          <w:vertAlign w:val="baseline"/>
          <w:lang w:val="en-US"/>
        </w:rPr>
        <w:t xml:space="preserve">for a special registration of an item of plant or a plant design.</w:t>
      </w:r>
    </w:p>
    <w:p>
      <w:pPr>
        <w:tabs>
          <w:tab w:val="left" w:leader="none" w:pos="2160"/>
        </w:tabs>
        <w:spacing w:before="125" w:after="0" w:line="230" w:lineRule="exact"/>
        <w:ind w:right="216" w:left="2448" w:hanging="230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272A	</w:t>
      </w:r>
      <w:r>
        <w:rPr>
          <w:rFonts w:ascii="Times New Roman" w:hAnsi="Times New Roman" w:eastAsia="Times New Roman"/>
          <w:color w:val="000000"/>
          <w:spacing w:val="0"/>
          <w:w w:val="100"/>
          <w:sz w:val="20"/>
          <w:vertAlign w:val="baseline"/>
          <w:lang w:val="en-US"/>
        </w:rPr>
        <w:t xml:space="preserve">1 Jurisdictions may insert a new provision imposing a relevant fee to be paid by the registration holder to the regulator for administering the registration. The new provision will include requirements as to the structure of the relevant fee and the timing of its payment.</w:t>
      </w:r>
    </w:p>
    <w:p>
      <w:pPr>
        <w:tabs>
          <w:tab w:val="left" w:leader="none" w:pos="2520"/>
        </w:tabs>
        <w:spacing w:before="59" w:after="423" w:line="230" w:lineRule="exact"/>
        <w:ind w:right="360" w:left="2448" w:hanging="36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Jurisdictions that impose such a fee will also provide appropriate remedies for non-payment (for example, a civil debt due to the regulator).</w:t>
      </w:r>
    </w:p>
    <w:p>
      <w:pPr>
        <w:tabs>
          <w:tab w:val="left" w:leader="none" w:pos="3960"/>
        </w:tabs>
        <w:spacing w:before="262" w:after="0" w:line="179" w:lineRule="exact"/>
        <w:ind w:right="0" w:left="144" w:firstLine="0"/>
        <w:jc w:val="left"/>
        <w:textAlignment w:val="baseline"/>
        <w:rPr>
          <w:rFonts w:ascii="Times New Roman" w:hAnsi="Times New Roman" w:eastAsia="Times New Roman"/>
          <w:color w:val="000000"/>
          <w:spacing w:val="0"/>
          <w:w w:val="100"/>
          <w:sz w:val="16"/>
          <w:vertAlign w:val="baseline"/>
          <w:lang w:val="en-US"/>
        </w:rPr>
      </w:pPr>
      <w:r>
        <w:pict>
          <v:line strokeweight="0.5pt" strokecolor="#000000" from="95.45pt,728.15pt" to="500.5pt,728.15pt" style="position:absolute;mso-position-horizontal-relative:page;mso-position-vertical-relative:page;">
            <v:stroke dashstyle="solid"/>
          </v:line>
        </w:pict>
      </w: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503</w:t>
      </w:r>
    </w:p>
    <w:p>
      <w:pPr>
        <w:sectPr>
          <w:type w:val="nextPage"/>
          <w:pgSz w:w="11909" w:h="16838" w:orient="portrait"/>
          <w:pgMar w:bottom="1082" w:top="1140" w:right="1900" w:left="1909" w:header="720" w:footer="720"/>
          <w:titlePg w:val="false"/>
          <w:textDirection w:val="lrTb"/>
        </w:sectPr>
      </w:pPr>
    </w:p>
    <w:p>
      <w:pPr>
        <w:spacing w:before="0" w:after="225" w:line="347"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</w:t>
        <w:br/>
      </w:r>
      <w:r>
        <w:rPr>
          <w:rFonts w:ascii="Times New Roman" w:hAnsi="Times New Roman" w:eastAsia="Times New Roman"/>
          <w:color w:val="000000"/>
          <w:spacing w:val="0"/>
          <w:w w:val="100"/>
          <w:sz w:val="20"/>
          <w:vertAlign w:val="baseline"/>
          <w:lang w:val="en-US"/>
        </w:rPr>
        <w:t xml:space="preserve">APPENDIX Jurisdictional Notes</w:t>
      </w:r>
    </w:p>
    <w:p>
      <w:pPr>
        <w:tabs>
          <w:tab w:val="left" w:leader="none" w:pos="2160"/>
        </w:tabs>
        <w:spacing w:before="327" w:after="35" w:line="230" w:lineRule="exact"/>
        <w:ind w:right="0" w:left="144"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5.45pt,103.9pt" to="500.5pt,103.9pt" style="position:absolute;mso-position-horizontal-relative:page;mso-position-vertical-relative:page;">
            <v:stroke dashstyle="solid"/>
          </v:line>
        </w:pict>
      </w:r>
      <w:r>
        <w:pict>
          <v:line strokeweight="0.5pt" strokecolor="#000000" from="99.35pt,115.9pt" to="496.6pt,115.9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Regulation	</w:t>
      </w:r>
      <w:r>
        <w:rPr>
          <w:rFonts w:ascii="Times New Roman" w:hAnsi="Times New Roman" w:eastAsia="Times New Roman"/>
          <w:b w:val="true"/>
          <w:color w:val="000000"/>
          <w:spacing w:val="0"/>
          <w:w w:val="100"/>
          <w:sz w:val="20"/>
          <w:vertAlign w:val="baseline"/>
          <w:lang w:val="en-US"/>
        </w:rPr>
        <w:t xml:space="preserve">Jurisdictional Note</w:t>
      </w:r>
    </w:p>
    <w:p>
      <w:pPr>
        <w:tabs>
          <w:tab w:val="left" w:leader="none" w:pos="2160"/>
        </w:tabs>
        <w:spacing w:before="64" w:after="0" w:line="233" w:lineRule="exact"/>
        <w:ind w:right="1152" w:left="2088" w:hanging="1944"/>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9.35pt,133.9pt" to="496.6pt,133.9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Part 5.3, Division 6	</w:t>
      </w:r>
      <w:r>
        <w:rPr>
          <w:rFonts w:ascii="Times New Roman" w:hAnsi="Times New Roman" w:eastAsia="Times New Roman"/>
          <w:color w:val="000000"/>
          <w:spacing w:val="0"/>
          <w:w w:val="100"/>
          <w:sz w:val="20"/>
          <w:vertAlign w:val="baseline"/>
          <w:lang w:val="en-US"/>
        </w:rPr>
        <w:t xml:space="preserve">Jurisdictions that wish to rely on an implied power to cancel registrations may omit this Division.</w:t>
      </w:r>
    </w:p>
    <w:p>
      <w:pPr>
        <w:tabs>
          <w:tab w:val="left" w:leader="none" w:pos="2160"/>
        </w:tabs>
        <w:spacing w:before="115" w:after="0" w:line="233" w:lineRule="exact"/>
        <w:ind w:right="288" w:left="2088" w:hanging="1944"/>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308	</w:t>
      </w:r>
      <w:r>
        <w:rPr>
          <w:rFonts w:ascii="Times New Roman" w:hAnsi="Times New Roman" w:eastAsia="Times New Roman"/>
          <w:color w:val="000000"/>
          <w:spacing w:val="0"/>
          <w:w w:val="100"/>
          <w:sz w:val="20"/>
          <w:vertAlign w:val="baseline"/>
          <w:lang w:val="en-US"/>
        </w:rPr>
        <w:t xml:space="preserve">Jurisdictions with other local legislation that includes this requirement may omit this provision.</w:t>
      </w:r>
    </w:p>
    <w:p>
      <w:pPr>
        <w:tabs>
          <w:tab w:val="left" w:leader="none" w:pos="2160"/>
        </w:tabs>
        <w:spacing w:before="115" w:after="0" w:line="233" w:lineRule="exact"/>
        <w:ind w:right="0" w:left="144" w:firstLine="0"/>
        <w:jc w:val="left"/>
        <w:textAlignment w:val="baseline"/>
        <w:rPr>
          <w:rFonts w:ascii="Times New Roman" w:hAnsi="Times New Roman" w:eastAsia="Times New Roman"/>
          <w:color w:val="000000"/>
          <w:spacing w:val="2"/>
          <w:w w:val="100"/>
          <w:sz w:val="20"/>
          <w:vertAlign w:val="baseline"/>
          <w:lang w:val="en-US"/>
        </w:rPr>
      </w:pPr>
      <w:r>
        <w:rPr>
          <w:rFonts w:ascii="Times New Roman" w:hAnsi="Times New Roman" w:eastAsia="Times New Roman"/>
          <w:color w:val="000000"/>
          <w:spacing w:val="2"/>
          <w:w w:val="100"/>
          <w:sz w:val="20"/>
          <w:vertAlign w:val="baseline"/>
          <w:lang w:val="en-US"/>
        </w:rPr>
        <w:t xml:space="preserve">Part 6.5 Division 2	</w:t>
      </w:r>
      <w:r>
        <w:rPr>
          <w:rFonts w:ascii="Times New Roman" w:hAnsi="Times New Roman" w:eastAsia="Times New Roman"/>
          <w:color w:val="000000"/>
          <w:spacing w:val="2"/>
          <w:w w:val="100"/>
          <w:sz w:val="20"/>
          <w:vertAlign w:val="baseline"/>
          <w:lang w:val="en-US"/>
        </w:rPr>
        <w:t xml:space="preserve">1 Jurisdictions in which the scheme of general construction induction</w:t>
      </w:r>
    </w:p>
    <w:p>
      <w:pPr>
        <w:tabs>
          <w:tab w:val="left" w:leader="none" w:pos="2520"/>
        </w:tabs>
        <w:spacing w:before="0" w:after="0" w:line="231" w:lineRule="exact"/>
        <w:ind w:right="432" w:left="2448" w:hanging="230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heading	</w:t>
      </w:r>
      <w:r>
        <w:rPr>
          <w:rFonts w:ascii="Times New Roman" w:hAnsi="Times New Roman" w:eastAsia="Times New Roman"/>
          <w:color w:val="000000"/>
          <w:spacing w:val="0"/>
          <w:w w:val="100"/>
          <w:sz w:val="20"/>
          <w:vertAlign w:val="baseline"/>
          <w:lang w:val="en-US"/>
        </w:rPr>
        <w:t xml:space="preserve">training cards is administered by RTOs rather than the regulator should omit the scheme established by this Division. In these jurisdictions, the regulator will enter an agreement of the kind contemplated by regulation 325.</w:t>
      </w:r>
    </w:p>
    <w:p>
      <w:pPr>
        <w:tabs>
          <w:tab w:val="left" w:leader="none" w:pos="2520"/>
        </w:tabs>
        <w:spacing w:before="109" w:after="0" w:line="233" w:lineRule="exact"/>
        <w:ind w:right="360" w:left="2448" w:hanging="36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Jurisdictions that choose to omit the Division 2 scheme will omit regulation 325 itself, but should retain regulations 319, 321 and 322, altered as necessary to apply in relation to a general construction induction training card issued by an RTO.</w:t>
      </w:r>
    </w:p>
    <w:p>
      <w:pPr>
        <w:tabs>
          <w:tab w:val="left" w:leader="none" w:pos="2160"/>
        </w:tabs>
        <w:spacing w:before="108" w:after="0" w:line="233" w:lineRule="exact"/>
        <w:ind w:right="360" w:left="2088" w:hanging="194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325	</w:t>
      </w:r>
      <w:r>
        <w:rPr>
          <w:rFonts w:ascii="Times New Roman" w:hAnsi="Times New Roman" w:eastAsia="Times New Roman"/>
          <w:color w:val="000000"/>
          <w:spacing w:val="0"/>
          <w:w w:val="100"/>
          <w:sz w:val="20"/>
          <w:vertAlign w:val="baseline"/>
          <w:lang w:val="en-US"/>
        </w:rPr>
        <w:t xml:space="preserve">Jurisdictions may choose to omit this regulation, if they decide to rely entirely on the regulator to administer the general construction induction training card scheme.</w:t>
      </w:r>
    </w:p>
    <w:p>
      <w:pPr>
        <w:tabs>
          <w:tab w:val="left" w:leader="none" w:pos="2160"/>
        </w:tabs>
        <w:spacing w:before="117" w:after="0" w:line="233"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328(1)	</w:t>
      </w:r>
      <w:r>
        <w:rPr>
          <w:rFonts w:ascii="Times New Roman" w:hAnsi="Times New Roman" w:eastAsia="Times New Roman"/>
          <w:color w:val="000000"/>
          <w:spacing w:val="0"/>
          <w:w w:val="100"/>
          <w:sz w:val="20"/>
          <w:vertAlign w:val="baseline"/>
          <w:lang w:val="en-US"/>
        </w:rPr>
        <w:t xml:space="preserve">If a jurisdiction adopts Schedule 1 to the Act in relation to dangerous</w:t>
      </w:r>
    </w:p>
    <w:p>
      <w:pPr>
        <w:spacing w:before="0" w:after="0" w:line="230" w:lineRule="exact"/>
        <w:ind w:right="0" w:left="208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goods, the following provision may be inserted:</w:t>
      </w:r>
    </w:p>
    <w:p>
      <w:pPr>
        <w:spacing w:before="48" w:after="0" w:line="233" w:lineRule="exact"/>
        <w:ind w:right="288" w:left="208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"This Part applies to the handling or storage of dangerous goods listed in column 2 of table 328, other than at a workplace, if the quantity of the dangerous goods is more than the relevant threshold referred to in Column 3 of the table.</w:t>
      </w:r>
    </w:p>
    <w:p>
      <w:pPr>
        <w:spacing w:before="128" w:after="323" w:line="230" w:lineRule="exact"/>
        <w:ind w:right="0" w:left="3960"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Table 328</w:t>
      </w:r>
    </w:p>
    <w:p>
      <w:pPr>
        <w:tabs>
          <w:tab w:val="left" w:leader="none" w:pos="4464"/>
        </w:tabs>
        <w:spacing w:before="78" w:after="0" w:line="184" w:lineRule="exact"/>
        <w:ind w:right="0" w:left="2088" w:firstLine="0"/>
        <w:jc w:val="left"/>
        <w:textAlignment w:val="baseline"/>
        <w:rPr>
          <w:rFonts w:ascii="Times New Roman" w:hAnsi="Times New Roman" w:eastAsia="Times New Roman"/>
          <w:b w:val="true"/>
          <w:color w:val="000000"/>
          <w:spacing w:val="0"/>
          <w:w w:val="100"/>
          <w:sz w:val="16"/>
          <w:vertAlign w:val="baseline"/>
          <w:lang w:val="en-US"/>
        </w:rPr>
      </w:pPr>
      <w:r>
        <w:pict>
          <v:line strokeweight="0.5pt" strokecolor="#000000" from="197.05pt,457.9pt" to="496.6pt,457.9pt" style="position:absolute;mso-position-horizontal-relative:page;mso-position-vertical-relative:page;">
            <v:stroke dashstyle="solid"/>
          </v:line>
        </w:pict>
      </w:r>
      <w:r>
        <w:rPr>
          <w:rFonts w:ascii="Times New Roman" w:hAnsi="Times New Roman" w:eastAsia="Times New Roman"/>
          <w:b w:val="true"/>
          <w:color w:val="000000"/>
          <w:spacing w:val="0"/>
          <w:w w:val="100"/>
          <w:sz w:val="16"/>
          <w:vertAlign w:val="baseline"/>
          <w:lang w:val="en-US"/>
        </w:rPr>
        <w:t xml:space="preserve">Column Column 2	</w:t>
      </w:r>
      <w:r>
        <w:rPr>
          <w:rFonts w:ascii="Times New Roman" w:hAnsi="Times New Roman" w:eastAsia="Times New Roman"/>
          <w:b w:val="true"/>
          <w:color w:val="000000"/>
          <w:spacing w:val="0"/>
          <w:w w:val="100"/>
          <w:sz w:val="16"/>
          <w:vertAlign w:val="baseline"/>
          <w:lang w:val="en-US"/>
        </w:rPr>
        <w:t xml:space="preserve">Column 3</w:t>
      </w:r>
    </w:p>
    <w:p>
      <w:pPr>
        <w:tabs>
          <w:tab w:val="left" w:leader="none" w:pos="2952"/>
          <w:tab w:val="left" w:leader="none" w:pos="4464"/>
        </w:tabs>
        <w:spacing w:before="32" w:after="0" w:line="207" w:lineRule="exact"/>
        <w:ind w:right="0" w:left="2088" w:firstLine="0"/>
        <w:jc w:val="left"/>
        <w:textAlignment w:val="baseline"/>
        <w:rPr>
          <w:rFonts w:ascii="Times New Roman" w:hAnsi="Times New Roman" w:eastAsia="Times New Roman"/>
          <w:b w:val="true"/>
          <w:color w:val="000000"/>
          <w:spacing w:val="0"/>
          <w:w w:val="100"/>
          <w:sz w:val="16"/>
          <w:vertAlign w:val="baseline"/>
          <w:lang w:val="en-US"/>
        </w:rPr>
      </w:pPr>
      <w:r>
        <w:rPr>
          <w:rFonts w:ascii="Times New Roman" w:hAnsi="Times New Roman" w:eastAsia="Times New Roman"/>
          <w:b w:val="true"/>
          <w:color w:val="000000"/>
          <w:spacing w:val="0"/>
          <w:w w:val="100"/>
          <w:sz w:val="16"/>
          <w:vertAlign w:val="baseline"/>
          <w:lang w:val="en-US"/>
        </w:rPr>
        <w:t xml:space="preserve">1	</w:t>
      </w:r>
      <w:r>
        <w:rPr>
          <w:rFonts w:ascii="Times New Roman" w:hAnsi="Times New Roman" w:eastAsia="Times New Roman"/>
          <w:b w:val="true"/>
          <w:color w:val="000000"/>
          <w:spacing w:val="0"/>
          <w:w w:val="100"/>
          <w:sz w:val="16"/>
          <w:vertAlign w:val="baseline"/>
          <w:lang w:val="en-US"/>
        </w:rPr>
        <w:t xml:space="preserve">Dangerous goods	</w:t>
      </w:r>
      <w:r>
        <w:rPr>
          <w:rFonts w:ascii="Times New Roman" w:hAnsi="Times New Roman" w:eastAsia="Times New Roman"/>
          <w:b w:val="true"/>
          <w:color w:val="000000"/>
          <w:spacing w:val="0"/>
          <w:w w:val="100"/>
          <w:sz w:val="16"/>
          <w:vertAlign w:val="baseline"/>
          <w:lang w:val="en-US"/>
        </w:rPr>
        <w:t xml:space="preserve">Threshold quantities</w:t>
      </w:r>
    </w:p>
    <w:p>
      <w:pPr>
        <w:spacing w:before="11" w:after="44" w:line="184" w:lineRule="exact"/>
        <w:ind w:right="0" w:left="2088" w:firstLine="0"/>
        <w:jc w:val="left"/>
        <w:textAlignment w:val="baseline"/>
        <w:rPr>
          <w:rFonts w:ascii="Times New Roman" w:hAnsi="Times New Roman" w:eastAsia="Times New Roman"/>
          <w:b w:val="true"/>
          <w:color w:val="000000"/>
          <w:spacing w:val="0"/>
          <w:w w:val="100"/>
          <w:sz w:val="16"/>
          <w:vertAlign w:val="baseline"/>
          <w:lang w:val="en-US"/>
        </w:rPr>
      </w:pPr>
      <w:r>
        <w:rPr>
          <w:rFonts w:ascii="Times New Roman" w:hAnsi="Times New Roman" w:eastAsia="Times New Roman"/>
          <w:b w:val="true"/>
          <w:color w:val="000000"/>
          <w:spacing w:val="0"/>
          <w:w w:val="100"/>
          <w:sz w:val="16"/>
          <w:vertAlign w:val="baseline"/>
          <w:lang w:val="en-US"/>
        </w:rPr>
        <w:t xml:space="preserve">Item</w:t>
      </w:r>
    </w:p>
    <w:p>
      <w:pPr>
        <w:spacing w:before="88" w:after="0" w:line="20" w:lineRule="exact"/>
      </w:pPr>
      <w:r>
        <w:pict>
          <v:line strokeweight="0.5pt" strokecolor="#000000" from="197.05pt,495.1pt" to="496.6pt,495.1pt" style="position:absolute;mso-position-horizontal-relative:page;mso-position-vertical-relative:page;">
            <v:stroke dashstyle="solid"/>
          </v:line>
        </w:pict>
      </w:r>
    </w:p>
    <w:tbl>
      <w:tblPr>
        <w:jc w:val="left"/>
        <w:tblLayout w:type="fixed"/>
        <w:tblCellMar>
          <w:left w:w="0" w:type="dxa"/>
          <w:right w:w="0" w:type="dxa"/>
        </w:tblCellMar>
      </w:tblPr>
      <w:tblGrid>
        <w:gridCol w:w="4367"/>
        <w:gridCol w:w="3733"/>
      </w:tblGrid>
      <w:tr>
        <w:trPr>
          <w:trHeight w:val="2861" w:hRule="exact"/>
        </w:trPr>
        <w:tc>
          <w:tcPr>
            <w:tcW w:w="4367" w:type="dxa"/>
            <w:tcBorders>
              <w:top w:val="none"/>
              <w:left w:val="none"/>
              <w:bottom w:val="none"/>
              <w:right w:val="none"/>
            </w:tcBorders>
            <w:textDirection w:val="lrTb"/>
            <w:vAlign w:val="top"/>
          </w:tcPr>
          <w:p>
            <w:pPr>
              <w:tabs>
                <w:tab w:val="left" w:leader="none" w:pos="3024"/>
              </w:tabs>
              <w:spacing w:before="0" w:after="0" w:line="225" w:lineRule="exact"/>
              <w:ind w:right="216" w:left="3024" w:hanging="86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Liquefied Petroleum Gas (LP gas) (dangerous goods Class 2.1)</w:t>
            </w:r>
          </w:p>
          <w:p>
            <w:pPr>
              <w:tabs>
                <w:tab w:val="left" w:leader="none" w:pos="3024"/>
              </w:tabs>
              <w:spacing w:before="100" w:after="4" w:line="233" w:lineRule="exact"/>
              <w:ind w:right="144" w:left="3024" w:hanging="864"/>
              <w:jc w:val="left"/>
              <w:textAlignment w:val="baseline"/>
              <w:rPr>
                <w:rFonts w:ascii="Times New Roman" w:hAnsi="Times New Roman" w:eastAsia="Times New Roman"/>
                <w:color w:val="000000"/>
                <w:spacing w:val="-6"/>
                <w:w w:val="100"/>
                <w:sz w:val="20"/>
                <w:vertAlign w:val="baseline"/>
                <w:lang w:val="en-US"/>
              </w:rPr>
            </w:pPr>
            <w:r>
              <w:rPr>
                <w:rFonts w:ascii="Times New Roman" w:hAnsi="Times New Roman" w:eastAsia="Times New Roman"/>
                <w:color w:val="000000"/>
                <w:spacing w:val="-6"/>
                <w:w w:val="100"/>
                <w:sz w:val="20"/>
                <w:vertAlign w:val="baseline"/>
                <w:lang w:val="en-US"/>
              </w:rPr>
              <w:t xml:space="preserve">2	</w:t>
            </w:r>
            <w:r>
              <w:rPr>
                <w:rFonts w:ascii="Times New Roman" w:hAnsi="Times New Roman" w:eastAsia="Times New Roman"/>
                <w:color w:val="000000"/>
                <w:spacing w:val="-6"/>
                <w:w w:val="100"/>
                <w:sz w:val="20"/>
                <w:vertAlign w:val="baseline"/>
                <w:lang w:val="en-US"/>
              </w:rPr>
              <w:t xml:space="preserve">Compressed gas of Class 2.1 (excluding LP gas), Class 2.2 or compressed oxygen if:</w:t>
            </w:r>
          </w:p>
        </w:tc>
        <w:tc>
          <w:tcPr>
            <w:tcW w:w="3733" w:type="dxa"/>
            <w:tcBorders>
              <w:top w:val="none"/>
              <w:left w:val="none"/>
              <w:bottom w:val="none"/>
              <w:right w:val="none"/>
            </w:tcBorders>
            <w:textDirection w:val="lrTb"/>
            <w:vAlign w:val="top"/>
          </w:tcPr>
          <w:p>
            <w:pPr>
              <w:spacing w:before="0" w:after="0" w:line="223" w:lineRule="exact"/>
              <w:ind w:right="216" w:left="144" w:firstLine="0"/>
              <w:jc w:val="left"/>
              <w:textAlignment w:val="baseline"/>
              <w:rPr>
                <w:rFonts w:ascii="Times New Roman" w:hAnsi="Times New Roman" w:eastAsia="Times New Roman"/>
                <w:color w:val="000000"/>
                <w:spacing w:val="-2"/>
                <w:w w:val="100"/>
                <w:sz w:val="20"/>
                <w:vertAlign w:val="baseline"/>
                <w:lang w:val="en-US"/>
              </w:rPr>
            </w:pPr>
            <w:r>
              <w:rPr>
                <w:rFonts w:ascii="Times New Roman" w:hAnsi="Times New Roman" w:eastAsia="Times New Roman"/>
                <w:color w:val="000000"/>
                <w:spacing w:val="-2"/>
                <w:w w:val="100"/>
                <w:sz w:val="20"/>
                <w:vertAlign w:val="baseline"/>
                <w:lang w:val="en-US"/>
              </w:rPr>
              <w:t xml:space="preserve">If the LP gas is stored in packages outside a building, and connected by piping to appliances within the building that contain the gas—500 L (water capacity)</w:t>
            </w:r>
          </w:p>
          <w:p>
            <w:pPr>
              <w:spacing w:before="574" w:after="0" w:line="233" w:lineRule="exact"/>
              <w:ind w:right="0" w:left="0" w:firstLine="0"/>
              <w:jc w:val="center"/>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each is in one or more containers in an</w:t>
            </w:r>
          </w:p>
          <w:p>
            <w:pPr>
              <w:spacing w:before="0" w:after="0" w:line="230" w:lineRule="exact"/>
              <w:ind w:right="0" w:left="36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aggregate capacity not exceeding</w:t>
            </w:r>
          </w:p>
          <w:p>
            <w:pPr>
              <w:spacing w:before="0" w:after="696" w:line="230" w:lineRule="exact"/>
              <w:ind w:right="0" w:left="360"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50 L; and</w:t>
            </w:r>
          </w:p>
        </w:tc>
      </w:tr>
    </w:tbl>
    <w:p>
      <w:pPr>
        <w:spacing w:before="0" w:after="1672" w:line="20" w:lineRule="exact"/>
      </w:pPr>
    </w:p>
    <w:p>
      <w:pPr>
        <w:tabs>
          <w:tab w:val="left" w:leader="none" w:pos="3960"/>
        </w:tabs>
        <w:spacing w:before="263" w:after="0" w:line="179" w:lineRule="exact"/>
        <w:ind w:right="0" w:left="144" w:firstLine="0"/>
        <w:jc w:val="left"/>
        <w:textAlignment w:val="baseline"/>
        <w:rPr>
          <w:rFonts w:ascii="Times New Roman" w:hAnsi="Times New Roman" w:eastAsia="Times New Roman"/>
          <w:color w:val="000000"/>
          <w:spacing w:val="0"/>
          <w:w w:val="100"/>
          <w:sz w:val="16"/>
          <w:vertAlign w:val="baseline"/>
          <w:lang w:val="en-US"/>
        </w:rPr>
      </w:pPr>
      <w:r>
        <w:pict>
          <v:line strokeweight="0.5pt" strokecolor="#000000" from="95.45pt,728.15pt" to="500.5pt,728.15pt" style="position:absolute;mso-position-horizontal-relative:page;mso-position-vertical-relative:page;">
            <v:stroke dashstyle="solid"/>
          </v:line>
        </w:pict>
      </w: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504</w:t>
      </w:r>
    </w:p>
    <w:p>
      <w:pPr>
        <w:sectPr>
          <w:type w:val="nextPage"/>
          <w:pgSz w:w="11909" w:h="16838" w:orient="portrait"/>
          <w:pgMar w:bottom="1082" w:top="1140" w:right="1900" w:left="1909" w:header="720" w:footer="720"/>
          <w:titlePg w:val="false"/>
          <w:textDirection w:val="lrTb"/>
        </w:sectPr>
      </w:pPr>
    </w:p>
    <w:p>
      <w:pPr>
        <w:spacing w:before="0" w:after="223" w:line="348"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</w:t>
        <w:br/>
      </w:r>
      <w:r>
        <w:rPr>
          <w:rFonts w:ascii="Times New Roman" w:hAnsi="Times New Roman" w:eastAsia="Times New Roman"/>
          <w:color w:val="000000"/>
          <w:spacing w:val="0"/>
          <w:w w:val="100"/>
          <w:sz w:val="20"/>
          <w:vertAlign w:val="baseline"/>
          <w:lang w:val="en-US"/>
        </w:rPr>
        <w:t xml:space="preserve">APPENDIX Jurisdictional Notes</w:t>
      </w:r>
    </w:p>
    <w:p>
      <w:pPr>
        <w:tabs>
          <w:tab w:val="left" w:leader="none" w:pos="2160"/>
        </w:tabs>
        <w:spacing w:before="327" w:after="35" w:line="230" w:lineRule="exact"/>
        <w:ind w:right="0" w:left="144"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5.45pt,103.9pt" to="500.5pt,103.9pt" style="position:absolute;mso-position-horizontal-relative:page;mso-position-vertical-relative:page;">
            <v:stroke dashstyle="solid"/>
          </v:line>
        </w:pict>
      </w:r>
      <w:r>
        <w:pict>
          <v:line strokeweight="0.5pt" strokecolor="#000000" from="99.35pt,115.9pt" to="496.6pt,115.9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Regulation	</w:t>
      </w:r>
      <w:r>
        <w:rPr>
          <w:rFonts w:ascii="Times New Roman" w:hAnsi="Times New Roman" w:eastAsia="Times New Roman"/>
          <w:b w:val="true"/>
          <w:color w:val="000000"/>
          <w:spacing w:val="0"/>
          <w:w w:val="100"/>
          <w:sz w:val="20"/>
          <w:vertAlign w:val="baseline"/>
          <w:lang w:val="en-US"/>
        </w:rPr>
        <w:t xml:space="preserve">Jurisdictional Note</w:t>
      </w:r>
    </w:p>
    <w:p>
      <w:pPr>
        <w:spacing w:before="73" w:after="0" w:line="230" w:lineRule="exact"/>
        <w:ind w:right="288" w:left="4752" w:hanging="288"/>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9.35pt,133.9pt" to="496.6pt,133.9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(b) the dangerous goods as a whole form part of a welding set or are used or intended to be used with a portable flame torch.</w:t>
      </w:r>
    </w:p>
    <w:p>
      <w:pPr>
        <w:spacing w:before="61" w:after="0" w:line="225" w:lineRule="exact"/>
        <w:ind w:right="288" w:left="4464" w:firstLine="0"/>
        <w:jc w:val="both"/>
        <w:textAlignment w:val="baseline"/>
        <w:rPr>
          <w:rFonts w:ascii="Times New Roman" w:hAnsi="Times New Roman" w:eastAsia="Times New Roman"/>
          <w:color w:val="000000"/>
          <w:spacing w:val="-1"/>
          <w:w w:val="100"/>
          <w:sz w:val="20"/>
          <w:vertAlign w:val="baseline"/>
          <w:lang w:val="en-US"/>
        </w:rPr>
      </w:pPr>
      <w:r>
        <w:rPr>
          <w:rFonts w:ascii="Times New Roman" w:hAnsi="Times New Roman" w:eastAsia="Times New Roman"/>
          <w:color w:val="000000"/>
          <w:spacing w:val="-1"/>
          <w:w w:val="100"/>
          <w:sz w:val="20"/>
          <w:vertAlign w:val="baseline"/>
          <w:lang w:val="en-US"/>
        </w:rPr>
        <w:t xml:space="preserve">Compressed oxygen or air that is used or intended to be used for medical purposes.</w:t>
      </w:r>
    </w:p>
    <w:p>
      <w:pPr>
        <w:rPr>
          <w:sz w:val="2"/>
        </w:rPr>
      </w:pPr>
      <w:r>
        <w:pict>
          <v:shapetype id="_x0000_t126" coordsize="21600,21600" o:spt="202" path="m,l,21600r21600,l21600,xe">
            <v:stroke joinstyle="miter"/>
            <v:path gradientshapeok="t" o:connecttype="rect"/>
          </v:shapetype>
          <v:shape id="_x0000_s125" type="#_x0000_t126" filled="f" stroked="f" style="position:absolute;width:18.5pt;height:330.1pt;z-index:-1;margin-left:483.6pt;margin-top:209.4pt;mso-wrap-distance-left:0pt;mso-wrap-distance-right:0pt;mso-position-horizontal-relative:page;mso-position-vertical-relative:page">
            <w10:wrap type="square" side="both"/>
            <v:fill opacity="1" o:opacity2="1" recolor="f" rotate="f" type="solid"/>
            <v:textbox inset="0pt, 0pt, 0pt, 0pt">
              <w:txbxContent>
                <w:p>
                  <w:pPr>
                    <w:spacing w:before="6308" w:after="60" w:line="229" w:lineRule="exact"/>
                    <w:ind w:right="0" w:left="0" w:firstLine="0"/>
                    <w:jc w:val="righ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w:t>
                  </w:r>
                </w:p>
              </w:txbxContent>
            </v:textbox>
          </v:shape>
        </w:pict>
      </w:r>
    </w:p>
    <w:tbl>
      <w:tblPr>
        <w:jc w:val="left"/>
        <w:tblInd w:w="180" w:type="dxa"/>
        <w:tblLayout w:type="fixed"/>
        <w:tblCellMar>
          <w:left w:w="0" w:type="dxa"/>
          <w:right w:w="0" w:type="dxa"/>
        </w:tblCellMar>
      </w:tblPr>
      <w:tblGrid>
        <w:gridCol w:w="2481"/>
        <w:gridCol w:w="1709"/>
        <w:gridCol w:w="3393"/>
      </w:tblGrid>
      <w:tr>
        <w:trPr>
          <w:trHeight w:val="627" w:hRule="exact"/>
        </w:trPr>
        <w:tc>
          <w:tcPr>
            <w:tcW w:w="2481" w:type="dxa"/>
            <w:tcBorders>
              <w:top w:val="none"/>
              <w:left w:val="none"/>
              <w:bottom w:val="none"/>
              <w:right w:val="none"/>
            </w:tcBorders>
            <w:textDirection w:val="lrTb"/>
            <w:vAlign w:val="top"/>
          </w:tcPr>
          <w:p>
            <w:pPr>
              <w:spacing w:before="121" w:after="271" w:line="229" w:lineRule="exact"/>
              <w:ind w:right="0" w:left="195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w:t>
            </w:r>
          </w:p>
        </w:tc>
        <w:tc>
          <w:tcPr>
            <w:tcW w:w="1709" w:type="dxa"/>
            <w:tcBorders>
              <w:top w:val="none"/>
              <w:left w:val="none"/>
              <w:bottom w:val="none"/>
              <w:right w:val="none"/>
            </w:tcBorders>
            <w:textDirection w:val="lrTb"/>
            <w:vAlign w:val="center"/>
          </w:tcPr>
          <w:p>
            <w:pPr>
              <w:spacing w:before="114" w:after="45" w:line="231" w:lineRule="exact"/>
              <w:ind w:right="288" w:left="324" w:firstLine="0"/>
              <w:jc w:val="left"/>
              <w:textAlignment w:val="baseline"/>
              <w:rPr>
                <w:rFonts w:ascii="Times New Roman" w:hAnsi="Times New Roman" w:eastAsia="Times New Roman"/>
                <w:color w:val="000000"/>
                <w:spacing w:val="-2"/>
                <w:w w:val="100"/>
                <w:sz w:val="20"/>
                <w:vertAlign w:val="baseline"/>
                <w:lang w:val="en-US"/>
              </w:rPr>
            </w:pPr>
            <w:r>
              <w:rPr>
                <w:rFonts w:ascii="Times New Roman" w:hAnsi="Times New Roman" w:eastAsia="Times New Roman"/>
                <w:color w:val="000000"/>
                <w:spacing w:val="-2"/>
                <w:w w:val="100"/>
                <w:sz w:val="20"/>
                <w:vertAlign w:val="baseline"/>
                <w:lang w:val="en-US"/>
              </w:rPr>
              <w:t xml:space="preserve">Dangerous goods Class 3</w:t>
            </w:r>
          </w:p>
        </w:tc>
        <w:tc>
          <w:tcPr>
            <w:tcW w:w="3393" w:type="dxa"/>
            <w:tcBorders>
              <w:top w:val="none"/>
              <w:left w:val="none"/>
              <w:bottom w:val="none"/>
              <w:right w:val="none"/>
            </w:tcBorders>
            <w:textDirection w:val="lrTb"/>
            <w:vAlign w:val="top"/>
          </w:tcPr>
          <w:p>
            <w:pPr>
              <w:spacing w:before="121" w:after="271" w:line="229" w:lineRule="exact"/>
              <w:ind w:right="0" w:left="11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250 L</w:t>
            </w:r>
          </w:p>
        </w:tc>
      </w:tr>
      <w:tr>
        <w:trPr>
          <w:trHeight w:val="1041" w:hRule="exact"/>
        </w:trPr>
        <w:tc>
          <w:tcPr>
            <w:tcW w:w="2481" w:type="dxa"/>
            <w:tcBorders>
              <w:top w:val="none"/>
              <w:left w:val="none"/>
              <w:bottom w:val="none"/>
              <w:right w:val="none"/>
            </w:tcBorders>
            <w:textDirection w:val="lrTb"/>
            <w:vAlign w:val="top"/>
          </w:tcPr>
          <w:p>
            <w:pPr>
              <w:spacing w:before="75" w:after="727" w:line="229" w:lineRule="exact"/>
              <w:ind w:right="0" w:left="195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w:t>
            </w:r>
          </w:p>
        </w:tc>
        <w:tc>
          <w:tcPr>
            <w:tcW w:w="1709" w:type="dxa"/>
            <w:tcBorders>
              <w:top w:val="none"/>
              <w:left w:val="none"/>
              <w:bottom w:val="none"/>
              <w:right w:val="none"/>
            </w:tcBorders>
            <w:textDirection w:val="lrTb"/>
            <w:vAlign w:val="top"/>
          </w:tcPr>
          <w:p>
            <w:pPr>
              <w:spacing w:before="70" w:after="41" w:line="230" w:lineRule="exact"/>
              <w:ind w:right="252" w:left="32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Pool Chlorine and spa sanitising agents</w:t>
            </w:r>
          </w:p>
        </w:tc>
        <w:tc>
          <w:tcPr>
            <w:tcW w:w="3393" w:type="dxa"/>
            <w:tcBorders>
              <w:top w:val="none"/>
              <w:left w:val="none"/>
              <w:bottom w:val="none"/>
              <w:right w:val="none"/>
            </w:tcBorders>
            <w:textDirection w:val="lrTb"/>
            <w:vAlign w:val="top"/>
          </w:tcPr>
          <w:p>
            <w:pPr>
              <w:spacing w:before="75" w:after="727" w:line="229" w:lineRule="exact"/>
              <w:ind w:right="0" w:left="11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100 kg or L</w:t>
            </w:r>
          </w:p>
        </w:tc>
      </w:tr>
      <w:tr>
        <w:trPr>
          <w:trHeight w:val="303" w:hRule="exact"/>
        </w:trPr>
        <w:tc>
          <w:tcPr>
            <w:tcW w:w="2481" w:type="dxa"/>
            <w:tcBorders>
              <w:top w:val="none"/>
              <w:left w:val="none"/>
              <w:bottom w:val="none"/>
              <w:right w:val="none"/>
            </w:tcBorders>
            <w:textDirection w:val="lrTb"/>
            <w:vAlign w:val="center"/>
          </w:tcPr>
          <w:p>
            <w:pPr>
              <w:spacing w:before="76" w:after="0" w:line="216" w:lineRule="exact"/>
              <w:ind w:right="0" w:left="195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w:t>
            </w:r>
          </w:p>
        </w:tc>
        <w:tc>
          <w:tcPr>
            <w:tcW w:w="1709" w:type="dxa"/>
            <w:tcBorders>
              <w:top w:val="none"/>
              <w:left w:val="none"/>
              <w:bottom w:val="none"/>
              <w:right w:val="none"/>
            </w:tcBorders>
            <w:textDirection w:val="lrTb"/>
            <w:vAlign w:val="center"/>
          </w:tcPr>
          <w:p>
            <w:pPr>
              <w:spacing w:before="71" w:after="0" w:line="221" w:lineRule="exact"/>
              <w:ind w:right="0" w:left="33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Sodium</w:t>
            </w:r>
          </w:p>
        </w:tc>
        <w:tc>
          <w:tcPr>
            <w:tcW w:w="3393" w:type="dxa"/>
            <w:tcBorders>
              <w:top w:val="none"/>
              <w:left w:val="none"/>
              <w:bottom w:val="none"/>
              <w:right w:val="none"/>
            </w:tcBorders>
            <w:textDirection w:val="lrTb"/>
            <w:vAlign w:val="center"/>
          </w:tcPr>
          <w:p>
            <w:pPr>
              <w:spacing w:before="76" w:after="0" w:line="216" w:lineRule="exact"/>
              <w:ind w:right="0" w:left="11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100 L</w:t>
            </w:r>
          </w:p>
        </w:tc>
      </w:tr>
      <w:tr>
        <w:trPr>
          <w:trHeight w:val="969" w:hRule="exact"/>
        </w:trPr>
        <w:tc>
          <w:tcPr>
            <w:tcW w:w="2481"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1709" w:type="dxa"/>
            <w:tcBorders>
              <w:top w:val="none"/>
              <w:left w:val="none"/>
              <w:bottom w:val="none"/>
              <w:right w:val="none"/>
            </w:tcBorders>
            <w:textDirection w:val="lrTb"/>
            <w:vAlign w:val="top"/>
          </w:tcPr>
          <w:p>
            <w:pPr>
              <w:spacing w:before="0" w:after="51" w:line="229" w:lineRule="exact"/>
              <w:ind w:right="0" w:left="32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Hypochlorite designated by UN Number 1791</w:t>
            </w:r>
          </w:p>
        </w:tc>
        <w:tc>
          <w:tcPr>
            <w:tcW w:w="3393"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r>
      <w:tr>
        <w:trPr>
          <w:trHeight w:val="576" w:hRule="exact"/>
        </w:trPr>
        <w:tc>
          <w:tcPr>
            <w:tcW w:w="2481" w:type="dxa"/>
            <w:tcBorders>
              <w:top w:val="none"/>
              <w:left w:val="none"/>
              <w:bottom w:val="none"/>
              <w:right w:val="none"/>
            </w:tcBorders>
            <w:textDirection w:val="lrTb"/>
            <w:vAlign w:val="top"/>
          </w:tcPr>
          <w:p>
            <w:pPr>
              <w:spacing w:before="71" w:after="276" w:line="229" w:lineRule="exact"/>
              <w:ind w:right="0" w:left="195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w:t>
            </w:r>
          </w:p>
        </w:tc>
        <w:tc>
          <w:tcPr>
            <w:tcW w:w="1709" w:type="dxa"/>
            <w:tcBorders>
              <w:top w:val="none"/>
              <w:left w:val="none"/>
              <w:bottom w:val="none"/>
              <w:right w:val="none"/>
            </w:tcBorders>
            <w:textDirection w:val="lrTb"/>
            <w:vAlign w:val="top"/>
          </w:tcPr>
          <w:p>
            <w:pPr>
              <w:spacing w:before="65" w:after="51" w:line="230" w:lineRule="exact"/>
              <w:ind w:right="252" w:left="32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Dangerous goods Class 9</w:t>
            </w:r>
          </w:p>
        </w:tc>
        <w:tc>
          <w:tcPr>
            <w:tcW w:w="3393" w:type="dxa"/>
            <w:tcBorders>
              <w:top w:val="none"/>
              <w:left w:val="none"/>
              <w:bottom w:val="none"/>
              <w:right w:val="none"/>
            </w:tcBorders>
            <w:textDirection w:val="lrTb"/>
            <w:vAlign w:val="top"/>
          </w:tcPr>
          <w:p>
            <w:pPr>
              <w:spacing w:before="71" w:after="276" w:line="229" w:lineRule="exact"/>
              <w:ind w:right="0" w:left="11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100 kg or L</w:t>
            </w:r>
          </w:p>
        </w:tc>
      </w:tr>
      <w:tr>
        <w:trPr>
          <w:trHeight w:val="533" w:hRule="exact"/>
        </w:trPr>
        <w:tc>
          <w:tcPr>
            <w:tcW w:w="2481" w:type="dxa"/>
            <w:tcBorders>
              <w:top w:val="none"/>
              <w:left w:val="none"/>
              <w:bottom w:val="none"/>
              <w:right w:val="none"/>
            </w:tcBorders>
            <w:textDirection w:val="lrTb"/>
            <w:vAlign w:val="top"/>
          </w:tcPr>
          <w:p>
            <w:pPr>
              <w:spacing w:before="76" w:after="227" w:line="229" w:lineRule="exact"/>
              <w:ind w:right="0" w:left="195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7</w:t>
            </w:r>
          </w:p>
        </w:tc>
        <w:tc>
          <w:tcPr>
            <w:tcW w:w="1709" w:type="dxa"/>
            <w:tcBorders>
              <w:top w:val="none"/>
              <w:left w:val="none"/>
              <w:bottom w:val="none"/>
              <w:right w:val="none"/>
            </w:tcBorders>
            <w:textDirection w:val="lrTb"/>
            <w:vAlign w:val="center"/>
          </w:tcPr>
          <w:p>
            <w:pPr>
              <w:spacing w:before="70" w:after="2" w:line="230" w:lineRule="exact"/>
              <w:ind w:right="216" w:left="324" w:firstLine="0"/>
              <w:jc w:val="left"/>
              <w:textAlignment w:val="baseline"/>
              <w:rPr>
                <w:rFonts w:ascii="Times New Roman" w:hAnsi="Times New Roman" w:eastAsia="Times New Roman"/>
                <w:color w:val="000000"/>
                <w:spacing w:val="-2"/>
                <w:w w:val="100"/>
                <w:sz w:val="20"/>
                <w:vertAlign w:val="baseline"/>
                <w:lang w:val="en-US"/>
              </w:rPr>
            </w:pPr>
            <w:r>
              <w:rPr>
                <w:rFonts w:ascii="Times New Roman" w:hAnsi="Times New Roman" w:eastAsia="Times New Roman"/>
                <w:color w:val="000000"/>
                <w:spacing w:val="-2"/>
                <w:w w:val="100"/>
                <w:sz w:val="20"/>
                <w:vertAlign w:val="baseline"/>
                <w:lang w:val="en-US"/>
              </w:rPr>
              <w:t xml:space="preserve">Dangerous goods Packing</w:t>
            </w:r>
          </w:p>
        </w:tc>
        <w:tc>
          <w:tcPr>
            <w:tcW w:w="3393" w:type="dxa"/>
            <w:tcBorders>
              <w:top w:val="none"/>
              <w:left w:val="none"/>
              <w:bottom w:val="none"/>
              <w:right w:val="none"/>
            </w:tcBorders>
            <w:textDirection w:val="lrTb"/>
            <w:vAlign w:val="top"/>
          </w:tcPr>
          <w:p>
            <w:pPr>
              <w:spacing w:before="76" w:after="227" w:line="229" w:lineRule="exact"/>
              <w:ind w:right="0" w:left="11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 kg or L</w:t>
            </w:r>
          </w:p>
        </w:tc>
      </w:tr>
      <w:tr>
        <w:trPr>
          <w:trHeight w:val="298" w:hRule="exact"/>
        </w:trPr>
        <w:tc>
          <w:tcPr>
            <w:tcW w:w="2481"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c>
          <w:tcPr>
            <w:tcW w:w="1709" w:type="dxa"/>
            <w:tcBorders>
              <w:top w:val="none"/>
              <w:left w:val="none"/>
              <w:bottom w:val="none"/>
              <w:right w:val="none"/>
            </w:tcBorders>
            <w:textDirection w:val="lrTb"/>
            <w:vAlign w:val="center"/>
          </w:tcPr>
          <w:p>
            <w:pPr>
              <w:spacing w:before="0" w:after="59" w:line="228" w:lineRule="exact"/>
              <w:ind w:right="0" w:left="331"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Group 1</w:t>
            </w:r>
          </w:p>
        </w:tc>
        <w:tc>
          <w:tcPr>
            <w:tcW w:w="3393" w:type="dxa"/>
            <w:tcBorders>
              <w:top w:val="none"/>
              <w:left w:val="none"/>
              <w:bottom w:val="none"/>
              <w:right w:val="none"/>
            </w:tcBorders>
            <w:textDirection w:val="lrTb"/>
            <w:vAlign w:val="top"/>
          </w:tcPr>
          <w:p>
            <w:pPr>
              <w:spacing w:before="0" w:after="0" w:line="240" w:lineRule="auto"/>
              <w:ind w:right="0" w:left="0" w:firstLine="0"/>
              <w:jc w:val="left"/>
              <w:textAlignment w:val="baseline"/>
              <w:rPr>
                <w:rFonts w:ascii="Times New Roman" w:hAnsi="Times New Roman" w:eastAsia="Times New Roman"/>
                <w:color w:val="000000"/>
                <w:w w:val="100"/>
                <w:sz w:val="24"/>
                <w:vertAlign w:val="baseline"/>
                <w:lang w:val="en-US"/>
              </w:rPr>
            </w:pPr>
            <w:r>
              <w:rPr>
                <w:rFonts w:ascii="Times New Roman" w:hAnsi="Times New Roman" w:eastAsia="Times New Roman"/>
                <w:color w:val="000000"/>
                <w:w w:val="100"/>
                <w:sz w:val="24"/>
                <w:vertAlign w:val="baseline"/>
                <w:lang w:val="en-US"/>
              </w:rPr>
              <w:t xml:space="preserve">
</w:t>
            </w:r>
          </w:p>
        </w:tc>
      </w:tr>
      <w:tr>
        <w:trPr>
          <w:trHeight w:val="561" w:hRule="exact"/>
        </w:trPr>
        <w:tc>
          <w:tcPr>
            <w:tcW w:w="2481" w:type="dxa"/>
            <w:tcBorders>
              <w:top w:val="none"/>
              <w:left w:val="none"/>
              <w:bottom w:val="none"/>
              <w:right w:val="none"/>
            </w:tcBorders>
            <w:textDirection w:val="lrTb"/>
            <w:vAlign w:val="top"/>
          </w:tcPr>
          <w:p>
            <w:pPr>
              <w:spacing w:before="56" w:after="266" w:line="229" w:lineRule="exact"/>
              <w:ind w:right="0" w:left="195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8</w:t>
            </w:r>
          </w:p>
        </w:tc>
        <w:tc>
          <w:tcPr>
            <w:tcW w:w="1709" w:type="dxa"/>
            <w:tcBorders>
              <w:top w:val="none"/>
              <w:left w:val="none"/>
              <w:bottom w:val="none"/>
              <w:right w:val="none"/>
            </w:tcBorders>
            <w:textDirection w:val="lrTb"/>
            <w:vAlign w:val="top"/>
          </w:tcPr>
          <w:p>
            <w:pPr>
              <w:spacing w:before="50" w:after="41" w:line="230" w:lineRule="exact"/>
              <w:ind w:right="0" w:left="32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C1 combustible liquids</w:t>
            </w:r>
          </w:p>
        </w:tc>
        <w:tc>
          <w:tcPr>
            <w:tcW w:w="3393" w:type="dxa"/>
            <w:tcBorders>
              <w:top w:val="none"/>
              <w:left w:val="none"/>
              <w:bottom w:val="none"/>
              <w:right w:val="none"/>
            </w:tcBorders>
            <w:textDirection w:val="lrTb"/>
            <w:vAlign w:val="top"/>
          </w:tcPr>
          <w:p>
            <w:pPr>
              <w:spacing w:before="56" w:after="266" w:line="229" w:lineRule="exact"/>
              <w:ind w:right="0" w:left="11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1000 L</w:t>
            </w:r>
          </w:p>
        </w:tc>
      </w:tr>
      <w:tr>
        <w:trPr>
          <w:trHeight w:val="581" w:hRule="exact"/>
        </w:trPr>
        <w:tc>
          <w:tcPr>
            <w:tcW w:w="2481" w:type="dxa"/>
            <w:tcBorders>
              <w:top w:val="none"/>
              <w:left w:val="none"/>
              <w:bottom w:val="none"/>
              <w:right w:val="none"/>
            </w:tcBorders>
            <w:textDirection w:val="lrTb"/>
            <w:vAlign w:val="top"/>
          </w:tcPr>
          <w:p>
            <w:pPr>
              <w:spacing w:before="71" w:after="280" w:line="229" w:lineRule="exact"/>
              <w:ind w:right="0" w:left="195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9</w:t>
            </w:r>
          </w:p>
        </w:tc>
        <w:tc>
          <w:tcPr>
            <w:tcW w:w="1709" w:type="dxa"/>
            <w:tcBorders>
              <w:top w:val="none"/>
              <w:left w:val="none"/>
              <w:bottom w:val="none"/>
              <w:right w:val="none"/>
            </w:tcBorders>
            <w:textDirection w:val="lrTb"/>
            <w:vAlign w:val="top"/>
          </w:tcPr>
          <w:p>
            <w:pPr>
              <w:spacing w:before="60" w:after="50" w:line="235" w:lineRule="exact"/>
              <w:ind w:right="108" w:left="32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Dangerous goods Class 2.3</w:t>
            </w:r>
          </w:p>
        </w:tc>
        <w:tc>
          <w:tcPr>
            <w:tcW w:w="3393" w:type="dxa"/>
            <w:tcBorders>
              <w:top w:val="none"/>
              <w:left w:val="none"/>
              <w:bottom w:val="none"/>
              <w:right w:val="none"/>
            </w:tcBorders>
            <w:textDirection w:val="lrTb"/>
            <w:vAlign w:val="top"/>
          </w:tcPr>
          <w:p>
            <w:pPr>
              <w:spacing w:before="71" w:after="280" w:line="229" w:lineRule="exact"/>
              <w:ind w:right="0" w:left="11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Nil kg or L</w:t>
            </w:r>
          </w:p>
        </w:tc>
      </w:tr>
      <w:tr>
        <w:trPr>
          <w:trHeight w:val="1041" w:hRule="exact"/>
        </w:trPr>
        <w:tc>
          <w:tcPr>
            <w:tcW w:w="2481" w:type="dxa"/>
            <w:tcBorders>
              <w:top w:val="none"/>
              <w:left w:val="none"/>
              <w:bottom w:val="single" w:sz="4" w:color="000000"/>
              <w:right w:val="none"/>
            </w:tcBorders>
            <w:textDirection w:val="lrTb"/>
            <w:vAlign w:val="top"/>
          </w:tcPr>
          <w:p>
            <w:pPr>
              <w:spacing w:before="71" w:after="736" w:line="229" w:lineRule="exact"/>
              <w:ind w:right="0" w:left="1957"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w:t>
            </w:r>
          </w:p>
        </w:tc>
        <w:tc>
          <w:tcPr>
            <w:tcW w:w="1709" w:type="dxa"/>
            <w:tcBorders>
              <w:top w:val="none"/>
              <w:left w:val="none"/>
              <w:bottom w:val="single" w:sz="4" w:color="000000"/>
              <w:right w:val="none"/>
            </w:tcBorders>
            <w:textDirection w:val="lrTb"/>
            <w:vAlign w:val="top"/>
          </w:tcPr>
          <w:p>
            <w:pPr>
              <w:spacing w:before="63" w:after="45" w:line="232" w:lineRule="exact"/>
              <w:ind w:right="180" w:left="324" w:firstLine="0"/>
              <w:jc w:val="left"/>
              <w:textAlignment w:val="baseline"/>
              <w:rPr>
                <w:rFonts w:ascii="Times New Roman" w:hAnsi="Times New Roman" w:eastAsia="Times New Roman"/>
                <w:color w:val="000000"/>
                <w:spacing w:val="-2"/>
                <w:w w:val="100"/>
                <w:sz w:val="20"/>
                <w:vertAlign w:val="baseline"/>
                <w:lang w:val="en-US"/>
              </w:rPr>
            </w:pPr>
            <w:r>
              <w:rPr>
                <w:rFonts w:ascii="Times New Roman" w:hAnsi="Times New Roman" w:eastAsia="Times New Roman"/>
                <w:color w:val="000000"/>
                <w:spacing w:val="-2"/>
                <w:w w:val="100"/>
                <w:sz w:val="20"/>
                <w:vertAlign w:val="baseline"/>
                <w:lang w:val="en-US"/>
              </w:rPr>
              <w:t xml:space="preserve">Any dangerous goods other than those stated above</w:t>
            </w:r>
          </w:p>
        </w:tc>
        <w:tc>
          <w:tcPr>
            <w:tcW w:w="3393" w:type="dxa"/>
            <w:tcBorders>
              <w:top w:val="none"/>
              <w:left w:val="none"/>
              <w:bottom w:val="single" w:sz="4" w:color="000000"/>
              <w:right w:val="none"/>
            </w:tcBorders>
            <w:textDirection w:val="lrTb"/>
            <w:vAlign w:val="top"/>
          </w:tcPr>
          <w:p>
            <w:pPr>
              <w:spacing w:before="71" w:after="736" w:line="229" w:lineRule="exact"/>
              <w:ind w:right="0" w:left="115"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100 kg or L</w:t>
            </w:r>
          </w:p>
        </w:tc>
      </w:tr>
    </w:tbl>
    <w:p>
      <w:pPr>
        <w:spacing w:before="0" w:after="52" w:line="20" w:lineRule="exact"/>
      </w:pPr>
    </w:p>
    <w:p>
      <w:pPr>
        <w:tabs>
          <w:tab w:val="left" w:leader="none" w:pos="2160"/>
        </w:tabs>
        <w:spacing w:before="4" w:after="0" w:line="230" w:lineRule="exact"/>
        <w:ind w:right="360" w:left="2088" w:hanging="194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328(2)	</w:t>
      </w:r>
      <w:r>
        <w:rPr>
          <w:rFonts w:ascii="Times New Roman" w:hAnsi="Times New Roman" w:eastAsia="Times New Roman"/>
          <w:color w:val="000000"/>
          <w:spacing w:val="0"/>
          <w:w w:val="100"/>
          <w:sz w:val="20"/>
          <w:vertAlign w:val="baseline"/>
          <w:lang w:val="en-US"/>
        </w:rPr>
        <w:t xml:space="preserve">Jurisdictions will insert a reference to local legislation that regulates safety in relation to pipelines and removes the need to rely on Part 7.1 to that extent.</w:t>
      </w:r>
    </w:p>
    <w:p>
      <w:pPr>
        <w:tabs>
          <w:tab w:val="left" w:leader="none" w:pos="2160"/>
        </w:tabs>
        <w:spacing w:before="126" w:after="0" w:line="229"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328(3)	</w:t>
      </w:r>
      <w:r>
        <w:rPr>
          <w:rFonts w:ascii="Times New Roman" w:hAnsi="Times New Roman" w:eastAsia="Times New Roman"/>
          <w:color w:val="000000"/>
          <w:spacing w:val="0"/>
          <w:w w:val="100"/>
          <w:sz w:val="20"/>
          <w:vertAlign w:val="baseline"/>
          <w:lang w:val="en-US"/>
        </w:rPr>
        <w:t xml:space="preserve">Some jurisdictions will insert a relevant law here.</w:t>
      </w:r>
    </w:p>
    <w:p>
      <w:pPr>
        <w:tabs>
          <w:tab w:val="left" w:leader="none" w:pos="2160"/>
        </w:tabs>
        <w:spacing w:before="116" w:after="2503" w:line="230" w:lineRule="exact"/>
        <w:ind w:right="360" w:left="2088" w:hanging="1944"/>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5.45pt,728.15pt" to="500.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328(5)	</w:t>
      </w:r>
      <w:r>
        <w:rPr>
          <w:rFonts w:ascii="Times New Roman" w:hAnsi="Times New Roman" w:eastAsia="Times New Roman"/>
          <w:color w:val="000000"/>
          <w:spacing w:val="0"/>
          <w:w w:val="100"/>
          <w:sz w:val="20"/>
          <w:vertAlign w:val="baseline"/>
          <w:lang w:val="en-US"/>
        </w:rPr>
        <w:t xml:space="preserve">Jurisdictions may insert a Note at the end of this subregulation explaining the interaction between Chapter 7 of these Regulations and local dangerous goods legislation relating to explosives.</w:t>
      </w:r>
    </w:p>
    <w:p>
      <w:pPr>
        <w:spacing w:before="116" w:after="2503" w:line="230" w:lineRule="exact"/>
        <w:sectPr>
          <w:type w:val="nextPage"/>
          <w:pgSz w:w="11909" w:h="16838" w:orient="portrait"/>
          <w:pgMar w:bottom="1082" w:top="1140" w:right="1900" w:left="190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505</w:t>
      </w:r>
    </w:p>
    <w:p>
      <w:pPr>
        <w:sectPr>
          <w:type w:val="continuous"/>
          <w:pgSz w:w="11909" w:h="16838" w:orient="portrait"/>
          <w:pgMar w:bottom="1082" w:top="1140" w:right="5811" w:left="1978" w:header="720" w:footer="720"/>
          <w:titlePg w:val="false"/>
          <w:textDirection w:val="lrTb"/>
        </w:sectPr>
      </w:pPr>
    </w:p>
    <w:p>
      <w:pPr>
        <w:spacing w:before="0" w:after="225" w:line="347"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</w:t>
        <w:br/>
      </w:r>
      <w:r>
        <w:rPr>
          <w:rFonts w:ascii="Times New Roman" w:hAnsi="Times New Roman" w:eastAsia="Times New Roman"/>
          <w:color w:val="000000"/>
          <w:spacing w:val="0"/>
          <w:w w:val="100"/>
          <w:sz w:val="20"/>
          <w:vertAlign w:val="baseline"/>
          <w:lang w:val="en-US"/>
        </w:rPr>
        <w:t xml:space="preserve">APPENDIX Jurisdictional Notes</w:t>
      </w:r>
    </w:p>
    <w:p>
      <w:pPr>
        <w:tabs>
          <w:tab w:val="left" w:leader="none" w:pos="2160"/>
        </w:tabs>
        <w:spacing w:before="327" w:after="35" w:line="230" w:lineRule="exact"/>
        <w:ind w:right="0" w:left="144"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5.45pt,103.9pt" to="500.5pt,103.9pt" style="position:absolute;mso-position-horizontal-relative:page;mso-position-vertical-relative:page;">
            <v:stroke dashstyle="solid"/>
          </v:line>
        </w:pict>
      </w:r>
      <w:r>
        <w:pict>
          <v:line strokeweight="0.5pt" strokecolor="#000000" from="99.35pt,115.9pt" to="496.6pt,115.9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Regulation	</w:t>
      </w:r>
      <w:r>
        <w:rPr>
          <w:rFonts w:ascii="Times New Roman" w:hAnsi="Times New Roman" w:eastAsia="Times New Roman"/>
          <w:b w:val="true"/>
          <w:color w:val="000000"/>
          <w:spacing w:val="0"/>
          <w:w w:val="100"/>
          <w:sz w:val="20"/>
          <w:vertAlign w:val="baseline"/>
          <w:lang w:val="en-US"/>
        </w:rPr>
        <w:t xml:space="preserve">Jurisdictional Note</w:t>
      </w:r>
    </w:p>
    <w:p>
      <w:pPr>
        <w:tabs>
          <w:tab w:val="left" w:leader="none" w:pos="2160"/>
        </w:tabs>
        <w:spacing w:before="71" w:after="0" w:line="230" w:lineRule="exact"/>
        <w:ind w:right="288" w:left="2448" w:hanging="2304"/>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9.35pt,133.9pt" to="496.6pt,133.9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348	</w:t>
      </w:r>
      <w:r>
        <w:rPr>
          <w:rFonts w:ascii="Times New Roman" w:hAnsi="Times New Roman" w:eastAsia="Times New Roman"/>
          <w:color w:val="000000"/>
          <w:spacing w:val="0"/>
          <w:w w:val="100"/>
          <w:sz w:val="20"/>
          <w:vertAlign w:val="baseline"/>
          <w:lang w:val="en-US"/>
        </w:rPr>
        <w:t xml:space="preserve">1 Jurisdictions may insert a new provision imposing a relevant fee to be paid to the regulator for administration in relation to notifications under this regulation. A provision of this kind may include requirements as to the structure of the relevant fee and the timing of its payment.</w:t>
      </w:r>
    </w:p>
    <w:p>
      <w:pPr>
        <w:tabs>
          <w:tab w:val="left" w:leader="none" w:pos="2520"/>
        </w:tabs>
        <w:spacing w:before="67" w:after="0" w:line="228" w:lineRule="exact"/>
        <w:ind w:right="360" w:left="2448" w:hanging="36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Jurisdictions that impose such a fee will also provide appropriate remedies for non-payment (for example, enforcement of a civil debt due to the regulator). This may require amendment to other provisions.</w:t>
      </w:r>
    </w:p>
    <w:p>
      <w:pPr>
        <w:tabs>
          <w:tab w:val="left" w:leader="none" w:pos="2160"/>
        </w:tabs>
        <w:spacing w:before="124" w:after="0" w:line="227"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354(4)	</w:t>
      </w:r>
      <w:r>
        <w:rPr>
          <w:rFonts w:ascii="Times New Roman" w:hAnsi="Times New Roman" w:eastAsia="Times New Roman"/>
          <w:color w:val="000000"/>
          <w:spacing w:val="0"/>
          <w:w w:val="100"/>
          <w:sz w:val="20"/>
          <w:vertAlign w:val="baseline"/>
          <w:lang w:val="en-US"/>
        </w:rPr>
        <w:t xml:space="preserve">A jurisdiction will insert the relevant enactment that regulates the use</w:t>
      </w:r>
    </w:p>
    <w:p>
      <w:pPr>
        <w:spacing w:before="3" w:after="0" w:line="227" w:lineRule="exact"/>
        <w:ind w:right="0" w:left="208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of hazardous chemicals for agricultural purposes.</w:t>
      </w:r>
    </w:p>
    <w:p>
      <w:pPr>
        <w:tabs>
          <w:tab w:val="left" w:leader="none" w:pos="2160"/>
        </w:tabs>
        <w:spacing w:before="121" w:after="0" w:line="230" w:lineRule="exact"/>
        <w:ind w:right="360" w:left="2088" w:hanging="1944"/>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Part 7.1, Division 9	</w:t>
      </w:r>
      <w:r>
        <w:rPr>
          <w:rFonts w:ascii="Times New Roman" w:hAnsi="Times New Roman" w:eastAsia="Times New Roman"/>
          <w:color w:val="000000"/>
          <w:spacing w:val="0"/>
          <w:w w:val="100"/>
          <w:sz w:val="20"/>
          <w:vertAlign w:val="baseline"/>
          <w:lang w:val="en-US"/>
        </w:rPr>
        <w:t xml:space="preserve">A jurisdiction may omit this Division if it is covered by other laws of that jurisdiction.</w:t>
      </w:r>
    </w:p>
    <w:p>
      <w:pPr>
        <w:tabs>
          <w:tab w:val="left" w:leader="none" w:pos="2160"/>
        </w:tabs>
        <w:spacing w:before="109" w:after="0" w:line="236" w:lineRule="exact"/>
        <w:ind w:right="1080" w:left="2088" w:hanging="194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419(3)(e)	</w:t>
      </w:r>
      <w:r>
        <w:rPr>
          <w:rFonts w:ascii="Times New Roman" w:hAnsi="Times New Roman" w:eastAsia="Times New Roman"/>
          <w:color w:val="000000"/>
          <w:spacing w:val="0"/>
          <w:w w:val="100"/>
          <w:sz w:val="20"/>
          <w:vertAlign w:val="baseline"/>
          <w:lang w:val="en-US"/>
        </w:rPr>
        <w:t xml:space="preserve">Each jurisdiction may specify the relevant legislation for that jurisdiction.</w:t>
      </w:r>
    </w:p>
    <w:p>
      <w:pPr>
        <w:tabs>
          <w:tab w:val="left" w:leader="none" w:pos="2160"/>
        </w:tabs>
        <w:spacing w:before="112" w:after="0" w:line="233" w:lineRule="exact"/>
        <w:ind w:right="216" w:left="2448" w:hanging="230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472, 484	</w:t>
      </w:r>
      <w:r>
        <w:rPr>
          <w:rFonts w:ascii="Times New Roman" w:hAnsi="Times New Roman" w:eastAsia="Times New Roman"/>
          <w:color w:val="000000"/>
          <w:spacing w:val="0"/>
          <w:w w:val="100"/>
          <w:sz w:val="20"/>
          <w:vertAlign w:val="baseline"/>
          <w:lang w:val="en-US"/>
        </w:rPr>
        <w:t xml:space="preserve">1 Each jurisdiction will be responsible for regulating sites authorised to accept asbestos waste. The Commonwealth may rely on the regulation of sites by the States.</w:t>
      </w:r>
    </w:p>
    <w:p>
      <w:pPr>
        <w:tabs>
          <w:tab w:val="left" w:leader="none" w:pos="2520"/>
        </w:tabs>
        <w:spacing w:before="59" w:after="0" w:line="230" w:lineRule="exact"/>
        <w:ind w:right="648" w:left="2448" w:hanging="36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Each jurisdiction will be responsible for regulating laundries authorised to launder asbestos contaminated clothing. The Commonwealth may rely on the regulation of laundries by the States.</w:t>
      </w:r>
    </w:p>
    <w:p>
      <w:pPr>
        <w:tabs>
          <w:tab w:val="left" w:leader="none" w:pos="2160"/>
        </w:tabs>
        <w:spacing w:before="123" w:after="0" w:line="227"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492(2)(h), 500(b)	</w:t>
      </w:r>
      <w:r>
        <w:rPr>
          <w:rFonts w:ascii="Times New Roman" w:hAnsi="Times New Roman" w:eastAsia="Times New Roman"/>
          <w:color w:val="000000"/>
          <w:spacing w:val="0"/>
          <w:w w:val="100"/>
          <w:sz w:val="20"/>
          <w:vertAlign w:val="baseline"/>
          <w:lang w:val="en-US"/>
        </w:rPr>
        <w:t xml:space="preserve">A jurisdiction may insert its relevant environment protection law.</w:t>
      </w:r>
    </w:p>
    <w:p>
      <w:pPr>
        <w:tabs>
          <w:tab w:val="left" w:leader="none" w:pos="2160"/>
          <w:tab w:val="left" w:leader="none" w:pos="2592"/>
        </w:tabs>
        <w:spacing w:before="119" w:after="0" w:line="227"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530(1)	</w:t>
      </w: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Jurisdictions other than the Commonwealth will include this</w:t>
      </w:r>
    </w:p>
    <w:p>
      <w:pPr>
        <w:spacing w:before="3" w:after="0" w:line="227" w:lineRule="exact"/>
        <w:ind w:right="0" w:left="259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provision.</w:t>
      </w:r>
    </w:p>
    <w:p>
      <w:pPr>
        <w:tabs>
          <w:tab w:val="left" w:leader="none" w:pos="2592"/>
        </w:tabs>
        <w:spacing w:before="62" w:after="0" w:line="231" w:lineRule="exact"/>
        <w:ind w:right="792" w:left="2592" w:hanging="50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Jurisdictions will refer to local legislation under which the national offshore petroleum safety scheme applies.</w:t>
      </w:r>
    </w:p>
    <w:p>
      <w:pPr>
        <w:tabs>
          <w:tab w:val="left" w:leader="none" w:pos="2160"/>
        </w:tabs>
        <w:spacing w:before="116" w:after="0" w:line="230" w:lineRule="exact"/>
        <w:ind w:right="288" w:left="2088" w:hanging="194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530(2)	</w:t>
      </w:r>
      <w:r>
        <w:rPr>
          <w:rFonts w:ascii="Times New Roman" w:hAnsi="Times New Roman" w:eastAsia="Times New Roman"/>
          <w:color w:val="000000"/>
          <w:spacing w:val="0"/>
          <w:w w:val="100"/>
          <w:sz w:val="20"/>
          <w:vertAlign w:val="baseline"/>
          <w:lang w:val="en-US"/>
        </w:rPr>
        <w:t xml:space="preserve">Jurisdictions will complete this subregulation with information that clearly identifies facilities the safe operation of which is regulated under legislation relating to mining, port operations and pipelines. The information is to include the names of the relevant local Acts.</w:t>
      </w:r>
    </w:p>
    <w:p>
      <w:pPr>
        <w:spacing w:before="71" w:after="0" w:line="288" w:lineRule="exact"/>
        <w:ind w:right="0" w:left="2088" w:firstLine="0"/>
        <w:jc w:val="left"/>
        <w:textAlignment w:val="baseline"/>
        <w:rPr>
          <w:rFonts w:ascii="Times New Roman" w:hAnsi="Times New Roman" w:eastAsia="Times New Roman"/>
          <w:i w:val="true"/>
          <w:color w:val="000000"/>
          <w:spacing w:val="0"/>
          <w:w w:val="100"/>
          <w:sz w:val="20"/>
          <w:vertAlign w:val="baseline"/>
          <w:lang w:val="en-US"/>
        </w:rPr>
      </w:pPr>
      <w:r>
        <w:rPr>
          <w:rFonts w:ascii="Times New Roman" w:hAnsi="Times New Roman" w:eastAsia="Times New Roman"/>
          <w:i w:val="true"/>
          <w:color w:val="000000"/>
          <w:spacing w:val="0"/>
          <w:w w:val="100"/>
          <w:sz w:val="20"/>
          <w:vertAlign w:val="baseline"/>
          <w:lang w:val="en-US"/>
        </w:rPr>
        <w:t xml:space="preserve">For example:</w:t>
        <w:br/>
      </w:r>
      <w:r>
        <w:rPr>
          <w:rFonts w:ascii="Times New Roman" w:hAnsi="Times New Roman" w:eastAsia="Times New Roman"/>
          <w:b w:val="true"/>
          <w:color w:val="000000"/>
          <w:spacing w:val="0"/>
          <w:w w:val="100"/>
          <w:sz w:val="20"/>
          <w:vertAlign w:val="baseline"/>
          <w:lang w:val="en-US"/>
        </w:rPr>
        <w:t xml:space="preserve">New South Wales</w:t>
      </w:r>
    </w:p>
    <w:p>
      <w:pPr>
        <w:tabs>
          <w:tab w:val="left" w:leader="none" w:pos="2520"/>
        </w:tabs>
        <w:spacing w:before="0" w:after="0" w:line="288" w:lineRule="exact"/>
        <w:ind w:right="792" w:left="2448" w:hanging="36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A port operational area under the control of a port authority. Note:</w:t>
      </w:r>
    </w:p>
    <w:p>
      <w:pPr>
        <w:spacing w:before="60" w:after="0" w:line="231" w:lineRule="exact"/>
        <w:ind w:right="432" w:left="2736" w:hanging="288"/>
        <w:jc w:val="left"/>
        <w:textAlignment w:val="baseline"/>
        <w:rPr>
          <w:rFonts w:ascii="Times New Roman" w:hAnsi="Times New Roman" w:eastAsia="Times New Roman"/>
          <w:b w:val="true"/>
          <w:i w:val="true"/>
          <w:color w:val="000000"/>
          <w:spacing w:val="0"/>
          <w:w w:val="100"/>
          <w:sz w:val="21"/>
          <w:vertAlign w:val="baseline"/>
          <w:lang w:val="en-US"/>
        </w:rPr>
      </w:pPr>
      <w:r>
        <w:rPr>
          <w:rFonts w:ascii="Times New Roman" w:hAnsi="Times New Roman" w:eastAsia="Times New Roman"/>
          <w:b w:val="true"/>
          <w:i w:val="true"/>
          <w:color w:val="000000"/>
          <w:spacing w:val="0"/>
          <w:w w:val="100"/>
          <w:sz w:val="21"/>
          <w:vertAlign w:val="baseline"/>
          <w:lang w:val="en-US"/>
        </w:rPr>
        <w:t xml:space="preserve">port authority </w:t>
      </w:r>
      <w:r>
        <w:rPr>
          <w:rFonts w:ascii="Times New Roman" w:hAnsi="Times New Roman" w:eastAsia="Times New Roman"/>
          <w:color w:val="000000"/>
          <w:spacing w:val="0"/>
          <w:w w:val="100"/>
          <w:sz w:val="20"/>
          <w:vertAlign w:val="baseline"/>
          <w:lang w:val="en-US"/>
        </w:rPr>
        <w:t xml:space="preserve">means a body established under Part 2 or 4 of the </w:t>
      </w:r>
      <w:r>
        <w:rPr>
          <w:rFonts w:ascii="Times New Roman" w:hAnsi="Times New Roman" w:eastAsia="Times New Roman"/>
          <w:b w:val="true"/>
          <w:color w:val="000000"/>
          <w:spacing w:val="0"/>
          <w:w w:val="100"/>
          <w:sz w:val="20"/>
          <w:vertAlign w:val="baseline"/>
          <w:lang w:val="en-US"/>
        </w:rPr>
        <w:t xml:space="preserve">Ports and Maritime Administration Act 1995</w:t>
      </w:r>
      <w:r>
        <w:rPr>
          <w:rFonts w:ascii="Times New Roman" w:hAnsi="Times New Roman" w:eastAsia="Times New Roman"/>
          <w:color w:val="000000"/>
          <w:spacing w:val="0"/>
          <w:w w:val="100"/>
          <w:sz w:val="20"/>
          <w:vertAlign w:val="baseline"/>
          <w:lang w:val="en-US"/>
        </w:rPr>
        <w:t xml:space="preserve">.</w:t>
      </w:r>
    </w:p>
    <w:p>
      <w:pPr>
        <w:spacing w:before="56" w:after="1535" w:line="230" w:lineRule="exact"/>
        <w:ind w:right="288" w:left="2736" w:hanging="288"/>
        <w:jc w:val="left"/>
        <w:textAlignment w:val="baseline"/>
        <w:rPr>
          <w:rFonts w:ascii="Times New Roman" w:hAnsi="Times New Roman" w:eastAsia="Times New Roman"/>
          <w:b w:val="true"/>
          <w:i w:val="true"/>
          <w:color w:val="000000"/>
          <w:spacing w:val="0"/>
          <w:w w:val="100"/>
          <w:sz w:val="21"/>
          <w:vertAlign w:val="baseline"/>
          <w:lang w:val="en-US"/>
        </w:rPr>
      </w:pPr>
      <w:r>
        <w:pict>
          <v:line strokeweight="0.5pt" strokecolor="#000000" from="95.45pt,728.15pt" to="500.5pt,728.15pt" style="position:absolute;mso-position-horizontal-relative:page;mso-position-vertical-relative:page;">
            <v:stroke dashstyle="solid"/>
          </v:line>
        </w:pict>
      </w:r>
      <w:r>
        <w:rPr>
          <w:rFonts w:ascii="Times New Roman" w:hAnsi="Times New Roman" w:eastAsia="Times New Roman"/>
          <w:b w:val="true"/>
          <w:i w:val="true"/>
          <w:color w:val="000000"/>
          <w:spacing w:val="0"/>
          <w:w w:val="100"/>
          <w:sz w:val="21"/>
          <w:vertAlign w:val="baseline"/>
          <w:lang w:val="en-US"/>
        </w:rPr>
        <w:t xml:space="preserve">port operational area </w:t>
      </w:r>
      <w:r>
        <w:rPr>
          <w:rFonts w:ascii="Times New Roman" w:hAnsi="Times New Roman" w:eastAsia="Times New Roman"/>
          <w:color w:val="000000"/>
          <w:spacing w:val="0"/>
          <w:w w:val="100"/>
          <w:sz w:val="20"/>
          <w:vertAlign w:val="baseline"/>
          <w:lang w:val="en-US"/>
        </w:rPr>
        <w:t xml:space="preserve">means the land and sea, including the fixed facilities and vessels, located in any area defined in Schedule 1 to the Ports and Maritime Administration Regulation 2007 and includes any berths</w:t>
      </w:r>
    </w:p>
    <w:p>
      <w:pPr>
        <w:spacing w:before="56" w:after="1535" w:line="230" w:lineRule="exact"/>
        <w:sectPr>
          <w:type w:val="nextPage"/>
          <w:pgSz w:w="11909" w:h="16838" w:orient="portrait"/>
          <w:pgMar w:bottom="1082" w:top="1140" w:right="1900" w:left="1909" w:header="720" w:footer="720"/>
          <w:titlePg w:val="false"/>
          <w:textDirection w:val="lrTb"/>
        </w:sectPr>
      </w:pPr>
    </w:p>
    <w:p>
      <w:pPr>
        <w:tabs>
          <w:tab w:val="right" w:leader="none" w:pos="4176"/>
        </w:tabs>
        <w:spacing w:before="0"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506</w:t>
      </w:r>
    </w:p>
    <w:p>
      <w:pPr>
        <w:sectPr>
          <w:type w:val="continuous"/>
          <w:pgSz w:w="11909" w:h="16838" w:orient="portrait"/>
          <w:pgMar w:bottom="1082" w:top="1140" w:right="5812" w:left="1977" w:header="720" w:footer="720"/>
          <w:titlePg w:val="false"/>
          <w:textDirection w:val="lrTb"/>
        </w:sectPr>
      </w:pPr>
    </w:p>
    <w:p>
      <w:pPr>
        <w:spacing w:before="0" w:after="225" w:line="347"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</w:t>
        <w:br/>
      </w:r>
      <w:r>
        <w:rPr>
          <w:rFonts w:ascii="Times New Roman" w:hAnsi="Times New Roman" w:eastAsia="Times New Roman"/>
          <w:color w:val="000000"/>
          <w:spacing w:val="0"/>
          <w:w w:val="100"/>
          <w:sz w:val="20"/>
          <w:vertAlign w:val="baseline"/>
          <w:lang w:val="en-US"/>
        </w:rPr>
        <w:t xml:space="preserve">APPENDIX Jurisdictional Notes</w:t>
      </w:r>
    </w:p>
    <w:p>
      <w:pPr>
        <w:tabs>
          <w:tab w:val="left" w:leader="none" w:pos="2160"/>
        </w:tabs>
        <w:spacing w:before="322" w:after="38" w:line="232" w:lineRule="exact"/>
        <w:ind w:right="0" w:left="144"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5.45pt,103.9pt" to="500.5pt,103.9pt" style="position:absolute;mso-position-horizontal-relative:page;mso-position-vertical-relative:page;">
            <v:stroke dashstyle="solid"/>
          </v:line>
        </w:pict>
      </w:r>
      <w:r>
        <w:pict>
          <v:line strokeweight="0.5pt" strokecolor="#000000" from="99.35pt,115.9pt" to="496.6pt,115.9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Regulation	</w:t>
      </w:r>
      <w:r>
        <w:rPr>
          <w:rFonts w:ascii="Times New Roman" w:hAnsi="Times New Roman" w:eastAsia="Times New Roman"/>
          <w:b w:val="true"/>
          <w:color w:val="000000"/>
          <w:spacing w:val="0"/>
          <w:w w:val="100"/>
          <w:sz w:val="20"/>
          <w:vertAlign w:val="baseline"/>
          <w:lang w:val="en-US"/>
        </w:rPr>
        <w:t xml:space="preserve">Jurisdictional Note</w:t>
      </w:r>
    </w:p>
    <w:p>
      <w:pPr>
        <w:spacing w:before="13" w:after="0" w:line="230" w:lineRule="exact"/>
        <w:ind w:right="216" w:left="2736" w:firstLine="0"/>
        <w:jc w:val="left"/>
        <w:textAlignment w:val="baseline"/>
        <w:rPr>
          <w:rFonts w:ascii="Times New Roman" w:hAnsi="Times New Roman" w:eastAsia="Times New Roman"/>
          <w:color w:val="000000"/>
          <w:spacing w:val="1"/>
          <w:w w:val="100"/>
          <w:sz w:val="20"/>
          <w:vertAlign w:val="baseline"/>
          <w:lang w:val="en-US"/>
        </w:rPr>
      </w:pPr>
      <w:r>
        <w:pict>
          <v:line strokeweight="0.5pt" strokecolor="#000000" from="99.35pt,133.9pt" to="496.6pt,133.9pt" style="position:absolute;mso-position-horizontal-relative:page;mso-position-vertical-relative:page;">
            <v:stroke dashstyle="solid"/>
          </v:line>
        </w:pict>
      </w:r>
      <w:r>
        <w:rPr>
          <w:rFonts w:ascii="Times New Roman" w:hAnsi="Times New Roman" w:eastAsia="Times New Roman"/>
          <w:color w:val="000000"/>
          <w:spacing w:val="1"/>
          <w:w w:val="100"/>
          <w:sz w:val="20"/>
          <w:vertAlign w:val="baseline"/>
          <w:lang w:val="en-US"/>
        </w:rPr>
        <w:t xml:space="preserve">adjacent to such an area including container terminals and bulk liquid berths. It does not include any long-term storage areas where dangerous goods are usually kept for more than five days.</w:t>
      </w:r>
    </w:p>
    <w:p>
      <w:pPr>
        <w:tabs>
          <w:tab w:val="left" w:leader="none" w:pos="2520"/>
        </w:tabs>
        <w:spacing w:before="54" w:after="0" w:line="232" w:lineRule="exact"/>
        <w:ind w:right="504" w:left="2448" w:hanging="36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A pipeline to which the </w:t>
      </w:r>
      <w:r>
        <w:rPr>
          <w:rFonts w:ascii="Times New Roman" w:hAnsi="Times New Roman" w:eastAsia="Times New Roman"/>
          <w:b w:val="true"/>
          <w:color w:val="000000"/>
          <w:spacing w:val="0"/>
          <w:w w:val="100"/>
          <w:sz w:val="20"/>
          <w:vertAlign w:val="baseline"/>
          <w:lang w:val="en-US"/>
        </w:rPr>
        <w:t xml:space="preserve">Gas Supply Act 1996</w:t>
      </w:r>
      <w:r>
        <w:rPr>
          <w:rFonts w:ascii="Times New Roman" w:hAnsi="Times New Roman" w:eastAsia="Times New Roman"/>
          <w:color w:val="000000"/>
          <w:spacing w:val="0"/>
          <w:w w:val="100"/>
          <w:sz w:val="20"/>
          <w:vertAlign w:val="baseline"/>
          <w:lang w:val="en-US"/>
        </w:rPr>
        <w:t xml:space="preserve">, </w:t>
      </w:r>
      <w:r>
        <w:rPr>
          <w:rFonts w:ascii="Times New Roman" w:hAnsi="Times New Roman" w:eastAsia="Times New Roman"/>
          <w:b w:val="true"/>
          <w:color w:val="000000"/>
          <w:spacing w:val="0"/>
          <w:w w:val="100"/>
          <w:sz w:val="20"/>
          <w:vertAlign w:val="baseline"/>
          <w:lang w:val="en-US"/>
        </w:rPr>
        <w:t xml:space="preserve">Pipelines Act 1967</w:t>
      </w:r>
      <w:r>
        <w:rPr>
          <w:rFonts w:ascii="Times New Roman" w:hAnsi="Times New Roman" w:eastAsia="Times New Roman"/>
          <w:color w:val="000000"/>
          <w:spacing w:val="0"/>
          <w:w w:val="100"/>
          <w:sz w:val="20"/>
          <w:vertAlign w:val="baseline"/>
          <w:lang w:val="en-US"/>
        </w:rPr>
        <w:t xml:space="preserve">, repealed </w:t>
      </w:r>
      <w:r>
        <w:rPr>
          <w:rFonts w:ascii="Times New Roman" w:hAnsi="Times New Roman" w:eastAsia="Times New Roman"/>
          <w:b w:val="true"/>
          <w:color w:val="000000"/>
          <w:spacing w:val="0"/>
          <w:w w:val="100"/>
          <w:sz w:val="20"/>
          <w:vertAlign w:val="baseline"/>
          <w:lang w:val="en-US"/>
        </w:rPr>
        <w:t xml:space="preserve">Dangerous Goods Act 1975 </w:t>
      </w:r>
      <w:r>
        <w:rPr>
          <w:rFonts w:ascii="Times New Roman" w:hAnsi="Times New Roman" w:eastAsia="Times New Roman"/>
          <w:color w:val="000000"/>
          <w:spacing w:val="0"/>
          <w:w w:val="100"/>
          <w:sz w:val="20"/>
          <w:vertAlign w:val="baseline"/>
          <w:lang w:val="en-US"/>
        </w:rPr>
        <w:t xml:space="preserve">and the Dangerous</w:t>
      </w:r>
    </w:p>
    <w:p>
      <w:pPr>
        <w:spacing w:before="4" w:after="0" w:line="227" w:lineRule="exact"/>
        <w:ind w:right="0" w:left="244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Goods (General) Regulation 1999 apply.</w:t>
      </w:r>
    </w:p>
    <w:p>
      <w:pPr>
        <w:tabs>
          <w:tab w:val="left" w:leader="none" w:pos="2520"/>
        </w:tabs>
        <w:spacing w:before="112" w:after="0" w:line="232" w:lineRule="exact"/>
        <w:ind w:right="432" w:left="2448" w:hanging="36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3	</w:t>
      </w:r>
      <w:r>
        <w:rPr>
          <w:rFonts w:ascii="Times New Roman" w:hAnsi="Times New Roman" w:eastAsia="Times New Roman"/>
          <w:color w:val="000000"/>
          <w:spacing w:val="0"/>
          <w:w w:val="100"/>
          <w:sz w:val="20"/>
          <w:vertAlign w:val="baseline"/>
          <w:lang w:val="en-US"/>
        </w:rPr>
        <w:t xml:space="preserve">A mine that is a coal workplace to which the </w:t>
      </w:r>
      <w:r>
        <w:rPr>
          <w:rFonts w:ascii="Times New Roman" w:hAnsi="Times New Roman" w:eastAsia="Times New Roman"/>
          <w:b w:val="true"/>
          <w:color w:val="000000"/>
          <w:spacing w:val="0"/>
          <w:w w:val="100"/>
          <w:sz w:val="20"/>
          <w:vertAlign w:val="baseline"/>
          <w:lang w:val="en-US"/>
        </w:rPr>
        <w:t xml:space="preserve">Coal Mine Health and Safety Act 2002 </w:t>
      </w:r>
      <w:r>
        <w:rPr>
          <w:rFonts w:ascii="Times New Roman" w:hAnsi="Times New Roman" w:eastAsia="Times New Roman"/>
          <w:color w:val="000000"/>
          <w:spacing w:val="0"/>
          <w:w w:val="100"/>
          <w:sz w:val="20"/>
          <w:vertAlign w:val="baseline"/>
          <w:lang w:val="en-US"/>
        </w:rPr>
        <w:t xml:space="preserve">applies or a mining workplace to which the </w:t>
      </w:r>
      <w:r>
        <w:rPr>
          <w:rFonts w:ascii="Times New Roman" w:hAnsi="Times New Roman" w:eastAsia="Times New Roman"/>
          <w:b w:val="true"/>
          <w:color w:val="000000"/>
          <w:spacing w:val="0"/>
          <w:w w:val="100"/>
          <w:sz w:val="20"/>
          <w:vertAlign w:val="baseline"/>
          <w:lang w:val="en-US"/>
        </w:rPr>
        <w:t xml:space="preserve">Mine Health and Safety Act 2004 </w:t>
      </w:r>
      <w:r>
        <w:rPr>
          <w:rFonts w:ascii="Times New Roman" w:hAnsi="Times New Roman" w:eastAsia="Times New Roman"/>
          <w:color w:val="000000"/>
          <w:spacing w:val="0"/>
          <w:w w:val="100"/>
          <w:sz w:val="20"/>
          <w:vertAlign w:val="baseline"/>
          <w:lang w:val="en-US"/>
        </w:rPr>
        <w:t xml:space="preserve">applies or at which activities under the </w:t>
      </w:r>
      <w:r>
        <w:rPr>
          <w:rFonts w:ascii="Times New Roman" w:hAnsi="Times New Roman" w:eastAsia="Times New Roman"/>
          <w:b w:val="true"/>
          <w:color w:val="000000"/>
          <w:spacing w:val="0"/>
          <w:w w:val="100"/>
          <w:sz w:val="20"/>
          <w:vertAlign w:val="baseline"/>
          <w:lang w:val="en-US"/>
        </w:rPr>
        <w:t xml:space="preserve">Petroleum (Onshore) Act 1991 </w:t>
      </w:r>
      <w:r>
        <w:rPr>
          <w:rFonts w:ascii="Times New Roman" w:hAnsi="Times New Roman" w:eastAsia="Times New Roman"/>
          <w:color w:val="000000"/>
          <w:spacing w:val="0"/>
          <w:w w:val="100"/>
          <w:sz w:val="20"/>
          <w:vertAlign w:val="baseline"/>
          <w:lang w:val="en-US"/>
        </w:rPr>
        <w:t xml:space="preserve">or the </w:t>
      </w:r>
      <w:r>
        <w:rPr>
          <w:rFonts w:ascii="Times New Roman" w:hAnsi="Times New Roman" w:eastAsia="Times New Roman"/>
          <w:b w:val="true"/>
          <w:color w:val="000000"/>
          <w:spacing w:val="0"/>
          <w:w w:val="100"/>
          <w:sz w:val="20"/>
          <w:vertAlign w:val="baseline"/>
          <w:lang w:val="en-US"/>
        </w:rPr>
        <w:t xml:space="preserve">Petroleum (Offshore) Act 1982 </w:t>
      </w:r>
      <w:r>
        <w:rPr>
          <w:rFonts w:ascii="Times New Roman" w:hAnsi="Times New Roman" w:eastAsia="Times New Roman"/>
          <w:color w:val="000000"/>
          <w:spacing w:val="0"/>
          <w:w w:val="100"/>
          <w:sz w:val="20"/>
          <w:vertAlign w:val="baseline"/>
          <w:lang w:val="en-US"/>
        </w:rPr>
        <w:t xml:space="preserve">are carried out."</w:t>
      </w:r>
    </w:p>
    <w:p>
      <w:pPr>
        <w:spacing w:before="118" w:after="0" w:line="232" w:lineRule="exact"/>
        <w:ind w:right="0" w:left="2088" w:firstLine="0"/>
        <w:jc w:val="left"/>
        <w:textAlignment w:val="baseline"/>
        <w:rPr>
          <w:rFonts w:ascii="Times New Roman" w:hAnsi="Times New Roman" w:eastAsia="Times New Roman"/>
          <w:b w:val="true"/>
          <w:color w:val="000000"/>
          <w:spacing w:val="0"/>
          <w:w w:val="100"/>
          <w:sz w:val="20"/>
          <w:vertAlign w:val="baseline"/>
          <w:lang w:val="en-US"/>
        </w:rPr>
      </w:pPr>
      <w:r>
        <w:rPr>
          <w:rFonts w:ascii="Times New Roman" w:hAnsi="Times New Roman" w:eastAsia="Times New Roman"/>
          <w:b w:val="true"/>
          <w:color w:val="000000"/>
          <w:spacing w:val="0"/>
          <w:w w:val="100"/>
          <w:sz w:val="20"/>
          <w:vertAlign w:val="baseline"/>
          <w:lang w:val="en-US"/>
        </w:rPr>
        <w:t xml:space="preserve">Queensland</w:t>
      </w:r>
    </w:p>
    <w:p>
      <w:pPr>
        <w:spacing w:before="53" w:after="0" w:line="232" w:lineRule="exact"/>
        <w:ind w:right="432" w:left="2088"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"A facility that is a </w:t>
      </w:r>
      <w:r>
        <w:rPr>
          <w:rFonts w:ascii="Times New Roman" w:hAnsi="Times New Roman" w:eastAsia="Times New Roman"/>
          <w:b w:val="true"/>
          <w:i w:val="true"/>
          <w:color w:val="000000"/>
          <w:spacing w:val="0"/>
          <w:w w:val="100"/>
          <w:sz w:val="21"/>
          <w:vertAlign w:val="baseline"/>
          <w:lang w:val="en-US"/>
        </w:rPr>
        <w:t xml:space="preserve">magazine</w:t>
      </w:r>
      <w:r>
        <w:rPr>
          <w:rFonts w:ascii="Times New Roman" w:hAnsi="Times New Roman" w:eastAsia="Times New Roman"/>
          <w:color w:val="000000"/>
          <w:spacing w:val="0"/>
          <w:w w:val="100"/>
          <w:sz w:val="20"/>
          <w:vertAlign w:val="baseline"/>
          <w:lang w:val="en-US"/>
        </w:rPr>
        <w:t xml:space="preserve">, within the meaning of the </w:t>
      </w:r>
      <w:r>
        <w:rPr>
          <w:rFonts w:ascii="Times New Roman" w:hAnsi="Times New Roman" w:eastAsia="Times New Roman"/>
          <w:b w:val="true"/>
          <w:color w:val="000000"/>
          <w:spacing w:val="0"/>
          <w:w w:val="100"/>
          <w:sz w:val="20"/>
          <w:vertAlign w:val="baseline"/>
          <w:lang w:val="en-US"/>
        </w:rPr>
        <w:t xml:space="preserve">Explosives Act 1999</w:t>
      </w:r>
      <w:r>
        <w:rPr>
          <w:rFonts w:ascii="Times New Roman" w:hAnsi="Times New Roman" w:eastAsia="Times New Roman"/>
          <w:color w:val="000000"/>
          <w:spacing w:val="0"/>
          <w:w w:val="100"/>
          <w:sz w:val="20"/>
          <w:vertAlign w:val="baseline"/>
          <w:lang w:val="en-US"/>
        </w:rPr>
        <w:t xml:space="preserve">, at which no processing activity involving dangerous goods, including explosives, is carried out."</w:t>
      </w:r>
    </w:p>
    <w:p>
      <w:pPr>
        <w:tabs>
          <w:tab w:val="left" w:leader="none" w:pos="2160"/>
        </w:tabs>
        <w:spacing w:before="123" w:after="0" w:line="227"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538	</w:t>
      </w:r>
      <w:r>
        <w:rPr>
          <w:rFonts w:ascii="Times New Roman" w:hAnsi="Times New Roman" w:eastAsia="Times New Roman"/>
          <w:color w:val="000000"/>
          <w:spacing w:val="0"/>
          <w:w w:val="100"/>
          <w:sz w:val="20"/>
          <w:vertAlign w:val="baseline"/>
          <w:lang w:val="en-US"/>
        </w:rPr>
        <w:t xml:space="preserve">The Commonwealth may insert further subregulations as follows:</w:t>
      </w:r>
    </w:p>
    <w:p>
      <w:pPr>
        <w:spacing w:before="60" w:after="0" w:line="230" w:lineRule="exact"/>
        <w:ind w:right="216" w:left="2448" w:hanging="36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 If the information that is required to be included in a notification is national security information, the operator of the facility complies with the requirement by giving the regulator a summary, in a form approved by the regulator, of that information.</w:t>
      </w:r>
    </w:p>
    <w:p>
      <w:pPr>
        <w:spacing w:before="58" w:after="0" w:line="230" w:lineRule="exact"/>
        <w:ind w:right="936" w:left="2448" w:hanging="216"/>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 In subregulation (5), </w:t>
      </w:r>
      <w:r>
        <w:rPr>
          <w:rFonts w:ascii="Times New Roman" w:hAnsi="Times New Roman" w:eastAsia="Times New Roman"/>
          <w:b w:val="true"/>
          <w:i w:val="true"/>
          <w:color w:val="000000"/>
          <w:spacing w:val="0"/>
          <w:w w:val="100"/>
          <w:sz w:val="21"/>
          <w:vertAlign w:val="baseline"/>
          <w:lang w:val="en-US"/>
        </w:rPr>
        <w:t xml:space="preserve">national security information </w:t>
      </w:r>
      <w:r>
        <w:rPr>
          <w:rFonts w:ascii="Times New Roman" w:hAnsi="Times New Roman" w:eastAsia="Times New Roman"/>
          <w:color w:val="000000"/>
          <w:spacing w:val="0"/>
          <w:w w:val="100"/>
          <w:sz w:val="20"/>
          <w:vertAlign w:val="baseline"/>
          <w:lang w:val="en-US"/>
        </w:rPr>
        <w:t xml:space="preserve">means information the disclosure of which is likely to prejudice Australia's national security.".</w:t>
      </w:r>
    </w:p>
    <w:p>
      <w:pPr>
        <w:tabs>
          <w:tab w:val="left" w:leader="none" w:pos="2160"/>
        </w:tabs>
        <w:spacing w:before="117" w:after="0" w:line="231" w:lineRule="exact"/>
        <w:ind w:right="216" w:left="2448" w:hanging="230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545A	</w:t>
      </w:r>
      <w:r>
        <w:rPr>
          <w:rFonts w:ascii="Times New Roman" w:hAnsi="Times New Roman" w:eastAsia="Times New Roman"/>
          <w:color w:val="000000"/>
          <w:spacing w:val="0"/>
          <w:w w:val="100"/>
          <w:sz w:val="20"/>
          <w:vertAlign w:val="baseline"/>
          <w:lang w:val="en-US"/>
        </w:rPr>
        <w:t xml:space="preserve">1 Jurisdictions may insert a new provision imposing a relevant fee to be paid by the operator of a determined major hazard facility to the regulator for administration in relation to the determination of the major hazard facility. A provision of this kind may include requirements as to the structure of the relevant fee and the timing of its payment.</w:t>
      </w:r>
    </w:p>
    <w:p>
      <w:pPr>
        <w:tabs>
          <w:tab w:val="left" w:leader="none" w:pos="2520"/>
        </w:tabs>
        <w:spacing w:before="59" w:after="0" w:line="230" w:lineRule="exact"/>
        <w:ind w:right="360" w:left="2448" w:hanging="36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Jurisdictions that impose such a fee will also provide appropriate remedies for non-payment (for example, enforcement of a civil debt due to the regulator or imposition of a condition of determination). This may require amendment to other provisions.</w:t>
      </w:r>
    </w:p>
    <w:p>
      <w:pPr>
        <w:tabs>
          <w:tab w:val="left" w:leader="none" w:pos="2160"/>
          <w:tab w:val="left" w:leader="none" w:pos="2592"/>
        </w:tabs>
        <w:spacing w:before="119" w:after="0" w:line="227"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552(f) and 561(2)(e)	</w:t>
      </w:r>
      <w:r>
        <w:rPr>
          <w:rFonts w:ascii="Times New Roman" w:hAnsi="Times New Roman" w:eastAsia="Times New Roman"/>
          <w:color w:val="000000"/>
          <w:spacing w:val="0"/>
          <w:w w:val="100"/>
          <w:sz w:val="20"/>
          <w:vertAlign w:val="baseline"/>
          <w:lang w:val="en-US"/>
        </w:rPr>
        <w:t xml:space="preserve">1	</w:t>
      </w:r>
      <w:r>
        <w:rPr>
          <w:rFonts w:ascii="Times New Roman" w:hAnsi="Times New Roman" w:eastAsia="Times New Roman"/>
          <w:color w:val="000000"/>
          <w:spacing w:val="0"/>
          <w:w w:val="100"/>
          <w:sz w:val="20"/>
          <w:vertAlign w:val="baseline"/>
          <w:lang w:val="en-US"/>
        </w:rPr>
        <w:t xml:space="preserve">Jurisdictions may have local security legislation, or other types of</w:t>
      </w:r>
    </w:p>
    <w:p>
      <w:pPr>
        <w:spacing w:before="3" w:after="0" w:line="227" w:lineRule="exact"/>
        <w:ind w:right="0" w:left="2592"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security regimes, that they will refer to or describe here.</w:t>
      </w:r>
    </w:p>
    <w:p>
      <w:pPr>
        <w:tabs>
          <w:tab w:val="left" w:leader="none" w:pos="2592"/>
        </w:tabs>
        <w:spacing w:before="64" w:after="0" w:line="230" w:lineRule="exact"/>
        <w:ind w:right="144" w:left="2592" w:hanging="50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Jurisdictions may also include provisions requiring the operator of the major hazard facility to provide the head of the police force with details of security arrangements and to take into account any written advice from the head of the police force on those arrangements.</w:t>
      </w:r>
    </w:p>
    <w:p>
      <w:pPr>
        <w:tabs>
          <w:tab w:val="left" w:leader="none" w:pos="2160"/>
        </w:tabs>
        <w:spacing w:before="116" w:after="0" w:line="230" w:lineRule="exact"/>
        <w:ind w:right="576" w:left="2088" w:hanging="194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557(2)(a)	</w:t>
      </w:r>
      <w:r>
        <w:rPr>
          <w:rFonts w:ascii="Times New Roman" w:hAnsi="Times New Roman" w:eastAsia="Times New Roman"/>
          <w:color w:val="000000"/>
          <w:spacing w:val="0"/>
          <w:w w:val="100"/>
          <w:sz w:val="20"/>
          <w:vertAlign w:val="baseline"/>
          <w:lang w:val="en-US"/>
        </w:rPr>
        <w:t xml:space="preserve">Jurisdictions will insert appropriate local provisions establishing or referring to emergency service organisations. It is permissible to</w:t>
      </w:r>
    </w:p>
    <w:p>
      <w:pPr>
        <w:spacing w:before="4" w:after="1266" w:line="227" w:lineRule="exact"/>
        <w:ind w:right="0" w:left="2088"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5.45pt,728.15pt" to="500.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nominate more than 1 type of emergency service.</w:t>
      </w:r>
    </w:p>
    <w:p>
      <w:pPr>
        <w:spacing w:before="4" w:after="1266" w:line="227" w:lineRule="exact"/>
        <w:sectPr>
          <w:type w:val="nextPage"/>
          <w:pgSz w:w="11909" w:h="16838" w:orient="portrait"/>
          <w:pgMar w:bottom="1082" w:top="1140" w:right="1900" w:left="190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507</w:t>
      </w:r>
    </w:p>
    <w:p>
      <w:pPr>
        <w:sectPr>
          <w:type w:val="continuous"/>
          <w:pgSz w:w="11909" w:h="16838" w:orient="portrait"/>
          <w:pgMar w:bottom="1082" w:top="1140" w:right="5812" w:left="1977" w:header="720" w:footer="720"/>
          <w:titlePg w:val="false"/>
          <w:textDirection w:val="lrTb"/>
        </w:sectPr>
      </w:pPr>
    </w:p>
    <w:p>
      <w:pPr>
        <w:spacing w:before="0" w:after="225" w:line="347"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Model Work Health and Safety Regulations</w:t>
        <w:br/>
      </w:r>
      <w:r>
        <w:rPr>
          <w:rFonts w:ascii="Times New Roman" w:hAnsi="Times New Roman" w:eastAsia="Times New Roman"/>
          <w:color w:val="000000"/>
          <w:spacing w:val="0"/>
          <w:w w:val="100"/>
          <w:sz w:val="20"/>
          <w:vertAlign w:val="baseline"/>
          <w:lang w:val="en-US"/>
        </w:rPr>
        <w:t xml:space="preserve">APPENDIX Jurisdictional Notes</w:t>
      </w:r>
    </w:p>
    <w:p>
      <w:pPr>
        <w:tabs>
          <w:tab w:val="left" w:leader="none" w:pos="2160"/>
        </w:tabs>
        <w:spacing w:before="327" w:after="35" w:line="230" w:lineRule="exact"/>
        <w:ind w:right="0" w:left="144" w:firstLine="0"/>
        <w:jc w:val="left"/>
        <w:textAlignment w:val="baseline"/>
        <w:rPr>
          <w:rFonts w:ascii="Times New Roman" w:hAnsi="Times New Roman" w:eastAsia="Times New Roman"/>
          <w:b w:val="true"/>
          <w:color w:val="000000"/>
          <w:spacing w:val="0"/>
          <w:w w:val="100"/>
          <w:sz w:val="20"/>
          <w:vertAlign w:val="baseline"/>
          <w:lang w:val="en-US"/>
        </w:rPr>
      </w:pPr>
      <w:r>
        <w:pict>
          <v:line strokeweight="0.5pt" strokecolor="#000000" from="95.45pt,103.9pt" to="500.5pt,103.9pt" style="position:absolute;mso-position-horizontal-relative:page;mso-position-vertical-relative:page;">
            <v:stroke dashstyle="solid"/>
          </v:line>
        </w:pict>
      </w:r>
      <w:r>
        <w:pict>
          <v:line strokeweight="0.5pt" strokecolor="#000000" from="99.35pt,115.9pt" to="496.6pt,115.9pt" style="position:absolute;mso-position-horizontal-relative:page;mso-position-vertical-relative:page;">
            <v:stroke dashstyle="solid"/>
          </v:line>
        </w:pict>
      </w:r>
      <w:r>
        <w:rPr>
          <w:rFonts w:ascii="Times New Roman" w:hAnsi="Times New Roman" w:eastAsia="Times New Roman"/>
          <w:b w:val="true"/>
          <w:color w:val="000000"/>
          <w:spacing w:val="0"/>
          <w:w w:val="100"/>
          <w:sz w:val="20"/>
          <w:vertAlign w:val="baseline"/>
          <w:lang w:val="en-US"/>
        </w:rPr>
        <w:t xml:space="preserve">Regulation	</w:t>
      </w:r>
      <w:r>
        <w:rPr>
          <w:rFonts w:ascii="Times New Roman" w:hAnsi="Times New Roman" w:eastAsia="Times New Roman"/>
          <w:b w:val="true"/>
          <w:color w:val="000000"/>
          <w:spacing w:val="0"/>
          <w:w w:val="100"/>
          <w:sz w:val="20"/>
          <w:vertAlign w:val="baseline"/>
          <w:lang w:val="en-US"/>
        </w:rPr>
        <w:t xml:space="preserve">Jurisdictional Note</w:t>
      </w:r>
    </w:p>
    <w:p>
      <w:pPr>
        <w:tabs>
          <w:tab w:val="left" w:leader="none" w:pos="2160"/>
        </w:tabs>
        <w:spacing w:before="72" w:after="0" w:line="230" w:lineRule="exact"/>
        <w:ind w:right="288" w:left="2448" w:hanging="2304"/>
        <w:jc w:val="left"/>
        <w:textAlignment w:val="baseline"/>
        <w:rPr>
          <w:rFonts w:ascii="Times New Roman" w:hAnsi="Times New Roman" w:eastAsia="Times New Roman"/>
          <w:color w:val="000000"/>
          <w:spacing w:val="-1"/>
          <w:w w:val="100"/>
          <w:sz w:val="20"/>
          <w:vertAlign w:val="baseline"/>
          <w:lang w:val="en-US"/>
        </w:rPr>
      </w:pPr>
      <w:r>
        <w:pict>
          <v:line strokeweight="0.5pt" strokecolor="#000000" from="99.35pt,133.9pt" to="496.6pt,133.9pt" style="position:absolute;mso-position-horizontal-relative:page;mso-position-vertical-relative:page;">
            <v:stroke dashstyle="solid"/>
          </v:line>
        </w:pict>
      </w:r>
      <w:r>
        <w:rPr>
          <w:rFonts w:ascii="Times New Roman" w:hAnsi="Times New Roman" w:eastAsia="Times New Roman"/>
          <w:color w:val="000000"/>
          <w:spacing w:val="-1"/>
          <w:w w:val="100"/>
          <w:sz w:val="20"/>
          <w:vertAlign w:val="baseline"/>
          <w:lang w:val="en-US"/>
        </w:rPr>
        <w:t xml:space="preserve">Part 9.7 heading	</w:t>
      </w:r>
      <w:r>
        <w:rPr>
          <w:rFonts w:ascii="Times New Roman" w:hAnsi="Times New Roman" w:eastAsia="Times New Roman"/>
          <w:color w:val="000000"/>
          <w:spacing w:val="-1"/>
          <w:w w:val="100"/>
          <w:sz w:val="20"/>
          <w:vertAlign w:val="baseline"/>
          <w:lang w:val="en-US"/>
        </w:rPr>
        <w:t xml:space="preserve">1 Jurisdictions may insert provisions imposing a relevant fee to be paid by the operator of a major hazard facility to the regulator for administering various aspects of the major hazard facility licence (for example, the grant, renewal or transfer of the licence or the cancellation of the licence, on application by the operator, under regulation 601). Provisions of this kind may include requirements as to the structure of the relevant fee and the timing of its payment.</w:t>
      </w:r>
    </w:p>
    <w:p>
      <w:pPr>
        <w:tabs>
          <w:tab w:val="left" w:leader="none" w:pos="2520"/>
        </w:tabs>
        <w:spacing w:before="59" w:after="0" w:line="230" w:lineRule="exact"/>
        <w:ind w:right="216" w:left="2448" w:hanging="36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2	</w:t>
      </w:r>
      <w:r>
        <w:rPr>
          <w:rFonts w:ascii="Times New Roman" w:hAnsi="Times New Roman" w:eastAsia="Times New Roman"/>
          <w:color w:val="000000"/>
          <w:spacing w:val="0"/>
          <w:w w:val="100"/>
          <w:sz w:val="20"/>
          <w:vertAlign w:val="baseline"/>
          <w:lang w:val="en-US"/>
        </w:rPr>
        <w:t xml:space="preserve">Jurisdictions that impose such a fee will also provide appropriate remedies for non-payment (for example, licence suspension under regulation 602, enforcement of a civil debt due to the regulator or imposition of a licence condition). This may require amendment to other provisions.</w:t>
      </w:r>
    </w:p>
    <w:p>
      <w:pPr>
        <w:tabs>
          <w:tab w:val="left" w:leader="none" w:pos="2160"/>
        </w:tabs>
        <w:spacing w:before="129" w:after="0" w:line="227"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578	</w:t>
      </w:r>
      <w:r>
        <w:rPr>
          <w:rFonts w:ascii="Times New Roman" w:hAnsi="Times New Roman" w:eastAsia="Times New Roman"/>
          <w:color w:val="000000"/>
          <w:spacing w:val="0"/>
          <w:w w:val="100"/>
          <w:sz w:val="20"/>
          <w:vertAlign w:val="baseline"/>
          <w:lang w:val="en-US"/>
        </w:rPr>
        <w:t xml:space="preserve">The Commonwealth may insert further subregulations as follows:</w:t>
      </w:r>
    </w:p>
    <w:p>
      <w:pPr>
        <w:spacing w:before="54" w:after="0" w:line="230" w:lineRule="exact"/>
        <w:ind w:right="216" w:left="2448" w:hanging="36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"(4) If the information that is required to be included in a notification is national security information, the operator of the facility complies with the requirement by giving the regulator a summary, in a form approved by the regulator, of that information.</w:t>
      </w:r>
    </w:p>
    <w:p>
      <w:pPr>
        <w:spacing w:before="121" w:after="0" w:line="230" w:lineRule="exact"/>
        <w:ind w:right="936" w:left="2448" w:hanging="216"/>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 In subregulation (4), </w:t>
      </w:r>
      <w:r>
        <w:rPr>
          <w:rFonts w:ascii="Times New Roman" w:hAnsi="Times New Roman" w:eastAsia="Times New Roman"/>
          <w:b w:val="true"/>
          <w:i w:val="true"/>
          <w:color w:val="000000"/>
          <w:spacing w:val="0"/>
          <w:w w:val="100"/>
          <w:sz w:val="21"/>
          <w:vertAlign w:val="baseline"/>
          <w:lang w:val="en-US"/>
        </w:rPr>
        <w:t xml:space="preserve">national security information </w:t>
      </w:r>
      <w:r>
        <w:rPr>
          <w:rFonts w:ascii="Times New Roman" w:hAnsi="Times New Roman" w:eastAsia="Times New Roman"/>
          <w:color w:val="000000"/>
          <w:spacing w:val="0"/>
          <w:w w:val="100"/>
          <w:sz w:val="20"/>
          <w:vertAlign w:val="baseline"/>
          <w:lang w:val="en-US"/>
        </w:rPr>
        <w:t xml:space="preserve">means information the disclosure of which is likely to prejudice Australia's national security.".</w:t>
      </w:r>
    </w:p>
    <w:p>
      <w:pPr>
        <w:tabs>
          <w:tab w:val="left" w:leader="none" w:pos="2160"/>
        </w:tabs>
        <w:spacing w:before="124" w:after="0" w:line="227" w:lineRule="exact"/>
        <w:ind w:right="0" w:left="144" w:firstLine="0"/>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581(1)(e), 603(1)(c)	</w:t>
      </w:r>
      <w:r>
        <w:rPr>
          <w:rFonts w:ascii="Times New Roman" w:hAnsi="Times New Roman" w:eastAsia="Times New Roman"/>
          <w:color w:val="000000"/>
          <w:spacing w:val="0"/>
          <w:w w:val="100"/>
          <w:sz w:val="20"/>
          <w:vertAlign w:val="baseline"/>
          <w:lang w:val="en-US"/>
        </w:rPr>
        <w:t xml:space="preserve">Some jurisdictions may need to adjust the reference to the Crown.</w:t>
      </w:r>
    </w:p>
    <w:p>
      <w:pPr>
        <w:tabs>
          <w:tab w:val="left" w:leader="none" w:pos="2160"/>
        </w:tabs>
        <w:spacing w:before="110" w:after="0" w:line="235" w:lineRule="exact"/>
        <w:ind w:right="360" w:left="2088" w:hanging="194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599	</w:t>
      </w:r>
      <w:r>
        <w:rPr>
          <w:rFonts w:ascii="Times New Roman" w:hAnsi="Times New Roman" w:eastAsia="Times New Roman"/>
          <w:color w:val="000000"/>
          <w:spacing w:val="0"/>
          <w:w w:val="100"/>
          <w:sz w:val="20"/>
          <w:vertAlign w:val="baseline"/>
          <w:lang w:val="en-US"/>
        </w:rPr>
        <w:t xml:space="preserve">The existing review legislation of some jurisdictions may also provide for internal review.</w:t>
      </w:r>
    </w:p>
    <w:p>
      <w:pPr>
        <w:tabs>
          <w:tab w:val="left" w:leader="none" w:pos="2160"/>
        </w:tabs>
        <w:spacing w:before="116" w:after="0" w:line="230" w:lineRule="exact"/>
        <w:ind w:right="504" w:left="2088" w:hanging="194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680	</w:t>
      </w:r>
      <w:r>
        <w:rPr>
          <w:rFonts w:ascii="Times New Roman" w:hAnsi="Times New Roman" w:eastAsia="Times New Roman"/>
          <w:color w:val="000000"/>
          <w:spacing w:val="0"/>
          <w:w w:val="100"/>
          <w:sz w:val="20"/>
          <w:vertAlign w:val="baseline"/>
          <w:lang w:val="en-US"/>
        </w:rPr>
        <w:t xml:space="preserve">Jurisdictions may insert different time periods if this is necessary to accord with local legislation and tribunal arrangements.</w:t>
      </w:r>
    </w:p>
    <w:p>
      <w:pPr>
        <w:tabs>
          <w:tab w:val="left" w:leader="none" w:pos="2160"/>
        </w:tabs>
        <w:spacing w:before="121" w:after="0" w:line="230" w:lineRule="exact"/>
        <w:ind w:right="504" w:left="2088" w:hanging="194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681	</w:t>
      </w:r>
      <w:r>
        <w:rPr>
          <w:rFonts w:ascii="Times New Roman" w:hAnsi="Times New Roman" w:eastAsia="Times New Roman"/>
          <w:color w:val="000000"/>
          <w:spacing w:val="0"/>
          <w:w w:val="100"/>
          <w:sz w:val="20"/>
          <w:vertAlign w:val="baseline"/>
          <w:lang w:val="en-US"/>
        </w:rPr>
        <w:t xml:space="preserve">Jurisdictions may insert a different time period if this is necessary to accord with local legislation and tribunal arrangements.</w:t>
      </w:r>
    </w:p>
    <w:p>
      <w:pPr>
        <w:tabs>
          <w:tab w:val="left" w:leader="none" w:pos="2160"/>
        </w:tabs>
        <w:spacing w:before="125" w:after="0" w:line="230" w:lineRule="exact"/>
        <w:ind w:right="648" w:left="2088" w:hanging="194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695(2), 698	</w:t>
      </w:r>
      <w:r>
        <w:rPr>
          <w:rFonts w:ascii="Times New Roman" w:hAnsi="Times New Roman" w:eastAsia="Times New Roman"/>
          <w:color w:val="000000"/>
          <w:spacing w:val="0"/>
          <w:w w:val="100"/>
          <w:sz w:val="20"/>
          <w:vertAlign w:val="baseline"/>
          <w:lang w:val="en-US"/>
        </w:rPr>
        <w:t xml:space="preserve">Jurisdictions may need to adjust the references to the </w:t>
      </w:r>
      <w:r>
        <w:rPr>
          <w:rFonts w:ascii="Times New Roman" w:hAnsi="Times New Roman" w:eastAsia="Times New Roman"/>
          <w:b w:val="true"/>
          <w:i w:val="true"/>
          <w:color w:val="000000"/>
          <w:spacing w:val="0"/>
          <w:w w:val="100"/>
          <w:sz w:val="21"/>
          <w:vertAlign w:val="baseline"/>
          <w:lang w:val="en-US"/>
        </w:rPr>
        <w:t xml:space="preserve">Government Gazette </w:t>
      </w:r>
      <w:r>
        <w:rPr>
          <w:rFonts w:ascii="Times New Roman" w:hAnsi="Times New Roman" w:eastAsia="Times New Roman"/>
          <w:color w:val="000000"/>
          <w:spacing w:val="0"/>
          <w:w w:val="100"/>
          <w:sz w:val="20"/>
          <w:vertAlign w:val="baseline"/>
          <w:lang w:val="en-US"/>
        </w:rPr>
        <w:t xml:space="preserve">as relevant to the jurisdiction.</w:t>
      </w:r>
    </w:p>
    <w:p>
      <w:pPr>
        <w:tabs>
          <w:tab w:val="left" w:leader="none" w:pos="2160"/>
        </w:tabs>
        <w:spacing w:before="115" w:after="0" w:line="231" w:lineRule="exact"/>
        <w:ind w:right="864" w:left="2088" w:hanging="1944"/>
        <w:jc w:val="left"/>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699(a)	</w:t>
      </w:r>
      <w:r>
        <w:rPr>
          <w:rFonts w:ascii="Times New Roman" w:hAnsi="Times New Roman" w:eastAsia="Times New Roman"/>
          <w:color w:val="000000"/>
          <w:spacing w:val="0"/>
          <w:w w:val="100"/>
          <w:sz w:val="20"/>
          <w:vertAlign w:val="baseline"/>
          <w:lang w:val="en-US"/>
        </w:rPr>
        <w:t xml:space="preserve">Jurisdictions with health or similar legislation requiring similar reporting should cite that legislation in a Note.</w:t>
      </w:r>
    </w:p>
    <w:p>
      <w:pPr>
        <w:tabs>
          <w:tab w:val="left" w:leader="none" w:pos="2160"/>
        </w:tabs>
        <w:spacing w:before="109" w:after="0" w:line="236" w:lineRule="exact"/>
        <w:ind w:right="432" w:left="2088" w:hanging="1944"/>
        <w:jc w:val="both"/>
        <w:textAlignment w:val="baseline"/>
        <w:rPr>
          <w:rFonts w:ascii="Times New Roman" w:hAnsi="Times New Roman" w:eastAsia="Times New Roman"/>
          <w:color w:val="000000"/>
          <w:spacing w:val="0"/>
          <w:w w:val="100"/>
          <w:sz w:val="20"/>
          <w:vertAlign w:val="baseline"/>
          <w:lang w:val="en-US"/>
        </w:rPr>
      </w:pPr>
      <w:r>
        <w:rPr>
          <w:rFonts w:ascii="Times New Roman" w:hAnsi="Times New Roman" w:eastAsia="Times New Roman"/>
          <w:color w:val="000000"/>
          <w:spacing w:val="0"/>
          <w:w w:val="100"/>
          <w:sz w:val="20"/>
          <w:vertAlign w:val="baseline"/>
          <w:lang w:val="en-US"/>
        </w:rPr>
        <w:t xml:space="preserve">701	</w:t>
      </w:r>
      <w:r>
        <w:rPr>
          <w:rFonts w:ascii="Times New Roman" w:hAnsi="Times New Roman" w:eastAsia="Times New Roman"/>
          <w:color w:val="000000"/>
          <w:spacing w:val="0"/>
          <w:w w:val="100"/>
          <w:sz w:val="20"/>
          <w:vertAlign w:val="baseline"/>
          <w:lang w:val="en-US"/>
        </w:rPr>
        <w:t xml:space="preserve">Each jurisdiction will insert a period that is appropriate to its external review processes.</w:t>
      </w:r>
    </w:p>
    <w:p>
      <w:pPr>
        <w:tabs>
          <w:tab w:val="left" w:leader="none" w:pos="2160"/>
        </w:tabs>
        <w:spacing w:before="116" w:after="2203" w:line="230" w:lineRule="exact"/>
        <w:ind w:right="216" w:left="2088" w:hanging="1944"/>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8.65pt,619.9pt" to="496.6pt,619.9pt" style="position:absolute;mso-position-horizontal-relative:page;mso-position-vertical-relative:page;">
            <v:stroke dashstyle="solid"/>
          </v:line>
        </w:pict>
      </w:r>
      <w:r>
        <w:pict>
          <v:line strokeweight="2.9pt" strokecolor="#000000" from="243.85pt,692.4pt" to="352.15pt,692.4pt" style="position:absolute;mso-position-horizontal-relative:page;mso-position-vertical-relative:page;">
            <v:stroke linestyle="thinThin"/>
          </v:line>
        </w:pict>
      </w:r>
      <w:r>
        <w:pict>
          <v:line strokeweight="0.5pt" strokecolor="#000000" from="95.45pt,728.15pt" to="500.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702	</w:t>
      </w:r>
      <w:r>
        <w:rPr>
          <w:rFonts w:ascii="Times New Roman" w:hAnsi="Times New Roman" w:eastAsia="Times New Roman"/>
          <w:color w:val="000000"/>
          <w:spacing w:val="0"/>
          <w:w w:val="100"/>
          <w:sz w:val="20"/>
          <w:vertAlign w:val="baseline"/>
          <w:lang w:val="en-US"/>
        </w:rPr>
        <w:t xml:space="preserve">Jurisdictions that require similar information sharing with local relevant agencies may add those agencies and the laws they administer to this regulation.</w:t>
      </w:r>
    </w:p>
    <w:p>
      <w:pPr>
        <w:spacing w:before="321" w:after="0" w:line="288" w:lineRule="exact"/>
        <w:ind w:right="0" w:left="0" w:firstLine="0"/>
        <w:jc w:val="left"/>
        <w:textAlignment w:val="baseline"/>
        <w:rPr>
          <w:rFonts w:ascii="Times New Roman" w:hAnsi="Times New Roman" w:eastAsia="Times New Roman"/>
          <w:color w:val="000000"/>
          <w:w w:val="100"/>
          <w:sz w:val="24"/>
          <w:vertAlign w:val="baseline"/>
          <w:lang w:val="en-US"/>
        </w:rPr>
      </w:pPr>
    </w:p>
    <w:p>
      <w:pPr>
        <w:sectPr>
          <w:type w:val="nextPage"/>
          <w:pgSz w:w="11909" w:h="16838" w:orient="portrait"/>
          <w:pgMar w:bottom="1082" w:top="1140" w:right="1900" w:left="190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508</w:t>
      </w:r>
    </w:p>
    <w:p>
      <w:pPr>
        <w:sectPr>
          <w:type w:val="continuous"/>
          <w:pgSz w:w="11909" w:h="16838" w:orient="portrait"/>
          <w:pgMar w:bottom="1082" w:top="1140" w:right="5814" w:left="1975" w:header="720" w:footer="720"/>
          <w:titlePg w:val="false"/>
          <w:textDirection w:val="lrTb"/>
        </w:sectPr>
      </w:pPr>
    </w:p>
    <w:p>
      <w:pPr>
        <w:spacing w:before="6" w:after="13168" w:line="230" w:lineRule="exact"/>
        <w:ind w:right="0" w:left="72" w:firstLine="0"/>
        <w:jc w:val="left"/>
        <w:textAlignment w:val="baseline"/>
        <w:rPr>
          <w:rFonts w:ascii="Times New Roman" w:hAnsi="Times New Roman" w:eastAsia="Times New Roman"/>
          <w:color w:val="000000"/>
          <w:spacing w:val="0"/>
          <w:w w:val="100"/>
          <w:sz w:val="20"/>
          <w:vertAlign w:val="baseline"/>
          <w:lang w:val="en-US"/>
        </w:rPr>
      </w:pPr>
      <w:r>
        <w:pict>
          <v:line strokeweight="0.5pt" strokecolor="#000000" from="95.45pt,103.9pt" to="500.5pt,103.9pt" style="position:absolute;mso-position-horizontal-relative:page;mso-position-vertical-relative:page;">
            <v:stroke dashstyle="solid"/>
          </v:line>
        </w:pict>
      </w:r>
      <w:r>
        <w:pict>
          <v:line strokeweight="0.5pt" strokecolor="#000000" from="95.45pt,728.15pt" to="500.5pt,728.15pt" style="position:absolute;mso-position-horizontal-relative:page;mso-position-vertical-relative:page;">
            <v:stroke dashstyle="solid"/>
          </v:line>
        </w:pict>
      </w:r>
      <w:r>
        <w:rPr>
          <w:rFonts w:ascii="Times New Roman" w:hAnsi="Times New Roman" w:eastAsia="Times New Roman"/>
          <w:color w:val="000000"/>
          <w:spacing w:val="0"/>
          <w:w w:val="100"/>
          <w:sz w:val="20"/>
          <w:vertAlign w:val="baseline"/>
          <w:lang w:val="en-US"/>
        </w:rPr>
        <w:t xml:space="preserve">Model Work Health and Safety Regulations</w:t>
      </w:r>
    </w:p>
    <w:p>
      <w:pPr>
        <w:spacing w:before="321" w:after="0" w:line="288" w:lineRule="exact"/>
        <w:ind w:right="0" w:left="0" w:firstLine="0"/>
        <w:jc w:val="left"/>
        <w:textAlignment w:val="baseline"/>
        <w:rPr>
          <w:rFonts w:ascii="Times New Roman" w:hAnsi="Times New Roman" w:eastAsia="Times New Roman"/>
          <w:color w:val="000000"/>
          <w:w w:val="100"/>
          <w:sz w:val="24"/>
          <w:vertAlign w:val="baseline"/>
          <w:lang w:val="en-US"/>
        </w:rPr>
      </w:pPr>
    </w:p>
    <w:p>
      <w:pPr>
        <w:sectPr>
          <w:type w:val="nextPage"/>
          <w:pgSz w:w="11909" w:h="16838" w:orient="portrait"/>
          <w:pgMar w:bottom="1082" w:top="1140" w:right="1900" w:left="1909" w:header="720" w:footer="720"/>
          <w:titlePg w:val="false"/>
          <w:textDirection w:val="lrTb"/>
        </w:sectPr>
      </w:pPr>
    </w:p>
    <w:p>
      <w:pPr>
        <w:tabs>
          <w:tab w:val="right" w:leader="none" w:pos="4176"/>
        </w:tabs>
        <w:spacing w:before="6" w:after="0" w:line="179" w:lineRule="exact"/>
        <w:ind w:right="0" w:left="0" w:firstLine="0"/>
        <w:jc w:val="left"/>
        <w:textAlignment w:val="baseline"/>
        <w:rPr>
          <w:rFonts w:ascii="Times New Roman" w:hAnsi="Times New Roman" w:eastAsia="Times New Roman"/>
          <w:color w:val="000000"/>
          <w:spacing w:val="0"/>
          <w:w w:val="100"/>
          <w:sz w:val="16"/>
          <w:vertAlign w:val="baseline"/>
          <w:lang w:val="en-US"/>
        </w:rPr>
      </w:pPr>
      <w:r>
        <w:rPr>
          <w:rFonts w:ascii="Times New Roman" w:hAnsi="Times New Roman" w:eastAsia="Times New Roman"/>
          <w:color w:val="000000"/>
          <w:spacing w:val="0"/>
          <w:w w:val="100"/>
          <w:sz w:val="16"/>
          <w:vertAlign w:val="baseline"/>
          <w:lang w:val="en-US"/>
        </w:rPr>
        <w:t xml:space="preserve">PCC [359] 14.5.2022	</w:t>
      </w:r>
      <w:r>
        <w:rPr>
          <w:rFonts w:ascii="Times New Roman" w:hAnsi="Times New Roman" w:eastAsia="Times New Roman"/>
          <w:color w:val="000000"/>
          <w:spacing w:val="0"/>
          <w:w w:val="100"/>
          <w:sz w:val="16"/>
          <w:vertAlign w:val="baseline"/>
          <w:lang w:val="en-US"/>
        </w:rPr>
        <w:t xml:space="preserve">509</w:t>
      </w:r>
    </w:p>
    <w:sectPr>
      <w:type w:val="continuous"/>
      <w:pgSz w:w="11909" w:h="16838" w:orient="portrait"/>
      <w:pgMar w:bottom="1082" w:top="1140" w:right="5812" w:left="1977" w:header="720" w:footer="720"/>
      <w:titlePg w:val="false"/>
      <w:textDirection w:val="lrTb"/>
    </w:sectPr>
  </w:body>
</w:document>
</file>

<file path=word/fontTable.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Arial Narrow">
    <w:charset w:val="00"/>
    <w:pitch w:val="variable"/>
    <w:family w:val="swiss"/>
    <w:panose1 w:val="02020603050405020304"/>
  </w:font>
  <w:font w:name="Symbol">
    <w:charset w:val="00"/>
    <w:pitch w:val="variable"/>
    <w:family w:val="swiss"/>
    <w:panose1 w:val="02020603050405020304"/>
  </w:font>
  <w:font w:name="Tahoma">
    <w:charset w:val="00"/>
    <w:pitch w:val="variable"/>
    <w:family w:val="swiss"/>
    <w:panose1 w:val="02020603050405020304"/>
  </w:font>
  <w:font w:name="Times New Roman">
    <w:charset w:val="00"/>
    <w:pitch w:val="variable"/>
    <w:family w:val="roman"/>
    <w:panose1 w:val="02020603050405020304"/>
  </w:font>
</w:fonts>
</file>

<file path=word/footnotes.xml><?xml version="1.0" encoding="utf-8"?>
<w:footnote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otnote w:type="separator" w:id="-1">
    <w:p/>
  </w:footnote>
  <w:footnote w:type="continuationSeparator" w:id="0">
    <w:p>
      <w:r>
        <w:continuationSeparator/>
      </w:r>
    </w:p>
  </w:footnote>
</w:footnotes>
</file>

<file path=word/numbering.xml><?xml version="1.0" encoding="utf-8"?>
<w:numbering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abstractNum w:abstractNumId="1">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
    <w:lvl w:ilvl="0">
      <w:start w:val="1"/>
      <w:numFmt w:val="lowerRoman"/>
      <w:lvlText w:val="(%1)"/>
      <w:pPr>
        <w:tabs>
          <w:tab w:val="left" w:pos="576"/>
        </w:tabs>
      </w:pPr>
      <w:rPr>
        <w:rFonts w:ascii="Times New Roman" w:hAnsi="Times New Roman" w:eastAsia="Times New Roman"/>
        <w:color w:val="000000"/>
        <w:spacing w:val="0"/>
        <w:w w:val="100"/>
        <w:sz w:val="24"/>
        <w:vertAlign w:val="baseline"/>
        <w:lang w:val="en-US"/>
      </w:rPr>
    </w:lvl>
  </w:abstractNum>
  <w:abstractNum w:abstractNumId="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
    <w:lvl w:ilvl="0">
      <w:start w:val="2"/>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11">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1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7">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18">
    <w:lvl w:ilvl="0">
      <w:start w:val="1"/>
      <w:numFmt w:val="lowerLetter"/>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19">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2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2">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23">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24">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2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0">
    <w:lvl w:ilvl="0">
      <w:start w:val="1"/>
      <w:numFmt w:val="lowerRoman"/>
      <w:lvlText w:val="(%1)"/>
      <w:pPr>
        <w:tabs>
          <w:tab w:val="left" w:pos="504"/>
        </w:tabs>
      </w:pPr>
      <w:rPr>
        <w:rFonts w:ascii="Times New Roman" w:hAnsi="Times New Roman" w:eastAsia="Times New Roman"/>
        <w:color w:val="000000"/>
        <w:spacing w:val="-1"/>
        <w:w w:val="100"/>
        <w:sz w:val="24"/>
        <w:vertAlign w:val="baseline"/>
        <w:lang w:val="en-US"/>
      </w:rPr>
    </w:lvl>
  </w:abstractNum>
  <w:abstractNum w:abstractNumId="31">
    <w:lvl w:ilvl="0">
      <w:start w:val="1"/>
      <w:numFmt w:val="lowerLetter"/>
      <w:lvlText w:val="(%1)"/>
      <w:pPr>
        <w:tabs>
          <w:tab w:val="left" w:pos="360"/>
        </w:tabs>
      </w:pPr>
      <w:rPr>
        <w:rFonts w:ascii="Times New Roman" w:hAnsi="Times New Roman" w:eastAsia="Times New Roman"/>
        <w:color w:val="000000"/>
        <w:spacing w:val="-1"/>
        <w:w w:val="100"/>
        <w:sz w:val="24"/>
        <w:vertAlign w:val="baseline"/>
        <w:lang w:val="en-US"/>
      </w:rPr>
    </w:lvl>
  </w:abstractNum>
  <w:abstractNum w:abstractNumId="3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4">
    <w:lvl w:ilvl="0">
      <w:start w:val="1"/>
      <w:numFmt w:val="lowerLetter"/>
      <w:lvlText w:val="(%1)"/>
      <w:pPr>
        <w:tabs>
          <w:tab w:val="left" w:pos="360"/>
        </w:tabs>
      </w:pPr>
      <w:rPr>
        <w:rFonts w:ascii="Times New Roman" w:hAnsi="Times New Roman" w:eastAsia="Times New Roman"/>
        <w:color w:val="000000"/>
        <w:spacing w:val="-1"/>
        <w:w w:val="100"/>
        <w:sz w:val="24"/>
        <w:vertAlign w:val="baseline"/>
        <w:lang w:val="en-US"/>
      </w:rPr>
    </w:lvl>
  </w:abstractNum>
  <w:abstractNum w:abstractNumId="35">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7">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38">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39">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4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6">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47">
    <w:lvl w:ilvl="0">
      <w:start w:val="3"/>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48">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49">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5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6">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57">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5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1">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62">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63">
    <w:lvl w:ilvl="0">
      <w:start w:val="1"/>
      <w:numFmt w:val="lowerLetter"/>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64">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65">
    <w:lvl w:ilvl="0">
      <w:start w:val="1"/>
      <w:numFmt w:val="lowerLetter"/>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6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0">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7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5">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76">
    <w:lvl w:ilvl="0">
      <w:start w:val="1"/>
      <w:numFmt w:val="lowerLetter"/>
      <w:lvlText w:val="(%1)"/>
      <w:pPr>
        <w:tabs>
          <w:tab w:val="left" w:pos="288"/>
        </w:tabs>
      </w:pPr>
      <w:rPr>
        <w:rFonts w:ascii="Times New Roman" w:hAnsi="Times New Roman" w:eastAsia="Times New Roman"/>
        <w:color w:val="000000"/>
        <w:spacing w:val="-1"/>
        <w:w w:val="100"/>
        <w:sz w:val="24"/>
        <w:vertAlign w:val="baseline"/>
        <w:lang w:val="en-US"/>
      </w:rPr>
    </w:lvl>
  </w:abstractNum>
  <w:abstractNum w:abstractNumId="77">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78">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79">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2">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6">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0">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1">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92">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93">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4">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5">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7">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9">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10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2">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8">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109">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110">
    <w:lvl w:ilvl="0">
      <w:start w:val="1"/>
      <w:numFmt w:val="lowerLetter"/>
      <w:lvlText w:val="(%1)"/>
      <w:pPr>
        <w:tabs>
          <w:tab w:val="left" w:pos="432"/>
        </w:tabs>
      </w:pPr>
      <w:rPr>
        <w:rFonts w:ascii="Times New Roman" w:hAnsi="Times New Roman" w:eastAsia="Times New Roman"/>
        <w:color w:val="000000"/>
        <w:spacing w:val="-1"/>
        <w:w w:val="100"/>
        <w:sz w:val="24"/>
        <w:vertAlign w:val="baseline"/>
        <w:lang w:val="en-US"/>
      </w:rPr>
    </w:lvl>
  </w:abstractNum>
  <w:abstractNum w:abstractNumId="111">
    <w:lvl w:ilvl="0">
      <w:start w:val="2"/>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112">
    <w:lvl w:ilvl="0">
      <w:start w:val="1"/>
      <w:numFmt w:val="lowerLetter"/>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113">
    <w:lvl w:ilvl="0">
      <w:start w:val="2"/>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114">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115">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11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9">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20">
    <w:lvl w:ilvl="0">
      <w:start w:val="2"/>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21">
    <w:lvl w:ilvl="0">
      <w:start w:val="4"/>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2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23">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24">
    <w:lvl w:ilvl="0">
      <w:start w:val="3"/>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2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2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2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2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29">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130">
    <w:lvl w:ilvl="0">
      <w:start w:val="1"/>
      <w:numFmt w:val="lowerLetter"/>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13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3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3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3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35">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136">
    <w:lvl w:ilvl="0">
      <w:start w:val="1"/>
      <w:numFmt w:val="lowerLetter"/>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137">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38">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3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4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41">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42">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4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44">
    <w:lvl w:ilvl="0">
      <w:start w:val="3"/>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45">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4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47">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48">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4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50">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5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52">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5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54">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5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56">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5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5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5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60">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16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62">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63">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164">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6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6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6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6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69">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7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71">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72">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7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74">
    <w:lvl w:ilvl="0">
      <w:start w:val="1"/>
      <w:numFmt w:val="decimal"/>
      <w:lvlText w:val="(%1)"/>
      <w:pPr>
        <w:tabs>
          <w:tab w:val="left" w:pos="360"/>
        </w:tabs>
      </w:pPr>
      <w:rPr>
        <w:rFonts w:ascii="Times New Roman" w:hAnsi="Times New Roman" w:eastAsia="Times New Roman"/>
        <w:color w:val="000000"/>
        <w:spacing w:val="1"/>
        <w:w w:val="100"/>
        <w:sz w:val="24"/>
        <w:vertAlign w:val="baseline"/>
        <w:lang w:val="en-US"/>
      </w:rPr>
    </w:lvl>
  </w:abstractNum>
  <w:abstractNum w:abstractNumId="17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76">
    <w:lvl w:ilvl="0">
      <w:start w:val="2"/>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17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78">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17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8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8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8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8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84">
    <w:lvl w:ilvl="0">
      <w:start w:val="1"/>
      <w:numFmt w:val="lowerLetter"/>
      <w:lvlText w:val="(%1)"/>
      <w:pPr>
        <w:tabs>
          <w:tab w:val="left" w:pos="360"/>
        </w:tabs>
      </w:pPr>
      <w:rPr>
        <w:rFonts w:ascii="Times New Roman" w:hAnsi="Times New Roman" w:eastAsia="Times New Roman"/>
        <w:color w:val="000000"/>
        <w:spacing w:val="-1"/>
        <w:w w:val="100"/>
        <w:sz w:val="24"/>
        <w:vertAlign w:val="baseline"/>
        <w:lang w:val="en-US"/>
      </w:rPr>
    </w:lvl>
  </w:abstractNum>
  <w:abstractNum w:abstractNumId="18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8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8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88">
    <w:lvl w:ilvl="0">
      <w:start w:val="2"/>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8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90">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9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9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9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94">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9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9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97">
    <w:lvl w:ilvl="0">
      <w:start w:val="4"/>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9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9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00">
    <w:lvl w:ilvl="0">
      <w:start w:val="2"/>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0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0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03">
    <w:lvl w:ilvl="0">
      <w:start w:val="5"/>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0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05">
    <w:lvl w:ilvl="0">
      <w:start w:val="1"/>
      <w:numFmt w:val="decimal"/>
      <w:lvlText w:val="(%1)"/>
      <w:pPr>
        <w:tabs>
          <w:tab w:val="left" w:pos="360"/>
        </w:tabs>
      </w:pPr>
      <w:rPr>
        <w:rFonts w:ascii="Times New Roman" w:hAnsi="Times New Roman" w:eastAsia="Times New Roman"/>
        <w:color w:val="000000"/>
        <w:spacing w:val="-1"/>
        <w:w w:val="100"/>
        <w:sz w:val="24"/>
        <w:vertAlign w:val="baseline"/>
        <w:lang w:val="en-US"/>
      </w:rPr>
    </w:lvl>
  </w:abstractNum>
  <w:abstractNum w:abstractNumId="20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0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0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09">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1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1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1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1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1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15">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1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17">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18">
    <w:lvl w:ilvl="0">
      <w:start w:val="3"/>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1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20">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21">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22">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22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2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25">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2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27">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28">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22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3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31">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232">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233">
    <w:lvl w:ilvl="0">
      <w:start w:val="4"/>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34">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3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3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37">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3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3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4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4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4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43">
    <w:lvl w:ilvl="0">
      <w:start w:val="2"/>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4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45">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4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4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48">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24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5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51">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252">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253">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25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5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5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5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5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59">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60">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261">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62">
    <w:lvl w:ilvl="0">
      <w:start w:val="1"/>
      <w:numFmt w:val="lowerLetter"/>
      <w:lvlText w:val="(%1)"/>
      <w:pPr>
        <w:tabs>
          <w:tab w:val="left" w:pos="360"/>
        </w:tabs>
      </w:pPr>
      <w:rPr>
        <w:rFonts w:ascii="Times New Roman" w:hAnsi="Times New Roman" w:eastAsia="Times New Roman"/>
        <w:color w:val="000000"/>
        <w:spacing w:val="-1"/>
        <w:w w:val="100"/>
        <w:sz w:val="24"/>
        <w:vertAlign w:val="baseline"/>
        <w:lang w:val="en-US"/>
      </w:rPr>
    </w:lvl>
  </w:abstractNum>
  <w:abstractNum w:abstractNumId="263">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26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65">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6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6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68">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26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7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7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7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73">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7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75">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7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77">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7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7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8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8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82">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8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84">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285">
    <w:lvl w:ilvl="0">
      <w:start w:val="1"/>
      <w:numFmt w:val="lowerLetter"/>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286">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87">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288">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289">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29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9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9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9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9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9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9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9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9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299">
    <w:lvl w:ilvl="0">
      <w:start w:val="2"/>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300">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30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02">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0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0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0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06">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30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08">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0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10">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31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1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13">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31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15">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1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1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1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19">
    <w:lvl w:ilvl="0">
      <w:start w:val="2"/>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2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21">
    <w:lvl w:ilvl="0">
      <w:start w:val="3"/>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2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23">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2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25">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2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27">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2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29">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30">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331">
    <w:lvl w:ilvl="0">
      <w:start w:val="1"/>
      <w:numFmt w:val="decimal"/>
      <w:lvlText w:val="(%1)"/>
      <w:pPr>
        <w:tabs>
          <w:tab w:val="left" w:pos="360"/>
        </w:tabs>
      </w:pPr>
      <w:rPr>
        <w:rFonts w:ascii="Times New Roman" w:hAnsi="Times New Roman" w:eastAsia="Times New Roman"/>
        <w:color w:val="000000"/>
        <w:spacing w:val="-1"/>
        <w:w w:val="100"/>
        <w:sz w:val="24"/>
        <w:vertAlign w:val="baseline"/>
        <w:lang w:val="en-US"/>
      </w:rPr>
    </w:lvl>
  </w:abstractNum>
  <w:abstractNum w:abstractNumId="332">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333">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33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3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36">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3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38">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39">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340">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341">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342">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43">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344">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345">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346">
    <w:lvl w:ilvl="0">
      <w:start w:val="1"/>
      <w:numFmt w:val="lowerLetter"/>
      <w:lvlText w:val="(%1)"/>
      <w:pPr>
        <w:tabs>
          <w:tab w:val="left" w:pos="432"/>
        </w:tabs>
      </w:pPr>
      <w:rPr>
        <w:rFonts w:ascii="Times New Roman" w:hAnsi="Times New Roman" w:eastAsia="Times New Roman"/>
        <w:color w:val="000000"/>
        <w:spacing w:val="-1"/>
        <w:w w:val="100"/>
        <w:sz w:val="24"/>
        <w:vertAlign w:val="baseline"/>
        <w:lang w:val="en-US"/>
      </w:rPr>
    </w:lvl>
  </w:abstractNum>
  <w:abstractNum w:abstractNumId="347">
    <w:lvl w:ilvl="0">
      <w:start w:val="4"/>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4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4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5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51">
    <w:lvl w:ilvl="0">
      <w:start w:val="4"/>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5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5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5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55">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56">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57">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5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5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6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6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6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63">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64">
    <w:lvl w:ilvl="0">
      <w:start w:val="1"/>
      <w:numFmt w:val="decimal"/>
      <w:lvlText w:val="(%1)"/>
      <w:pPr>
        <w:tabs>
          <w:tab w:val="left" w:pos="360"/>
        </w:tabs>
      </w:pPr>
      <w:rPr>
        <w:rFonts w:ascii="Times New Roman" w:hAnsi="Times New Roman" w:eastAsia="Times New Roman"/>
        <w:color w:val="000000"/>
        <w:spacing w:val="-1"/>
        <w:w w:val="100"/>
        <w:sz w:val="24"/>
        <w:vertAlign w:val="baseline"/>
        <w:lang w:val="en-US"/>
      </w:rPr>
    </w:lvl>
  </w:abstractNum>
  <w:abstractNum w:abstractNumId="36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6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67">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36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69">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7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7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72">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73">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7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75">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37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77">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7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79">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80">
    <w:lvl w:ilvl="0">
      <w:start w:val="1"/>
      <w:numFmt w:val="decimal"/>
      <w:lvlText w:val="(%1)"/>
      <w:pPr>
        <w:tabs>
          <w:tab w:val="left" w:pos="360"/>
        </w:tabs>
      </w:pPr>
      <w:rPr>
        <w:rFonts w:ascii="Times New Roman" w:hAnsi="Times New Roman" w:eastAsia="Times New Roman"/>
        <w:color w:val="000000"/>
        <w:spacing w:val="1"/>
        <w:w w:val="100"/>
        <w:sz w:val="24"/>
        <w:vertAlign w:val="baseline"/>
        <w:lang w:val="en-US"/>
      </w:rPr>
    </w:lvl>
  </w:abstractNum>
  <w:abstractNum w:abstractNumId="381">
    <w:lvl w:ilvl="0">
      <w:start w:val="1"/>
      <w:numFmt w:val="lowerLetter"/>
      <w:lvlText w:val="(%1)"/>
      <w:pPr>
        <w:tabs>
          <w:tab w:val="left" w:pos="360"/>
        </w:tabs>
      </w:pPr>
      <w:rPr>
        <w:rFonts w:ascii="Times New Roman" w:hAnsi="Times New Roman" w:eastAsia="Times New Roman"/>
        <w:color w:val="000000"/>
        <w:spacing w:val="-1"/>
        <w:w w:val="100"/>
        <w:sz w:val="24"/>
        <w:vertAlign w:val="baseline"/>
        <w:lang w:val="en-US"/>
      </w:rPr>
    </w:lvl>
  </w:abstractNum>
  <w:abstractNum w:abstractNumId="38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8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8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8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86">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87">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8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89">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90">
    <w:lvl w:ilvl="0">
      <w:start w:val="1"/>
      <w:numFmt w:val="decimal"/>
      <w:lvlText w:val="(%1)"/>
      <w:pPr>
        <w:tabs>
          <w:tab w:val="left" w:pos="360"/>
        </w:tabs>
      </w:pPr>
      <w:rPr>
        <w:rFonts w:ascii="Times New Roman" w:hAnsi="Times New Roman" w:eastAsia="Times New Roman"/>
        <w:color w:val="000000"/>
        <w:spacing w:val="-1"/>
        <w:w w:val="100"/>
        <w:sz w:val="24"/>
        <w:vertAlign w:val="baseline"/>
        <w:lang w:val="en-US"/>
      </w:rPr>
    </w:lvl>
  </w:abstractNum>
  <w:abstractNum w:abstractNumId="391">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39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93">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9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9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96">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9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98">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39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0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01">
    <w:lvl w:ilvl="0">
      <w:start w:val="5"/>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0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03">
    <w:lvl w:ilvl="0">
      <w:start w:val="2"/>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0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05">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06">
    <w:lvl w:ilvl="0">
      <w:start w:val="1"/>
      <w:numFmt w:val="lowerLetter"/>
      <w:lvlText w:val="(%1)"/>
      <w:pPr>
        <w:tabs>
          <w:tab w:val="left" w:pos="432"/>
        </w:tabs>
      </w:pPr>
      <w:rPr>
        <w:rFonts w:ascii="Times New Roman" w:hAnsi="Times New Roman" w:eastAsia="Times New Roman"/>
        <w:color w:val="000000"/>
        <w:spacing w:val="-1"/>
        <w:w w:val="100"/>
        <w:sz w:val="24"/>
        <w:vertAlign w:val="baseline"/>
        <w:lang w:val="en-US"/>
      </w:rPr>
    </w:lvl>
  </w:abstractNum>
  <w:abstractNum w:abstractNumId="407">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408">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0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1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1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1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1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1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1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1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17">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18">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19">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20">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421">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22">
    <w:lvl w:ilvl="0">
      <w:start w:val="5"/>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2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24">
    <w:lvl w:ilvl="0">
      <w:start w:val="1"/>
      <w:numFmt w:val="lowerRoman"/>
      <w:lvlText w:val="(%1)"/>
      <w:pPr>
        <w:tabs>
          <w:tab w:val="left" w:pos="432"/>
        </w:tabs>
      </w:pPr>
      <w:rPr>
        <w:rFonts w:ascii="Times New Roman" w:hAnsi="Times New Roman" w:eastAsia="Times New Roman"/>
        <w:color w:val="000000"/>
        <w:spacing w:val="-2"/>
        <w:w w:val="100"/>
        <w:sz w:val="24"/>
        <w:vertAlign w:val="baseline"/>
        <w:lang w:val="en-US"/>
      </w:rPr>
    </w:lvl>
  </w:abstractNum>
  <w:abstractNum w:abstractNumId="425">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2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27">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2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29">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30">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3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32">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33">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434">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435">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436">
    <w:lvl w:ilvl="0">
      <w:start w:val="1"/>
      <w:numFmt w:val="upp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37">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43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3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40">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4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42">
    <w:lvl w:ilvl="0">
      <w:start w:val="1"/>
      <w:numFmt w:val="decimal"/>
      <w:lvlText w:val="(%1)"/>
      <w:pPr>
        <w:tabs>
          <w:tab w:val="left" w:pos="360"/>
        </w:tabs>
      </w:pPr>
      <w:rPr>
        <w:rFonts w:ascii="Times New Roman" w:hAnsi="Times New Roman" w:eastAsia="Times New Roman"/>
        <w:color w:val="000000"/>
        <w:spacing w:val="-1"/>
        <w:w w:val="100"/>
        <w:sz w:val="24"/>
        <w:vertAlign w:val="baseline"/>
        <w:lang w:val="en-US"/>
      </w:rPr>
    </w:lvl>
  </w:abstractNum>
  <w:abstractNum w:abstractNumId="443">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44">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45">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4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47">
    <w:lvl w:ilvl="0">
      <w:start w:val="1"/>
      <w:numFmt w:val="lowerRoman"/>
      <w:lvlText w:val="(%1)"/>
      <w:pPr>
        <w:tabs>
          <w:tab w:val="left" w:pos="432"/>
        </w:tabs>
      </w:pPr>
      <w:rPr>
        <w:rFonts w:ascii="Times New Roman" w:hAnsi="Times New Roman" w:eastAsia="Times New Roman"/>
        <w:color w:val="000000"/>
        <w:spacing w:val="-2"/>
        <w:w w:val="100"/>
        <w:sz w:val="24"/>
        <w:vertAlign w:val="baseline"/>
        <w:lang w:val="en-US"/>
      </w:rPr>
    </w:lvl>
  </w:abstractNum>
  <w:abstractNum w:abstractNumId="448">
    <w:lvl w:ilvl="0">
      <w:start w:val="3"/>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4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5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51">
    <w:lvl w:ilvl="0">
      <w:start w:val="1"/>
      <w:numFmt w:val="lowerLetter"/>
      <w:lvlText w:val="(%1)"/>
      <w:pPr>
        <w:tabs>
          <w:tab w:val="left" w:pos="360"/>
        </w:tabs>
      </w:pPr>
      <w:rPr>
        <w:rFonts w:ascii="Times New Roman" w:hAnsi="Times New Roman" w:eastAsia="Times New Roman"/>
        <w:color w:val="000000"/>
        <w:spacing w:val="-1"/>
        <w:w w:val="100"/>
        <w:sz w:val="24"/>
        <w:vertAlign w:val="baseline"/>
        <w:lang w:val="en-US"/>
      </w:rPr>
    </w:lvl>
  </w:abstractNum>
  <w:abstractNum w:abstractNumId="452">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53">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5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5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5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57">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5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5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6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61">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6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6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6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65">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6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67">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68">
    <w:lvl w:ilvl="0">
      <w:start w:val="9"/>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469">
    <w:lvl w:ilvl="0">
      <w:start w:val="3"/>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70">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471">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472">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73">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74">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75">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7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7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7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79">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8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81">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82">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8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84">
    <w:lvl w:ilvl="0">
      <w:start w:val="1"/>
      <w:numFmt w:val="decimal"/>
      <w:lvlText w:val="(%1)"/>
      <w:pPr>
        <w:tabs>
          <w:tab w:val="left" w:pos="360"/>
        </w:tabs>
      </w:pPr>
      <w:rPr>
        <w:rFonts w:ascii="Times New Roman" w:hAnsi="Times New Roman" w:eastAsia="Times New Roman"/>
        <w:color w:val="000000"/>
        <w:spacing w:val="-1"/>
        <w:w w:val="100"/>
        <w:sz w:val="24"/>
        <w:vertAlign w:val="baseline"/>
        <w:lang w:val="en-US"/>
      </w:rPr>
    </w:lvl>
  </w:abstractNum>
  <w:abstractNum w:abstractNumId="485">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486">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48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8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89">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9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9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9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9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9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95">
    <w:lvl w:ilvl="0">
      <w:start w:val="2"/>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9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9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9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499">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500">
    <w:lvl w:ilvl="0">
      <w:start w:val="1"/>
      <w:numFmt w:val="lowerRoman"/>
      <w:lvlText w:val="(%1)"/>
      <w:pPr>
        <w:tabs>
          <w:tab w:val="left" w:pos="576"/>
        </w:tabs>
      </w:pPr>
      <w:rPr>
        <w:rFonts w:ascii="Times New Roman" w:hAnsi="Times New Roman" w:eastAsia="Times New Roman"/>
        <w:color w:val="000000"/>
        <w:spacing w:val="0"/>
        <w:w w:val="100"/>
        <w:sz w:val="24"/>
        <w:vertAlign w:val="baseline"/>
        <w:lang w:val="en-US"/>
      </w:rPr>
    </w:lvl>
  </w:abstractNum>
  <w:abstractNum w:abstractNumId="50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0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03">
    <w:lvl w:ilvl="0">
      <w:start w:val="1"/>
      <w:numFmt w:val="lowerRoman"/>
      <w:lvlText w:val="(%1)"/>
      <w:pPr>
        <w:tabs>
          <w:tab w:val="left" w:pos="576"/>
        </w:tabs>
      </w:pPr>
      <w:rPr>
        <w:rFonts w:ascii="Times New Roman" w:hAnsi="Times New Roman" w:eastAsia="Times New Roman"/>
        <w:color w:val="000000"/>
        <w:spacing w:val="0"/>
        <w:w w:val="100"/>
        <w:sz w:val="24"/>
        <w:vertAlign w:val="baseline"/>
        <w:lang w:val="en-US"/>
      </w:rPr>
    </w:lvl>
  </w:abstractNum>
  <w:abstractNum w:abstractNumId="504">
    <w:lvl w:ilvl="0">
      <w:start w:val="4"/>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05">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50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0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0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09">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1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1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12">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513">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514">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515">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516">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17">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1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1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20">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21">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52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2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24">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2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26">
    <w:lvl w:ilvl="0">
      <w:start w:val="2"/>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27">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2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29">
    <w:lvl w:ilvl="0">
      <w:start w:val="2"/>
      <w:numFmt w:val="lowerLetter"/>
      <w:lvlText w:val="(%1)"/>
      <w:pPr>
        <w:tabs>
          <w:tab w:val="left" w:pos="288"/>
        </w:tabs>
      </w:pPr>
      <w:rPr>
        <w:rFonts w:ascii="Times New Roman" w:hAnsi="Times New Roman" w:eastAsia="Times New Roman"/>
        <w:color w:val="000000"/>
        <w:spacing w:val="-1"/>
        <w:w w:val="100"/>
        <w:sz w:val="24"/>
        <w:vertAlign w:val="baseline"/>
        <w:lang w:val="en-US"/>
      </w:rPr>
    </w:lvl>
  </w:abstractNum>
  <w:abstractNum w:abstractNumId="53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3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32">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3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3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35">
    <w:lvl w:ilvl="0">
      <w:start w:val="1"/>
      <w:numFmt w:val="lowerLetter"/>
      <w:lvlText w:val="(%1)"/>
      <w:pPr>
        <w:tabs>
          <w:tab w:val="left" w:pos="360"/>
        </w:tabs>
      </w:pPr>
      <w:rPr>
        <w:rFonts w:ascii="Times New Roman" w:hAnsi="Times New Roman" w:eastAsia="Times New Roman"/>
        <w:color w:val="000000"/>
        <w:spacing w:val="-1"/>
        <w:w w:val="100"/>
        <w:sz w:val="24"/>
        <w:vertAlign w:val="baseline"/>
        <w:lang w:val="en-US"/>
      </w:rPr>
    </w:lvl>
  </w:abstractNum>
  <w:abstractNum w:abstractNumId="53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37">
    <w:lvl w:ilvl="0">
      <w:start w:val="1"/>
      <w:numFmt w:val="lowerLetter"/>
      <w:lvlText w:val="(%1)"/>
      <w:pPr>
        <w:tabs>
          <w:tab w:val="left" w:pos="360"/>
        </w:tabs>
      </w:pPr>
      <w:rPr>
        <w:rFonts w:ascii="Times New Roman" w:hAnsi="Times New Roman" w:eastAsia="Times New Roman"/>
        <w:color w:val="000000"/>
        <w:spacing w:val="-1"/>
        <w:w w:val="100"/>
        <w:sz w:val="24"/>
        <w:vertAlign w:val="baseline"/>
        <w:lang w:val="en-US"/>
      </w:rPr>
    </w:lvl>
  </w:abstractNum>
  <w:abstractNum w:abstractNumId="538">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39">
    <w:lvl w:ilvl="0">
      <w:start w:val="2"/>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4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41">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42">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54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4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4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4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47">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4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49">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5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51">
    <w:lvl w:ilvl="0">
      <w:start w:val="1"/>
      <w:numFmt w:val="lowerLetter"/>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552">
    <w:lvl w:ilvl="0">
      <w:start w:val="7"/>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53">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554">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5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5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5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5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5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60">
    <w:lvl w:ilvl="0">
      <w:start w:val="2"/>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6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6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6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64">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565">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56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6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6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6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7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7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7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7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74">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57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7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77">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7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7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8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81">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8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8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84">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8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8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8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88">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8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90">
    <w:lvl w:ilvl="0">
      <w:start w:val="3"/>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9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92">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93">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9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95">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596">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59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9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599">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0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0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0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0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04">
    <w:lvl w:ilvl="0">
      <w:start w:val="2"/>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0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06">
    <w:lvl w:ilvl="0">
      <w:start w:val="1"/>
      <w:numFmt w:val="decimal"/>
      <w:lvlText w:val="(%1)"/>
      <w:pPr>
        <w:tabs>
          <w:tab w:val="left" w:pos="360"/>
        </w:tabs>
      </w:pPr>
      <w:rPr>
        <w:rFonts w:ascii="Times New Roman" w:hAnsi="Times New Roman" w:eastAsia="Times New Roman"/>
        <w:color w:val="000000"/>
        <w:spacing w:val="-1"/>
        <w:w w:val="100"/>
        <w:sz w:val="24"/>
        <w:vertAlign w:val="baseline"/>
        <w:lang w:val="en-US"/>
      </w:rPr>
    </w:lvl>
  </w:abstractNum>
  <w:abstractNum w:abstractNumId="60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08">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609">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1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11">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12">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13">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1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15">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16">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617">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18">
    <w:lvl w:ilvl="0">
      <w:start w:val="1"/>
      <w:numFmt w:val="lowerLetter"/>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619">
    <w:lvl w:ilvl="0">
      <w:start w:val="1"/>
      <w:numFmt w:val="lowerLetter"/>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620">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21">
    <w:lvl w:ilvl="0">
      <w:start w:val="0"/>
      <w:numFmt w:val="bullet"/>
      <w:lvlText w:val="·"/>
      <w:pPr>
        <w:tabs>
          <w:tab w:val="left" w:pos="288"/>
        </w:tabs>
      </w:pPr>
      <w:rPr>
        <w:rFonts w:ascii="Symbol" w:hAnsi="Symbol" w:eastAsia="Symbol"/>
        <w:color w:val="000000"/>
        <w:spacing w:val="-3"/>
        <w:w w:val="100"/>
        <w:sz w:val="20"/>
        <w:vertAlign w:val="baseline"/>
        <w:lang w:val="en-US"/>
      </w:rPr>
    </w:lvl>
  </w:abstractNum>
  <w:abstractNum w:abstractNumId="62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2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2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25">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26">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62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28">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29">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30">
    <w:lvl w:ilvl="0">
      <w:start w:val="1"/>
      <w:numFmt w:val="lowerLetter"/>
      <w:lvlText w:val="(%1)"/>
      <w:pPr>
        <w:tabs>
          <w:tab w:val="left" w:pos="360"/>
        </w:tabs>
      </w:pPr>
      <w:rPr>
        <w:rFonts w:ascii="Times New Roman" w:hAnsi="Times New Roman" w:eastAsia="Times New Roman"/>
        <w:color w:val="000000"/>
        <w:spacing w:val="-1"/>
        <w:w w:val="100"/>
        <w:sz w:val="24"/>
        <w:vertAlign w:val="baseline"/>
        <w:lang w:val="en-US"/>
      </w:rPr>
    </w:lvl>
  </w:abstractNum>
  <w:abstractNum w:abstractNumId="63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32">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33">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34">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3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3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37">
    <w:lvl w:ilvl="0">
      <w:start w:val="3"/>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3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39">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40">
    <w:lvl w:ilvl="0">
      <w:start w:val="1"/>
      <w:numFmt w:val="lowerLetter"/>
      <w:lvlText w:val="(%1)"/>
      <w:pPr>
        <w:tabs>
          <w:tab w:val="left" w:pos="360"/>
        </w:tabs>
      </w:pPr>
      <w:rPr>
        <w:rFonts w:ascii="Times New Roman" w:hAnsi="Times New Roman" w:eastAsia="Times New Roman"/>
        <w:color w:val="000000"/>
        <w:spacing w:val="-1"/>
        <w:w w:val="100"/>
        <w:sz w:val="24"/>
        <w:vertAlign w:val="baseline"/>
        <w:lang w:val="en-US"/>
      </w:rPr>
    </w:lvl>
  </w:abstractNum>
  <w:abstractNum w:abstractNumId="64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42">
    <w:lvl w:ilvl="0">
      <w:start w:val="1"/>
      <w:numFmt w:val="decimal"/>
      <w:lvlText w:val="(%1)"/>
      <w:pPr>
        <w:tabs>
          <w:tab w:val="left" w:pos="360"/>
        </w:tabs>
      </w:pPr>
      <w:rPr>
        <w:rFonts w:ascii="Times New Roman" w:hAnsi="Times New Roman" w:eastAsia="Times New Roman"/>
        <w:color w:val="000000"/>
        <w:spacing w:val="-1"/>
        <w:w w:val="100"/>
        <w:sz w:val="24"/>
        <w:vertAlign w:val="baseline"/>
        <w:lang w:val="en-US"/>
      </w:rPr>
    </w:lvl>
  </w:abstractNum>
  <w:abstractNum w:abstractNumId="64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44">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45">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64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4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48">
    <w:lvl w:ilvl="0">
      <w:start w:val="2"/>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4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5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5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52">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5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54">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55">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656">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5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58">
    <w:lvl w:ilvl="0">
      <w:start w:val="1"/>
      <w:numFmt w:val="lowerLetter"/>
      <w:lvlText w:val="(%1)"/>
      <w:pPr>
        <w:tabs>
          <w:tab w:val="left" w:pos="360"/>
        </w:tabs>
      </w:pPr>
      <w:rPr>
        <w:rFonts w:ascii="Times New Roman" w:hAnsi="Times New Roman" w:eastAsia="Times New Roman"/>
        <w:color w:val="000000"/>
        <w:spacing w:val="-1"/>
        <w:w w:val="100"/>
        <w:sz w:val="24"/>
        <w:vertAlign w:val="baseline"/>
        <w:lang w:val="en-US"/>
      </w:rPr>
    </w:lvl>
  </w:abstractNum>
  <w:abstractNum w:abstractNumId="659">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60">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6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6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6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64">
    <w:lvl w:ilvl="0">
      <w:start w:val="2"/>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6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66">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667">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68">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6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7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7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72">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7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74">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7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7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77">
    <w:lvl w:ilvl="0">
      <w:start w:val="1"/>
      <w:numFmt w:val="lowerRoman"/>
      <w:lvlText w:val="(%1)"/>
      <w:pPr>
        <w:tabs>
          <w:tab w:val="left" w:pos="360"/>
        </w:tabs>
      </w:pPr>
      <w:rPr>
        <w:rFonts w:ascii="Times New Roman" w:hAnsi="Times New Roman" w:eastAsia="Times New Roman"/>
        <w:color w:val="000000"/>
        <w:spacing w:val="-1"/>
        <w:w w:val="100"/>
        <w:sz w:val="24"/>
        <w:vertAlign w:val="baseline"/>
        <w:lang w:val="en-US"/>
      </w:rPr>
    </w:lvl>
  </w:abstractNum>
  <w:abstractNum w:abstractNumId="678">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79">
    <w:lvl w:ilvl="0">
      <w:start w:val="2"/>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8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81">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682">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683">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684">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85">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686">
    <w:lvl w:ilvl="0">
      <w:start w:val="3"/>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8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8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89">
    <w:lvl w:ilvl="0">
      <w:start w:val="1"/>
      <w:numFmt w:val="decimal"/>
      <w:lvlText w:val="(%1)"/>
      <w:pPr>
        <w:tabs>
          <w:tab w:val="left" w:pos="360"/>
        </w:tabs>
      </w:pPr>
      <w:rPr>
        <w:rFonts w:ascii="Times New Roman" w:hAnsi="Times New Roman" w:eastAsia="Times New Roman"/>
        <w:color w:val="000000"/>
        <w:spacing w:val="-1"/>
        <w:w w:val="100"/>
        <w:sz w:val="24"/>
        <w:vertAlign w:val="baseline"/>
        <w:lang w:val="en-US"/>
      </w:rPr>
    </w:lvl>
  </w:abstractNum>
  <w:abstractNum w:abstractNumId="69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9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9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9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94">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9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96">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697">
    <w:lvl w:ilvl="0">
      <w:start w:val="1"/>
      <w:numFmt w:val="decimal"/>
      <w:lvlText w:val="(%1)"/>
      <w:pPr>
        <w:tabs>
          <w:tab w:val="left" w:pos="360"/>
        </w:tabs>
      </w:pPr>
      <w:rPr>
        <w:rFonts w:ascii="Times New Roman" w:hAnsi="Times New Roman" w:eastAsia="Times New Roman"/>
        <w:color w:val="000000"/>
        <w:spacing w:val="-1"/>
        <w:w w:val="100"/>
        <w:sz w:val="24"/>
        <w:vertAlign w:val="baseline"/>
        <w:lang w:val="en-US"/>
      </w:rPr>
    </w:lvl>
  </w:abstractNum>
  <w:abstractNum w:abstractNumId="698">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699">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00">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701">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702">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03">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0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05">
    <w:lvl w:ilvl="0">
      <w:start w:val="2"/>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06">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0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08">
    <w:lvl w:ilvl="0">
      <w:start w:val="1"/>
      <w:numFmt w:val="decimal"/>
      <w:lvlText w:val="(%1)"/>
      <w:pPr>
        <w:tabs>
          <w:tab w:val="left" w:pos="360"/>
        </w:tabs>
      </w:pPr>
      <w:rPr>
        <w:rFonts w:ascii="Times New Roman" w:hAnsi="Times New Roman" w:eastAsia="Times New Roman"/>
        <w:color w:val="000000"/>
        <w:spacing w:val="-1"/>
        <w:w w:val="100"/>
        <w:sz w:val="24"/>
        <w:vertAlign w:val="baseline"/>
        <w:lang w:val="en-US"/>
      </w:rPr>
    </w:lvl>
  </w:abstractNum>
  <w:abstractNum w:abstractNumId="709">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710">
    <w:lvl w:ilvl="0">
      <w:start w:val="4"/>
      <w:numFmt w:val="decimal"/>
      <w:lvlText w:val="(%1)"/>
      <w:pPr>
        <w:tabs>
          <w:tab w:val="left" w:pos="360"/>
        </w:tabs>
      </w:pPr>
      <w:rPr>
        <w:rFonts w:ascii="Times New Roman" w:hAnsi="Times New Roman" w:eastAsia="Times New Roman"/>
        <w:color w:val="000000"/>
        <w:spacing w:val="-1"/>
        <w:w w:val="100"/>
        <w:sz w:val="24"/>
        <w:vertAlign w:val="baseline"/>
        <w:lang w:val="en-US"/>
      </w:rPr>
    </w:lvl>
  </w:abstractNum>
  <w:abstractNum w:abstractNumId="711">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1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1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14">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1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1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17">
    <w:lvl w:ilvl="0">
      <w:start w:val="1"/>
      <w:numFmt w:val="decimal"/>
      <w:lvlText w:val="(%1)"/>
      <w:pPr>
        <w:tabs>
          <w:tab w:val="left" w:pos="360"/>
        </w:tabs>
      </w:pPr>
      <w:rPr>
        <w:rFonts w:ascii="Times New Roman" w:hAnsi="Times New Roman" w:eastAsia="Times New Roman"/>
        <w:color w:val="000000"/>
        <w:spacing w:val="-1"/>
        <w:w w:val="100"/>
        <w:sz w:val="24"/>
        <w:vertAlign w:val="baseline"/>
        <w:lang w:val="en-US"/>
      </w:rPr>
    </w:lvl>
  </w:abstractNum>
  <w:abstractNum w:abstractNumId="718">
    <w:lvl w:ilvl="0">
      <w:start w:val="2"/>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1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20">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21">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22">
    <w:lvl w:ilvl="0">
      <w:start w:val="4"/>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2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2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2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2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2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2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2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3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3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3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3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3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35">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36">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37">
    <w:lvl w:ilvl="0">
      <w:start w:val="1"/>
      <w:numFmt w:val="decimal"/>
      <w:lvlText w:val="(%1)"/>
      <w:pPr>
        <w:tabs>
          <w:tab w:val="left" w:pos="360"/>
        </w:tabs>
      </w:pPr>
      <w:rPr>
        <w:rFonts w:ascii="Times New Roman" w:hAnsi="Times New Roman" w:eastAsia="Times New Roman"/>
        <w:color w:val="000000"/>
        <w:spacing w:val="-1"/>
        <w:w w:val="100"/>
        <w:sz w:val="24"/>
        <w:vertAlign w:val="baseline"/>
        <w:lang w:val="en-US"/>
      </w:rPr>
    </w:lvl>
  </w:abstractNum>
  <w:abstractNum w:abstractNumId="73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39">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4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41">
    <w:lvl w:ilvl="0">
      <w:start w:val="1"/>
      <w:numFmt w:val="lowerLetter"/>
      <w:lvlText w:val="(%1)"/>
      <w:pPr>
        <w:tabs>
          <w:tab w:val="left" w:pos="288"/>
        </w:tabs>
      </w:pPr>
      <w:rPr>
        <w:rFonts w:ascii="Times New Roman" w:hAnsi="Times New Roman" w:eastAsia="Times New Roman"/>
        <w:color w:val="000000"/>
        <w:spacing w:val="1"/>
        <w:w w:val="100"/>
        <w:sz w:val="24"/>
        <w:vertAlign w:val="baseline"/>
        <w:lang w:val="en-US"/>
      </w:rPr>
    </w:lvl>
  </w:abstractNum>
  <w:abstractNum w:abstractNumId="74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4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4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4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4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47">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4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4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5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51">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5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5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5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55">
    <w:lvl w:ilvl="0">
      <w:start w:val="2"/>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5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5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5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5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6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6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6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63">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6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6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6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6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68">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6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7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71">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7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73">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74">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77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7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77">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778">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77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8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8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8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8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8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8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8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8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88">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89">
    <w:lvl w:ilvl="0">
      <w:start w:val="1"/>
      <w:numFmt w:val="lowerLetter"/>
      <w:lvlText w:val="(%1)"/>
      <w:pPr>
        <w:tabs>
          <w:tab w:val="left" w:pos="360"/>
        </w:tabs>
      </w:pPr>
      <w:rPr>
        <w:rFonts w:ascii="Times New Roman" w:hAnsi="Times New Roman" w:eastAsia="Times New Roman"/>
        <w:color w:val="000000"/>
        <w:spacing w:val="-1"/>
        <w:w w:val="100"/>
        <w:sz w:val="24"/>
        <w:vertAlign w:val="baseline"/>
        <w:lang w:val="en-US"/>
      </w:rPr>
    </w:lvl>
  </w:abstractNum>
  <w:abstractNum w:abstractNumId="790">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91">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9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9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94">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9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9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9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9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799">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800">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801">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80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03">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80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0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0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07">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0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0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1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11">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1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13">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14">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1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1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1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1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1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2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2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2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23">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24">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25">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826">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27">
    <w:lvl w:ilvl="0">
      <w:start w:val="1"/>
      <w:numFmt w:val="upperLetter"/>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828">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82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3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3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32">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3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34">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35">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3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37">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38">
    <w:lvl w:ilvl="0">
      <w:start w:val="1"/>
      <w:numFmt w:val="upp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39">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40">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841">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4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43">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844">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45">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846">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47">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848">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49">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85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5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52">
    <w:lvl w:ilvl="0">
      <w:start w:val="3"/>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53">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854">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855">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56">
    <w:lvl w:ilvl="0">
      <w:start w:val="1"/>
      <w:numFmt w:val="lowerRoman"/>
      <w:lvlText w:val="(%1)"/>
      <w:pPr>
        <w:tabs>
          <w:tab w:val="left" w:pos="576"/>
        </w:tabs>
      </w:pPr>
      <w:rPr>
        <w:rFonts w:ascii="Times New Roman" w:hAnsi="Times New Roman" w:eastAsia="Times New Roman"/>
        <w:color w:val="000000"/>
        <w:spacing w:val="0"/>
        <w:w w:val="100"/>
        <w:sz w:val="24"/>
        <w:vertAlign w:val="baseline"/>
        <w:lang w:val="en-US"/>
      </w:rPr>
    </w:lvl>
  </w:abstractNum>
  <w:abstractNum w:abstractNumId="85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58">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859">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860">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6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62">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63">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6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65">
    <w:lvl w:ilvl="0">
      <w:start w:val="3"/>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6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67">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6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6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70">
    <w:lvl w:ilvl="0">
      <w:start w:val="2"/>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71">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7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7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7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75">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76">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877">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878">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879">
    <w:lvl w:ilvl="0">
      <w:start w:val="1"/>
      <w:numFmt w:val="lowerRoman"/>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880">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88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8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8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8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85">
    <w:lvl w:ilvl="0">
      <w:start w:val="1"/>
      <w:numFmt w:val="decimal"/>
      <w:lvlText w:val="(%1)"/>
      <w:pPr>
        <w:tabs>
          <w:tab w:val="left" w:pos="360"/>
        </w:tabs>
      </w:pPr>
      <w:rPr>
        <w:rFonts w:ascii="Times New Roman" w:hAnsi="Times New Roman" w:eastAsia="Times New Roman"/>
        <w:color w:val="000000"/>
        <w:spacing w:val="-1"/>
        <w:w w:val="100"/>
        <w:sz w:val="24"/>
        <w:vertAlign w:val="baseline"/>
        <w:lang w:val="en-US"/>
      </w:rPr>
    </w:lvl>
  </w:abstractNum>
  <w:abstractNum w:abstractNumId="88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8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88">
    <w:lvl w:ilvl="0">
      <w:start w:val="2"/>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889">
    <w:lvl w:ilvl="0">
      <w:start w:val="2"/>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90">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891">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892">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893">
    <w:lvl w:ilvl="0">
      <w:start w:val="5"/>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9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9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96">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9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98">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899">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900">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01">
    <w:lvl w:ilvl="0">
      <w:start w:val="1"/>
      <w:numFmt w:val="lowerLetter"/>
      <w:lvlText w:val="(%1)"/>
      <w:pPr>
        <w:tabs>
          <w:tab w:val="left" w:pos="288"/>
        </w:tabs>
      </w:pPr>
      <w:rPr>
        <w:rFonts w:ascii="Times New Roman" w:hAnsi="Times New Roman" w:eastAsia="Times New Roman"/>
        <w:color w:val="000000"/>
        <w:spacing w:val="0"/>
        <w:w w:val="100"/>
        <w:sz w:val="20"/>
        <w:vertAlign w:val="baseline"/>
        <w:lang w:val="en-US"/>
      </w:rPr>
    </w:lvl>
  </w:abstractNum>
  <w:abstractNum w:abstractNumId="902">
    <w:lvl w:ilvl="0">
      <w:start w:val="1"/>
      <w:numFmt w:val="lowerRoman"/>
      <w:lvlText w:val="(%1)"/>
      <w:pPr>
        <w:tabs>
          <w:tab w:val="left" w:pos="288"/>
        </w:tabs>
      </w:pPr>
      <w:rPr>
        <w:rFonts w:ascii="Times New Roman" w:hAnsi="Times New Roman" w:eastAsia="Times New Roman"/>
        <w:color w:val="000000"/>
        <w:spacing w:val="0"/>
        <w:w w:val="100"/>
        <w:sz w:val="20"/>
        <w:vertAlign w:val="baseline"/>
        <w:lang w:val="en-US"/>
      </w:rPr>
    </w:lvl>
  </w:abstractNum>
  <w:abstractNum w:abstractNumId="903">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0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05">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06">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907">
    <w:lvl w:ilvl="0">
      <w:start w:val="1"/>
      <w:numFmt w:val="lowerLetter"/>
      <w:lvlText w:val="(%1)"/>
      <w:pPr>
        <w:tabs>
          <w:tab w:val="left" w:pos="432"/>
        </w:tabs>
      </w:pPr>
      <w:rPr>
        <w:rFonts w:ascii="Times New Roman" w:hAnsi="Times New Roman" w:eastAsia="Times New Roman"/>
        <w:color w:val="000000"/>
        <w:spacing w:val="-2"/>
        <w:w w:val="100"/>
        <w:sz w:val="24"/>
        <w:vertAlign w:val="baseline"/>
        <w:lang w:val="en-US"/>
      </w:rPr>
    </w:lvl>
  </w:abstractNum>
  <w:abstractNum w:abstractNumId="908">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909">
    <w:lvl w:ilvl="0">
      <w:start w:val="1"/>
      <w:numFmt w:val="upperLetter"/>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910">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1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1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1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14">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915">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16">
    <w:lvl w:ilvl="0">
      <w:start w:val="1"/>
      <w:numFmt w:val="lowerLetter"/>
      <w:lvlText w:val="(%1)"/>
      <w:pPr>
        <w:tabs>
          <w:tab w:val="left" w:pos="360"/>
        </w:tabs>
      </w:pPr>
      <w:rPr>
        <w:rFonts w:ascii="Times New Roman" w:hAnsi="Times New Roman" w:eastAsia="Times New Roman"/>
        <w:color w:val="000000"/>
        <w:spacing w:val="-1"/>
        <w:w w:val="100"/>
        <w:sz w:val="24"/>
        <w:vertAlign w:val="baseline"/>
        <w:lang w:val="en-US"/>
      </w:rPr>
    </w:lvl>
  </w:abstractNum>
  <w:abstractNum w:abstractNumId="917">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1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19">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2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2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2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23">
    <w:lvl w:ilvl="0">
      <w:start w:val="4"/>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2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25">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2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27">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28">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929">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30">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931">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93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3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3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35">
    <w:lvl w:ilvl="0">
      <w:start w:val="2"/>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3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3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3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3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4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4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4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43">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4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45">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4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4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4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4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50">
    <w:lvl w:ilvl="0">
      <w:start w:val="3"/>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51">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952">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53">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954">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955">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956">
    <w:lvl w:ilvl="0">
      <w:start w:val="2"/>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957">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5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5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6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6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62">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6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64">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6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66">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967">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96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69">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970">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97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7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73">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974">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97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7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77">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78">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979">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980">
    <w:lvl w:ilvl="0">
      <w:start w:val="1"/>
      <w:numFmt w:val="upperLetter"/>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981">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82">
    <w:lvl w:ilvl="0">
      <w:start w:val="1"/>
      <w:numFmt w:val="lowerLetter"/>
      <w:lvlText w:val="(%1)"/>
      <w:pPr>
        <w:tabs>
          <w:tab w:val="left" w:pos="360"/>
        </w:tabs>
      </w:pPr>
      <w:rPr>
        <w:rFonts w:ascii="Times New Roman" w:hAnsi="Times New Roman" w:eastAsia="Times New Roman"/>
        <w:color w:val="000000"/>
        <w:spacing w:val="-1"/>
        <w:w w:val="100"/>
        <w:sz w:val="24"/>
        <w:vertAlign w:val="baseline"/>
        <w:lang w:val="en-US"/>
      </w:rPr>
    </w:lvl>
  </w:abstractNum>
  <w:abstractNum w:abstractNumId="98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8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8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86">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98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8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8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90">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9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92">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93">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994">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95">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996">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9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9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999">
    <w:lvl w:ilvl="0">
      <w:start w:val="1"/>
      <w:numFmt w:val="lowerLetter"/>
      <w:lvlText w:val="(%1)"/>
      <w:pPr>
        <w:tabs>
          <w:tab w:val="left" w:pos="360"/>
        </w:tabs>
      </w:pPr>
      <w:rPr>
        <w:rFonts w:ascii="Times New Roman" w:hAnsi="Times New Roman" w:eastAsia="Times New Roman"/>
        <w:color w:val="000000"/>
        <w:spacing w:val="-1"/>
        <w:w w:val="100"/>
        <w:sz w:val="24"/>
        <w:vertAlign w:val="baseline"/>
        <w:lang w:val="en-US"/>
      </w:rPr>
    </w:lvl>
  </w:abstractNum>
  <w:abstractNum w:abstractNumId="1000">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01">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1002">
    <w:lvl w:ilvl="0">
      <w:start w:val="1"/>
      <w:numFmt w:val="lowerLetter"/>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1003">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1004">
    <w:lvl w:ilvl="0">
      <w:start w:val="4"/>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05">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100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0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08">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09">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101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1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1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1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1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1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16">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1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1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19">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102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21">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2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23">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1024">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1025">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1026">
    <w:lvl w:ilvl="0">
      <w:start w:val="1"/>
      <w:numFmt w:val="lowerLetter"/>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102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2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2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30">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1031">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1032">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1033">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3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3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3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37">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3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3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40">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41">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42">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1043">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4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4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46">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47">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1048">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104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50">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51">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52">
    <w:lvl w:ilvl="0">
      <w:start w:val="2"/>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5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54">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1055">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1056">
    <w:lvl w:ilvl="0">
      <w:start w:val="1"/>
      <w:numFmt w:val="lowerLetter"/>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1057">
    <w:lvl w:ilvl="0">
      <w:start w:val="1"/>
      <w:numFmt w:val="lowerLetter"/>
      <w:lvlText w:val="(%1)"/>
      <w:pPr>
        <w:tabs>
          <w:tab w:val="left" w:pos="360"/>
        </w:tabs>
      </w:pPr>
      <w:rPr>
        <w:rFonts w:ascii="Times New Roman" w:hAnsi="Times New Roman" w:eastAsia="Times New Roman"/>
        <w:color w:val="000000"/>
        <w:spacing w:val="0"/>
        <w:w w:val="100"/>
        <w:sz w:val="20"/>
        <w:vertAlign w:val="baseline"/>
        <w:lang w:val="en-US"/>
      </w:rPr>
    </w:lvl>
  </w:abstractNum>
  <w:abstractNum w:abstractNumId="1058">
    <w:lvl w:ilvl="0">
      <w:start w:val="1"/>
      <w:numFmt w:val="lowerLetter"/>
      <w:lvlText w:val="(%1)"/>
      <w:pPr>
        <w:tabs>
          <w:tab w:val="left" w:pos="360"/>
        </w:tabs>
      </w:pPr>
      <w:rPr>
        <w:rFonts w:ascii="Times New Roman" w:hAnsi="Times New Roman" w:eastAsia="Times New Roman"/>
        <w:color w:val="000000"/>
        <w:spacing w:val="0"/>
        <w:w w:val="100"/>
        <w:sz w:val="20"/>
        <w:vertAlign w:val="baseline"/>
        <w:lang w:val="en-US"/>
      </w:rPr>
    </w:lvl>
  </w:abstractNum>
  <w:abstractNum w:abstractNumId="1059">
    <w:lvl w:ilvl="0">
      <w:start w:val="1"/>
      <w:numFmt w:val="lowerLetter"/>
      <w:lvlText w:val="(%1)"/>
      <w:pPr>
        <w:tabs>
          <w:tab w:val="left" w:pos="360"/>
        </w:tabs>
      </w:pPr>
      <w:rPr>
        <w:rFonts w:ascii="Times New Roman" w:hAnsi="Times New Roman" w:eastAsia="Times New Roman"/>
        <w:color w:val="000000"/>
        <w:spacing w:val="0"/>
        <w:w w:val="100"/>
        <w:sz w:val="20"/>
        <w:vertAlign w:val="baseline"/>
        <w:lang w:val="en-US"/>
      </w:rPr>
    </w:lvl>
  </w:abstractNum>
  <w:abstractNum w:abstractNumId="1060">
    <w:lvl w:ilvl="0">
      <w:start w:val="1"/>
      <w:numFmt w:val="lowerLetter"/>
      <w:lvlText w:val="(%1)"/>
      <w:pPr>
        <w:tabs>
          <w:tab w:val="left" w:pos="360"/>
        </w:tabs>
      </w:pPr>
      <w:rPr>
        <w:rFonts w:ascii="Times New Roman" w:hAnsi="Times New Roman" w:eastAsia="Times New Roman"/>
        <w:color w:val="000000"/>
        <w:spacing w:val="0"/>
        <w:w w:val="100"/>
        <w:sz w:val="20"/>
        <w:vertAlign w:val="baseline"/>
        <w:lang w:val="en-US"/>
      </w:rPr>
    </w:lvl>
  </w:abstractNum>
  <w:abstractNum w:abstractNumId="1061">
    <w:lvl w:ilvl="0">
      <w:start w:val="1"/>
      <w:numFmt w:val="lowerLetter"/>
      <w:lvlText w:val="(%1)"/>
      <w:pPr>
        <w:tabs>
          <w:tab w:val="left" w:pos="360"/>
        </w:tabs>
      </w:pPr>
      <w:rPr>
        <w:rFonts w:ascii="Times New Roman" w:hAnsi="Times New Roman" w:eastAsia="Times New Roman"/>
        <w:color w:val="000000"/>
        <w:spacing w:val="0"/>
        <w:w w:val="100"/>
        <w:sz w:val="20"/>
        <w:vertAlign w:val="baseline"/>
        <w:lang w:val="en-US"/>
      </w:rPr>
    </w:lvl>
  </w:abstractNum>
  <w:abstractNum w:abstractNumId="1062">
    <w:lvl w:ilvl="0">
      <w:start w:val="1"/>
      <w:numFmt w:val="lowerLetter"/>
      <w:lvlText w:val="(%1)"/>
      <w:pPr>
        <w:tabs>
          <w:tab w:val="left" w:pos="360"/>
        </w:tabs>
      </w:pPr>
      <w:rPr>
        <w:rFonts w:ascii="Times New Roman" w:hAnsi="Times New Roman" w:eastAsia="Times New Roman"/>
        <w:color w:val="000000"/>
        <w:spacing w:val="0"/>
        <w:w w:val="100"/>
        <w:sz w:val="20"/>
        <w:vertAlign w:val="baseline"/>
        <w:lang w:val="en-US"/>
      </w:rPr>
    </w:lvl>
  </w:abstractNum>
  <w:abstractNum w:abstractNumId="1063">
    <w:lvl w:ilvl="0">
      <w:start w:val="1"/>
      <w:numFmt w:val="lowerLetter"/>
      <w:lvlText w:val="(%1)"/>
      <w:pPr>
        <w:tabs>
          <w:tab w:val="left" w:pos="288"/>
        </w:tabs>
      </w:pPr>
      <w:rPr>
        <w:rFonts w:ascii="Times New Roman" w:hAnsi="Times New Roman" w:eastAsia="Times New Roman"/>
        <w:color w:val="000000"/>
        <w:spacing w:val="0"/>
        <w:w w:val="100"/>
        <w:sz w:val="20"/>
        <w:vertAlign w:val="baseline"/>
        <w:lang w:val="en-US"/>
      </w:rPr>
    </w:lvl>
  </w:abstractNum>
  <w:abstractNum w:abstractNumId="1064">
    <w:lvl w:ilvl="0">
      <w:start w:val="1"/>
      <w:numFmt w:val="lowerLetter"/>
      <w:lvlText w:val="(%1)"/>
      <w:pPr>
        <w:tabs>
          <w:tab w:val="left" w:pos="288"/>
        </w:tabs>
      </w:pPr>
      <w:rPr>
        <w:rFonts w:ascii="Times New Roman" w:hAnsi="Times New Roman" w:eastAsia="Times New Roman"/>
        <w:color w:val="000000"/>
        <w:spacing w:val="0"/>
        <w:w w:val="100"/>
        <w:sz w:val="20"/>
        <w:vertAlign w:val="baseline"/>
        <w:lang w:val="en-US"/>
      </w:rPr>
    </w:lvl>
  </w:abstractNum>
  <w:abstractNum w:abstractNumId="106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66">
    <w:lvl w:ilvl="0">
      <w:start w:val="2"/>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67">
    <w:lvl w:ilvl="0">
      <w:start w:val="1"/>
      <w:numFmt w:val="lowerLetter"/>
      <w:lvlText w:val="(%1)"/>
      <w:pPr>
        <w:tabs>
          <w:tab w:val="left" w:pos="360"/>
        </w:tabs>
      </w:pPr>
      <w:rPr>
        <w:rFonts w:ascii="Times New Roman" w:hAnsi="Times New Roman" w:eastAsia="Times New Roman"/>
        <w:color w:val="000000"/>
        <w:spacing w:val="-1"/>
        <w:w w:val="100"/>
        <w:sz w:val="24"/>
        <w:vertAlign w:val="baseline"/>
        <w:lang w:val="en-US"/>
      </w:rPr>
    </w:lvl>
  </w:abstractNum>
  <w:abstractNum w:abstractNumId="106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6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70">
    <w:lvl w:ilvl="0">
      <w:start w:val="1"/>
      <w:numFmt w:val="lowerLetter"/>
      <w:lvlText w:val="(%1)"/>
      <w:pPr>
        <w:tabs>
          <w:tab w:val="left" w:pos="360"/>
        </w:tabs>
      </w:pPr>
      <w:rPr>
        <w:rFonts w:ascii="Times New Roman" w:hAnsi="Times New Roman" w:eastAsia="Times New Roman"/>
        <w:color w:val="000000"/>
        <w:spacing w:val="-1"/>
        <w:w w:val="100"/>
        <w:sz w:val="24"/>
        <w:vertAlign w:val="baseline"/>
        <w:lang w:val="en-US"/>
      </w:rPr>
    </w:lvl>
  </w:abstractNum>
  <w:abstractNum w:abstractNumId="1071">
    <w:lvl w:ilvl="0">
      <w:start w:val="1"/>
      <w:numFmt w:val="lowerLetter"/>
      <w:lvlText w:val="(%1)"/>
      <w:pPr>
        <w:tabs>
          <w:tab w:val="left" w:pos="432"/>
        </w:tabs>
      </w:pPr>
      <w:rPr>
        <w:rFonts w:ascii="Times New Roman" w:hAnsi="Times New Roman" w:eastAsia="Times New Roman"/>
        <w:color w:val="000000"/>
        <w:spacing w:val="0"/>
        <w:w w:val="100"/>
        <w:sz w:val="20"/>
        <w:vertAlign w:val="baseline"/>
        <w:lang w:val="en-US"/>
      </w:rPr>
    </w:lvl>
  </w:abstractNum>
  <w:abstractNum w:abstractNumId="1072">
    <w:lvl w:ilvl="0">
      <w:start w:val="1"/>
      <w:numFmt w:val="lowerLetter"/>
      <w:lvlText w:val="(%1)"/>
      <w:pPr>
        <w:tabs>
          <w:tab w:val="left" w:pos="288"/>
        </w:tabs>
      </w:pPr>
      <w:rPr>
        <w:rFonts w:ascii="Times New Roman" w:hAnsi="Times New Roman" w:eastAsia="Times New Roman"/>
        <w:color w:val="000000"/>
        <w:spacing w:val="0"/>
        <w:w w:val="100"/>
        <w:sz w:val="20"/>
        <w:vertAlign w:val="baseline"/>
        <w:lang w:val="en-US"/>
      </w:rPr>
    </w:lvl>
  </w:abstractNum>
  <w:abstractNum w:abstractNumId="1073">
    <w:lvl w:ilvl="0">
      <w:start w:val="1"/>
      <w:numFmt w:val="lowerLetter"/>
      <w:lvlText w:val="(%1)"/>
      <w:pPr>
        <w:tabs>
          <w:tab w:val="left" w:pos="288"/>
        </w:tabs>
      </w:pPr>
      <w:rPr>
        <w:rFonts w:ascii="Times New Roman" w:hAnsi="Times New Roman" w:eastAsia="Times New Roman"/>
        <w:color w:val="000000"/>
        <w:spacing w:val="0"/>
        <w:w w:val="100"/>
        <w:sz w:val="20"/>
        <w:vertAlign w:val="baseline"/>
        <w:lang w:val="en-US"/>
      </w:rPr>
    </w:lvl>
  </w:abstractNum>
  <w:abstractNum w:abstractNumId="1074">
    <w:lvl w:ilvl="0">
      <w:start w:val="1"/>
      <w:numFmt w:val="lowerLetter"/>
      <w:lvlText w:val="(%1)"/>
      <w:pPr>
        <w:tabs>
          <w:tab w:val="left" w:pos="288"/>
        </w:tabs>
      </w:pPr>
      <w:rPr>
        <w:rFonts w:ascii="Times New Roman" w:hAnsi="Times New Roman" w:eastAsia="Times New Roman"/>
        <w:color w:val="000000"/>
        <w:spacing w:val="0"/>
        <w:w w:val="100"/>
        <w:sz w:val="20"/>
        <w:vertAlign w:val="baseline"/>
        <w:lang w:val="en-US"/>
      </w:rPr>
    </w:lvl>
  </w:abstractNum>
  <w:abstractNum w:abstractNumId="1075">
    <w:lvl w:ilvl="0">
      <w:start w:val="1"/>
      <w:numFmt w:val="lowerLetter"/>
      <w:lvlText w:val="(%1)"/>
      <w:pPr>
        <w:tabs>
          <w:tab w:val="left" w:pos="288"/>
        </w:tabs>
      </w:pPr>
      <w:rPr>
        <w:rFonts w:ascii="Times New Roman" w:hAnsi="Times New Roman" w:eastAsia="Times New Roman"/>
        <w:color w:val="000000"/>
        <w:spacing w:val="0"/>
        <w:w w:val="100"/>
        <w:sz w:val="20"/>
        <w:vertAlign w:val="baseline"/>
        <w:lang w:val="en-US"/>
      </w:rPr>
    </w:lvl>
  </w:abstractNum>
  <w:abstractNum w:abstractNumId="1076">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7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78">
    <w:lvl w:ilvl="0">
      <w:start w:val="3"/>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79">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80">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81">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82">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1083">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84">
    <w:lvl w:ilvl="0">
      <w:start w:val="1"/>
      <w:numFmt w:val="lowerLetter"/>
      <w:lvlText w:val="(%1)"/>
      <w:pPr>
        <w:tabs>
          <w:tab w:val="left" w:pos="432"/>
        </w:tabs>
      </w:pPr>
      <w:rPr>
        <w:rFonts w:ascii="Times New Roman" w:hAnsi="Times New Roman" w:eastAsia="Times New Roman"/>
        <w:color w:val="000000"/>
        <w:spacing w:val="-2"/>
        <w:w w:val="100"/>
        <w:sz w:val="24"/>
        <w:vertAlign w:val="baseline"/>
        <w:lang w:val="en-US"/>
      </w:rPr>
    </w:lvl>
  </w:abstractNum>
  <w:abstractNum w:abstractNumId="1085">
    <w:lvl w:ilvl="0">
      <w:start w:val="1"/>
      <w:numFmt w:val="lowerRoman"/>
      <w:lvlText w:val="(%1)"/>
      <w:pPr>
        <w:tabs>
          <w:tab w:val="left" w:pos="432"/>
        </w:tabs>
      </w:pPr>
      <w:rPr>
        <w:rFonts w:ascii="Arial" w:hAnsi="Arial" w:eastAsia="Arial"/>
        <w:color w:val="000000"/>
        <w:spacing w:val="-2"/>
        <w:w w:val="100"/>
        <w:sz w:val="24"/>
        <w:vertAlign w:val="baseline"/>
        <w:lang w:val="en-US"/>
      </w:rPr>
    </w:lvl>
  </w:abstractNum>
  <w:abstractNum w:abstractNumId="108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8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88">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1089">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1090">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91">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92">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93">
    <w:lvl w:ilvl="0">
      <w:start w:val="1"/>
      <w:numFmt w:val="decimal"/>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109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9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96">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9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9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099">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00">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01">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0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03">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0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05">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0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0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0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09">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10">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1111">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1112">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1113">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1114">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1115">
    <w:lvl w:ilvl="0">
      <w:start w:val="5"/>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1116">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1117">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1118">
    <w:lvl w:ilvl="0">
      <w:start w:val="1"/>
      <w:numFmt w:val="lowerLetter"/>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1119">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1120">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1121">
    <w:lvl w:ilvl="0">
      <w:start w:val="1"/>
      <w:numFmt w:val="lowerRoman"/>
      <w:lvlText w:val="(%1)"/>
      <w:pPr>
        <w:tabs>
          <w:tab w:val="left" w:pos="432"/>
        </w:tabs>
      </w:pPr>
      <w:rPr>
        <w:rFonts w:ascii="Times New Roman" w:hAnsi="Times New Roman" w:eastAsia="Times New Roman"/>
        <w:color w:val="000000"/>
        <w:spacing w:val="0"/>
        <w:w w:val="100"/>
        <w:sz w:val="24"/>
        <w:vertAlign w:val="baseline"/>
        <w:lang w:val="en-US"/>
      </w:rPr>
    </w:lvl>
  </w:abstractNum>
  <w:abstractNum w:abstractNumId="1122">
    <w:lvl w:ilvl="0">
      <w:start w:val="5"/>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1123">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24">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25">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26">
    <w:lvl w:ilvl="0">
      <w:start w:val="1"/>
      <w:numFmt w:val="lowerRoman"/>
      <w:lvlText w:val="(%1)"/>
      <w:pPr>
        <w:tabs>
          <w:tab w:val="left" w:pos="504"/>
        </w:tabs>
      </w:pPr>
      <w:rPr>
        <w:rFonts w:ascii="Times New Roman" w:hAnsi="Times New Roman" w:eastAsia="Times New Roman"/>
        <w:color w:val="000000"/>
        <w:spacing w:val="0"/>
        <w:w w:val="100"/>
        <w:sz w:val="24"/>
        <w:vertAlign w:val="baseline"/>
        <w:lang w:val="en-US"/>
      </w:rPr>
    </w:lvl>
  </w:abstractNum>
  <w:abstractNum w:abstractNumId="112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2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29">
    <w:lvl w:ilvl="0">
      <w:start w:val="1"/>
      <w:numFmt w:val="lowerLetter"/>
      <w:lvlText w:val="(%1)"/>
      <w:pPr>
        <w:tabs>
          <w:tab w:val="left" w:pos="288"/>
        </w:tabs>
      </w:pPr>
      <w:rPr>
        <w:rFonts w:ascii="Times New Roman" w:hAnsi="Times New Roman" w:eastAsia="Times New Roman"/>
        <w:color w:val="000000"/>
        <w:spacing w:val="0"/>
        <w:w w:val="100"/>
        <w:sz w:val="24"/>
        <w:vertAlign w:val="baseline"/>
        <w:lang w:val="en-US"/>
      </w:rPr>
    </w:lvl>
  </w:abstractNum>
  <w:abstractNum w:abstractNumId="1130">
    <w:lvl w:ilvl="0">
      <w:start w:val="1"/>
      <w:numFmt w:val="lowerLetter"/>
      <w:lvlText w:val="(%1)"/>
      <w:pPr>
        <w:tabs>
          <w:tab w:val="left" w:pos="288"/>
        </w:tabs>
      </w:pPr>
      <w:rPr>
        <w:rFonts w:ascii="Times New Roman" w:hAnsi="Times New Roman" w:eastAsia="Times New Roman"/>
        <w:color w:val="000000"/>
        <w:spacing w:val="-1"/>
        <w:w w:val="100"/>
        <w:sz w:val="24"/>
        <w:vertAlign w:val="baseline"/>
        <w:lang w:val="en-US"/>
      </w:rPr>
    </w:lvl>
  </w:abstractNum>
  <w:abstractNum w:abstractNumId="1131">
    <w:lvl w:ilvl="0">
      <w:start w:val="16"/>
      <w:numFmt w:val="lowerLetter"/>
      <w:lvlText w:val="(%1)"/>
      <w:pPr>
        <w:tabs>
          <w:tab w:val="left" w:pos="2808"/>
        </w:tabs>
      </w:pPr>
      <w:rPr>
        <w:rFonts w:ascii="Arial" w:hAnsi="Arial" w:eastAsia="Arial"/>
        <w:b w:val="true"/>
        <w:color w:val="000000"/>
        <w:spacing w:val="-4"/>
        <w:w w:val="100"/>
        <w:sz w:val="15"/>
        <w:vertAlign w:val="baseline"/>
        <w:lang w:val="en-US"/>
      </w:rPr>
    </w:lvl>
  </w:abstractNum>
  <w:abstractNum w:abstractNumId="1132">
    <w:lvl w:ilvl="0">
      <w:start w:val="0"/>
      <w:numFmt w:val="lowerLetter"/>
      <w:lvlText w:val="(%1)"/>
      <w:pPr>
        <w:tabs>
          <w:tab w:val="left" w:pos="288"/>
        </w:tabs>
      </w:pPr>
      <w:rPr>
        <w:rFonts w:ascii="Arial" w:hAnsi="Arial" w:eastAsia="Arial"/>
        <w:b w:val="true"/>
        <w:color w:val="000000"/>
        <w:spacing w:val="0"/>
        <w:w w:val="100"/>
        <w:sz w:val="15"/>
        <w:vertAlign w:val="baseline"/>
        <w:lang w:val="en-US"/>
      </w:rPr>
    </w:lvl>
  </w:abstractNum>
  <w:abstractNum w:abstractNumId="113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34">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3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3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37">
    <w:lvl w:ilvl="0">
      <w:start w:val="1"/>
      <w:numFmt w:val="decimal"/>
      <w:lvlText w:val="%1."/>
      <w:pPr>
        <w:tabs>
          <w:tab w:val="left" w:pos="216"/>
        </w:tabs>
      </w:pPr>
      <w:rPr>
        <w:rFonts w:ascii="Arial" w:hAnsi="Arial" w:eastAsia="Arial"/>
        <w:color w:val="000000"/>
        <w:spacing w:val="-3"/>
        <w:w w:val="100"/>
        <w:sz w:val="14"/>
        <w:vertAlign w:val="baseline"/>
        <w:lang w:val="en-US"/>
      </w:rPr>
    </w:lvl>
  </w:abstractNum>
  <w:abstractNum w:abstractNumId="113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3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4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41">
    <w:lvl w:ilvl="0">
      <w:start w:val="3"/>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42">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4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4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45">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46">
    <w:lvl w:ilvl="0">
      <w:start w:val="1"/>
      <w:numFmt w:val="decimal"/>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47">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4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49">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50">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51">
    <w:lvl w:ilvl="0">
      <w:start w:val="2"/>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52">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53">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54">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55">
    <w:lvl w:ilvl="0">
      <w:start w:val="1"/>
      <w:numFmt w:val="lowerRoman"/>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56">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57">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58">
    <w:lvl w:ilvl="0">
      <w:start w:val="1"/>
      <w:numFmt w:val="lowerLetter"/>
      <w:lvlText w:val="(%1)"/>
      <w:pPr>
        <w:tabs>
          <w:tab w:val="left" w:pos="360"/>
        </w:tabs>
      </w:pPr>
      <w:rPr>
        <w:rFonts w:ascii="Times New Roman" w:hAnsi="Times New Roman" w:eastAsia="Times New Roman"/>
        <w:color w:val="000000"/>
        <w:spacing w:val="0"/>
        <w:w w:val="100"/>
        <w:sz w:val="24"/>
        <w:vertAlign w:val="baseline"/>
        <w:lang w:val="en-US"/>
      </w:rPr>
    </w:lvl>
  </w:abstractNum>
  <w:abstractNum w:abstractNumId="1159">
    <w:lvl w:ilvl="0">
      <w:start w:val="1"/>
      <w:numFmt w:val="lowerLetter"/>
      <w:lvlText w:val="(%1)"/>
      <w:pPr>
        <w:tabs>
          <w:tab w:val="left" w:pos="504"/>
        </w:tabs>
      </w:pPr>
      <w:rPr>
        <w:rFonts w:ascii="Times New Roman" w:hAnsi="Times New Roman" w:eastAsia="Times New Roman"/>
        <w:color w:val="000000"/>
        <w:spacing w:val="0"/>
        <w:w w:val="100"/>
        <w:sz w:val="20"/>
        <w:vertAlign w:val="baseline"/>
        <w:lang w:val="en-U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 w:numId="179">
    <w:abstractNumId w:val="179"/>
  </w:num>
  <w:num w:numId="180">
    <w:abstractNumId w:val="180"/>
  </w:num>
  <w:num w:numId="181">
    <w:abstractNumId w:val="181"/>
  </w:num>
  <w:num w:numId="182">
    <w:abstractNumId w:val="182"/>
  </w:num>
  <w:num w:numId="183">
    <w:abstractNumId w:val="183"/>
  </w:num>
  <w:num w:numId="184">
    <w:abstractNumId w:val="184"/>
  </w:num>
  <w:num w:numId="185">
    <w:abstractNumId w:val="185"/>
  </w:num>
  <w:num w:numId="186">
    <w:abstractNumId w:val="186"/>
  </w:num>
  <w:num w:numId="187">
    <w:abstractNumId w:val="187"/>
  </w:num>
  <w:num w:numId="188">
    <w:abstractNumId w:val="188"/>
  </w:num>
  <w:num w:numId="189">
    <w:abstractNumId w:val="189"/>
  </w:num>
  <w:num w:numId="190">
    <w:abstractNumId w:val="190"/>
  </w:num>
  <w:num w:numId="191">
    <w:abstractNumId w:val="191"/>
  </w:num>
  <w:num w:numId="192">
    <w:abstractNumId w:val="192"/>
  </w:num>
  <w:num w:numId="193">
    <w:abstractNumId w:val="193"/>
  </w:num>
  <w:num w:numId="194">
    <w:abstractNumId w:val="194"/>
  </w:num>
  <w:num w:numId="195">
    <w:abstractNumId w:val="195"/>
  </w:num>
  <w:num w:numId="196">
    <w:abstractNumId w:val="196"/>
  </w:num>
  <w:num w:numId="197">
    <w:abstractNumId w:val="197"/>
  </w:num>
  <w:num w:numId="198">
    <w:abstractNumId w:val="198"/>
  </w:num>
  <w:num w:numId="199">
    <w:abstractNumId w:val="199"/>
  </w:num>
  <w:num w:numId="200">
    <w:abstractNumId w:val="200"/>
  </w:num>
  <w:num w:numId="201">
    <w:abstractNumId w:val="201"/>
  </w: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 w:numId="209">
    <w:abstractNumId w:val="209"/>
  </w:num>
  <w:num w:numId="210">
    <w:abstractNumId w:val="210"/>
  </w:num>
  <w:num w:numId="211">
    <w:abstractNumId w:val="211"/>
  </w:num>
  <w:num w:numId="212">
    <w:abstractNumId w:val="212"/>
  </w:num>
  <w:num w:numId="213">
    <w:abstractNumId w:val="213"/>
  </w:num>
  <w:num w:numId="214">
    <w:abstractNumId w:val="214"/>
  </w:num>
  <w:num w:numId="215">
    <w:abstractNumId w:val="215"/>
  </w:num>
  <w:num w:numId="216">
    <w:abstractNumId w:val="216"/>
  </w:num>
  <w:num w:numId="217">
    <w:abstractNumId w:val="217"/>
  </w:num>
  <w:num w:numId="218">
    <w:abstractNumId w:val="218"/>
  </w:num>
  <w:num w:numId="219">
    <w:abstractNumId w:val="219"/>
  </w:num>
  <w:num w:numId="220">
    <w:abstractNumId w:val="220"/>
  </w:num>
  <w:num w:numId="221">
    <w:abstractNumId w:val="221"/>
  </w:num>
  <w:num w:numId="222">
    <w:abstractNumId w:val="222"/>
  </w:num>
  <w:num w:numId="223">
    <w:abstractNumId w:val="223"/>
  </w:num>
  <w:num w:numId="224">
    <w:abstractNumId w:val="224"/>
  </w:num>
  <w:num w:numId="225">
    <w:abstractNumId w:val="225"/>
  </w:num>
  <w:num w:numId="226">
    <w:abstractNumId w:val="226"/>
  </w:num>
  <w:num w:numId="227">
    <w:abstractNumId w:val="227"/>
  </w:num>
  <w:num w:numId="228">
    <w:abstractNumId w:val="228"/>
  </w:num>
  <w:num w:numId="229">
    <w:abstractNumId w:val="229"/>
  </w:num>
  <w:num w:numId="230">
    <w:abstractNumId w:val="230"/>
  </w:num>
  <w:num w:numId="231">
    <w:abstractNumId w:val="231"/>
  </w:num>
  <w:num w:numId="232">
    <w:abstractNumId w:val="232"/>
  </w:num>
  <w:num w:numId="233">
    <w:abstractNumId w:val="233"/>
  </w:num>
  <w:num w:numId="234">
    <w:abstractNumId w:val="234"/>
  </w:num>
  <w:num w:numId="235">
    <w:abstractNumId w:val="235"/>
  </w:num>
  <w:num w:numId="236">
    <w:abstractNumId w:val="236"/>
  </w:num>
  <w:num w:numId="237">
    <w:abstractNumId w:val="237"/>
  </w:num>
  <w:num w:numId="238">
    <w:abstractNumId w:val="238"/>
  </w:num>
  <w:num w:numId="239">
    <w:abstractNumId w:val="239"/>
  </w:num>
  <w:num w:numId="240">
    <w:abstractNumId w:val="240"/>
  </w:num>
  <w:num w:numId="241">
    <w:abstractNumId w:val="241"/>
  </w:num>
  <w:num w:numId="242">
    <w:abstractNumId w:val="242"/>
  </w:num>
  <w:num w:numId="243">
    <w:abstractNumId w:val="243"/>
  </w:num>
  <w:num w:numId="244">
    <w:abstractNumId w:val="244"/>
  </w:num>
  <w:num w:numId="245">
    <w:abstractNumId w:val="245"/>
  </w:num>
  <w:num w:numId="246">
    <w:abstractNumId w:val="246"/>
  </w:num>
  <w:num w:numId="247">
    <w:abstractNumId w:val="247"/>
  </w:num>
  <w:num w:numId="248">
    <w:abstractNumId w:val="248"/>
  </w:num>
  <w:num w:numId="249">
    <w:abstractNumId w:val="249"/>
  </w:num>
  <w:num w:numId="250">
    <w:abstractNumId w:val="250"/>
  </w:num>
  <w:num w:numId="251">
    <w:abstractNumId w:val="251"/>
  </w:num>
  <w:num w:numId="252">
    <w:abstractNumId w:val="252"/>
  </w:num>
  <w:num w:numId="253">
    <w:abstractNumId w:val="253"/>
  </w:num>
  <w:num w:numId="254">
    <w:abstractNumId w:val="254"/>
  </w:num>
  <w:num w:numId="255">
    <w:abstractNumId w:val="255"/>
  </w:num>
  <w:num w:numId="256">
    <w:abstractNumId w:val="256"/>
  </w:num>
  <w:num w:numId="257">
    <w:abstractNumId w:val="257"/>
  </w:num>
  <w:num w:numId="258">
    <w:abstractNumId w:val="258"/>
  </w:num>
  <w:num w:numId="259">
    <w:abstractNumId w:val="259"/>
  </w:num>
  <w:num w:numId="260">
    <w:abstractNumId w:val="260"/>
  </w:num>
  <w:num w:numId="261">
    <w:abstractNumId w:val="261"/>
  </w:num>
  <w:num w:numId="262">
    <w:abstractNumId w:val="262"/>
  </w:num>
  <w:num w:numId="263">
    <w:abstractNumId w:val="263"/>
  </w:num>
  <w:num w:numId="264">
    <w:abstractNumId w:val="264"/>
  </w:num>
  <w:num w:numId="265">
    <w:abstractNumId w:val="265"/>
  </w:num>
  <w:num w:numId="266">
    <w:abstractNumId w:val="266"/>
  </w:num>
  <w:num w:numId="267">
    <w:abstractNumId w:val="267"/>
  </w:num>
  <w:num w:numId="268">
    <w:abstractNumId w:val="268"/>
  </w:num>
  <w:num w:numId="269">
    <w:abstractNumId w:val="269"/>
  </w:num>
  <w:num w:numId="270">
    <w:abstractNumId w:val="270"/>
  </w:num>
  <w:num w:numId="271">
    <w:abstractNumId w:val="271"/>
  </w:num>
  <w:num w:numId="272">
    <w:abstractNumId w:val="272"/>
  </w:num>
  <w:num w:numId="273">
    <w:abstractNumId w:val="273"/>
  </w:num>
  <w:num w:numId="274">
    <w:abstractNumId w:val="274"/>
  </w:num>
  <w:num w:numId="275">
    <w:abstractNumId w:val="275"/>
  </w:num>
  <w:num w:numId="276">
    <w:abstractNumId w:val="276"/>
  </w:num>
  <w:num w:numId="277">
    <w:abstractNumId w:val="277"/>
  </w:num>
  <w:num w:numId="278">
    <w:abstractNumId w:val="278"/>
  </w:num>
  <w:num w:numId="279">
    <w:abstractNumId w:val="279"/>
  </w:num>
  <w:num w:numId="280">
    <w:abstractNumId w:val="280"/>
  </w:num>
  <w:num w:numId="281">
    <w:abstractNumId w:val="281"/>
  </w:num>
  <w:num w:numId="282">
    <w:abstractNumId w:val="282"/>
  </w:num>
  <w:num w:numId="283">
    <w:abstractNumId w:val="283"/>
  </w:num>
  <w:num w:numId="284">
    <w:abstractNumId w:val="284"/>
  </w:num>
  <w:num w:numId="285">
    <w:abstractNumId w:val="285"/>
  </w:num>
  <w:num w:numId="286">
    <w:abstractNumId w:val="286"/>
  </w:num>
  <w:num w:numId="287">
    <w:abstractNumId w:val="287"/>
  </w:num>
  <w:num w:numId="288">
    <w:abstractNumId w:val="288"/>
  </w:num>
  <w:num w:numId="289">
    <w:abstractNumId w:val="289"/>
  </w:num>
  <w:num w:numId="290">
    <w:abstractNumId w:val="290"/>
  </w:num>
  <w:num w:numId="291">
    <w:abstractNumId w:val="291"/>
  </w:num>
  <w:num w:numId="292">
    <w:abstractNumId w:val="292"/>
  </w:num>
  <w:num w:numId="293">
    <w:abstractNumId w:val="293"/>
  </w:num>
  <w:num w:numId="294">
    <w:abstractNumId w:val="294"/>
  </w:num>
  <w:num w:numId="295">
    <w:abstractNumId w:val="295"/>
  </w:num>
  <w:num w:numId="296">
    <w:abstractNumId w:val="296"/>
  </w:num>
  <w:num w:numId="297">
    <w:abstractNumId w:val="297"/>
  </w:num>
  <w:num w:numId="298">
    <w:abstractNumId w:val="298"/>
  </w:num>
  <w:num w:numId="299">
    <w:abstractNumId w:val="299"/>
  </w:num>
  <w:num w:numId="300">
    <w:abstractNumId w:val="300"/>
  </w:num>
  <w:num w:numId="301">
    <w:abstractNumId w:val="301"/>
  </w:num>
  <w:num w:numId="302">
    <w:abstractNumId w:val="302"/>
  </w:num>
  <w:num w:numId="303">
    <w:abstractNumId w:val="303"/>
  </w:num>
  <w:num w:numId="304">
    <w:abstractNumId w:val="304"/>
  </w:num>
  <w:num w:numId="305">
    <w:abstractNumId w:val="305"/>
  </w:num>
  <w:num w:numId="306">
    <w:abstractNumId w:val="306"/>
  </w:num>
  <w:num w:numId="307">
    <w:abstractNumId w:val="307"/>
  </w:num>
  <w:num w:numId="308">
    <w:abstractNumId w:val="308"/>
  </w:num>
  <w:num w:numId="309">
    <w:abstractNumId w:val="309"/>
  </w:num>
  <w:num w:numId="310">
    <w:abstractNumId w:val="310"/>
  </w:num>
  <w:num w:numId="311">
    <w:abstractNumId w:val="311"/>
  </w:num>
  <w:num w:numId="312">
    <w:abstractNumId w:val="312"/>
  </w:num>
  <w:num w:numId="313">
    <w:abstractNumId w:val="313"/>
  </w:num>
  <w:num w:numId="314">
    <w:abstractNumId w:val="314"/>
  </w:num>
  <w:num w:numId="315">
    <w:abstractNumId w:val="315"/>
  </w:num>
  <w:num w:numId="316">
    <w:abstractNumId w:val="316"/>
  </w:num>
  <w:num w:numId="317">
    <w:abstractNumId w:val="317"/>
  </w:num>
  <w:num w:numId="318">
    <w:abstractNumId w:val="318"/>
  </w:num>
  <w:num w:numId="319">
    <w:abstractNumId w:val="319"/>
  </w:num>
  <w:num w:numId="320">
    <w:abstractNumId w:val="320"/>
  </w:num>
  <w:num w:numId="321">
    <w:abstractNumId w:val="321"/>
  </w:num>
  <w:num w:numId="322">
    <w:abstractNumId w:val="322"/>
  </w:num>
  <w:num w:numId="323">
    <w:abstractNumId w:val="323"/>
  </w:num>
  <w:num w:numId="324">
    <w:abstractNumId w:val="324"/>
  </w:num>
  <w:num w:numId="325">
    <w:abstractNumId w:val="325"/>
  </w:num>
  <w:num w:numId="326">
    <w:abstractNumId w:val="326"/>
  </w:num>
  <w:num w:numId="327">
    <w:abstractNumId w:val="327"/>
  </w:num>
  <w:num w:numId="328">
    <w:abstractNumId w:val="328"/>
  </w:num>
  <w:num w:numId="329">
    <w:abstractNumId w:val="329"/>
  </w:num>
  <w:num w:numId="330">
    <w:abstractNumId w:val="330"/>
  </w:num>
  <w:num w:numId="331">
    <w:abstractNumId w:val="331"/>
  </w:num>
  <w:num w:numId="332">
    <w:abstractNumId w:val="332"/>
  </w:num>
  <w:num w:numId="333">
    <w:abstractNumId w:val="333"/>
  </w:num>
  <w:num w:numId="334">
    <w:abstractNumId w:val="334"/>
  </w:num>
  <w:num w:numId="335">
    <w:abstractNumId w:val="335"/>
  </w:num>
  <w:num w:numId="336">
    <w:abstractNumId w:val="336"/>
  </w:num>
  <w:num w:numId="337">
    <w:abstractNumId w:val="337"/>
  </w:num>
  <w:num w:numId="338">
    <w:abstractNumId w:val="338"/>
  </w:num>
  <w:num w:numId="339">
    <w:abstractNumId w:val="339"/>
  </w:num>
  <w:num w:numId="340">
    <w:abstractNumId w:val="340"/>
  </w:num>
  <w:num w:numId="341">
    <w:abstractNumId w:val="341"/>
  </w:num>
  <w:num w:numId="342">
    <w:abstractNumId w:val="342"/>
  </w:num>
  <w:num w:numId="343">
    <w:abstractNumId w:val="343"/>
  </w:num>
  <w:num w:numId="344">
    <w:abstractNumId w:val="344"/>
  </w:num>
  <w:num w:numId="345">
    <w:abstractNumId w:val="345"/>
  </w:num>
  <w:num w:numId="346">
    <w:abstractNumId w:val="346"/>
  </w:num>
  <w:num w:numId="347">
    <w:abstractNumId w:val="347"/>
  </w:num>
  <w:num w:numId="348">
    <w:abstractNumId w:val="348"/>
  </w:num>
  <w:num w:numId="349">
    <w:abstractNumId w:val="349"/>
  </w:num>
  <w:num w:numId="350">
    <w:abstractNumId w:val="350"/>
  </w:num>
  <w:num w:numId="351">
    <w:abstractNumId w:val="351"/>
  </w:num>
  <w:num w:numId="352">
    <w:abstractNumId w:val="352"/>
  </w:num>
  <w:num w:numId="353">
    <w:abstractNumId w:val="353"/>
  </w:num>
  <w:num w:numId="354">
    <w:abstractNumId w:val="354"/>
  </w:num>
  <w:num w:numId="355">
    <w:abstractNumId w:val="355"/>
  </w:num>
  <w:num w:numId="356">
    <w:abstractNumId w:val="356"/>
  </w:num>
  <w:num w:numId="357">
    <w:abstractNumId w:val="357"/>
  </w:num>
  <w:num w:numId="358">
    <w:abstractNumId w:val="358"/>
  </w:num>
  <w:num w:numId="359">
    <w:abstractNumId w:val="359"/>
  </w:num>
  <w:num w:numId="360">
    <w:abstractNumId w:val="360"/>
  </w:num>
  <w:num w:numId="361">
    <w:abstractNumId w:val="361"/>
  </w:num>
  <w:num w:numId="362">
    <w:abstractNumId w:val="362"/>
  </w:num>
  <w:num w:numId="363">
    <w:abstractNumId w:val="363"/>
  </w:num>
  <w:num w:numId="364">
    <w:abstractNumId w:val="364"/>
  </w:num>
  <w:num w:numId="365">
    <w:abstractNumId w:val="365"/>
  </w:num>
  <w:num w:numId="366">
    <w:abstractNumId w:val="366"/>
  </w:num>
  <w:num w:numId="367">
    <w:abstractNumId w:val="367"/>
  </w:num>
  <w:num w:numId="368">
    <w:abstractNumId w:val="368"/>
  </w:num>
  <w:num w:numId="369">
    <w:abstractNumId w:val="369"/>
  </w:num>
  <w:num w:numId="370">
    <w:abstractNumId w:val="370"/>
  </w:num>
  <w:num w:numId="371">
    <w:abstractNumId w:val="371"/>
  </w:num>
  <w:num w:numId="372">
    <w:abstractNumId w:val="372"/>
  </w:num>
  <w:num w:numId="373">
    <w:abstractNumId w:val="373"/>
  </w:num>
  <w:num w:numId="374">
    <w:abstractNumId w:val="374"/>
  </w:num>
  <w:num w:numId="375">
    <w:abstractNumId w:val="375"/>
  </w:num>
  <w:num w:numId="376">
    <w:abstractNumId w:val="376"/>
  </w:num>
  <w:num w:numId="377">
    <w:abstractNumId w:val="377"/>
  </w:num>
  <w:num w:numId="378">
    <w:abstractNumId w:val="378"/>
  </w:num>
  <w:num w:numId="379">
    <w:abstractNumId w:val="379"/>
  </w:num>
  <w:num w:numId="380">
    <w:abstractNumId w:val="380"/>
  </w:num>
  <w:num w:numId="381">
    <w:abstractNumId w:val="381"/>
  </w:num>
  <w:num w:numId="382">
    <w:abstractNumId w:val="382"/>
  </w:num>
  <w:num w:numId="383">
    <w:abstractNumId w:val="383"/>
  </w:num>
  <w:num w:numId="384">
    <w:abstractNumId w:val="384"/>
  </w:num>
  <w:num w:numId="385">
    <w:abstractNumId w:val="385"/>
  </w:num>
  <w:num w:numId="386">
    <w:abstractNumId w:val="386"/>
  </w:num>
  <w:num w:numId="387">
    <w:abstractNumId w:val="387"/>
  </w:num>
  <w:num w:numId="388">
    <w:abstractNumId w:val="388"/>
  </w:num>
  <w:num w:numId="389">
    <w:abstractNumId w:val="389"/>
  </w:num>
  <w:num w:numId="390">
    <w:abstractNumId w:val="390"/>
  </w:num>
  <w:num w:numId="391">
    <w:abstractNumId w:val="391"/>
  </w:num>
  <w:num w:numId="392">
    <w:abstractNumId w:val="392"/>
  </w:num>
  <w:num w:numId="393">
    <w:abstractNumId w:val="393"/>
  </w:num>
  <w:num w:numId="394">
    <w:abstractNumId w:val="394"/>
  </w:num>
  <w:num w:numId="395">
    <w:abstractNumId w:val="395"/>
  </w:num>
  <w:num w:numId="396">
    <w:abstractNumId w:val="396"/>
  </w:num>
  <w:num w:numId="397">
    <w:abstractNumId w:val="397"/>
  </w:num>
  <w:num w:numId="398">
    <w:abstractNumId w:val="398"/>
  </w:num>
  <w:num w:numId="399">
    <w:abstractNumId w:val="399"/>
  </w:num>
  <w:num w:numId="400">
    <w:abstractNumId w:val="400"/>
  </w:num>
  <w:num w:numId="401">
    <w:abstractNumId w:val="401"/>
  </w:num>
  <w:num w:numId="402">
    <w:abstractNumId w:val="402"/>
  </w:num>
  <w:num w:numId="403">
    <w:abstractNumId w:val="403"/>
  </w:num>
  <w:num w:numId="404">
    <w:abstractNumId w:val="404"/>
  </w:num>
  <w:num w:numId="405">
    <w:abstractNumId w:val="405"/>
  </w:num>
  <w:num w:numId="406">
    <w:abstractNumId w:val="406"/>
  </w:num>
  <w:num w:numId="407">
    <w:abstractNumId w:val="407"/>
  </w:num>
  <w:num w:numId="408">
    <w:abstractNumId w:val="408"/>
  </w:num>
  <w:num w:numId="409">
    <w:abstractNumId w:val="409"/>
  </w:num>
  <w:num w:numId="410">
    <w:abstractNumId w:val="410"/>
  </w:num>
  <w:num w:numId="411">
    <w:abstractNumId w:val="411"/>
  </w:num>
  <w:num w:numId="412">
    <w:abstractNumId w:val="412"/>
  </w:num>
  <w:num w:numId="413">
    <w:abstractNumId w:val="413"/>
  </w:num>
  <w:num w:numId="414">
    <w:abstractNumId w:val="414"/>
  </w:num>
  <w:num w:numId="415">
    <w:abstractNumId w:val="415"/>
  </w:num>
  <w:num w:numId="416">
    <w:abstractNumId w:val="416"/>
  </w:num>
  <w:num w:numId="417">
    <w:abstractNumId w:val="417"/>
  </w:num>
  <w:num w:numId="418">
    <w:abstractNumId w:val="418"/>
  </w:num>
  <w:num w:numId="419">
    <w:abstractNumId w:val="419"/>
  </w:num>
  <w:num w:numId="420">
    <w:abstractNumId w:val="420"/>
  </w:num>
  <w:num w:numId="421">
    <w:abstractNumId w:val="421"/>
  </w:num>
  <w:num w:numId="422">
    <w:abstractNumId w:val="422"/>
  </w:num>
  <w:num w:numId="423">
    <w:abstractNumId w:val="423"/>
  </w:num>
  <w:num w:numId="424">
    <w:abstractNumId w:val="424"/>
  </w:num>
  <w:num w:numId="425">
    <w:abstractNumId w:val="425"/>
  </w:num>
  <w:num w:numId="426">
    <w:abstractNumId w:val="426"/>
  </w:num>
  <w:num w:numId="427">
    <w:abstractNumId w:val="427"/>
  </w:num>
  <w:num w:numId="428">
    <w:abstractNumId w:val="428"/>
  </w:num>
  <w:num w:numId="429">
    <w:abstractNumId w:val="429"/>
  </w:num>
  <w:num w:numId="430">
    <w:abstractNumId w:val="430"/>
  </w:num>
  <w:num w:numId="431">
    <w:abstractNumId w:val="431"/>
  </w:num>
  <w:num w:numId="432">
    <w:abstractNumId w:val="432"/>
  </w:num>
  <w:num w:numId="433">
    <w:abstractNumId w:val="433"/>
  </w:num>
  <w:num w:numId="434">
    <w:abstractNumId w:val="434"/>
  </w:num>
  <w:num w:numId="435">
    <w:abstractNumId w:val="435"/>
  </w:num>
  <w:num w:numId="436">
    <w:abstractNumId w:val="436"/>
  </w:num>
  <w:num w:numId="437">
    <w:abstractNumId w:val="437"/>
  </w:num>
  <w:num w:numId="438">
    <w:abstractNumId w:val="438"/>
  </w:num>
  <w:num w:numId="439">
    <w:abstractNumId w:val="439"/>
  </w:num>
  <w:num w:numId="440">
    <w:abstractNumId w:val="440"/>
  </w:num>
  <w:num w:numId="441">
    <w:abstractNumId w:val="441"/>
  </w:num>
  <w:num w:numId="442">
    <w:abstractNumId w:val="442"/>
  </w:num>
  <w:num w:numId="443">
    <w:abstractNumId w:val="443"/>
  </w:num>
  <w:num w:numId="444">
    <w:abstractNumId w:val="444"/>
  </w:num>
  <w:num w:numId="445">
    <w:abstractNumId w:val="445"/>
  </w:num>
  <w:num w:numId="446">
    <w:abstractNumId w:val="446"/>
  </w:num>
  <w:num w:numId="447">
    <w:abstractNumId w:val="447"/>
  </w:num>
  <w:num w:numId="448">
    <w:abstractNumId w:val="448"/>
  </w:num>
  <w:num w:numId="449">
    <w:abstractNumId w:val="449"/>
  </w:num>
  <w:num w:numId="450">
    <w:abstractNumId w:val="450"/>
  </w:num>
  <w:num w:numId="451">
    <w:abstractNumId w:val="451"/>
  </w:num>
  <w:num w:numId="452">
    <w:abstractNumId w:val="452"/>
  </w:num>
  <w:num w:numId="453">
    <w:abstractNumId w:val="453"/>
  </w:num>
  <w:num w:numId="454">
    <w:abstractNumId w:val="454"/>
  </w:num>
  <w:num w:numId="455">
    <w:abstractNumId w:val="455"/>
  </w:num>
  <w:num w:numId="456">
    <w:abstractNumId w:val="456"/>
  </w:num>
  <w:num w:numId="457">
    <w:abstractNumId w:val="457"/>
  </w:num>
  <w:num w:numId="458">
    <w:abstractNumId w:val="458"/>
  </w:num>
  <w:num w:numId="459">
    <w:abstractNumId w:val="459"/>
  </w:num>
  <w:num w:numId="460">
    <w:abstractNumId w:val="460"/>
  </w:num>
  <w:num w:numId="461">
    <w:abstractNumId w:val="461"/>
  </w:num>
  <w:num w:numId="462">
    <w:abstractNumId w:val="462"/>
  </w:num>
  <w:num w:numId="463">
    <w:abstractNumId w:val="463"/>
  </w:num>
  <w:num w:numId="464">
    <w:abstractNumId w:val="464"/>
  </w:num>
  <w:num w:numId="465">
    <w:abstractNumId w:val="465"/>
  </w:num>
  <w:num w:numId="466">
    <w:abstractNumId w:val="466"/>
  </w:num>
  <w:num w:numId="467">
    <w:abstractNumId w:val="467"/>
  </w:num>
  <w:num w:numId="468">
    <w:abstractNumId w:val="468"/>
  </w:num>
  <w:num w:numId="469">
    <w:abstractNumId w:val="469"/>
  </w:num>
  <w:num w:numId="470">
    <w:abstractNumId w:val="470"/>
  </w:num>
  <w:num w:numId="471">
    <w:abstractNumId w:val="471"/>
  </w:num>
  <w:num w:numId="472">
    <w:abstractNumId w:val="472"/>
  </w:num>
  <w:num w:numId="473">
    <w:abstractNumId w:val="473"/>
  </w:num>
  <w:num w:numId="474">
    <w:abstractNumId w:val="474"/>
  </w:num>
  <w:num w:numId="475">
    <w:abstractNumId w:val="475"/>
  </w:num>
  <w:num w:numId="476">
    <w:abstractNumId w:val="476"/>
  </w:num>
  <w:num w:numId="477">
    <w:abstractNumId w:val="477"/>
  </w:num>
  <w:num w:numId="478">
    <w:abstractNumId w:val="478"/>
  </w:num>
  <w:num w:numId="479">
    <w:abstractNumId w:val="479"/>
  </w:num>
  <w:num w:numId="480">
    <w:abstractNumId w:val="480"/>
  </w:num>
  <w:num w:numId="481">
    <w:abstractNumId w:val="481"/>
  </w:num>
  <w:num w:numId="482">
    <w:abstractNumId w:val="482"/>
  </w:num>
  <w:num w:numId="483">
    <w:abstractNumId w:val="483"/>
  </w:num>
  <w:num w:numId="484">
    <w:abstractNumId w:val="484"/>
  </w:num>
  <w:num w:numId="485">
    <w:abstractNumId w:val="485"/>
  </w:num>
  <w:num w:numId="486">
    <w:abstractNumId w:val="486"/>
  </w:num>
  <w:num w:numId="487">
    <w:abstractNumId w:val="487"/>
  </w:num>
  <w:num w:numId="488">
    <w:abstractNumId w:val="488"/>
  </w:num>
  <w:num w:numId="489">
    <w:abstractNumId w:val="489"/>
  </w:num>
  <w:num w:numId="490">
    <w:abstractNumId w:val="490"/>
  </w:num>
  <w:num w:numId="491">
    <w:abstractNumId w:val="491"/>
  </w:num>
  <w:num w:numId="492">
    <w:abstractNumId w:val="492"/>
  </w:num>
  <w:num w:numId="493">
    <w:abstractNumId w:val="493"/>
  </w:num>
  <w:num w:numId="494">
    <w:abstractNumId w:val="494"/>
  </w:num>
  <w:num w:numId="495">
    <w:abstractNumId w:val="495"/>
  </w:num>
  <w:num w:numId="496">
    <w:abstractNumId w:val="496"/>
  </w:num>
  <w:num w:numId="497">
    <w:abstractNumId w:val="497"/>
  </w:num>
  <w:num w:numId="498">
    <w:abstractNumId w:val="498"/>
  </w:num>
  <w:num w:numId="499">
    <w:abstractNumId w:val="499"/>
  </w:num>
  <w:num w:numId="500">
    <w:abstractNumId w:val="500"/>
  </w:num>
  <w:num w:numId="501">
    <w:abstractNumId w:val="501"/>
  </w:num>
  <w:num w:numId="502">
    <w:abstractNumId w:val="502"/>
  </w:num>
  <w:num w:numId="503">
    <w:abstractNumId w:val="503"/>
  </w:num>
  <w:num w:numId="504">
    <w:abstractNumId w:val="504"/>
  </w:num>
  <w:num w:numId="505">
    <w:abstractNumId w:val="505"/>
  </w:num>
  <w:num w:numId="506">
    <w:abstractNumId w:val="506"/>
  </w:num>
  <w:num w:numId="507">
    <w:abstractNumId w:val="507"/>
  </w:num>
  <w:num w:numId="508">
    <w:abstractNumId w:val="508"/>
  </w:num>
  <w:num w:numId="509">
    <w:abstractNumId w:val="509"/>
  </w:num>
  <w:num w:numId="510">
    <w:abstractNumId w:val="510"/>
  </w:num>
  <w:num w:numId="511">
    <w:abstractNumId w:val="511"/>
  </w:num>
  <w:num w:numId="512">
    <w:abstractNumId w:val="512"/>
  </w:num>
  <w:num w:numId="513">
    <w:abstractNumId w:val="513"/>
  </w:num>
  <w:num w:numId="514">
    <w:abstractNumId w:val="514"/>
  </w:num>
  <w:num w:numId="515">
    <w:abstractNumId w:val="515"/>
  </w:num>
  <w:num w:numId="516">
    <w:abstractNumId w:val="516"/>
  </w:num>
  <w:num w:numId="517">
    <w:abstractNumId w:val="517"/>
  </w:num>
  <w:num w:numId="518">
    <w:abstractNumId w:val="518"/>
  </w:num>
  <w:num w:numId="519">
    <w:abstractNumId w:val="519"/>
  </w:num>
  <w:num w:numId="520">
    <w:abstractNumId w:val="520"/>
  </w:num>
  <w:num w:numId="521">
    <w:abstractNumId w:val="521"/>
  </w:num>
  <w:num w:numId="522">
    <w:abstractNumId w:val="522"/>
  </w:num>
  <w:num w:numId="523">
    <w:abstractNumId w:val="523"/>
  </w:num>
  <w:num w:numId="524">
    <w:abstractNumId w:val="524"/>
  </w:num>
  <w:num w:numId="525">
    <w:abstractNumId w:val="525"/>
  </w:num>
  <w:num w:numId="526">
    <w:abstractNumId w:val="526"/>
  </w:num>
  <w:num w:numId="527">
    <w:abstractNumId w:val="527"/>
  </w:num>
  <w:num w:numId="528">
    <w:abstractNumId w:val="528"/>
  </w:num>
  <w:num w:numId="529">
    <w:abstractNumId w:val="529"/>
  </w:num>
  <w:num w:numId="530">
    <w:abstractNumId w:val="530"/>
  </w:num>
  <w:num w:numId="531">
    <w:abstractNumId w:val="531"/>
  </w:num>
  <w:num w:numId="532">
    <w:abstractNumId w:val="532"/>
  </w:num>
  <w:num w:numId="533">
    <w:abstractNumId w:val="533"/>
  </w:num>
  <w:num w:numId="534">
    <w:abstractNumId w:val="534"/>
  </w:num>
  <w:num w:numId="535">
    <w:abstractNumId w:val="535"/>
  </w:num>
  <w:num w:numId="536">
    <w:abstractNumId w:val="536"/>
  </w:num>
  <w:num w:numId="537">
    <w:abstractNumId w:val="537"/>
  </w:num>
  <w:num w:numId="538">
    <w:abstractNumId w:val="538"/>
  </w:num>
  <w:num w:numId="539">
    <w:abstractNumId w:val="539"/>
  </w:num>
  <w:num w:numId="540">
    <w:abstractNumId w:val="540"/>
  </w:num>
  <w:num w:numId="541">
    <w:abstractNumId w:val="541"/>
  </w:num>
  <w:num w:numId="542">
    <w:abstractNumId w:val="542"/>
  </w:num>
  <w:num w:numId="543">
    <w:abstractNumId w:val="543"/>
  </w:num>
  <w:num w:numId="544">
    <w:abstractNumId w:val="544"/>
  </w:num>
  <w:num w:numId="545">
    <w:abstractNumId w:val="545"/>
  </w:num>
  <w:num w:numId="546">
    <w:abstractNumId w:val="546"/>
  </w:num>
  <w:num w:numId="547">
    <w:abstractNumId w:val="547"/>
  </w:num>
  <w:num w:numId="548">
    <w:abstractNumId w:val="548"/>
  </w:num>
  <w:num w:numId="549">
    <w:abstractNumId w:val="549"/>
  </w:num>
  <w:num w:numId="550">
    <w:abstractNumId w:val="550"/>
  </w:num>
  <w:num w:numId="551">
    <w:abstractNumId w:val="551"/>
  </w:num>
  <w:num w:numId="552">
    <w:abstractNumId w:val="552"/>
  </w:num>
  <w:num w:numId="553">
    <w:abstractNumId w:val="553"/>
  </w:num>
  <w:num w:numId="554">
    <w:abstractNumId w:val="554"/>
  </w:num>
  <w:num w:numId="555">
    <w:abstractNumId w:val="555"/>
  </w:num>
  <w:num w:numId="556">
    <w:abstractNumId w:val="556"/>
  </w:num>
  <w:num w:numId="557">
    <w:abstractNumId w:val="557"/>
  </w:num>
  <w:num w:numId="558">
    <w:abstractNumId w:val="558"/>
  </w:num>
  <w:num w:numId="559">
    <w:abstractNumId w:val="559"/>
  </w:num>
  <w:num w:numId="560">
    <w:abstractNumId w:val="560"/>
  </w:num>
  <w:num w:numId="561">
    <w:abstractNumId w:val="561"/>
  </w:num>
  <w:num w:numId="562">
    <w:abstractNumId w:val="562"/>
  </w:num>
  <w:num w:numId="563">
    <w:abstractNumId w:val="563"/>
  </w:num>
  <w:num w:numId="564">
    <w:abstractNumId w:val="564"/>
  </w:num>
  <w:num w:numId="565">
    <w:abstractNumId w:val="565"/>
  </w:num>
  <w:num w:numId="566">
    <w:abstractNumId w:val="566"/>
  </w:num>
  <w:num w:numId="567">
    <w:abstractNumId w:val="567"/>
  </w:num>
  <w:num w:numId="568">
    <w:abstractNumId w:val="568"/>
  </w:num>
  <w:num w:numId="569">
    <w:abstractNumId w:val="569"/>
  </w:num>
  <w:num w:numId="570">
    <w:abstractNumId w:val="570"/>
  </w:num>
  <w:num w:numId="571">
    <w:abstractNumId w:val="571"/>
  </w:num>
  <w:num w:numId="572">
    <w:abstractNumId w:val="572"/>
  </w:num>
  <w:num w:numId="573">
    <w:abstractNumId w:val="573"/>
  </w:num>
  <w:num w:numId="574">
    <w:abstractNumId w:val="574"/>
  </w:num>
  <w:num w:numId="575">
    <w:abstractNumId w:val="575"/>
  </w:num>
  <w:num w:numId="576">
    <w:abstractNumId w:val="576"/>
  </w:num>
  <w:num w:numId="577">
    <w:abstractNumId w:val="577"/>
  </w:num>
  <w:num w:numId="578">
    <w:abstractNumId w:val="578"/>
  </w:num>
  <w:num w:numId="579">
    <w:abstractNumId w:val="579"/>
  </w:num>
  <w:num w:numId="580">
    <w:abstractNumId w:val="580"/>
  </w:num>
  <w:num w:numId="581">
    <w:abstractNumId w:val="581"/>
  </w:num>
  <w:num w:numId="582">
    <w:abstractNumId w:val="582"/>
  </w:num>
  <w:num w:numId="583">
    <w:abstractNumId w:val="583"/>
  </w:num>
  <w:num w:numId="584">
    <w:abstractNumId w:val="584"/>
  </w:num>
  <w:num w:numId="585">
    <w:abstractNumId w:val="585"/>
  </w:num>
  <w:num w:numId="586">
    <w:abstractNumId w:val="586"/>
  </w:num>
  <w:num w:numId="587">
    <w:abstractNumId w:val="587"/>
  </w:num>
  <w:num w:numId="588">
    <w:abstractNumId w:val="588"/>
  </w:num>
  <w:num w:numId="589">
    <w:abstractNumId w:val="589"/>
  </w:num>
  <w:num w:numId="590">
    <w:abstractNumId w:val="590"/>
  </w:num>
  <w:num w:numId="591">
    <w:abstractNumId w:val="591"/>
  </w:num>
  <w:num w:numId="592">
    <w:abstractNumId w:val="592"/>
  </w:num>
  <w:num w:numId="593">
    <w:abstractNumId w:val="593"/>
  </w:num>
  <w:num w:numId="594">
    <w:abstractNumId w:val="594"/>
  </w:num>
  <w:num w:numId="595">
    <w:abstractNumId w:val="595"/>
  </w:num>
  <w:num w:numId="596">
    <w:abstractNumId w:val="596"/>
  </w:num>
  <w:num w:numId="597">
    <w:abstractNumId w:val="597"/>
  </w:num>
  <w:num w:numId="598">
    <w:abstractNumId w:val="598"/>
  </w:num>
  <w:num w:numId="599">
    <w:abstractNumId w:val="599"/>
  </w:num>
  <w:num w:numId="600">
    <w:abstractNumId w:val="600"/>
  </w:num>
  <w:num w:numId="601">
    <w:abstractNumId w:val="601"/>
  </w:num>
  <w:num w:numId="602">
    <w:abstractNumId w:val="602"/>
  </w:num>
  <w:num w:numId="603">
    <w:abstractNumId w:val="603"/>
  </w:num>
  <w:num w:numId="604">
    <w:abstractNumId w:val="604"/>
  </w:num>
  <w:num w:numId="605">
    <w:abstractNumId w:val="605"/>
  </w:num>
  <w:num w:numId="606">
    <w:abstractNumId w:val="606"/>
  </w:num>
  <w:num w:numId="607">
    <w:abstractNumId w:val="607"/>
  </w:num>
  <w:num w:numId="608">
    <w:abstractNumId w:val="608"/>
  </w:num>
  <w:num w:numId="609">
    <w:abstractNumId w:val="609"/>
  </w:num>
  <w:num w:numId="610">
    <w:abstractNumId w:val="610"/>
  </w:num>
  <w:num w:numId="611">
    <w:abstractNumId w:val="611"/>
  </w:num>
  <w:num w:numId="612">
    <w:abstractNumId w:val="612"/>
  </w:num>
  <w:num w:numId="613">
    <w:abstractNumId w:val="613"/>
  </w:num>
  <w:num w:numId="614">
    <w:abstractNumId w:val="614"/>
  </w:num>
  <w:num w:numId="615">
    <w:abstractNumId w:val="615"/>
  </w:num>
  <w:num w:numId="616">
    <w:abstractNumId w:val="616"/>
  </w:num>
  <w:num w:numId="617">
    <w:abstractNumId w:val="617"/>
  </w:num>
  <w:num w:numId="618">
    <w:abstractNumId w:val="618"/>
  </w:num>
  <w:num w:numId="619">
    <w:abstractNumId w:val="619"/>
  </w:num>
  <w:num w:numId="620">
    <w:abstractNumId w:val="620"/>
  </w:num>
  <w:num w:numId="621">
    <w:abstractNumId w:val="621"/>
  </w:num>
  <w:num w:numId="622">
    <w:abstractNumId w:val="622"/>
  </w:num>
  <w:num w:numId="623">
    <w:abstractNumId w:val="623"/>
  </w:num>
  <w:num w:numId="624">
    <w:abstractNumId w:val="624"/>
  </w:num>
  <w:num w:numId="625">
    <w:abstractNumId w:val="625"/>
  </w:num>
  <w:num w:numId="626">
    <w:abstractNumId w:val="626"/>
  </w:num>
  <w:num w:numId="627">
    <w:abstractNumId w:val="627"/>
  </w:num>
  <w:num w:numId="628">
    <w:abstractNumId w:val="628"/>
  </w:num>
  <w:num w:numId="629">
    <w:abstractNumId w:val="629"/>
  </w:num>
  <w:num w:numId="630">
    <w:abstractNumId w:val="630"/>
  </w:num>
  <w:num w:numId="631">
    <w:abstractNumId w:val="631"/>
  </w:num>
  <w:num w:numId="632">
    <w:abstractNumId w:val="632"/>
  </w:num>
  <w:num w:numId="633">
    <w:abstractNumId w:val="633"/>
  </w:num>
  <w:num w:numId="634">
    <w:abstractNumId w:val="634"/>
  </w:num>
  <w:num w:numId="635">
    <w:abstractNumId w:val="635"/>
  </w:num>
  <w:num w:numId="636">
    <w:abstractNumId w:val="636"/>
  </w:num>
  <w:num w:numId="637">
    <w:abstractNumId w:val="637"/>
  </w:num>
  <w:num w:numId="638">
    <w:abstractNumId w:val="638"/>
  </w:num>
  <w:num w:numId="639">
    <w:abstractNumId w:val="639"/>
  </w:num>
  <w:num w:numId="640">
    <w:abstractNumId w:val="640"/>
  </w:num>
  <w:num w:numId="641">
    <w:abstractNumId w:val="641"/>
  </w:num>
  <w:num w:numId="642">
    <w:abstractNumId w:val="642"/>
  </w:num>
  <w:num w:numId="643">
    <w:abstractNumId w:val="643"/>
  </w:num>
  <w:num w:numId="644">
    <w:abstractNumId w:val="644"/>
  </w:num>
  <w:num w:numId="645">
    <w:abstractNumId w:val="645"/>
  </w:num>
  <w:num w:numId="646">
    <w:abstractNumId w:val="646"/>
  </w:num>
  <w:num w:numId="647">
    <w:abstractNumId w:val="647"/>
  </w:num>
  <w:num w:numId="648">
    <w:abstractNumId w:val="648"/>
  </w:num>
  <w:num w:numId="649">
    <w:abstractNumId w:val="649"/>
  </w:num>
  <w:num w:numId="650">
    <w:abstractNumId w:val="650"/>
  </w:num>
  <w:num w:numId="651">
    <w:abstractNumId w:val="651"/>
  </w:num>
  <w:num w:numId="652">
    <w:abstractNumId w:val="652"/>
  </w:num>
  <w:num w:numId="653">
    <w:abstractNumId w:val="653"/>
  </w:num>
  <w:num w:numId="654">
    <w:abstractNumId w:val="654"/>
  </w:num>
  <w:num w:numId="655">
    <w:abstractNumId w:val="655"/>
  </w:num>
  <w:num w:numId="656">
    <w:abstractNumId w:val="656"/>
  </w:num>
  <w:num w:numId="657">
    <w:abstractNumId w:val="657"/>
  </w:num>
  <w:num w:numId="658">
    <w:abstractNumId w:val="658"/>
  </w:num>
  <w:num w:numId="659">
    <w:abstractNumId w:val="659"/>
  </w:num>
  <w:num w:numId="660">
    <w:abstractNumId w:val="660"/>
  </w:num>
  <w:num w:numId="661">
    <w:abstractNumId w:val="661"/>
  </w:num>
  <w:num w:numId="662">
    <w:abstractNumId w:val="662"/>
  </w:num>
  <w:num w:numId="663">
    <w:abstractNumId w:val="663"/>
  </w:num>
  <w:num w:numId="664">
    <w:abstractNumId w:val="664"/>
  </w:num>
  <w:num w:numId="665">
    <w:abstractNumId w:val="665"/>
  </w:num>
  <w:num w:numId="666">
    <w:abstractNumId w:val="666"/>
  </w:num>
  <w:num w:numId="667">
    <w:abstractNumId w:val="667"/>
  </w:num>
  <w:num w:numId="668">
    <w:abstractNumId w:val="668"/>
  </w:num>
  <w:num w:numId="669">
    <w:abstractNumId w:val="669"/>
  </w:num>
  <w:num w:numId="670">
    <w:abstractNumId w:val="670"/>
  </w:num>
  <w:num w:numId="671">
    <w:abstractNumId w:val="671"/>
  </w:num>
  <w:num w:numId="672">
    <w:abstractNumId w:val="672"/>
  </w:num>
  <w:num w:numId="673">
    <w:abstractNumId w:val="673"/>
  </w:num>
  <w:num w:numId="674">
    <w:abstractNumId w:val="674"/>
  </w:num>
  <w:num w:numId="675">
    <w:abstractNumId w:val="675"/>
  </w:num>
  <w:num w:numId="676">
    <w:abstractNumId w:val="676"/>
  </w:num>
  <w:num w:numId="677">
    <w:abstractNumId w:val="677"/>
  </w:num>
  <w:num w:numId="678">
    <w:abstractNumId w:val="678"/>
  </w:num>
  <w:num w:numId="679">
    <w:abstractNumId w:val="679"/>
  </w:num>
  <w:num w:numId="680">
    <w:abstractNumId w:val="680"/>
  </w:num>
  <w:num w:numId="681">
    <w:abstractNumId w:val="681"/>
  </w:num>
  <w:num w:numId="682">
    <w:abstractNumId w:val="682"/>
  </w:num>
  <w:num w:numId="683">
    <w:abstractNumId w:val="683"/>
  </w:num>
  <w:num w:numId="684">
    <w:abstractNumId w:val="684"/>
  </w:num>
  <w:num w:numId="685">
    <w:abstractNumId w:val="685"/>
  </w:num>
  <w:num w:numId="686">
    <w:abstractNumId w:val="686"/>
  </w:num>
  <w:num w:numId="687">
    <w:abstractNumId w:val="687"/>
  </w:num>
  <w:num w:numId="688">
    <w:abstractNumId w:val="688"/>
  </w:num>
  <w:num w:numId="689">
    <w:abstractNumId w:val="689"/>
  </w:num>
  <w:num w:numId="690">
    <w:abstractNumId w:val="690"/>
  </w:num>
  <w:num w:numId="691">
    <w:abstractNumId w:val="691"/>
  </w:num>
  <w:num w:numId="692">
    <w:abstractNumId w:val="692"/>
  </w:num>
  <w:num w:numId="693">
    <w:abstractNumId w:val="693"/>
  </w:num>
  <w:num w:numId="694">
    <w:abstractNumId w:val="694"/>
  </w:num>
  <w:num w:numId="695">
    <w:abstractNumId w:val="695"/>
  </w:num>
  <w:num w:numId="696">
    <w:abstractNumId w:val="696"/>
  </w:num>
  <w:num w:numId="697">
    <w:abstractNumId w:val="697"/>
  </w:num>
  <w:num w:numId="698">
    <w:abstractNumId w:val="698"/>
  </w:num>
  <w:num w:numId="699">
    <w:abstractNumId w:val="699"/>
  </w:num>
  <w:num w:numId="700">
    <w:abstractNumId w:val="700"/>
  </w:num>
  <w:num w:numId="701">
    <w:abstractNumId w:val="701"/>
  </w:num>
  <w:num w:numId="702">
    <w:abstractNumId w:val="702"/>
  </w:num>
  <w:num w:numId="703">
    <w:abstractNumId w:val="703"/>
  </w:num>
  <w:num w:numId="704">
    <w:abstractNumId w:val="704"/>
  </w:num>
  <w:num w:numId="705">
    <w:abstractNumId w:val="705"/>
  </w:num>
  <w:num w:numId="706">
    <w:abstractNumId w:val="706"/>
  </w:num>
  <w:num w:numId="707">
    <w:abstractNumId w:val="707"/>
  </w:num>
  <w:num w:numId="708">
    <w:abstractNumId w:val="708"/>
  </w:num>
  <w:num w:numId="709">
    <w:abstractNumId w:val="709"/>
  </w:num>
  <w:num w:numId="710">
    <w:abstractNumId w:val="710"/>
  </w:num>
  <w:num w:numId="711">
    <w:abstractNumId w:val="711"/>
  </w:num>
  <w:num w:numId="712">
    <w:abstractNumId w:val="712"/>
  </w:num>
  <w:num w:numId="713">
    <w:abstractNumId w:val="713"/>
  </w:num>
  <w:num w:numId="714">
    <w:abstractNumId w:val="714"/>
  </w:num>
  <w:num w:numId="715">
    <w:abstractNumId w:val="715"/>
  </w:num>
  <w:num w:numId="716">
    <w:abstractNumId w:val="716"/>
  </w:num>
  <w:num w:numId="717">
    <w:abstractNumId w:val="717"/>
  </w:num>
  <w:num w:numId="718">
    <w:abstractNumId w:val="718"/>
  </w:num>
  <w:num w:numId="719">
    <w:abstractNumId w:val="719"/>
  </w:num>
  <w:num w:numId="720">
    <w:abstractNumId w:val="720"/>
  </w:num>
  <w:num w:numId="721">
    <w:abstractNumId w:val="721"/>
  </w:num>
  <w:num w:numId="722">
    <w:abstractNumId w:val="722"/>
  </w:num>
  <w:num w:numId="723">
    <w:abstractNumId w:val="723"/>
  </w:num>
  <w:num w:numId="724">
    <w:abstractNumId w:val="724"/>
  </w:num>
  <w:num w:numId="725">
    <w:abstractNumId w:val="725"/>
  </w:num>
  <w:num w:numId="726">
    <w:abstractNumId w:val="726"/>
  </w:num>
  <w:num w:numId="727">
    <w:abstractNumId w:val="727"/>
  </w:num>
  <w:num w:numId="728">
    <w:abstractNumId w:val="728"/>
  </w:num>
  <w:num w:numId="729">
    <w:abstractNumId w:val="729"/>
  </w:num>
  <w:num w:numId="730">
    <w:abstractNumId w:val="730"/>
  </w:num>
  <w:num w:numId="731">
    <w:abstractNumId w:val="731"/>
  </w:num>
  <w:num w:numId="732">
    <w:abstractNumId w:val="732"/>
  </w:num>
  <w:num w:numId="733">
    <w:abstractNumId w:val="733"/>
  </w:num>
  <w:num w:numId="734">
    <w:abstractNumId w:val="734"/>
  </w:num>
  <w:num w:numId="735">
    <w:abstractNumId w:val="735"/>
  </w:num>
  <w:num w:numId="736">
    <w:abstractNumId w:val="736"/>
  </w:num>
  <w:num w:numId="737">
    <w:abstractNumId w:val="737"/>
  </w:num>
  <w:num w:numId="738">
    <w:abstractNumId w:val="738"/>
  </w:num>
  <w:num w:numId="739">
    <w:abstractNumId w:val="739"/>
  </w:num>
  <w:num w:numId="740">
    <w:abstractNumId w:val="740"/>
  </w:num>
  <w:num w:numId="741">
    <w:abstractNumId w:val="741"/>
  </w:num>
  <w:num w:numId="742">
    <w:abstractNumId w:val="742"/>
  </w:num>
  <w:num w:numId="743">
    <w:abstractNumId w:val="743"/>
  </w:num>
  <w:num w:numId="744">
    <w:abstractNumId w:val="744"/>
  </w:num>
  <w:num w:numId="745">
    <w:abstractNumId w:val="745"/>
  </w:num>
  <w:num w:numId="746">
    <w:abstractNumId w:val="746"/>
  </w:num>
  <w:num w:numId="747">
    <w:abstractNumId w:val="747"/>
  </w:num>
  <w:num w:numId="748">
    <w:abstractNumId w:val="748"/>
  </w:num>
  <w:num w:numId="749">
    <w:abstractNumId w:val="749"/>
  </w:num>
  <w:num w:numId="750">
    <w:abstractNumId w:val="750"/>
  </w:num>
  <w:num w:numId="751">
    <w:abstractNumId w:val="751"/>
  </w:num>
  <w:num w:numId="752">
    <w:abstractNumId w:val="752"/>
  </w:num>
  <w:num w:numId="753">
    <w:abstractNumId w:val="753"/>
  </w:num>
  <w:num w:numId="754">
    <w:abstractNumId w:val="754"/>
  </w:num>
  <w:num w:numId="755">
    <w:abstractNumId w:val="755"/>
  </w:num>
  <w:num w:numId="756">
    <w:abstractNumId w:val="756"/>
  </w:num>
  <w:num w:numId="757">
    <w:abstractNumId w:val="757"/>
  </w:num>
  <w:num w:numId="758">
    <w:abstractNumId w:val="758"/>
  </w:num>
  <w:num w:numId="759">
    <w:abstractNumId w:val="759"/>
  </w:num>
  <w:num w:numId="760">
    <w:abstractNumId w:val="760"/>
  </w:num>
  <w:num w:numId="761">
    <w:abstractNumId w:val="761"/>
  </w:num>
  <w:num w:numId="762">
    <w:abstractNumId w:val="762"/>
  </w:num>
  <w:num w:numId="763">
    <w:abstractNumId w:val="763"/>
  </w:num>
  <w:num w:numId="764">
    <w:abstractNumId w:val="764"/>
  </w:num>
  <w:num w:numId="765">
    <w:abstractNumId w:val="765"/>
  </w:num>
  <w:num w:numId="766">
    <w:abstractNumId w:val="766"/>
  </w:num>
  <w:num w:numId="767">
    <w:abstractNumId w:val="767"/>
  </w:num>
  <w:num w:numId="768">
    <w:abstractNumId w:val="768"/>
  </w:num>
  <w:num w:numId="769">
    <w:abstractNumId w:val="769"/>
  </w:num>
  <w:num w:numId="770">
    <w:abstractNumId w:val="770"/>
  </w:num>
  <w:num w:numId="771">
    <w:abstractNumId w:val="771"/>
  </w:num>
  <w:num w:numId="772">
    <w:abstractNumId w:val="772"/>
  </w:num>
  <w:num w:numId="773">
    <w:abstractNumId w:val="773"/>
  </w:num>
  <w:num w:numId="774">
    <w:abstractNumId w:val="774"/>
  </w:num>
  <w:num w:numId="775">
    <w:abstractNumId w:val="775"/>
  </w:num>
  <w:num w:numId="776">
    <w:abstractNumId w:val="776"/>
  </w:num>
  <w:num w:numId="777">
    <w:abstractNumId w:val="777"/>
  </w:num>
  <w:num w:numId="778">
    <w:abstractNumId w:val="778"/>
  </w:num>
  <w:num w:numId="779">
    <w:abstractNumId w:val="779"/>
  </w:num>
  <w:num w:numId="780">
    <w:abstractNumId w:val="780"/>
  </w:num>
  <w:num w:numId="781">
    <w:abstractNumId w:val="781"/>
  </w:num>
  <w:num w:numId="782">
    <w:abstractNumId w:val="782"/>
  </w:num>
  <w:num w:numId="783">
    <w:abstractNumId w:val="783"/>
  </w:num>
  <w:num w:numId="784">
    <w:abstractNumId w:val="784"/>
  </w:num>
  <w:num w:numId="785">
    <w:abstractNumId w:val="785"/>
  </w:num>
  <w:num w:numId="786">
    <w:abstractNumId w:val="786"/>
  </w:num>
  <w:num w:numId="787">
    <w:abstractNumId w:val="787"/>
  </w:num>
  <w:num w:numId="788">
    <w:abstractNumId w:val="788"/>
  </w:num>
  <w:num w:numId="789">
    <w:abstractNumId w:val="789"/>
  </w:num>
  <w:num w:numId="790">
    <w:abstractNumId w:val="790"/>
  </w:num>
  <w:num w:numId="791">
    <w:abstractNumId w:val="791"/>
  </w:num>
  <w:num w:numId="792">
    <w:abstractNumId w:val="792"/>
  </w:num>
  <w:num w:numId="793">
    <w:abstractNumId w:val="793"/>
  </w:num>
  <w:num w:numId="794">
    <w:abstractNumId w:val="794"/>
  </w:num>
  <w:num w:numId="795">
    <w:abstractNumId w:val="795"/>
  </w:num>
  <w:num w:numId="796">
    <w:abstractNumId w:val="796"/>
  </w:num>
  <w:num w:numId="797">
    <w:abstractNumId w:val="797"/>
  </w:num>
  <w:num w:numId="798">
    <w:abstractNumId w:val="798"/>
  </w:num>
  <w:num w:numId="799">
    <w:abstractNumId w:val="799"/>
  </w:num>
  <w:num w:numId="800">
    <w:abstractNumId w:val="800"/>
  </w:num>
  <w:num w:numId="801">
    <w:abstractNumId w:val="801"/>
  </w:num>
  <w:num w:numId="802">
    <w:abstractNumId w:val="802"/>
  </w:num>
  <w:num w:numId="803">
    <w:abstractNumId w:val="803"/>
  </w:num>
  <w:num w:numId="804">
    <w:abstractNumId w:val="804"/>
  </w:num>
  <w:num w:numId="805">
    <w:abstractNumId w:val="805"/>
  </w:num>
  <w:num w:numId="806">
    <w:abstractNumId w:val="806"/>
  </w:num>
  <w:num w:numId="807">
    <w:abstractNumId w:val="807"/>
  </w:num>
  <w:num w:numId="808">
    <w:abstractNumId w:val="808"/>
  </w:num>
  <w:num w:numId="809">
    <w:abstractNumId w:val="809"/>
  </w:num>
  <w:num w:numId="810">
    <w:abstractNumId w:val="810"/>
  </w:num>
  <w:num w:numId="811">
    <w:abstractNumId w:val="811"/>
  </w:num>
  <w:num w:numId="812">
    <w:abstractNumId w:val="812"/>
  </w:num>
  <w:num w:numId="813">
    <w:abstractNumId w:val="813"/>
  </w:num>
  <w:num w:numId="814">
    <w:abstractNumId w:val="814"/>
  </w:num>
  <w:num w:numId="815">
    <w:abstractNumId w:val="815"/>
  </w:num>
  <w:num w:numId="816">
    <w:abstractNumId w:val="816"/>
  </w:num>
  <w:num w:numId="817">
    <w:abstractNumId w:val="817"/>
  </w:num>
  <w:num w:numId="818">
    <w:abstractNumId w:val="818"/>
  </w:num>
  <w:num w:numId="819">
    <w:abstractNumId w:val="819"/>
  </w:num>
  <w:num w:numId="820">
    <w:abstractNumId w:val="820"/>
  </w:num>
  <w:num w:numId="821">
    <w:abstractNumId w:val="821"/>
  </w:num>
  <w:num w:numId="822">
    <w:abstractNumId w:val="822"/>
  </w:num>
  <w:num w:numId="823">
    <w:abstractNumId w:val="823"/>
  </w:num>
  <w:num w:numId="824">
    <w:abstractNumId w:val="824"/>
  </w:num>
  <w:num w:numId="825">
    <w:abstractNumId w:val="825"/>
  </w:num>
  <w:num w:numId="826">
    <w:abstractNumId w:val="826"/>
  </w:num>
  <w:num w:numId="827">
    <w:abstractNumId w:val="827"/>
  </w:num>
  <w:num w:numId="828">
    <w:abstractNumId w:val="828"/>
  </w:num>
  <w:num w:numId="829">
    <w:abstractNumId w:val="829"/>
  </w:num>
  <w:num w:numId="830">
    <w:abstractNumId w:val="830"/>
  </w:num>
  <w:num w:numId="831">
    <w:abstractNumId w:val="831"/>
  </w:num>
  <w:num w:numId="832">
    <w:abstractNumId w:val="832"/>
  </w:num>
  <w:num w:numId="833">
    <w:abstractNumId w:val="833"/>
  </w:num>
  <w:num w:numId="834">
    <w:abstractNumId w:val="834"/>
  </w:num>
  <w:num w:numId="835">
    <w:abstractNumId w:val="835"/>
  </w:num>
  <w:num w:numId="836">
    <w:abstractNumId w:val="836"/>
  </w:num>
  <w:num w:numId="837">
    <w:abstractNumId w:val="837"/>
  </w:num>
  <w:num w:numId="838">
    <w:abstractNumId w:val="838"/>
  </w:num>
  <w:num w:numId="839">
    <w:abstractNumId w:val="839"/>
  </w:num>
  <w:num w:numId="840">
    <w:abstractNumId w:val="840"/>
  </w:num>
  <w:num w:numId="841">
    <w:abstractNumId w:val="841"/>
  </w:num>
  <w:num w:numId="842">
    <w:abstractNumId w:val="842"/>
  </w:num>
  <w:num w:numId="843">
    <w:abstractNumId w:val="843"/>
  </w:num>
  <w:num w:numId="844">
    <w:abstractNumId w:val="844"/>
  </w:num>
  <w:num w:numId="845">
    <w:abstractNumId w:val="845"/>
  </w:num>
  <w:num w:numId="846">
    <w:abstractNumId w:val="846"/>
  </w:num>
  <w:num w:numId="847">
    <w:abstractNumId w:val="847"/>
  </w:num>
  <w:num w:numId="848">
    <w:abstractNumId w:val="848"/>
  </w:num>
  <w:num w:numId="849">
    <w:abstractNumId w:val="849"/>
  </w:num>
  <w:num w:numId="850">
    <w:abstractNumId w:val="850"/>
  </w:num>
  <w:num w:numId="851">
    <w:abstractNumId w:val="851"/>
  </w:num>
  <w:num w:numId="852">
    <w:abstractNumId w:val="852"/>
  </w:num>
  <w:num w:numId="853">
    <w:abstractNumId w:val="853"/>
  </w:num>
  <w:num w:numId="854">
    <w:abstractNumId w:val="854"/>
  </w:num>
  <w:num w:numId="855">
    <w:abstractNumId w:val="855"/>
  </w:num>
  <w:num w:numId="856">
    <w:abstractNumId w:val="856"/>
  </w:num>
  <w:num w:numId="857">
    <w:abstractNumId w:val="857"/>
  </w:num>
  <w:num w:numId="858">
    <w:abstractNumId w:val="858"/>
  </w:num>
  <w:num w:numId="859">
    <w:abstractNumId w:val="859"/>
  </w:num>
  <w:num w:numId="860">
    <w:abstractNumId w:val="860"/>
  </w:num>
  <w:num w:numId="861">
    <w:abstractNumId w:val="861"/>
  </w:num>
  <w:num w:numId="862">
    <w:abstractNumId w:val="862"/>
  </w:num>
  <w:num w:numId="863">
    <w:abstractNumId w:val="863"/>
  </w:num>
  <w:num w:numId="864">
    <w:abstractNumId w:val="864"/>
  </w:num>
  <w:num w:numId="865">
    <w:abstractNumId w:val="865"/>
  </w:num>
  <w:num w:numId="866">
    <w:abstractNumId w:val="866"/>
  </w:num>
  <w:num w:numId="867">
    <w:abstractNumId w:val="867"/>
  </w:num>
  <w:num w:numId="868">
    <w:abstractNumId w:val="868"/>
  </w:num>
  <w:num w:numId="869">
    <w:abstractNumId w:val="869"/>
  </w:num>
  <w:num w:numId="870">
    <w:abstractNumId w:val="870"/>
  </w:num>
  <w:num w:numId="871">
    <w:abstractNumId w:val="871"/>
  </w:num>
  <w:num w:numId="872">
    <w:abstractNumId w:val="872"/>
  </w:num>
  <w:num w:numId="873">
    <w:abstractNumId w:val="873"/>
  </w:num>
  <w:num w:numId="874">
    <w:abstractNumId w:val="874"/>
  </w:num>
  <w:num w:numId="875">
    <w:abstractNumId w:val="875"/>
  </w:num>
  <w:num w:numId="876">
    <w:abstractNumId w:val="876"/>
  </w:num>
  <w:num w:numId="877">
    <w:abstractNumId w:val="877"/>
  </w:num>
  <w:num w:numId="878">
    <w:abstractNumId w:val="878"/>
  </w:num>
  <w:num w:numId="879">
    <w:abstractNumId w:val="879"/>
  </w:num>
  <w:num w:numId="880">
    <w:abstractNumId w:val="880"/>
  </w:num>
  <w:num w:numId="881">
    <w:abstractNumId w:val="881"/>
  </w:num>
  <w:num w:numId="882">
    <w:abstractNumId w:val="882"/>
  </w:num>
  <w:num w:numId="883">
    <w:abstractNumId w:val="883"/>
  </w:num>
  <w:num w:numId="884">
    <w:abstractNumId w:val="884"/>
  </w:num>
  <w:num w:numId="885">
    <w:abstractNumId w:val="885"/>
  </w:num>
  <w:num w:numId="886">
    <w:abstractNumId w:val="886"/>
  </w:num>
  <w:num w:numId="887">
    <w:abstractNumId w:val="887"/>
  </w:num>
  <w:num w:numId="888">
    <w:abstractNumId w:val="888"/>
  </w:num>
  <w:num w:numId="889">
    <w:abstractNumId w:val="889"/>
  </w:num>
  <w:num w:numId="890">
    <w:abstractNumId w:val="890"/>
  </w:num>
  <w:num w:numId="891">
    <w:abstractNumId w:val="891"/>
  </w:num>
  <w:num w:numId="892">
    <w:abstractNumId w:val="892"/>
  </w:num>
  <w:num w:numId="893">
    <w:abstractNumId w:val="893"/>
  </w:num>
  <w:num w:numId="894">
    <w:abstractNumId w:val="894"/>
  </w:num>
  <w:num w:numId="895">
    <w:abstractNumId w:val="895"/>
  </w:num>
  <w:num w:numId="896">
    <w:abstractNumId w:val="896"/>
  </w:num>
  <w:num w:numId="897">
    <w:abstractNumId w:val="897"/>
  </w:num>
  <w:num w:numId="898">
    <w:abstractNumId w:val="898"/>
  </w:num>
  <w:num w:numId="899">
    <w:abstractNumId w:val="899"/>
  </w:num>
  <w:num w:numId="900">
    <w:abstractNumId w:val="900"/>
  </w:num>
  <w:num w:numId="901">
    <w:abstractNumId w:val="901"/>
  </w:num>
  <w:num w:numId="902">
    <w:abstractNumId w:val="902"/>
  </w:num>
  <w:num w:numId="903">
    <w:abstractNumId w:val="903"/>
  </w:num>
  <w:num w:numId="904">
    <w:abstractNumId w:val="904"/>
  </w:num>
  <w:num w:numId="905">
    <w:abstractNumId w:val="905"/>
  </w:num>
  <w:num w:numId="906">
    <w:abstractNumId w:val="906"/>
  </w:num>
  <w:num w:numId="907">
    <w:abstractNumId w:val="907"/>
  </w:num>
  <w:num w:numId="908">
    <w:abstractNumId w:val="908"/>
  </w:num>
  <w:num w:numId="909">
    <w:abstractNumId w:val="909"/>
  </w:num>
  <w:num w:numId="910">
    <w:abstractNumId w:val="910"/>
  </w:num>
  <w:num w:numId="911">
    <w:abstractNumId w:val="911"/>
  </w:num>
  <w:num w:numId="912">
    <w:abstractNumId w:val="912"/>
  </w:num>
  <w:num w:numId="913">
    <w:abstractNumId w:val="913"/>
  </w:num>
  <w:num w:numId="914">
    <w:abstractNumId w:val="914"/>
  </w:num>
  <w:num w:numId="915">
    <w:abstractNumId w:val="915"/>
  </w:num>
  <w:num w:numId="916">
    <w:abstractNumId w:val="916"/>
  </w:num>
  <w:num w:numId="917">
    <w:abstractNumId w:val="917"/>
  </w:num>
  <w:num w:numId="918">
    <w:abstractNumId w:val="918"/>
  </w:num>
  <w:num w:numId="919">
    <w:abstractNumId w:val="919"/>
  </w:num>
  <w:num w:numId="920">
    <w:abstractNumId w:val="920"/>
  </w:num>
  <w:num w:numId="921">
    <w:abstractNumId w:val="921"/>
  </w:num>
  <w:num w:numId="922">
    <w:abstractNumId w:val="922"/>
  </w:num>
  <w:num w:numId="923">
    <w:abstractNumId w:val="923"/>
  </w:num>
  <w:num w:numId="924">
    <w:abstractNumId w:val="924"/>
  </w:num>
  <w:num w:numId="925">
    <w:abstractNumId w:val="925"/>
  </w:num>
  <w:num w:numId="926">
    <w:abstractNumId w:val="926"/>
  </w:num>
  <w:num w:numId="927">
    <w:abstractNumId w:val="927"/>
  </w:num>
  <w:num w:numId="928">
    <w:abstractNumId w:val="928"/>
  </w:num>
  <w:num w:numId="929">
    <w:abstractNumId w:val="929"/>
  </w:num>
  <w:num w:numId="930">
    <w:abstractNumId w:val="930"/>
  </w:num>
  <w:num w:numId="931">
    <w:abstractNumId w:val="931"/>
  </w:num>
  <w:num w:numId="932">
    <w:abstractNumId w:val="932"/>
  </w:num>
  <w:num w:numId="933">
    <w:abstractNumId w:val="933"/>
  </w:num>
  <w:num w:numId="934">
    <w:abstractNumId w:val="934"/>
  </w:num>
  <w:num w:numId="935">
    <w:abstractNumId w:val="935"/>
  </w:num>
  <w:num w:numId="936">
    <w:abstractNumId w:val="936"/>
  </w:num>
  <w:num w:numId="937">
    <w:abstractNumId w:val="937"/>
  </w:num>
  <w:num w:numId="938">
    <w:abstractNumId w:val="938"/>
  </w:num>
  <w:num w:numId="939">
    <w:abstractNumId w:val="939"/>
  </w:num>
  <w:num w:numId="940">
    <w:abstractNumId w:val="940"/>
  </w:num>
  <w:num w:numId="941">
    <w:abstractNumId w:val="941"/>
  </w:num>
  <w:num w:numId="942">
    <w:abstractNumId w:val="942"/>
  </w:num>
  <w:num w:numId="943">
    <w:abstractNumId w:val="943"/>
  </w:num>
  <w:num w:numId="944">
    <w:abstractNumId w:val="944"/>
  </w:num>
  <w:num w:numId="945">
    <w:abstractNumId w:val="945"/>
  </w:num>
  <w:num w:numId="946">
    <w:abstractNumId w:val="946"/>
  </w:num>
  <w:num w:numId="947">
    <w:abstractNumId w:val="947"/>
  </w:num>
  <w:num w:numId="948">
    <w:abstractNumId w:val="948"/>
  </w:num>
  <w:num w:numId="949">
    <w:abstractNumId w:val="949"/>
  </w:num>
  <w:num w:numId="950">
    <w:abstractNumId w:val="950"/>
  </w:num>
  <w:num w:numId="951">
    <w:abstractNumId w:val="951"/>
  </w:num>
  <w:num w:numId="952">
    <w:abstractNumId w:val="952"/>
  </w:num>
  <w:num w:numId="953">
    <w:abstractNumId w:val="953"/>
  </w:num>
  <w:num w:numId="954">
    <w:abstractNumId w:val="954"/>
  </w:num>
  <w:num w:numId="955">
    <w:abstractNumId w:val="955"/>
  </w:num>
  <w:num w:numId="956">
    <w:abstractNumId w:val="956"/>
  </w:num>
  <w:num w:numId="957">
    <w:abstractNumId w:val="957"/>
  </w:num>
  <w:num w:numId="958">
    <w:abstractNumId w:val="958"/>
  </w:num>
  <w:num w:numId="959">
    <w:abstractNumId w:val="959"/>
  </w:num>
  <w:num w:numId="960">
    <w:abstractNumId w:val="960"/>
  </w:num>
  <w:num w:numId="961">
    <w:abstractNumId w:val="961"/>
  </w:num>
  <w:num w:numId="962">
    <w:abstractNumId w:val="962"/>
  </w:num>
  <w:num w:numId="963">
    <w:abstractNumId w:val="963"/>
  </w:num>
  <w:num w:numId="964">
    <w:abstractNumId w:val="964"/>
  </w:num>
  <w:num w:numId="965">
    <w:abstractNumId w:val="965"/>
  </w:num>
  <w:num w:numId="966">
    <w:abstractNumId w:val="966"/>
  </w:num>
  <w:num w:numId="967">
    <w:abstractNumId w:val="967"/>
  </w:num>
  <w:num w:numId="968">
    <w:abstractNumId w:val="968"/>
  </w:num>
  <w:num w:numId="969">
    <w:abstractNumId w:val="969"/>
  </w:num>
  <w:num w:numId="970">
    <w:abstractNumId w:val="970"/>
  </w:num>
  <w:num w:numId="971">
    <w:abstractNumId w:val="971"/>
  </w:num>
  <w:num w:numId="972">
    <w:abstractNumId w:val="972"/>
  </w:num>
  <w:num w:numId="973">
    <w:abstractNumId w:val="973"/>
  </w:num>
  <w:num w:numId="974">
    <w:abstractNumId w:val="974"/>
  </w:num>
  <w:num w:numId="975">
    <w:abstractNumId w:val="975"/>
  </w:num>
  <w:num w:numId="976">
    <w:abstractNumId w:val="976"/>
  </w:num>
  <w:num w:numId="977">
    <w:abstractNumId w:val="977"/>
  </w:num>
  <w:num w:numId="978">
    <w:abstractNumId w:val="978"/>
  </w:num>
  <w:num w:numId="979">
    <w:abstractNumId w:val="979"/>
  </w:num>
  <w:num w:numId="980">
    <w:abstractNumId w:val="980"/>
  </w:num>
  <w:num w:numId="981">
    <w:abstractNumId w:val="981"/>
  </w:num>
  <w:num w:numId="982">
    <w:abstractNumId w:val="982"/>
  </w:num>
  <w:num w:numId="983">
    <w:abstractNumId w:val="983"/>
  </w:num>
  <w:num w:numId="984">
    <w:abstractNumId w:val="984"/>
  </w:num>
  <w:num w:numId="985">
    <w:abstractNumId w:val="985"/>
  </w:num>
  <w:num w:numId="986">
    <w:abstractNumId w:val="986"/>
  </w:num>
  <w:num w:numId="987">
    <w:abstractNumId w:val="987"/>
  </w:num>
  <w:num w:numId="988">
    <w:abstractNumId w:val="988"/>
  </w:num>
  <w:num w:numId="989">
    <w:abstractNumId w:val="989"/>
  </w:num>
  <w:num w:numId="990">
    <w:abstractNumId w:val="990"/>
  </w:num>
  <w:num w:numId="991">
    <w:abstractNumId w:val="991"/>
  </w:num>
  <w:num w:numId="992">
    <w:abstractNumId w:val="992"/>
  </w:num>
  <w:num w:numId="993">
    <w:abstractNumId w:val="993"/>
  </w:num>
  <w:num w:numId="994">
    <w:abstractNumId w:val="994"/>
  </w:num>
  <w:num w:numId="995">
    <w:abstractNumId w:val="995"/>
  </w:num>
  <w:num w:numId="996">
    <w:abstractNumId w:val="996"/>
  </w:num>
  <w:num w:numId="997">
    <w:abstractNumId w:val="997"/>
  </w:num>
  <w:num w:numId="998">
    <w:abstractNumId w:val="998"/>
  </w:num>
  <w:num w:numId="999">
    <w:abstractNumId w:val="999"/>
  </w:num>
  <w:num w:numId="1000">
    <w:abstractNumId w:val="1000"/>
  </w:num>
  <w:num w:numId="1001">
    <w:abstractNumId w:val="1001"/>
  </w:num>
  <w:num w:numId="1002">
    <w:abstractNumId w:val="1002"/>
  </w:num>
  <w:num w:numId="1003">
    <w:abstractNumId w:val="1003"/>
  </w:num>
  <w:num w:numId="1004">
    <w:abstractNumId w:val="1004"/>
  </w:num>
  <w:num w:numId="1005">
    <w:abstractNumId w:val="1005"/>
  </w:num>
  <w:num w:numId="1006">
    <w:abstractNumId w:val="1006"/>
  </w:num>
  <w:num w:numId="1007">
    <w:abstractNumId w:val="1007"/>
  </w:num>
  <w:num w:numId="1008">
    <w:abstractNumId w:val="1008"/>
  </w:num>
  <w:num w:numId="1009">
    <w:abstractNumId w:val="1009"/>
  </w:num>
  <w:num w:numId="1010">
    <w:abstractNumId w:val="1010"/>
  </w:num>
  <w:num w:numId="1011">
    <w:abstractNumId w:val="1011"/>
  </w:num>
  <w:num w:numId="1012">
    <w:abstractNumId w:val="1012"/>
  </w:num>
  <w:num w:numId="1013">
    <w:abstractNumId w:val="1013"/>
  </w:num>
  <w:num w:numId="1014">
    <w:abstractNumId w:val="1014"/>
  </w:num>
  <w:num w:numId="1015">
    <w:abstractNumId w:val="1015"/>
  </w:num>
  <w:num w:numId="1016">
    <w:abstractNumId w:val="1016"/>
  </w:num>
  <w:num w:numId="1017">
    <w:abstractNumId w:val="1017"/>
  </w:num>
  <w:num w:numId="1018">
    <w:abstractNumId w:val="1018"/>
  </w:num>
  <w:num w:numId="1019">
    <w:abstractNumId w:val="1019"/>
  </w:num>
  <w:num w:numId="1020">
    <w:abstractNumId w:val="1020"/>
  </w:num>
  <w:num w:numId="1021">
    <w:abstractNumId w:val="1021"/>
  </w:num>
  <w:num w:numId="1022">
    <w:abstractNumId w:val="1022"/>
  </w:num>
  <w:num w:numId="1023">
    <w:abstractNumId w:val="1023"/>
  </w:num>
  <w:num w:numId="1024">
    <w:abstractNumId w:val="1024"/>
  </w:num>
  <w:num w:numId="1025">
    <w:abstractNumId w:val="1025"/>
  </w:num>
  <w:num w:numId="1026">
    <w:abstractNumId w:val="1026"/>
  </w:num>
  <w:num w:numId="1027">
    <w:abstractNumId w:val="1027"/>
  </w:num>
  <w:num w:numId="1028">
    <w:abstractNumId w:val="1028"/>
  </w:num>
  <w:num w:numId="1029">
    <w:abstractNumId w:val="1029"/>
  </w:num>
  <w:num w:numId="1030">
    <w:abstractNumId w:val="1030"/>
  </w:num>
  <w:num w:numId="1031">
    <w:abstractNumId w:val="1031"/>
  </w:num>
  <w:num w:numId="1032">
    <w:abstractNumId w:val="1032"/>
  </w:num>
  <w:num w:numId="1033">
    <w:abstractNumId w:val="1033"/>
  </w:num>
  <w:num w:numId="1034">
    <w:abstractNumId w:val="1034"/>
  </w:num>
  <w:num w:numId="1035">
    <w:abstractNumId w:val="1035"/>
  </w:num>
  <w:num w:numId="1036">
    <w:abstractNumId w:val="1036"/>
  </w:num>
  <w:num w:numId="1037">
    <w:abstractNumId w:val="1037"/>
  </w:num>
  <w:num w:numId="1038">
    <w:abstractNumId w:val="1038"/>
  </w:num>
  <w:num w:numId="1039">
    <w:abstractNumId w:val="1039"/>
  </w:num>
  <w:num w:numId="1040">
    <w:abstractNumId w:val="1040"/>
  </w:num>
  <w:num w:numId="1041">
    <w:abstractNumId w:val="1041"/>
  </w:num>
  <w:num w:numId="1042">
    <w:abstractNumId w:val="1042"/>
  </w:num>
  <w:num w:numId="1043">
    <w:abstractNumId w:val="1043"/>
  </w:num>
  <w:num w:numId="1044">
    <w:abstractNumId w:val="1044"/>
  </w:num>
  <w:num w:numId="1045">
    <w:abstractNumId w:val="1045"/>
  </w:num>
  <w:num w:numId="1046">
    <w:abstractNumId w:val="1046"/>
  </w:num>
  <w:num w:numId="1047">
    <w:abstractNumId w:val="1047"/>
  </w:num>
  <w:num w:numId="1048">
    <w:abstractNumId w:val="1048"/>
  </w:num>
  <w:num w:numId="1049">
    <w:abstractNumId w:val="1049"/>
  </w:num>
  <w:num w:numId="1050">
    <w:abstractNumId w:val="1050"/>
  </w:num>
  <w:num w:numId="1051">
    <w:abstractNumId w:val="1051"/>
  </w:num>
  <w:num w:numId="1052">
    <w:abstractNumId w:val="1052"/>
  </w:num>
  <w:num w:numId="1053">
    <w:abstractNumId w:val="1053"/>
  </w:num>
  <w:num w:numId="1054">
    <w:abstractNumId w:val="1054"/>
  </w:num>
  <w:num w:numId="1055">
    <w:abstractNumId w:val="1055"/>
  </w:num>
  <w:num w:numId="1056">
    <w:abstractNumId w:val="1056"/>
  </w:num>
  <w:num w:numId="1057">
    <w:abstractNumId w:val="1057"/>
  </w:num>
  <w:num w:numId="1058">
    <w:abstractNumId w:val="1058"/>
  </w:num>
  <w:num w:numId="1059">
    <w:abstractNumId w:val="1059"/>
  </w:num>
  <w:num w:numId="1060">
    <w:abstractNumId w:val="1060"/>
  </w:num>
  <w:num w:numId="1061">
    <w:abstractNumId w:val="1061"/>
  </w:num>
  <w:num w:numId="1062">
    <w:abstractNumId w:val="1062"/>
  </w:num>
  <w:num w:numId="1063">
    <w:abstractNumId w:val="1063"/>
  </w:num>
  <w:num w:numId="1064">
    <w:abstractNumId w:val="1064"/>
  </w:num>
  <w:num w:numId="1065">
    <w:abstractNumId w:val="1065"/>
  </w:num>
  <w:num w:numId="1066">
    <w:abstractNumId w:val="1066"/>
  </w:num>
  <w:num w:numId="1067">
    <w:abstractNumId w:val="1067"/>
  </w:num>
  <w:num w:numId="1068">
    <w:abstractNumId w:val="1068"/>
  </w:num>
  <w:num w:numId="1069">
    <w:abstractNumId w:val="1069"/>
  </w:num>
  <w:num w:numId="1070">
    <w:abstractNumId w:val="1070"/>
  </w:num>
  <w:num w:numId="1071">
    <w:abstractNumId w:val="1071"/>
  </w:num>
  <w:num w:numId="1072">
    <w:abstractNumId w:val="1072"/>
  </w:num>
  <w:num w:numId="1073">
    <w:abstractNumId w:val="1073"/>
  </w:num>
  <w:num w:numId="1074">
    <w:abstractNumId w:val="1074"/>
  </w:num>
  <w:num w:numId="1075">
    <w:abstractNumId w:val="1075"/>
  </w:num>
  <w:num w:numId="1076">
    <w:abstractNumId w:val="1076"/>
  </w:num>
  <w:num w:numId="1077">
    <w:abstractNumId w:val="1077"/>
  </w:num>
  <w:num w:numId="1078">
    <w:abstractNumId w:val="1078"/>
  </w:num>
  <w:num w:numId="1079">
    <w:abstractNumId w:val="1079"/>
  </w:num>
  <w:num w:numId="1080">
    <w:abstractNumId w:val="1080"/>
  </w:num>
  <w:num w:numId="1081">
    <w:abstractNumId w:val="1081"/>
  </w:num>
  <w:num w:numId="1082">
    <w:abstractNumId w:val="1082"/>
  </w:num>
  <w:num w:numId="1083">
    <w:abstractNumId w:val="1083"/>
  </w:num>
  <w:num w:numId="1084">
    <w:abstractNumId w:val="1084"/>
  </w:num>
  <w:num w:numId="1085">
    <w:abstractNumId w:val="1085"/>
  </w:num>
  <w:num w:numId="1086">
    <w:abstractNumId w:val="1086"/>
  </w:num>
  <w:num w:numId="1087">
    <w:abstractNumId w:val="1087"/>
  </w:num>
  <w:num w:numId="1088">
    <w:abstractNumId w:val="1088"/>
  </w:num>
  <w:num w:numId="1089">
    <w:abstractNumId w:val="1089"/>
  </w:num>
  <w:num w:numId="1090">
    <w:abstractNumId w:val="1090"/>
  </w:num>
  <w:num w:numId="1091">
    <w:abstractNumId w:val="1091"/>
  </w:num>
  <w:num w:numId="1092">
    <w:abstractNumId w:val="1092"/>
  </w:num>
  <w:num w:numId="1093">
    <w:abstractNumId w:val="1093"/>
  </w:num>
  <w:num w:numId="1094">
    <w:abstractNumId w:val="1094"/>
  </w:num>
  <w:num w:numId="1095">
    <w:abstractNumId w:val="1095"/>
  </w:num>
  <w:num w:numId="1096">
    <w:abstractNumId w:val="1096"/>
  </w:num>
  <w:num w:numId="1097">
    <w:abstractNumId w:val="1097"/>
  </w:num>
  <w:num w:numId="1098">
    <w:abstractNumId w:val="1098"/>
  </w:num>
  <w:num w:numId="1099">
    <w:abstractNumId w:val="1099"/>
  </w:num>
  <w:num w:numId="1100">
    <w:abstractNumId w:val="1100"/>
  </w:num>
  <w:num w:numId="1101">
    <w:abstractNumId w:val="1101"/>
  </w:num>
  <w:num w:numId="1102">
    <w:abstractNumId w:val="1102"/>
  </w:num>
  <w:num w:numId="1103">
    <w:abstractNumId w:val="1103"/>
  </w:num>
  <w:num w:numId="1104">
    <w:abstractNumId w:val="1104"/>
  </w:num>
  <w:num w:numId="1105">
    <w:abstractNumId w:val="1105"/>
  </w:num>
  <w:num w:numId="1106">
    <w:abstractNumId w:val="1106"/>
  </w:num>
  <w:num w:numId="1107">
    <w:abstractNumId w:val="1107"/>
  </w:num>
  <w:num w:numId="1108">
    <w:abstractNumId w:val="1108"/>
  </w:num>
  <w:num w:numId="1109">
    <w:abstractNumId w:val="1109"/>
  </w:num>
  <w:num w:numId="1110">
    <w:abstractNumId w:val="1110"/>
  </w:num>
  <w:num w:numId="1111">
    <w:abstractNumId w:val="1111"/>
  </w:num>
  <w:num w:numId="1112">
    <w:abstractNumId w:val="1112"/>
  </w:num>
  <w:num w:numId="1113">
    <w:abstractNumId w:val="1113"/>
  </w:num>
  <w:num w:numId="1114">
    <w:abstractNumId w:val="1114"/>
  </w:num>
  <w:num w:numId="1115">
    <w:abstractNumId w:val="1115"/>
  </w:num>
  <w:num w:numId="1116">
    <w:abstractNumId w:val="1116"/>
  </w:num>
  <w:num w:numId="1117">
    <w:abstractNumId w:val="1117"/>
  </w:num>
  <w:num w:numId="1118">
    <w:abstractNumId w:val="1118"/>
  </w:num>
  <w:num w:numId="1119">
    <w:abstractNumId w:val="1119"/>
  </w:num>
  <w:num w:numId="1120">
    <w:abstractNumId w:val="1120"/>
  </w:num>
  <w:num w:numId="1121">
    <w:abstractNumId w:val="1121"/>
  </w:num>
  <w:num w:numId="1122">
    <w:abstractNumId w:val="1122"/>
  </w:num>
  <w:num w:numId="1123">
    <w:abstractNumId w:val="1123"/>
  </w:num>
  <w:num w:numId="1124">
    <w:abstractNumId w:val="1124"/>
  </w:num>
  <w:num w:numId="1125">
    <w:abstractNumId w:val="1125"/>
  </w:num>
  <w:num w:numId="1126">
    <w:abstractNumId w:val="1126"/>
  </w:num>
  <w:num w:numId="1127">
    <w:abstractNumId w:val="1127"/>
  </w:num>
  <w:num w:numId="1128">
    <w:abstractNumId w:val="1128"/>
  </w:num>
  <w:num w:numId="1129">
    <w:abstractNumId w:val="1129"/>
  </w:num>
  <w:num w:numId="1130">
    <w:abstractNumId w:val="1130"/>
  </w:num>
  <w:num w:numId="1131">
    <w:abstractNumId w:val="1131"/>
  </w:num>
  <w:num w:numId="1132">
    <w:abstractNumId w:val="1132"/>
  </w:num>
  <w:num w:numId="1133">
    <w:abstractNumId w:val="1133"/>
  </w:num>
  <w:num w:numId="1134">
    <w:abstractNumId w:val="1134"/>
  </w:num>
  <w:num w:numId="1135">
    <w:abstractNumId w:val="1135"/>
  </w:num>
  <w:num w:numId="1136">
    <w:abstractNumId w:val="1136"/>
  </w:num>
  <w:num w:numId="1137">
    <w:abstractNumId w:val="1137"/>
  </w:num>
  <w:num w:numId="1138">
    <w:abstractNumId w:val="1138"/>
  </w:num>
  <w:num w:numId="1139">
    <w:abstractNumId w:val="1139"/>
  </w:num>
  <w:num w:numId="1140">
    <w:abstractNumId w:val="1140"/>
  </w:num>
  <w:num w:numId="1141">
    <w:abstractNumId w:val="1141"/>
  </w:num>
  <w:num w:numId="1142">
    <w:abstractNumId w:val="1142"/>
  </w:num>
  <w:num w:numId="1143">
    <w:abstractNumId w:val="1143"/>
  </w:num>
  <w:num w:numId="1144">
    <w:abstractNumId w:val="1144"/>
  </w:num>
  <w:num w:numId="1145">
    <w:abstractNumId w:val="1145"/>
  </w:num>
  <w:num w:numId="1146">
    <w:abstractNumId w:val="1146"/>
  </w:num>
  <w:num w:numId="1147">
    <w:abstractNumId w:val="1147"/>
  </w:num>
  <w:num w:numId="1148">
    <w:abstractNumId w:val="1148"/>
  </w:num>
  <w:num w:numId="1149">
    <w:abstractNumId w:val="1149"/>
  </w:num>
  <w:num w:numId="1150">
    <w:abstractNumId w:val="1150"/>
  </w:num>
  <w:num w:numId="1151">
    <w:abstractNumId w:val="1151"/>
  </w:num>
  <w:num w:numId="1152">
    <w:abstractNumId w:val="1152"/>
  </w:num>
  <w:num w:numId="1153">
    <w:abstractNumId w:val="1153"/>
  </w:num>
  <w:num w:numId="1154">
    <w:abstractNumId w:val="1154"/>
  </w:num>
  <w:num w:numId="1155">
    <w:abstractNumId w:val="1155"/>
  </w:num>
  <w:num w:numId="1156">
    <w:abstractNumId w:val="1156"/>
  </w:num>
  <w:num w:numId="1157">
    <w:abstractNumId w:val="1157"/>
  </w:num>
  <w:num w:numId="1158">
    <w:abstractNumId w:val="1158"/>
  </w:num>
  <w:num w:numId="1159">
    <w:abstractNumId w:val="1159"/>
  </w:num>
</w:numbering>
</file>

<file path=word/settings.xml><?xml version="1.0" encoding="utf-8"?>
<w:setting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compat>
    <w:shapeLayoutLikeWW8/>
    <w:doNotUseHTMLParagraphAutoSpacing/>
    <w:applyBreakingRules/>
    <w:useFELayout/>
    <w:doNotUseIndentAsNumberingTabStop/>
    <w:compatSetting w:name="compatibilityMode" w:uri="http://schemas.microsoft.com/office/word" w:val="15"/>
  </w:compat>
  <w:footnotePr>
    <w:footnote w:id="-1"/>
    <w:footnote w:id="0"/>
  </w:footnotePr>
</w:settings>
</file>

<file path=word/styles.xml><?xml version="1.0" encoding="utf-8"?>
<w:style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docDefaults>
    <w:rPrDefault>
      <w:rPr>
        <w:rFonts w:ascii="Times New Roman" w:hAnsi="Times New Roman" w:eastAsia="PMingLiU" w:cs="Times New Roman"/>
        <w:sz w:val="22"/>
        <w:szCs w:val="22"/>
        <w:lang w:val="en-US" w:eastAsia="en-US" w:bidi="ar-SA"/>
      </w:rPr>
    </w:rPrDefault>
    <w:pPrDefault/>
  </w:docDefaults>
  <w:style w:styleId="DefaultParagraphFont" w:type="paragraph" w:default="1">
    <w:name w:val="Normal"/>
  </w:style>
  <w:style w:styleId="DefaultParagraphFont" w:type="character" w:default="1">
    <w:name w:val="Default Paragraph Font"/>
  </w:style>
</w:styles>
</file>

<file path=word/_rels/document.xml.rels><Relationships xmlns="http://schemas.openxmlformats.org/package/2006/relationships"><Relationship Id="nId" Type="http://schemas.openxmlformats.org/officeDocument/2006/relationships/numbering" Target="numbering.xml"/><Relationship Id="fId" Type="http://schemas.openxmlformats.org/wordprocessingml/2006/fontTable" Target="fontTable.xml"/><Relationship Id="dhId1" Type="http://schemas.openxmlformats.org/officeDocument/2006/relationships/hyperlink" TargetMode="External" Target="http://www.ntc.gov.au/"/><Relationship Id="prId1" Type="http://schemas.openxmlformats.org/officeDocument/2006/relationships/image" Target="media/image1.jpg"/><Relationship Id="prId2" Type="http://schemas.openxmlformats.org/officeDocument/2006/relationships/image" Target="media/image2.png"/><Relationship Id="prId3" Type="http://schemas.openxmlformats.org/officeDocument/2006/relationships/image" Target="media/image3.png"/><Relationship Id="prId4" Type="http://schemas.openxmlformats.org/officeDocument/2006/relationships/image" Target="media/image4.png"/><Relationship Id="prId5" Type="http://schemas.openxmlformats.org/officeDocument/2006/relationships/image" Target="media/image5.png"/><Relationship Id="styleId" Type="http://schemas.openxmlformats.org/officeDocument/2006/relationships/styles" Target="styles.xml"/><Relationship Id="settingId" Type="http://schemas.openxmlformats.org/officeDocument/2006/relationships/settings" Target="settings.xml"/><Relationship Id="footnotesId" Type="http://schemas.openxmlformats.org/officeDocument/2006/relationships/footnotes" Target="footnotes.xml"/></Relationships>
</file>

<file path=docProps/core.xml><?xml version="1.0" encoding="utf-8"?>
<cp:coreProperties xmlns:dcterms="http://purl.org/dc/terms/" xmlns:xsi="http://www.w3.org/2001/XMLSchema-instance"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dc:title>Model-WHS-Regulations-28November2016</dc:title>
  <dcterms:created xsi:type="dcterms:W3CDTF">2022-06-02T05:56:07Z</dcterms:created>
  <dcterms:modified xsi:type="dcterms:W3CDTF">2022-06-02T05:56:07Z</dcterms:modified>
</cp:coreProperties>
</file>