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6D86D" w14:textId="77777777" w:rsidR="00CB646F" w:rsidRPr="004B1499" w:rsidRDefault="00CB646F" w:rsidP="009A3083">
      <w:pPr>
        <w:pStyle w:val="Heading1"/>
        <w:jc w:val="center"/>
        <w:rPr>
          <w:sz w:val="28"/>
          <w:szCs w:val="28"/>
        </w:rPr>
      </w:pPr>
      <w:bookmarkStart w:id="0" w:name="_Toc308779984"/>
      <w:r w:rsidRPr="004B1499">
        <w:rPr>
          <w:sz w:val="28"/>
          <w:szCs w:val="28"/>
        </w:rPr>
        <w:t xml:space="preserve">NATIONALLY AGREED PRINCIPLES TO GUIDE EXEMPTION </w:t>
      </w:r>
      <w:r w:rsidR="004B1499">
        <w:rPr>
          <w:sz w:val="28"/>
          <w:szCs w:val="28"/>
        </w:rPr>
        <w:br/>
      </w:r>
      <w:r w:rsidRPr="004B1499">
        <w:rPr>
          <w:sz w:val="28"/>
          <w:szCs w:val="28"/>
        </w:rPr>
        <w:t>DECISION MAKING</w:t>
      </w:r>
    </w:p>
    <w:p w14:paraId="1AD9BC1F" w14:textId="0753D6E3" w:rsidR="000A732C" w:rsidRDefault="000A732C" w:rsidP="00CB646F">
      <w:pPr>
        <w:pStyle w:val="Heading1"/>
        <w:rPr>
          <w:b w:val="0"/>
        </w:rPr>
      </w:pPr>
      <w:r w:rsidRPr="000A732C">
        <w:rPr>
          <w:b w:val="0"/>
        </w:rPr>
        <w:t xml:space="preserve">The exemption decision making process will be guided by the following principles, which have been agreed nationally through the </w:t>
      </w:r>
      <w:r w:rsidR="00202F3D">
        <w:rPr>
          <w:b w:val="0"/>
        </w:rPr>
        <w:t xml:space="preserve">SIG-WHS (formerly </w:t>
      </w:r>
      <w:r w:rsidRPr="000A732C">
        <w:rPr>
          <w:b w:val="0"/>
        </w:rPr>
        <w:t>SIG-OHS</w:t>
      </w:r>
      <w:r w:rsidR="00202F3D">
        <w:rPr>
          <w:b w:val="0"/>
        </w:rPr>
        <w:t>)</w:t>
      </w:r>
      <w:r w:rsidRPr="000A732C">
        <w:rPr>
          <w:b w:val="0"/>
        </w:rPr>
        <w:t>. Exemptions will be granted only in exceptional circumstances and in accordance with the matters set out in the WHS legislation.</w:t>
      </w:r>
    </w:p>
    <w:p w14:paraId="2E12A1BE" w14:textId="77777777" w:rsidR="00CB646F" w:rsidRDefault="00CB646F" w:rsidP="00CB646F">
      <w:pPr>
        <w:pStyle w:val="Heading1"/>
      </w:pPr>
      <w:r>
        <w:t>CONSISTENCY:</w:t>
      </w:r>
      <w:bookmarkEnd w:id="0"/>
    </w:p>
    <w:tbl>
      <w:tblPr>
        <w:tblStyle w:val="TableGrid"/>
        <w:tblW w:w="0" w:type="auto"/>
        <w:tblLook w:val="04A0" w:firstRow="1" w:lastRow="0" w:firstColumn="1" w:lastColumn="0" w:noHBand="0" w:noVBand="1"/>
      </w:tblPr>
      <w:tblGrid>
        <w:gridCol w:w="9530"/>
      </w:tblGrid>
      <w:tr w:rsidR="00CB646F" w14:paraId="6D18932E" w14:textId="77777777" w:rsidTr="00107A45">
        <w:tc>
          <w:tcPr>
            <w:tcW w:w="9756" w:type="dxa"/>
            <w:shd w:val="clear" w:color="auto" w:fill="A6A6A6" w:themeFill="background1" w:themeFillShade="A6"/>
          </w:tcPr>
          <w:p w14:paraId="1BD3BD82" w14:textId="77777777" w:rsidR="00CB646F" w:rsidRDefault="00CB646F" w:rsidP="005F05C5">
            <w:pPr>
              <w:spacing w:before="120" w:after="120"/>
              <w:rPr>
                <w:b/>
              </w:rPr>
            </w:pPr>
            <w:r>
              <w:rPr>
                <w:b/>
              </w:rPr>
              <w:t>AGREED PRINCIPLE  #1:</w:t>
            </w:r>
          </w:p>
          <w:p w14:paraId="2519E2A5" w14:textId="77777777" w:rsidR="00CB646F" w:rsidRPr="009C562D" w:rsidRDefault="00CB646F" w:rsidP="005F05C5">
            <w:pPr>
              <w:spacing w:before="120" w:after="120"/>
              <w:rPr>
                <w:b/>
              </w:rPr>
            </w:pPr>
            <w:r w:rsidRPr="009C562D">
              <w:rPr>
                <w:b/>
              </w:rPr>
              <w:t>Regulators will apply common c</w:t>
            </w:r>
            <w:r>
              <w:rPr>
                <w:b/>
              </w:rPr>
              <w:t xml:space="preserve">riteria for the issue, refusal and </w:t>
            </w:r>
            <w:r w:rsidRPr="009C562D">
              <w:rPr>
                <w:b/>
              </w:rPr>
              <w:t>variation of exemptions from WHS Regulations.</w:t>
            </w:r>
          </w:p>
        </w:tc>
      </w:tr>
    </w:tbl>
    <w:p w14:paraId="62D3313D" w14:textId="77777777" w:rsidR="00CB646F" w:rsidRDefault="00CB646F" w:rsidP="00CB646F">
      <w:pPr>
        <w:pStyle w:val="Heading1"/>
      </w:pPr>
      <w:bookmarkStart w:id="1" w:name="_Toc308779985"/>
      <w:r>
        <w:t>CONSTRUCTIVENESS</w:t>
      </w:r>
      <w:bookmarkEnd w:id="1"/>
    </w:p>
    <w:tbl>
      <w:tblPr>
        <w:tblStyle w:val="TableGrid"/>
        <w:tblW w:w="0" w:type="auto"/>
        <w:shd w:val="clear" w:color="auto" w:fill="A6A6A6" w:themeFill="background1" w:themeFillShade="A6"/>
        <w:tblLook w:val="04A0" w:firstRow="1" w:lastRow="0" w:firstColumn="1" w:lastColumn="0" w:noHBand="0" w:noVBand="1"/>
      </w:tblPr>
      <w:tblGrid>
        <w:gridCol w:w="9530"/>
      </w:tblGrid>
      <w:tr w:rsidR="00CB646F" w14:paraId="39A168E1" w14:textId="77777777" w:rsidTr="005F05C5">
        <w:tc>
          <w:tcPr>
            <w:tcW w:w="9756" w:type="dxa"/>
            <w:shd w:val="clear" w:color="auto" w:fill="A6A6A6" w:themeFill="background1" w:themeFillShade="A6"/>
          </w:tcPr>
          <w:p w14:paraId="5B14CFCB" w14:textId="77777777" w:rsidR="00CB646F" w:rsidRDefault="00CB646F" w:rsidP="005F05C5">
            <w:pPr>
              <w:spacing w:before="120" w:after="120"/>
              <w:rPr>
                <w:b/>
              </w:rPr>
            </w:pPr>
            <w:r>
              <w:rPr>
                <w:b/>
              </w:rPr>
              <w:t>AGREED PRINCIPLE  #2:</w:t>
            </w:r>
          </w:p>
          <w:p w14:paraId="48748865" w14:textId="77777777" w:rsidR="00CB646F" w:rsidRPr="00D1024C" w:rsidRDefault="00CB646F" w:rsidP="005F05C5">
            <w:pPr>
              <w:spacing w:before="120" w:after="120"/>
              <w:rPr>
                <w:b/>
              </w:rPr>
            </w:pPr>
            <w:r>
              <w:rPr>
                <w:b/>
              </w:rPr>
              <w:t>Regulators will use national guidance material to assist applicants to understand the exemption decision making process</w:t>
            </w:r>
          </w:p>
        </w:tc>
      </w:tr>
    </w:tbl>
    <w:p w14:paraId="00413F95" w14:textId="77777777" w:rsidR="00CB646F" w:rsidRDefault="00CB646F" w:rsidP="00CB646F"/>
    <w:p w14:paraId="6230E150" w14:textId="0E66CACC" w:rsidR="00CB646F" w:rsidRPr="00C868F0" w:rsidRDefault="00CB646F" w:rsidP="00CB646F">
      <w:r>
        <w:t>Draft guidance material to assist applicants to understand the exemption decision making process is provided</w:t>
      </w:r>
      <w:r w:rsidR="00762A3D">
        <w:t xml:space="preserve"> on our website</w:t>
      </w:r>
      <w:r>
        <w:rPr>
          <w:u w:val="single"/>
        </w:rPr>
        <w:t>.</w:t>
      </w:r>
    </w:p>
    <w:p w14:paraId="08409E06" w14:textId="77777777" w:rsidR="00CB646F" w:rsidRDefault="00CB646F" w:rsidP="00CB646F">
      <w:pPr>
        <w:pStyle w:val="Heading1"/>
      </w:pPr>
      <w:bookmarkStart w:id="2" w:name="_Toc308779986"/>
      <w:r>
        <w:t>TRANSPARENCY</w:t>
      </w:r>
      <w:bookmarkEnd w:id="2"/>
    </w:p>
    <w:tbl>
      <w:tblPr>
        <w:tblStyle w:val="TableGrid"/>
        <w:tblW w:w="0" w:type="auto"/>
        <w:shd w:val="clear" w:color="auto" w:fill="A6A6A6" w:themeFill="background1" w:themeFillShade="A6"/>
        <w:tblLook w:val="04A0" w:firstRow="1" w:lastRow="0" w:firstColumn="1" w:lastColumn="0" w:noHBand="0" w:noVBand="1"/>
      </w:tblPr>
      <w:tblGrid>
        <w:gridCol w:w="9530"/>
      </w:tblGrid>
      <w:tr w:rsidR="00CB646F" w14:paraId="42535514" w14:textId="77777777" w:rsidTr="005F05C5">
        <w:tc>
          <w:tcPr>
            <w:tcW w:w="9756" w:type="dxa"/>
            <w:shd w:val="clear" w:color="auto" w:fill="A6A6A6" w:themeFill="background1" w:themeFillShade="A6"/>
          </w:tcPr>
          <w:p w14:paraId="31FAF385" w14:textId="77777777" w:rsidR="00CB646F" w:rsidRDefault="00CB646F" w:rsidP="005F05C5">
            <w:pPr>
              <w:spacing w:before="120" w:after="120"/>
              <w:rPr>
                <w:b/>
              </w:rPr>
            </w:pPr>
            <w:r>
              <w:rPr>
                <w:b/>
              </w:rPr>
              <w:t>AGREED PRINCIPLE  #3:</w:t>
            </w:r>
          </w:p>
          <w:p w14:paraId="035CF6A8" w14:textId="77777777" w:rsidR="00CB646F" w:rsidRDefault="00CB646F" w:rsidP="005F05C5">
            <w:pPr>
              <w:spacing w:before="120" w:after="120"/>
              <w:rPr>
                <w:b/>
              </w:rPr>
            </w:pPr>
            <w:r>
              <w:rPr>
                <w:b/>
              </w:rPr>
              <w:t xml:space="preserve">The principles upon which exemption decisions are made will be published on the website of Safe Work Australia. </w:t>
            </w:r>
          </w:p>
          <w:p w14:paraId="206F4D7F" w14:textId="77777777" w:rsidR="00CB646F" w:rsidRDefault="00CB646F" w:rsidP="005F05C5">
            <w:pPr>
              <w:spacing w:before="120" w:after="120"/>
              <w:rPr>
                <w:b/>
              </w:rPr>
            </w:pPr>
            <w:r>
              <w:rPr>
                <w:b/>
              </w:rPr>
              <w:t>Regulators will make decisions by applying documented policies neutrally and objectively, with integrity and fairness. Appropriate confidentiality considerations will underpin the decision making process.</w:t>
            </w:r>
          </w:p>
          <w:p w14:paraId="68FCB908" w14:textId="77777777" w:rsidR="00CB646F" w:rsidRPr="007B6591" w:rsidRDefault="00CB646F" w:rsidP="005F05C5">
            <w:pPr>
              <w:spacing w:before="120" w:after="120"/>
              <w:rPr>
                <w:b/>
              </w:rPr>
            </w:pPr>
            <w:r>
              <w:rPr>
                <w:b/>
              </w:rPr>
              <w:t>Documented policies will also be published on the website of each WHS Regulator.</w:t>
            </w:r>
          </w:p>
        </w:tc>
      </w:tr>
    </w:tbl>
    <w:p w14:paraId="11F3ACB2" w14:textId="77777777" w:rsidR="00CB646F" w:rsidRDefault="00CB646F" w:rsidP="00CB646F"/>
    <w:p w14:paraId="4C34E6A1" w14:textId="187E9E39" w:rsidR="00CB646F" w:rsidRDefault="00CB646F" w:rsidP="00CB646F">
      <w:r>
        <w:t xml:space="preserve">The agreed national principles for guiding exemption decision making under the WHS Regulations will be available at </w:t>
      </w:r>
      <w:hyperlink r:id="rId12" w:history="1">
        <w:r w:rsidRPr="000124AE">
          <w:rPr>
            <w:rStyle w:val="Hyperlink"/>
          </w:rPr>
          <w:t>www.safeworkaustralia.gov.au</w:t>
        </w:r>
      </w:hyperlink>
      <w:r>
        <w:t xml:space="preserve"> and [each WHS Regulator</w:t>
      </w:r>
      <w:r w:rsidR="00202F3D">
        <w:t>’</w:t>
      </w:r>
      <w:r>
        <w:t>s website].</w:t>
      </w:r>
    </w:p>
    <w:p w14:paraId="248090A5" w14:textId="77777777" w:rsidR="00CB646F" w:rsidRDefault="00CB646F" w:rsidP="00CB646F">
      <w:pPr>
        <w:pStyle w:val="Heading1"/>
      </w:pPr>
      <w:bookmarkStart w:id="3" w:name="_Toc308779987"/>
      <w:bookmarkStart w:id="4" w:name="_Toc305051462"/>
      <w:r>
        <w:t>ACCOUNTABILITY</w:t>
      </w:r>
      <w:bookmarkEnd w:id="3"/>
    </w:p>
    <w:tbl>
      <w:tblPr>
        <w:tblStyle w:val="TableGrid"/>
        <w:tblW w:w="0" w:type="auto"/>
        <w:shd w:val="clear" w:color="auto" w:fill="A6A6A6" w:themeFill="background1" w:themeFillShade="A6"/>
        <w:tblLook w:val="04A0" w:firstRow="1" w:lastRow="0" w:firstColumn="1" w:lastColumn="0" w:noHBand="0" w:noVBand="1"/>
      </w:tblPr>
      <w:tblGrid>
        <w:gridCol w:w="9530"/>
      </w:tblGrid>
      <w:tr w:rsidR="00CB646F" w14:paraId="6DE6DD62" w14:textId="77777777" w:rsidTr="005F05C5">
        <w:tc>
          <w:tcPr>
            <w:tcW w:w="9756" w:type="dxa"/>
            <w:shd w:val="clear" w:color="auto" w:fill="A6A6A6" w:themeFill="background1" w:themeFillShade="A6"/>
          </w:tcPr>
          <w:p w14:paraId="32844BC0" w14:textId="6684EFAA" w:rsidR="00CB646F" w:rsidRPr="001270E5" w:rsidRDefault="00CB646F" w:rsidP="005F05C5">
            <w:pPr>
              <w:spacing w:before="120" w:after="120"/>
              <w:rPr>
                <w:b/>
              </w:rPr>
            </w:pPr>
            <w:r w:rsidRPr="001270E5">
              <w:rPr>
                <w:b/>
              </w:rPr>
              <w:t xml:space="preserve">AGREED </w:t>
            </w:r>
            <w:proofErr w:type="gramStart"/>
            <w:r w:rsidRPr="001270E5">
              <w:rPr>
                <w:b/>
              </w:rPr>
              <w:t>PRINCIPLE  #</w:t>
            </w:r>
            <w:proofErr w:type="gramEnd"/>
            <w:r w:rsidRPr="001270E5">
              <w:rPr>
                <w:b/>
              </w:rPr>
              <w:t>4:</w:t>
            </w:r>
          </w:p>
          <w:p w14:paraId="185AC93D" w14:textId="77777777" w:rsidR="00CB646F" w:rsidRPr="00F33E73" w:rsidRDefault="00CB646F" w:rsidP="005F05C5">
            <w:pPr>
              <w:spacing w:before="120" w:after="120"/>
              <w:rPr>
                <w:b/>
              </w:rPr>
            </w:pPr>
            <w:r w:rsidRPr="001270E5">
              <w:rPr>
                <w:b/>
              </w:rPr>
              <w:t xml:space="preserve">At the time of refusing, cancelling, </w:t>
            </w:r>
            <w:proofErr w:type="gramStart"/>
            <w:r w:rsidRPr="001270E5">
              <w:rPr>
                <w:b/>
              </w:rPr>
              <w:t>suspending</w:t>
            </w:r>
            <w:proofErr w:type="gramEnd"/>
            <w:r w:rsidRPr="001270E5">
              <w:rPr>
                <w:b/>
              </w:rPr>
              <w:t xml:space="preserve"> or varying an exemption, an applicant will be advised of the right to apply for external review of the decision.</w:t>
            </w:r>
            <w:r>
              <w:rPr>
                <w:b/>
              </w:rPr>
              <w:t xml:space="preserve"> </w:t>
            </w:r>
          </w:p>
        </w:tc>
      </w:tr>
    </w:tbl>
    <w:p w14:paraId="4CC7E998" w14:textId="77777777" w:rsidR="00CB646F" w:rsidRDefault="00CB646F" w:rsidP="00CB646F">
      <w:pPr>
        <w:pStyle w:val="Heading1"/>
      </w:pPr>
      <w:bookmarkStart w:id="5" w:name="_Toc308779988"/>
      <w:bookmarkEnd w:id="4"/>
      <w:r>
        <w:lastRenderedPageBreak/>
        <w:t>PROPORTIONALITY</w:t>
      </w:r>
      <w:bookmarkEnd w:id="5"/>
    </w:p>
    <w:tbl>
      <w:tblPr>
        <w:tblStyle w:val="TableGrid"/>
        <w:tblW w:w="0" w:type="auto"/>
        <w:tblLook w:val="04A0" w:firstRow="1" w:lastRow="0" w:firstColumn="1" w:lastColumn="0" w:noHBand="0" w:noVBand="1"/>
      </w:tblPr>
      <w:tblGrid>
        <w:gridCol w:w="9530"/>
      </w:tblGrid>
      <w:tr w:rsidR="00CB646F" w14:paraId="2CBC6E77" w14:textId="77777777" w:rsidTr="005F05C5">
        <w:tc>
          <w:tcPr>
            <w:tcW w:w="9756" w:type="dxa"/>
            <w:shd w:val="clear" w:color="auto" w:fill="A6A6A6" w:themeFill="background1" w:themeFillShade="A6"/>
          </w:tcPr>
          <w:p w14:paraId="2C5942C3" w14:textId="77777777" w:rsidR="00CB646F" w:rsidRDefault="00CB646F" w:rsidP="005F05C5">
            <w:pPr>
              <w:spacing w:before="120" w:after="120"/>
              <w:rPr>
                <w:b/>
              </w:rPr>
            </w:pPr>
            <w:r>
              <w:rPr>
                <w:b/>
              </w:rPr>
              <w:t>AGREED PRINCIPLE  # 5:</w:t>
            </w:r>
          </w:p>
          <w:p w14:paraId="776304CF" w14:textId="77777777" w:rsidR="00CB646F" w:rsidRPr="000173E4" w:rsidRDefault="00CB646F" w:rsidP="005F05C5">
            <w:pPr>
              <w:spacing w:before="120" w:after="120"/>
              <w:rPr>
                <w:b/>
              </w:rPr>
            </w:pPr>
            <w:r>
              <w:rPr>
                <w:b/>
              </w:rPr>
              <w:t>Exemption decision making should be proportionate to the risk and regulators should ensure that equivalent safety can be demonstrated.</w:t>
            </w:r>
          </w:p>
        </w:tc>
      </w:tr>
    </w:tbl>
    <w:p w14:paraId="53E6890C" w14:textId="77777777" w:rsidR="00CB646F" w:rsidRDefault="00CB646F" w:rsidP="00CB646F">
      <w:pPr>
        <w:pStyle w:val="Heading1"/>
      </w:pPr>
      <w:bookmarkStart w:id="6" w:name="_Toc308779989"/>
      <w:r>
        <w:t>RESPONSIVENESS</w:t>
      </w:r>
      <w:bookmarkEnd w:id="6"/>
    </w:p>
    <w:tbl>
      <w:tblPr>
        <w:tblStyle w:val="TableGrid"/>
        <w:tblW w:w="0" w:type="auto"/>
        <w:tblLook w:val="04A0" w:firstRow="1" w:lastRow="0" w:firstColumn="1" w:lastColumn="0" w:noHBand="0" w:noVBand="1"/>
      </w:tblPr>
      <w:tblGrid>
        <w:gridCol w:w="9530"/>
      </w:tblGrid>
      <w:tr w:rsidR="00CB646F" w14:paraId="3EFD591E" w14:textId="77777777" w:rsidTr="005F05C5">
        <w:tc>
          <w:tcPr>
            <w:tcW w:w="9756" w:type="dxa"/>
            <w:shd w:val="clear" w:color="auto" w:fill="A6A6A6" w:themeFill="background1" w:themeFillShade="A6"/>
          </w:tcPr>
          <w:p w14:paraId="4E246594" w14:textId="77777777" w:rsidR="00CB646F" w:rsidRDefault="00CB646F" w:rsidP="005F05C5">
            <w:pPr>
              <w:spacing w:before="120" w:after="120"/>
              <w:rPr>
                <w:b/>
              </w:rPr>
            </w:pPr>
            <w:r>
              <w:rPr>
                <w:b/>
              </w:rPr>
              <w:t>AGREED PRINCIPLE  #6:</w:t>
            </w:r>
          </w:p>
          <w:p w14:paraId="6559BEE6" w14:textId="77777777" w:rsidR="00CB646F" w:rsidRPr="000173E4" w:rsidRDefault="00CB646F" w:rsidP="005F05C5">
            <w:pPr>
              <w:spacing w:before="120" w:after="120"/>
              <w:rPr>
                <w:b/>
              </w:rPr>
            </w:pPr>
            <w:r>
              <w:rPr>
                <w:b/>
              </w:rPr>
              <w:t xml:space="preserve">In making exemption decisions, regulators will be timely and responsive to the needs of an applicant while ensuring that appropriate consultation has taken place. </w:t>
            </w:r>
          </w:p>
        </w:tc>
      </w:tr>
    </w:tbl>
    <w:p w14:paraId="1850AC64" w14:textId="77777777" w:rsidR="00CB646F" w:rsidRPr="000173E4" w:rsidRDefault="00CB646F" w:rsidP="00CB646F">
      <w:pPr>
        <w:pStyle w:val="Heading1"/>
      </w:pPr>
      <w:bookmarkStart w:id="7" w:name="_Toc308779990"/>
      <w:r>
        <w:t>TARGETED</w:t>
      </w:r>
      <w:bookmarkEnd w:id="7"/>
    </w:p>
    <w:tbl>
      <w:tblPr>
        <w:tblStyle w:val="TableGrid"/>
        <w:tblW w:w="0" w:type="auto"/>
        <w:shd w:val="clear" w:color="auto" w:fill="A6A6A6" w:themeFill="background1" w:themeFillShade="A6"/>
        <w:tblLook w:val="04A0" w:firstRow="1" w:lastRow="0" w:firstColumn="1" w:lastColumn="0" w:noHBand="0" w:noVBand="1"/>
      </w:tblPr>
      <w:tblGrid>
        <w:gridCol w:w="9530"/>
      </w:tblGrid>
      <w:tr w:rsidR="00CB646F" w14:paraId="2AE5A4A5" w14:textId="77777777" w:rsidTr="005F05C5">
        <w:tc>
          <w:tcPr>
            <w:tcW w:w="9756" w:type="dxa"/>
            <w:shd w:val="clear" w:color="auto" w:fill="A6A6A6" w:themeFill="background1" w:themeFillShade="A6"/>
          </w:tcPr>
          <w:p w14:paraId="69F23FA8" w14:textId="77777777" w:rsidR="00CB646F" w:rsidRDefault="00CB646F" w:rsidP="005F05C5">
            <w:pPr>
              <w:spacing w:before="120" w:after="120"/>
              <w:rPr>
                <w:b/>
              </w:rPr>
            </w:pPr>
            <w:r>
              <w:rPr>
                <w:b/>
              </w:rPr>
              <w:t>AGREED PRINCIPLE  #7:</w:t>
            </w:r>
          </w:p>
          <w:p w14:paraId="0D810D3D" w14:textId="77777777" w:rsidR="00CB646F" w:rsidRPr="000173E4" w:rsidRDefault="00CB646F" w:rsidP="005F05C5">
            <w:pPr>
              <w:spacing w:before="120" w:after="120"/>
              <w:rPr>
                <w:b/>
              </w:rPr>
            </w:pPr>
            <w:r>
              <w:rPr>
                <w:b/>
              </w:rPr>
              <w:t>Regulators will only grant an exemption where exceptional circumstances justify the grant of the exemption and can grant an exemption on its own initiative that is, without receipt of an application.</w:t>
            </w:r>
          </w:p>
        </w:tc>
      </w:tr>
    </w:tbl>
    <w:p w14:paraId="46EA0C5B" w14:textId="77777777" w:rsidR="000C3257" w:rsidRDefault="000C3257" w:rsidP="0002626C">
      <w:pPr>
        <w:rPr>
          <w:szCs w:val="10"/>
        </w:rPr>
      </w:pPr>
    </w:p>
    <w:sectPr w:rsidR="000C3257" w:rsidSect="00442230">
      <w:headerReference w:type="default" r:id="rId13"/>
      <w:footerReference w:type="default" r:id="rId14"/>
      <w:headerReference w:type="first" r:id="rId15"/>
      <w:footerReference w:type="first" r:id="rId16"/>
      <w:pgSz w:w="11906" w:h="16838" w:code="9"/>
      <w:pgMar w:top="1440" w:right="1106" w:bottom="1440" w:left="1260" w:header="709" w:footer="1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22805" w14:textId="77777777" w:rsidR="00E2000E" w:rsidRDefault="00E2000E">
      <w:r>
        <w:separator/>
      </w:r>
    </w:p>
  </w:endnote>
  <w:endnote w:type="continuationSeparator" w:id="0">
    <w:p w14:paraId="024DD253" w14:textId="77777777" w:rsidR="00E2000E" w:rsidRDefault="00E2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C0CAE" w14:textId="77777777" w:rsidR="00D71B09" w:rsidRPr="00634C71" w:rsidRDefault="00D71B09" w:rsidP="002737A5">
    <w:pPr>
      <w:pStyle w:val="Footer"/>
      <w:pBdr>
        <w:bottom w:val="single" w:sz="6" w:space="1" w:color="auto"/>
      </w:pBdr>
      <w:rPr>
        <w:rFonts w:cs="Arial"/>
        <w:sz w:val="18"/>
        <w:szCs w:val="18"/>
      </w:rPr>
    </w:pPr>
  </w:p>
  <w:p w14:paraId="7ADF3CAF" w14:textId="77777777" w:rsidR="00D71B09" w:rsidRPr="004B1499" w:rsidRDefault="00D71B09" w:rsidP="002737A5">
    <w:pPr>
      <w:pStyle w:val="Footer"/>
      <w:rPr>
        <w:rFonts w:cs="Arial"/>
        <w:caps/>
        <w:sz w:val="18"/>
        <w:szCs w:val="18"/>
      </w:rPr>
    </w:pPr>
  </w:p>
  <w:tbl>
    <w:tblPr>
      <w:tblW w:w="0" w:type="auto"/>
      <w:tblLayout w:type="fixed"/>
      <w:tblLook w:val="01E0" w:firstRow="1" w:lastRow="1" w:firstColumn="1" w:lastColumn="1" w:noHBand="0" w:noVBand="0"/>
    </w:tblPr>
    <w:tblGrid>
      <w:gridCol w:w="4608"/>
      <w:gridCol w:w="4968"/>
    </w:tblGrid>
    <w:tr w:rsidR="0041655D" w:rsidRPr="004B1499" w14:paraId="5F25FF44" w14:textId="77777777" w:rsidTr="00BB3060">
      <w:trPr>
        <w:trHeight w:val="284"/>
      </w:trPr>
      <w:tc>
        <w:tcPr>
          <w:tcW w:w="4608" w:type="dxa"/>
          <w:vAlign w:val="center"/>
        </w:tcPr>
        <w:p w14:paraId="6127FEBB" w14:textId="77C9AA1A" w:rsidR="0041655D" w:rsidRPr="004B1499" w:rsidRDefault="005F1AF7" w:rsidP="00C23FD0">
          <w:pPr>
            <w:pStyle w:val="Footer"/>
            <w:tabs>
              <w:tab w:val="clear" w:pos="4153"/>
              <w:tab w:val="clear" w:pos="8306"/>
              <w:tab w:val="left" w:pos="0"/>
              <w:tab w:val="right" w:pos="9360"/>
            </w:tabs>
            <w:ind w:right="432"/>
            <w:rPr>
              <w:rFonts w:cs="Arial"/>
              <w:caps/>
              <w:sz w:val="18"/>
              <w:szCs w:val="18"/>
            </w:rPr>
          </w:pPr>
          <w:r>
            <w:rPr>
              <w:rFonts w:cs="Arial"/>
              <w:caps/>
              <w:sz w:val="18"/>
              <w:szCs w:val="18"/>
            </w:rPr>
            <w:t>PAGE 2 OF 2</w:t>
          </w:r>
        </w:p>
      </w:tc>
      <w:tc>
        <w:tcPr>
          <w:tcW w:w="4968" w:type="dxa"/>
          <w:vAlign w:val="center"/>
        </w:tcPr>
        <w:p w14:paraId="56644132" w14:textId="42CE48B4" w:rsidR="0041655D" w:rsidRPr="004B1499" w:rsidRDefault="006A5764" w:rsidP="00655ED1">
          <w:pPr>
            <w:pStyle w:val="Footer"/>
            <w:tabs>
              <w:tab w:val="clear" w:pos="4153"/>
              <w:tab w:val="clear" w:pos="8306"/>
              <w:tab w:val="right" w:pos="4752"/>
              <w:tab w:val="right" w:pos="9360"/>
            </w:tabs>
            <w:jc w:val="right"/>
            <w:rPr>
              <w:rFonts w:cs="Arial"/>
              <w:caps/>
              <w:sz w:val="18"/>
              <w:szCs w:val="18"/>
            </w:rPr>
          </w:pPr>
          <w:r>
            <w:rPr>
              <w:rFonts w:cs="Arial"/>
              <w:caps/>
              <w:sz w:val="18"/>
              <w:szCs w:val="18"/>
            </w:rPr>
            <w:t>november</w:t>
          </w:r>
          <w:r w:rsidR="00655ED1">
            <w:rPr>
              <w:rFonts w:cs="Arial"/>
              <w:caps/>
              <w:sz w:val="18"/>
              <w:szCs w:val="18"/>
            </w:rPr>
            <w:t xml:space="preserve"> 20</w:t>
          </w:r>
          <w:r w:rsidR="00D85AF9">
            <w:rPr>
              <w:rFonts w:cs="Arial"/>
              <w:caps/>
              <w:sz w:val="18"/>
              <w:szCs w:val="18"/>
            </w:rPr>
            <w:t>2</w:t>
          </w:r>
          <w:r w:rsidR="00655ED1">
            <w:rPr>
              <w:rFonts w:cs="Arial"/>
              <w:caps/>
              <w:sz w:val="18"/>
              <w:szCs w:val="18"/>
            </w:rPr>
            <w:t>1</w:t>
          </w:r>
        </w:p>
      </w:tc>
    </w:tr>
  </w:tbl>
  <w:p w14:paraId="4FBEC751" w14:textId="77777777" w:rsidR="00D71B09" w:rsidRPr="001C76C3" w:rsidRDefault="00D71B09" w:rsidP="002737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89A81" w14:textId="77777777" w:rsidR="00D71B09" w:rsidRPr="00634C71" w:rsidRDefault="00D71B09" w:rsidP="00B6442E">
    <w:pPr>
      <w:pStyle w:val="Footer"/>
      <w:pBdr>
        <w:bottom w:val="single" w:sz="6" w:space="1" w:color="auto"/>
      </w:pBdr>
      <w:rPr>
        <w:rFonts w:cs="Arial"/>
        <w:sz w:val="18"/>
        <w:szCs w:val="18"/>
      </w:rPr>
    </w:pPr>
  </w:p>
  <w:p w14:paraId="338C1FF4" w14:textId="77777777" w:rsidR="00D71B09" w:rsidRPr="004B1499" w:rsidRDefault="00D71B09" w:rsidP="00B6442E">
    <w:pPr>
      <w:pStyle w:val="Footer"/>
      <w:rPr>
        <w:rFonts w:cs="Arial"/>
        <w:caps/>
        <w:sz w:val="18"/>
        <w:szCs w:val="18"/>
      </w:rPr>
    </w:pPr>
  </w:p>
  <w:tbl>
    <w:tblPr>
      <w:tblW w:w="0" w:type="auto"/>
      <w:tblLayout w:type="fixed"/>
      <w:tblLook w:val="01E0" w:firstRow="1" w:lastRow="1" w:firstColumn="1" w:lastColumn="1" w:noHBand="0" w:noVBand="0"/>
    </w:tblPr>
    <w:tblGrid>
      <w:gridCol w:w="6948"/>
      <w:gridCol w:w="2799"/>
    </w:tblGrid>
    <w:tr w:rsidR="00996DDE" w:rsidRPr="004B1499" w14:paraId="14D75D17" w14:textId="77777777" w:rsidTr="00BB3060">
      <w:trPr>
        <w:trHeight w:val="284"/>
      </w:trPr>
      <w:tc>
        <w:tcPr>
          <w:tcW w:w="6948" w:type="dxa"/>
          <w:vAlign w:val="center"/>
        </w:tcPr>
        <w:p w14:paraId="21B2AC5C" w14:textId="6ADBCA49" w:rsidR="00996DDE" w:rsidRPr="004B1499" w:rsidRDefault="005F1AF7" w:rsidP="00CB646F">
          <w:pPr>
            <w:rPr>
              <w:sz w:val="18"/>
              <w:szCs w:val="18"/>
            </w:rPr>
          </w:pPr>
          <w:r>
            <w:rPr>
              <w:sz w:val="18"/>
              <w:szCs w:val="18"/>
            </w:rPr>
            <w:t>PAGE 1 OF 2</w:t>
          </w:r>
        </w:p>
      </w:tc>
      <w:tc>
        <w:tcPr>
          <w:tcW w:w="2799" w:type="dxa"/>
          <w:vAlign w:val="center"/>
        </w:tcPr>
        <w:p w14:paraId="5E8AFB4B" w14:textId="45F83C80" w:rsidR="00996DDE" w:rsidRPr="004B1499" w:rsidRDefault="006A5764" w:rsidP="00BB3060">
          <w:pPr>
            <w:pStyle w:val="Footer"/>
            <w:tabs>
              <w:tab w:val="clear" w:pos="8306"/>
              <w:tab w:val="right" w:pos="2172"/>
              <w:tab w:val="right" w:pos="9360"/>
            </w:tabs>
            <w:ind w:left="72"/>
            <w:jc w:val="right"/>
            <w:rPr>
              <w:rFonts w:cs="Arial"/>
              <w:caps/>
              <w:sz w:val="18"/>
              <w:szCs w:val="18"/>
            </w:rPr>
          </w:pPr>
          <w:r>
            <w:rPr>
              <w:rFonts w:cs="Arial"/>
              <w:caps/>
              <w:sz w:val="18"/>
              <w:szCs w:val="18"/>
            </w:rPr>
            <w:t>November</w:t>
          </w:r>
          <w:r w:rsidR="00655ED1">
            <w:rPr>
              <w:rFonts w:cs="Arial"/>
              <w:caps/>
              <w:sz w:val="18"/>
              <w:szCs w:val="18"/>
            </w:rPr>
            <w:t xml:space="preserve"> 20</w:t>
          </w:r>
          <w:r w:rsidR="00D85AF9">
            <w:rPr>
              <w:rFonts w:cs="Arial"/>
              <w:caps/>
              <w:sz w:val="18"/>
              <w:szCs w:val="18"/>
            </w:rPr>
            <w:t>2</w:t>
          </w:r>
          <w:r w:rsidR="00655ED1">
            <w:rPr>
              <w:rFonts w:cs="Arial"/>
              <w:caps/>
              <w:sz w:val="18"/>
              <w:szCs w:val="18"/>
            </w:rPr>
            <w:t>1</w:t>
          </w:r>
        </w:p>
      </w:tc>
    </w:tr>
  </w:tbl>
  <w:p w14:paraId="251B03F7" w14:textId="77777777" w:rsidR="00D71B09" w:rsidRPr="001C76C3" w:rsidRDefault="00D71B09" w:rsidP="00442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D030F" w14:textId="77777777" w:rsidR="00E2000E" w:rsidRDefault="00E2000E">
      <w:r>
        <w:separator/>
      </w:r>
    </w:p>
  </w:footnote>
  <w:footnote w:type="continuationSeparator" w:id="0">
    <w:p w14:paraId="29F6CFF3" w14:textId="77777777" w:rsidR="00E2000E" w:rsidRDefault="00E20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CC98C" w14:textId="77777777" w:rsidR="00D71B09" w:rsidRDefault="00AE37EC">
    <w:pPr>
      <w:pStyle w:val="Header"/>
      <w:rPr>
        <w:b/>
      </w:rPr>
    </w:pPr>
    <w:r>
      <w:rPr>
        <w:noProof/>
      </w:rPr>
      <w:drawing>
        <wp:inline distT="0" distB="0" distL="0" distR="0" wp14:anchorId="11E9A6F2" wp14:editId="4BB63BA6">
          <wp:extent cx="2524125" cy="514350"/>
          <wp:effectExtent l="19050" t="0" r="9525" b="0"/>
          <wp:docPr id="1" name="Picture 1"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1"/>
                  <a:srcRect/>
                  <a:stretch>
                    <a:fillRect/>
                  </a:stretch>
                </pic:blipFill>
                <pic:spPr bwMode="auto">
                  <a:xfrm>
                    <a:off x="0" y="0"/>
                    <a:ext cx="2524125" cy="514350"/>
                  </a:xfrm>
                  <a:prstGeom prst="rect">
                    <a:avLst/>
                  </a:prstGeom>
                  <a:noFill/>
                  <a:ln w="9525">
                    <a:noFill/>
                    <a:miter lim="800000"/>
                    <a:headEnd/>
                    <a:tailEnd/>
                  </a:ln>
                </pic:spPr>
              </pic:pic>
            </a:graphicData>
          </a:graphic>
        </wp:inline>
      </w:drawing>
    </w:r>
  </w:p>
  <w:p w14:paraId="37BCAC25" w14:textId="77777777" w:rsidR="00D71B09" w:rsidRDefault="00D71B09">
    <w:pPr>
      <w:pStyle w:val="Header"/>
      <w:rPr>
        <w:b/>
      </w:rPr>
    </w:pPr>
  </w:p>
  <w:p w14:paraId="5C24C854" w14:textId="77777777" w:rsidR="00D71B09" w:rsidRPr="00D142A1" w:rsidRDefault="00D71B09">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DB867" w14:textId="77777777" w:rsidR="00D71B09" w:rsidRDefault="00AE37EC">
    <w:pPr>
      <w:pStyle w:val="Header"/>
    </w:pPr>
    <w:r>
      <w:rPr>
        <w:noProof/>
      </w:rPr>
      <w:drawing>
        <wp:inline distT="0" distB="0" distL="0" distR="0" wp14:anchorId="291B2FD0" wp14:editId="1306169B">
          <wp:extent cx="2524125" cy="514350"/>
          <wp:effectExtent l="19050" t="0" r="9525" b="0"/>
          <wp:docPr id="2" name="Picture 2"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srcRect/>
                  <a:stretch>
                    <a:fillRect/>
                  </a:stretch>
                </pic:blipFill>
                <pic:spPr bwMode="auto">
                  <a:xfrm>
                    <a:off x="0" y="0"/>
                    <a:ext cx="2524125" cy="514350"/>
                  </a:xfrm>
                  <a:prstGeom prst="rect">
                    <a:avLst/>
                  </a:prstGeom>
                  <a:noFill/>
                  <a:ln w="9525">
                    <a:noFill/>
                    <a:miter lim="800000"/>
                    <a:headEnd/>
                    <a:tailEnd/>
                  </a:ln>
                </pic:spPr>
              </pic:pic>
            </a:graphicData>
          </a:graphic>
        </wp:inline>
      </w:drawing>
    </w:r>
  </w:p>
  <w:p w14:paraId="5897FD11" w14:textId="77777777" w:rsidR="00D71B09" w:rsidRPr="004D31C7" w:rsidRDefault="00D71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A2F62"/>
    <w:multiLevelType w:val="multilevel"/>
    <w:tmpl w:val="4F9ED9D2"/>
    <w:numStyleLink w:val="StyleOutlinenumberedVerdana"/>
  </w:abstractNum>
  <w:abstractNum w:abstractNumId="1" w15:restartNumberingAfterBreak="0">
    <w:nsid w:val="2B6630F6"/>
    <w:multiLevelType w:val="multilevel"/>
    <w:tmpl w:val="C6E85C8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CAF6F96"/>
    <w:multiLevelType w:val="hybridMultilevel"/>
    <w:tmpl w:val="37786212"/>
    <w:lvl w:ilvl="0" w:tplc="24B0EA10">
      <w:start w:val="1"/>
      <w:numFmt w:val="lowerLetter"/>
      <w:lvlText w:val="%1)"/>
      <w:lvlJc w:val="left"/>
      <w:pPr>
        <w:tabs>
          <w:tab w:val="num" w:pos="720"/>
        </w:tabs>
        <w:ind w:left="720" w:hanging="360"/>
      </w:pPr>
      <w:rPr>
        <w:rFonts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C7D4E4F"/>
    <w:multiLevelType w:val="hybridMultilevel"/>
    <w:tmpl w:val="C876D2B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4260277B"/>
    <w:multiLevelType w:val="multilevel"/>
    <w:tmpl w:val="4F9ED9D2"/>
    <w:styleLink w:val="StyleOutlinenumberedVerdana"/>
    <w:lvl w:ilvl="0">
      <w:start w:val="1"/>
      <w:numFmt w:val="decimal"/>
      <w:pStyle w:val="Paragraph"/>
      <w:lvlText w:val="%1."/>
      <w:lvlJc w:val="left"/>
      <w:pPr>
        <w:tabs>
          <w:tab w:val="num" w:pos="567"/>
        </w:tabs>
        <w:ind w:left="360" w:hanging="360"/>
      </w:pPr>
      <w:rPr>
        <w:rFonts w:ascii="Arial" w:hAnsi="Arial"/>
        <w:color w:val="auto"/>
        <w:spacing w:val="0"/>
        <w:position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BE65F0E"/>
    <w:multiLevelType w:val="hybridMultilevel"/>
    <w:tmpl w:val="FF8A0E42"/>
    <w:lvl w:ilvl="0" w:tplc="24B0EA10">
      <w:start w:val="1"/>
      <w:numFmt w:val="lowerLetter"/>
      <w:lvlText w:val="%1)"/>
      <w:lvlJc w:val="left"/>
      <w:pPr>
        <w:tabs>
          <w:tab w:val="num" w:pos="720"/>
        </w:tabs>
        <w:ind w:left="720" w:hanging="360"/>
      </w:pPr>
      <w:rPr>
        <w:rFonts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69583577"/>
    <w:multiLevelType w:val="multilevel"/>
    <w:tmpl w:val="C6E85C8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0"/>
    <w:lvlOverride w:ilvl="0">
      <w:lvl w:ilvl="0">
        <w:start w:val="1"/>
        <w:numFmt w:val="decimal"/>
        <w:pStyle w:val="Paragraph"/>
        <w:lvlText w:val="%1."/>
        <w:lvlJc w:val="left"/>
        <w:pPr>
          <w:tabs>
            <w:tab w:val="num" w:pos="567"/>
          </w:tabs>
          <w:ind w:left="360" w:hanging="360"/>
        </w:pPr>
        <w:rPr>
          <w:rFonts w:ascii="Arial" w:hAnsi="Arial"/>
          <w:color w:val="auto"/>
          <w:spacing w:val="0"/>
          <w:position w:val="0"/>
          <w:sz w:val="22"/>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
    <w:abstractNumId w:val="6"/>
  </w:num>
  <w:num w:numId="4">
    <w:abstractNumId w:val="4"/>
  </w:num>
  <w:num w:numId="5">
    <w:abstractNumId w:val="3"/>
  </w:num>
  <w:num w:numId="6">
    <w:abstractNumId w:val="5"/>
  </w:num>
  <w:num w:numId="7">
    <w:abstractNumId w:val="2"/>
  </w:num>
  <w:num w:numId="8">
    <w:abstractNumId w:val="0"/>
    <w:lvlOverride w:ilvl="0">
      <w:lvl w:ilvl="0">
        <w:start w:val="1"/>
        <w:numFmt w:val="decimal"/>
        <w:pStyle w:val="Paragraph"/>
        <w:lvlText w:val="%1."/>
        <w:lvlJc w:val="left"/>
        <w:pPr>
          <w:tabs>
            <w:tab w:val="num" w:pos="567"/>
          </w:tabs>
          <w:ind w:left="360" w:hanging="360"/>
        </w:pPr>
        <w:rPr>
          <w:rFonts w:ascii="Arial" w:hAnsi="Arial"/>
          <w:color w:val="auto"/>
          <w:spacing w:val="0"/>
          <w:position w:val="0"/>
          <w:sz w:val="22"/>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formatting="1" w:enforcement="0"/>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A48"/>
    <w:rsid w:val="0002626C"/>
    <w:rsid w:val="0003280E"/>
    <w:rsid w:val="00095814"/>
    <w:rsid w:val="000A2D3B"/>
    <w:rsid w:val="000A732C"/>
    <w:rsid w:val="000A7FAF"/>
    <w:rsid w:val="000C3257"/>
    <w:rsid w:val="00107A45"/>
    <w:rsid w:val="00114514"/>
    <w:rsid w:val="001173BB"/>
    <w:rsid w:val="00123EBD"/>
    <w:rsid w:val="001270E5"/>
    <w:rsid w:val="00154219"/>
    <w:rsid w:val="00157752"/>
    <w:rsid w:val="00163ED0"/>
    <w:rsid w:val="001700BE"/>
    <w:rsid w:val="001752D3"/>
    <w:rsid w:val="001C76C3"/>
    <w:rsid w:val="00202CD8"/>
    <w:rsid w:val="00202F3D"/>
    <w:rsid w:val="00203F4F"/>
    <w:rsid w:val="002141F1"/>
    <w:rsid w:val="00217A56"/>
    <w:rsid w:val="00234C35"/>
    <w:rsid w:val="00250CC4"/>
    <w:rsid w:val="002575CA"/>
    <w:rsid w:val="002737A5"/>
    <w:rsid w:val="002915FD"/>
    <w:rsid w:val="00296DC5"/>
    <w:rsid w:val="0029764D"/>
    <w:rsid w:val="002A14A2"/>
    <w:rsid w:val="002C2088"/>
    <w:rsid w:val="002C2B50"/>
    <w:rsid w:val="002E1CDA"/>
    <w:rsid w:val="00312359"/>
    <w:rsid w:val="00323AFE"/>
    <w:rsid w:val="00360383"/>
    <w:rsid w:val="00367444"/>
    <w:rsid w:val="00384D46"/>
    <w:rsid w:val="00396DEC"/>
    <w:rsid w:val="0039712A"/>
    <w:rsid w:val="003A75A3"/>
    <w:rsid w:val="003C75D2"/>
    <w:rsid w:val="003D6EB4"/>
    <w:rsid w:val="00412664"/>
    <w:rsid w:val="0041655D"/>
    <w:rsid w:val="00420A09"/>
    <w:rsid w:val="00442230"/>
    <w:rsid w:val="004537E6"/>
    <w:rsid w:val="004868B0"/>
    <w:rsid w:val="00490C39"/>
    <w:rsid w:val="00493AF9"/>
    <w:rsid w:val="00495E5D"/>
    <w:rsid w:val="004A4A2F"/>
    <w:rsid w:val="004B0339"/>
    <w:rsid w:val="004B1499"/>
    <w:rsid w:val="004D31C7"/>
    <w:rsid w:val="004E3F3F"/>
    <w:rsid w:val="004F04B7"/>
    <w:rsid w:val="005143EE"/>
    <w:rsid w:val="00515F9A"/>
    <w:rsid w:val="00564426"/>
    <w:rsid w:val="005A00FF"/>
    <w:rsid w:val="005A7671"/>
    <w:rsid w:val="005B3579"/>
    <w:rsid w:val="005B3645"/>
    <w:rsid w:val="005C0995"/>
    <w:rsid w:val="005C61E3"/>
    <w:rsid w:val="005E2E03"/>
    <w:rsid w:val="005F0C29"/>
    <w:rsid w:val="005F1AF7"/>
    <w:rsid w:val="00634C71"/>
    <w:rsid w:val="00655ED1"/>
    <w:rsid w:val="00664229"/>
    <w:rsid w:val="00685545"/>
    <w:rsid w:val="006868CD"/>
    <w:rsid w:val="00687205"/>
    <w:rsid w:val="00687916"/>
    <w:rsid w:val="0069402C"/>
    <w:rsid w:val="00697431"/>
    <w:rsid w:val="006A5189"/>
    <w:rsid w:val="006A5764"/>
    <w:rsid w:val="00702535"/>
    <w:rsid w:val="0071191E"/>
    <w:rsid w:val="007158BF"/>
    <w:rsid w:val="00720411"/>
    <w:rsid w:val="00722732"/>
    <w:rsid w:val="00750DD4"/>
    <w:rsid w:val="00762A3D"/>
    <w:rsid w:val="007767C5"/>
    <w:rsid w:val="00783B5B"/>
    <w:rsid w:val="00790801"/>
    <w:rsid w:val="007966CC"/>
    <w:rsid w:val="007C05E2"/>
    <w:rsid w:val="007C5BA8"/>
    <w:rsid w:val="00817BFE"/>
    <w:rsid w:val="00822118"/>
    <w:rsid w:val="00837BDF"/>
    <w:rsid w:val="0084107F"/>
    <w:rsid w:val="00841B29"/>
    <w:rsid w:val="0085357D"/>
    <w:rsid w:val="0086677F"/>
    <w:rsid w:val="008923CF"/>
    <w:rsid w:val="008B24AF"/>
    <w:rsid w:val="008D0C98"/>
    <w:rsid w:val="0090314F"/>
    <w:rsid w:val="009401B8"/>
    <w:rsid w:val="00945B59"/>
    <w:rsid w:val="00963493"/>
    <w:rsid w:val="00971B7A"/>
    <w:rsid w:val="00986478"/>
    <w:rsid w:val="00987BF1"/>
    <w:rsid w:val="00996DDE"/>
    <w:rsid w:val="009A11FE"/>
    <w:rsid w:val="009A3083"/>
    <w:rsid w:val="009E1724"/>
    <w:rsid w:val="009E41BB"/>
    <w:rsid w:val="00A2223F"/>
    <w:rsid w:val="00A25A12"/>
    <w:rsid w:val="00A26FB4"/>
    <w:rsid w:val="00A33885"/>
    <w:rsid w:val="00A51BD0"/>
    <w:rsid w:val="00A70B2B"/>
    <w:rsid w:val="00AA6BC5"/>
    <w:rsid w:val="00AB41E7"/>
    <w:rsid w:val="00AD61EF"/>
    <w:rsid w:val="00AE37EC"/>
    <w:rsid w:val="00AF38BD"/>
    <w:rsid w:val="00AF578D"/>
    <w:rsid w:val="00B60374"/>
    <w:rsid w:val="00B6442E"/>
    <w:rsid w:val="00B8755A"/>
    <w:rsid w:val="00BA2033"/>
    <w:rsid w:val="00BB3060"/>
    <w:rsid w:val="00BC01E5"/>
    <w:rsid w:val="00BD55D6"/>
    <w:rsid w:val="00C23FD0"/>
    <w:rsid w:val="00C4713D"/>
    <w:rsid w:val="00C72C27"/>
    <w:rsid w:val="00C76873"/>
    <w:rsid w:val="00C90F2F"/>
    <w:rsid w:val="00C95256"/>
    <w:rsid w:val="00CA02B9"/>
    <w:rsid w:val="00CB646F"/>
    <w:rsid w:val="00CD0C11"/>
    <w:rsid w:val="00CD481D"/>
    <w:rsid w:val="00D142A1"/>
    <w:rsid w:val="00D15895"/>
    <w:rsid w:val="00D1724B"/>
    <w:rsid w:val="00D177AD"/>
    <w:rsid w:val="00D2109B"/>
    <w:rsid w:val="00D24A59"/>
    <w:rsid w:val="00D42BBF"/>
    <w:rsid w:val="00D50AEB"/>
    <w:rsid w:val="00D71B09"/>
    <w:rsid w:val="00D85AF9"/>
    <w:rsid w:val="00DB428C"/>
    <w:rsid w:val="00DB5FE8"/>
    <w:rsid w:val="00DD014E"/>
    <w:rsid w:val="00DD5531"/>
    <w:rsid w:val="00DF4A48"/>
    <w:rsid w:val="00DF6FBB"/>
    <w:rsid w:val="00E03B59"/>
    <w:rsid w:val="00E05A2A"/>
    <w:rsid w:val="00E2000E"/>
    <w:rsid w:val="00E50FD7"/>
    <w:rsid w:val="00E97947"/>
    <w:rsid w:val="00EA1D87"/>
    <w:rsid w:val="00EB43BF"/>
    <w:rsid w:val="00EB5038"/>
    <w:rsid w:val="00EC3668"/>
    <w:rsid w:val="00EC6229"/>
    <w:rsid w:val="00EC7725"/>
    <w:rsid w:val="00EE04A3"/>
    <w:rsid w:val="00EF5F86"/>
    <w:rsid w:val="00F21B7E"/>
    <w:rsid w:val="00F31485"/>
    <w:rsid w:val="00F466A8"/>
    <w:rsid w:val="00F678DD"/>
    <w:rsid w:val="00F8022C"/>
    <w:rsid w:val="00F92BEE"/>
    <w:rsid w:val="00FE4F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E0D35F"/>
  <w15:docId w15:val="{781974F1-AA92-4206-94DB-43388C8F6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4219"/>
    <w:rPr>
      <w:rFonts w:ascii="Arial" w:hAnsi="Arial"/>
      <w:sz w:val="22"/>
      <w:szCs w:val="24"/>
    </w:rPr>
  </w:style>
  <w:style w:type="paragraph" w:styleId="Heading1">
    <w:name w:val="heading 1"/>
    <w:basedOn w:val="Normal"/>
    <w:next w:val="Normal"/>
    <w:link w:val="Heading1Char"/>
    <w:qFormat/>
    <w:rsid w:val="00154219"/>
    <w:pPr>
      <w:keepNext/>
      <w:spacing w:before="240" w:after="240"/>
      <w:outlineLvl w:val="0"/>
    </w:pPr>
    <w:rPr>
      <w:rFonts w:cs="Arial"/>
      <w:b/>
      <w:bCs/>
      <w:kern w:val="32"/>
      <w:szCs w:val="32"/>
    </w:rPr>
  </w:style>
  <w:style w:type="paragraph" w:styleId="Heading2">
    <w:name w:val="heading 2"/>
    <w:basedOn w:val="Title1"/>
    <w:next w:val="Normal"/>
    <w:qFormat/>
    <w:rsid w:val="00154219"/>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42A1"/>
    <w:pPr>
      <w:tabs>
        <w:tab w:val="center" w:pos="4153"/>
        <w:tab w:val="right" w:pos="8306"/>
      </w:tabs>
    </w:pPr>
  </w:style>
  <w:style w:type="paragraph" w:styleId="Footer">
    <w:name w:val="footer"/>
    <w:basedOn w:val="Normal"/>
    <w:link w:val="FooterChar"/>
    <w:rsid w:val="00D142A1"/>
    <w:pPr>
      <w:tabs>
        <w:tab w:val="center" w:pos="4153"/>
        <w:tab w:val="right" w:pos="8306"/>
      </w:tabs>
    </w:pPr>
  </w:style>
  <w:style w:type="paragraph" w:customStyle="1" w:styleId="Text">
    <w:name w:val="Text"/>
    <w:basedOn w:val="Normal"/>
    <w:rsid w:val="005B3579"/>
    <w:pPr>
      <w:pBdr>
        <w:top w:val="single" w:sz="12" w:space="4" w:color="auto"/>
        <w:left w:val="single" w:sz="12" w:space="4" w:color="auto"/>
        <w:bottom w:val="single" w:sz="12" w:space="4" w:color="auto"/>
        <w:right w:val="single" w:sz="12" w:space="4" w:color="auto"/>
      </w:pBdr>
    </w:pPr>
    <w:rPr>
      <w:rFonts w:ascii="Verdana" w:hAnsi="Verdana"/>
    </w:rPr>
  </w:style>
  <w:style w:type="paragraph" w:customStyle="1" w:styleId="Title1">
    <w:name w:val="Title1"/>
    <w:basedOn w:val="Normal"/>
    <w:rsid w:val="00154219"/>
    <w:pPr>
      <w:jc w:val="center"/>
    </w:pPr>
    <w:rPr>
      <w:rFonts w:ascii="Arial Bold" w:hAnsi="Arial Bold"/>
      <w:b/>
      <w:caps/>
      <w:sz w:val="28"/>
      <w:szCs w:val="28"/>
    </w:rPr>
  </w:style>
  <w:style w:type="paragraph" w:customStyle="1" w:styleId="RECOMMENDATIONBOX">
    <w:name w:val="RECOMMENDATION BOX"/>
    <w:basedOn w:val="Normal"/>
    <w:rsid w:val="005E2E03"/>
    <w:pPr>
      <w:pBdr>
        <w:top w:val="single" w:sz="12" w:space="4" w:color="auto"/>
        <w:left w:val="single" w:sz="12" w:space="4" w:color="auto"/>
        <w:bottom w:val="single" w:sz="12" w:space="4" w:color="auto"/>
        <w:right w:val="single" w:sz="12" w:space="4" w:color="auto"/>
      </w:pBdr>
    </w:pPr>
    <w:rPr>
      <w:rFonts w:ascii="Verdana" w:hAnsi="Verdana"/>
      <w:b/>
    </w:rPr>
  </w:style>
  <w:style w:type="paragraph" w:customStyle="1" w:styleId="Paragraph">
    <w:name w:val="Paragraph"/>
    <w:basedOn w:val="Normal"/>
    <w:rsid w:val="009E1724"/>
    <w:pPr>
      <w:numPr>
        <w:numId w:val="2"/>
      </w:numPr>
      <w:tabs>
        <w:tab w:val="clear" w:pos="567"/>
        <w:tab w:val="num" w:pos="360"/>
        <w:tab w:val="left" w:pos="425"/>
      </w:tabs>
      <w:spacing w:after="240"/>
      <w:ind w:left="425" w:hanging="425"/>
    </w:pPr>
    <w:rPr>
      <w:rFonts w:cs="Arial"/>
      <w:szCs w:val="22"/>
    </w:rPr>
  </w:style>
  <w:style w:type="numbering" w:customStyle="1" w:styleId="StyleOutlinenumberedVerdana">
    <w:name w:val="Style Outline numbered Verdana"/>
    <w:basedOn w:val="NoList"/>
    <w:rsid w:val="00C76873"/>
    <w:pPr>
      <w:numPr>
        <w:numId w:val="4"/>
      </w:numPr>
    </w:pPr>
  </w:style>
  <w:style w:type="character" w:styleId="PageNumber">
    <w:name w:val="page number"/>
    <w:basedOn w:val="DefaultParagraphFont"/>
    <w:rsid w:val="00BA2033"/>
  </w:style>
  <w:style w:type="table" w:styleId="TableGrid">
    <w:name w:val="Table Grid"/>
    <w:basedOn w:val="TableNormal"/>
    <w:rsid w:val="00BA2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ItalicRed">
    <w:name w:val="Style Italic Red"/>
    <w:basedOn w:val="DefaultParagraphFont"/>
    <w:rsid w:val="005C0995"/>
    <w:rPr>
      <w:i/>
      <w:iCs/>
      <w:color w:val="auto"/>
    </w:rPr>
  </w:style>
  <w:style w:type="paragraph" w:customStyle="1" w:styleId="StyleRedTopSinglesolidlineAuto15ptLinewidthFrom">
    <w:name w:val="Style Red Top: (Single solid line Auto  1.5 pt Line width From ..."/>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customStyle="1" w:styleId="StyleRedTopSinglesolidlineAuto15ptLinewidthFrom1">
    <w:name w:val="Style Red Top: (Single solid line Auto  1.5 pt Line width From ...1"/>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customStyle="1" w:styleId="StyleRedTopSinglesolidlineAuto15ptLinewidthFrom2">
    <w:name w:val="Style Red Top: (Single solid line Auto  1.5 pt Line width From ...2"/>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styleId="BalloonText">
    <w:name w:val="Balloon Text"/>
    <w:basedOn w:val="Normal"/>
    <w:link w:val="BalloonTextChar"/>
    <w:rsid w:val="00396DEC"/>
    <w:rPr>
      <w:rFonts w:ascii="Tahoma" w:hAnsi="Tahoma" w:cs="Tahoma"/>
      <w:sz w:val="16"/>
      <w:szCs w:val="16"/>
    </w:rPr>
  </w:style>
  <w:style w:type="character" w:customStyle="1" w:styleId="BalloonTextChar">
    <w:name w:val="Balloon Text Char"/>
    <w:basedOn w:val="DefaultParagraphFont"/>
    <w:link w:val="BalloonText"/>
    <w:rsid w:val="00396DEC"/>
    <w:rPr>
      <w:rFonts w:ascii="Tahoma" w:hAnsi="Tahoma" w:cs="Tahoma"/>
      <w:sz w:val="16"/>
      <w:szCs w:val="16"/>
    </w:rPr>
  </w:style>
  <w:style w:type="character" w:customStyle="1" w:styleId="FooterChar">
    <w:name w:val="Footer Char"/>
    <w:basedOn w:val="DefaultParagraphFont"/>
    <w:link w:val="Footer"/>
    <w:rsid w:val="0041655D"/>
    <w:rPr>
      <w:rFonts w:ascii="Arial" w:hAnsi="Arial"/>
      <w:sz w:val="22"/>
      <w:szCs w:val="24"/>
    </w:rPr>
  </w:style>
  <w:style w:type="character" w:customStyle="1" w:styleId="Heading1Char">
    <w:name w:val="Heading 1 Char"/>
    <w:basedOn w:val="DefaultParagraphFont"/>
    <w:link w:val="Heading1"/>
    <w:rsid w:val="00CB646F"/>
    <w:rPr>
      <w:rFonts w:ascii="Arial" w:hAnsi="Arial" w:cs="Arial"/>
      <w:b/>
      <w:bCs/>
      <w:kern w:val="32"/>
      <w:sz w:val="22"/>
      <w:szCs w:val="32"/>
    </w:rPr>
  </w:style>
  <w:style w:type="character" w:styleId="Hyperlink">
    <w:name w:val="Hyperlink"/>
    <w:basedOn w:val="DefaultParagraphFont"/>
    <w:uiPriority w:val="99"/>
    <w:unhideWhenUsed/>
    <w:rsid w:val="00CB646F"/>
    <w:rPr>
      <w:color w:val="0000FF" w:themeColor="hyperlink"/>
      <w:u w:val="single"/>
    </w:rPr>
  </w:style>
  <w:style w:type="character" w:styleId="CommentReference">
    <w:name w:val="annotation reference"/>
    <w:basedOn w:val="DefaultParagraphFont"/>
    <w:rsid w:val="00783B5B"/>
    <w:rPr>
      <w:sz w:val="16"/>
      <w:szCs w:val="16"/>
    </w:rPr>
  </w:style>
  <w:style w:type="paragraph" w:styleId="CommentText">
    <w:name w:val="annotation text"/>
    <w:basedOn w:val="Normal"/>
    <w:link w:val="CommentTextChar"/>
    <w:rsid w:val="00783B5B"/>
    <w:rPr>
      <w:sz w:val="20"/>
      <w:szCs w:val="20"/>
    </w:rPr>
  </w:style>
  <w:style w:type="character" w:customStyle="1" w:styleId="CommentTextChar">
    <w:name w:val="Comment Text Char"/>
    <w:basedOn w:val="DefaultParagraphFont"/>
    <w:link w:val="CommentText"/>
    <w:rsid w:val="00783B5B"/>
    <w:rPr>
      <w:rFonts w:ascii="Arial" w:hAnsi="Arial"/>
    </w:rPr>
  </w:style>
  <w:style w:type="paragraph" w:styleId="CommentSubject">
    <w:name w:val="annotation subject"/>
    <w:basedOn w:val="CommentText"/>
    <w:next w:val="CommentText"/>
    <w:link w:val="CommentSubjectChar"/>
    <w:rsid w:val="00783B5B"/>
    <w:rPr>
      <w:b/>
      <w:bCs/>
    </w:rPr>
  </w:style>
  <w:style w:type="character" w:customStyle="1" w:styleId="CommentSubjectChar">
    <w:name w:val="Comment Subject Char"/>
    <w:basedOn w:val="CommentTextChar"/>
    <w:link w:val="CommentSubject"/>
    <w:rsid w:val="00783B5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628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afeworkaustralia.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Profiles\ag0185\Local%20Settings\Temporary%20Internet%20Files\OLK1\Council%20Meeting%20Paper%20(1)%20-%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9D58D7C241B847B76BDBD60BA23A89" ma:contentTypeVersion="1" ma:contentTypeDescription="Create a new document." ma:contentTypeScope="" ma:versionID="110935c12af874085d5c2575fb7d5f31">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CF1AAB-1F8A-446E-9F45-D3DFFB302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6848D-6D95-4970-B034-335E3C453233}">
  <ds:schemaRefs>
    <ds:schemaRef ds:uri="http://schemas.openxmlformats.org/officeDocument/2006/bibliography"/>
  </ds:schemaRefs>
</ds:datastoreItem>
</file>

<file path=customXml/itemProps3.xml><?xml version="1.0" encoding="utf-8"?>
<ds:datastoreItem xmlns:ds="http://schemas.openxmlformats.org/officeDocument/2006/customXml" ds:itemID="{8E6333A6-2FFE-4C51-BC17-5BBD1F5297BF}">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35343133-0447-43A9-A1F6-F45BE177F1DB}">
  <ds:schemaRefs>
    <ds:schemaRef ds:uri="http://schemas.microsoft.com/office/2006/metadata/longProperties"/>
  </ds:schemaRefs>
</ds:datastoreItem>
</file>

<file path=customXml/itemProps5.xml><?xml version="1.0" encoding="utf-8"?>
<ds:datastoreItem xmlns:ds="http://schemas.openxmlformats.org/officeDocument/2006/customXml" ds:itemID="{9A44FD26-7C3C-4145-BD6F-503B61F9FA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Council Meeting Paper (1) - Template.dot</Template>
  <TotalTime>0</TotalTime>
  <Pages>2</Pages>
  <Words>308</Words>
  <Characters>1953</Characters>
  <Application>Microsoft Office Word</Application>
  <DocSecurity>4</DocSecurity>
  <Lines>16</Lines>
  <Paragraphs>4</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Exemption from the WHS Regulations - National Principles</vt:lpstr>
      <vt:lpstr>NATIONALLY AGREED PRINCIPLES TO GUIDE EXEMPTION  DECISION MAKING</vt:lpstr>
      <vt:lpstr>The exemption decision making process will be guided by the following principles</vt:lpstr>
      <vt:lpstr>CONSISTENCY:</vt:lpstr>
      <vt:lpstr>CONSTRUCTIVENESS</vt:lpstr>
      <vt:lpstr>TRANSPARENCY</vt:lpstr>
      <vt:lpstr>ACCOUNTABILITY</vt:lpstr>
      <vt:lpstr>PROPORTIONALITY</vt:lpstr>
      <vt:lpstr>RESPONSIVENESS</vt:lpstr>
      <vt:lpstr>TARGETED</vt:lpstr>
    </vt:vector>
  </TitlesOfParts>
  <Company>Australian Government</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Exemption from the WHS Regulations - National Principles</dc:title>
  <dc:creator>CRAIGIE,Alan</dc:creator>
  <cp:lastModifiedBy>Taylor Beggs</cp:lastModifiedBy>
  <cp:revision>2</cp:revision>
  <cp:lastPrinted>2011-11-25T05:06:00Z</cp:lastPrinted>
  <dcterms:created xsi:type="dcterms:W3CDTF">2021-11-02T05:42:00Z</dcterms:created>
  <dcterms:modified xsi:type="dcterms:W3CDTF">2021-11-02T05:42:00Z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Picture">
    <vt:lpwstr/>
  </property>
  <property fmtid="{D5CDD505-2E9C-101B-9397-08002B2CF9AE}" pid="3" name="PublishingRollupImage">
    <vt:lpwstr/>
  </property>
  <property fmtid="{D5CDD505-2E9C-101B-9397-08002B2CF9AE}" pid="4" name="Audience">
    <vt:lpwstr/>
  </property>
  <property fmtid="{D5CDD505-2E9C-101B-9397-08002B2CF9AE}" pid="5" name="PublishingContactName">
    <vt:lpwstr/>
  </property>
  <property fmtid="{D5CDD505-2E9C-101B-9397-08002B2CF9AE}" pid="6" name="ContentType">
    <vt:lpwstr>Document</vt:lpwstr>
  </property>
  <property fmtid="{D5CDD505-2E9C-101B-9397-08002B2CF9AE}" pid="7" name="Comments">
    <vt:lpwstr>SWA2 Agenda Item Template</vt:lpwstr>
  </property>
  <property fmtid="{D5CDD505-2E9C-101B-9397-08002B2CF9AE}" pid="8" name="PublishingContactEmail">
    <vt:lpwstr/>
  </property>
  <property fmtid="{D5CDD505-2E9C-101B-9397-08002B2CF9AE}" pid="9" name="ContentTypeId">
    <vt:lpwstr>0x010100D69D58D7C241B847B76BDBD60BA23A89</vt:lpwstr>
  </property>
  <property fmtid="{D5CDD505-2E9C-101B-9397-08002B2CF9AE}" pid="10" name="Forms">
    <vt:lpwstr>A To ZTemplates (SIG OHS)</vt:lpwstr>
  </property>
  <property fmtid="{D5CDD505-2E9C-101B-9397-08002B2CF9AE}" pid="11" name="Description0">
    <vt:lpwstr>Agenda Paper Item Attachment (Portrait)</vt:lpwstr>
  </property>
  <property fmtid="{D5CDD505-2E9C-101B-9397-08002B2CF9AE}" pid="12" name="Document Type">
    <vt:lpwstr>Template</vt:lpwstr>
  </property>
</Properties>
</file>