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E0" w:rsidRPr="00ED2208" w:rsidRDefault="00773093" w:rsidP="00ED2208">
      <w:pPr>
        <w:pStyle w:val="Title"/>
        <w:pBdr>
          <w:bottom w:val="none" w:sz="0" w:space="0" w:color="auto"/>
        </w:pBdr>
        <w:spacing w:before="5160" w:after="720"/>
        <w:rPr>
          <w:rFonts w:asciiTheme="minorHAnsi" w:hAnsiTheme="minorHAnsi" w:cstheme="minorHAnsi"/>
          <w:b/>
          <w:sz w:val="50"/>
          <w:szCs w:val="50"/>
        </w:rPr>
      </w:pPr>
      <w:bookmarkStart w:id="0" w:name="_GoBack"/>
      <w:bookmarkEnd w:id="0"/>
      <w:r w:rsidRPr="00ED2208">
        <w:rPr>
          <w:rFonts w:asciiTheme="minorHAnsi" w:hAnsiTheme="minorHAnsi" w:cstheme="minorHAnsi"/>
          <w:b/>
          <w:sz w:val="50"/>
          <w:szCs w:val="50"/>
        </w:rPr>
        <w:t xml:space="preserve">Decision </w:t>
      </w:r>
      <w:r w:rsidR="00722AE0" w:rsidRPr="00ED2208">
        <w:rPr>
          <w:rFonts w:asciiTheme="minorHAnsi" w:hAnsiTheme="minorHAnsi" w:cstheme="minorHAnsi"/>
          <w:b/>
          <w:sz w:val="50"/>
          <w:szCs w:val="50"/>
        </w:rPr>
        <w:t xml:space="preserve">Regulation Impact Statement </w:t>
      </w:r>
    </w:p>
    <w:p w:rsidR="00722AE0" w:rsidRPr="00536A47" w:rsidRDefault="00722AE0" w:rsidP="00175BEF">
      <w:pPr>
        <w:spacing w:after="1320"/>
        <w:jc w:val="center"/>
        <w:rPr>
          <w:rFonts w:cstheme="minorHAnsi"/>
          <w:sz w:val="44"/>
          <w:szCs w:val="44"/>
        </w:rPr>
      </w:pPr>
      <w:r w:rsidRPr="00536A47">
        <w:rPr>
          <w:rFonts w:cstheme="minorHAnsi"/>
          <w:sz w:val="44"/>
          <w:szCs w:val="44"/>
        </w:rPr>
        <w:t xml:space="preserve">Managing risks associated with lead in the workplace: blood lead </w:t>
      </w:r>
      <w:r w:rsidR="00D05C30">
        <w:rPr>
          <w:rFonts w:cstheme="minorHAnsi"/>
          <w:sz w:val="44"/>
          <w:szCs w:val="44"/>
        </w:rPr>
        <w:t xml:space="preserve">removal </w:t>
      </w:r>
      <w:r w:rsidRPr="00536A47">
        <w:rPr>
          <w:rFonts w:cstheme="minorHAnsi"/>
          <w:sz w:val="44"/>
          <w:szCs w:val="44"/>
        </w:rPr>
        <w:t xml:space="preserve">levels and </w:t>
      </w:r>
      <w:r w:rsidR="00D05C30">
        <w:rPr>
          <w:rFonts w:cstheme="minorHAnsi"/>
          <w:sz w:val="44"/>
          <w:szCs w:val="44"/>
        </w:rPr>
        <w:t xml:space="preserve">workplace </w:t>
      </w:r>
      <w:r w:rsidRPr="00536A47">
        <w:rPr>
          <w:rFonts w:cstheme="minorHAnsi"/>
          <w:sz w:val="44"/>
          <w:szCs w:val="44"/>
        </w:rPr>
        <w:t>exposure standard</w:t>
      </w:r>
    </w:p>
    <w:p w:rsidR="00722AE0" w:rsidRPr="00ED2208" w:rsidRDefault="00582173" w:rsidP="00ED2208">
      <w:pPr>
        <w:jc w:val="center"/>
        <w:rPr>
          <w:rFonts w:cstheme="minorHAnsi"/>
          <w:sz w:val="36"/>
          <w:szCs w:val="36"/>
        </w:rPr>
      </w:pPr>
      <w:r w:rsidRPr="00ED2208">
        <w:rPr>
          <w:rFonts w:cstheme="minorHAnsi"/>
          <w:sz w:val="36"/>
          <w:szCs w:val="36"/>
        </w:rPr>
        <w:t>30</w:t>
      </w:r>
      <w:r w:rsidR="00BE7ABE" w:rsidRPr="00ED2208">
        <w:rPr>
          <w:rFonts w:cstheme="minorHAnsi"/>
          <w:sz w:val="36"/>
          <w:szCs w:val="36"/>
        </w:rPr>
        <w:t xml:space="preserve"> August</w:t>
      </w:r>
      <w:r w:rsidR="00195A46" w:rsidRPr="00ED2208">
        <w:rPr>
          <w:rFonts w:cstheme="minorHAnsi"/>
          <w:sz w:val="36"/>
          <w:szCs w:val="36"/>
        </w:rPr>
        <w:t xml:space="preserve"> </w:t>
      </w:r>
      <w:r w:rsidR="00720823" w:rsidRPr="00ED2208">
        <w:rPr>
          <w:rFonts w:cstheme="minorHAnsi"/>
          <w:sz w:val="36"/>
          <w:szCs w:val="36"/>
        </w:rPr>
        <w:t>2016</w:t>
      </w:r>
    </w:p>
    <w:p w:rsidR="00722AE0" w:rsidRPr="00536A47" w:rsidRDefault="00722AE0">
      <w:pPr>
        <w:spacing w:after="200" w:line="276" w:lineRule="auto"/>
        <w:rPr>
          <w:rFonts w:cstheme="minorHAnsi"/>
          <w:sz w:val="40"/>
          <w:szCs w:val="40"/>
        </w:rPr>
      </w:pPr>
      <w:r w:rsidRPr="00536A47">
        <w:rPr>
          <w:rFonts w:cstheme="minorHAnsi"/>
          <w:sz w:val="40"/>
          <w:szCs w:val="40"/>
        </w:rPr>
        <w:br w:type="page"/>
      </w:r>
    </w:p>
    <w:p w:rsidR="0040088F" w:rsidRPr="004C44D8" w:rsidRDefault="0040088F" w:rsidP="0040088F">
      <w:pPr>
        <w:pStyle w:val="Bodycopy"/>
        <w:spacing w:before="720" w:after="0" w:line="240" w:lineRule="auto"/>
        <w:ind w:left="0"/>
        <w:rPr>
          <w:rStyle w:val="Bodycopyboldemphasis"/>
          <w:rFonts w:ascii="Arial" w:hAnsi="Arial" w:cs="Arial"/>
          <w:sz w:val="22"/>
          <w:szCs w:val="22"/>
        </w:rPr>
      </w:pPr>
      <w:r w:rsidRPr="004C44D8">
        <w:rPr>
          <w:rStyle w:val="Bodycopyboldemphasis"/>
          <w:rFonts w:ascii="Arial" w:hAnsi="Arial" w:cs="Arial"/>
          <w:color w:val="auto"/>
          <w:sz w:val="22"/>
          <w:szCs w:val="22"/>
        </w:rPr>
        <w:lastRenderedPageBreak/>
        <w:t xml:space="preserve">Safe Work </w:t>
      </w:r>
      <w:r w:rsidRPr="004C44D8">
        <w:rPr>
          <w:rStyle w:val="Bodycopyboldemphasis"/>
          <w:rFonts w:ascii="Arial" w:hAnsi="Arial" w:cs="Arial"/>
          <w:sz w:val="22"/>
          <w:szCs w:val="22"/>
        </w:rPr>
        <w:t>Australia is an Australian Government statutory agency established in 2009. Safe Work Australia consists of representatives of the Commonwealth, state and territory governments, the Australian Council of Trade Unions, the Australian Chamber of Commerce and Industry and the Australian Industry Group.</w:t>
      </w:r>
    </w:p>
    <w:p w:rsidR="0040088F" w:rsidRPr="004C44D8" w:rsidRDefault="0040088F" w:rsidP="0040088F">
      <w:pPr>
        <w:pStyle w:val="Bodycopy"/>
        <w:spacing w:after="0" w:line="240" w:lineRule="auto"/>
        <w:ind w:left="0"/>
        <w:rPr>
          <w:rStyle w:val="Bodycopyboldemphasis"/>
          <w:rFonts w:ascii="Arial" w:hAnsi="Arial" w:cs="Arial"/>
          <w:sz w:val="22"/>
          <w:szCs w:val="22"/>
        </w:rPr>
      </w:pPr>
      <w:r w:rsidRPr="004C44D8">
        <w:rPr>
          <w:rStyle w:val="Bodycopyboldemphasis"/>
          <w:rFonts w:ascii="Arial" w:hAnsi="Arial" w:cs="Arial"/>
          <w:sz w:val="22"/>
          <w:szCs w:val="22"/>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40088F" w:rsidRPr="004C44D8" w:rsidRDefault="0040088F" w:rsidP="0040088F">
      <w:pPr>
        <w:pStyle w:val="Bodycopy"/>
        <w:spacing w:before="480"/>
        <w:ind w:left="0"/>
        <w:rPr>
          <w:rStyle w:val="Bodycopyboldemphasis"/>
          <w:rFonts w:ascii="Arial" w:hAnsi="Arial" w:cs="Arial"/>
          <w:sz w:val="22"/>
          <w:szCs w:val="22"/>
        </w:rPr>
      </w:pPr>
      <w:r w:rsidRPr="004C44D8">
        <w:rPr>
          <w:rFonts w:ascii="Arial" w:hAnsi="Arial" w:cs="Arial"/>
          <w:b/>
          <w:noProof/>
          <w:sz w:val="22"/>
          <w:szCs w:val="22"/>
          <w:lang w:val="en-AU"/>
        </w:rPr>
        <w:drawing>
          <wp:inline distT="0" distB="0" distL="0" distR="0" wp14:anchorId="77C01512" wp14:editId="1EF54D00">
            <wp:extent cx="1228725" cy="428625"/>
            <wp:effectExtent l="0" t="0" r="9525" b="0"/>
            <wp:docPr id="8" name="Picture 8" descr="Creative commons - non commercial icon" title="Creative Commons Logo"/>
            <wp:cNvGraphicFramePr/>
            <a:graphic xmlns:a="http://schemas.openxmlformats.org/drawingml/2006/main">
              <a:graphicData uri="http://schemas.openxmlformats.org/drawingml/2006/picture">
                <pic:pic xmlns:pic="http://schemas.openxmlformats.org/drawingml/2006/picture">
                  <pic:nvPicPr>
                    <pic:cNvPr id="2" name="Picture 2" descr="Creative commons - non commercial icon" title="Creative Commons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426085"/>
                    </a:xfrm>
                    <a:prstGeom prst="rect">
                      <a:avLst/>
                    </a:prstGeom>
                    <a:noFill/>
                    <a:ln>
                      <a:noFill/>
                    </a:ln>
                  </pic:spPr>
                </pic:pic>
              </a:graphicData>
            </a:graphic>
          </wp:inline>
        </w:drawing>
      </w:r>
    </w:p>
    <w:p w:rsidR="0040088F" w:rsidRPr="004C44D8" w:rsidRDefault="0040088F" w:rsidP="0040088F">
      <w:pPr>
        <w:pStyle w:val="Bodycopy"/>
        <w:ind w:left="0"/>
        <w:rPr>
          <w:sz w:val="22"/>
          <w:szCs w:val="22"/>
        </w:rPr>
      </w:pPr>
      <w:r w:rsidRPr="004C44D8">
        <w:rPr>
          <w:rStyle w:val="Bodycopyboldemphasis"/>
          <w:rFonts w:ascii="Arial" w:hAnsi="Arial" w:cs="Arial"/>
          <w:b/>
          <w:sz w:val="22"/>
          <w:szCs w:val="22"/>
        </w:rPr>
        <w:t>Creative Commons</w:t>
      </w:r>
    </w:p>
    <w:p w:rsidR="00457BF4" w:rsidRPr="00356F53" w:rsidRDefault="00457BF4" w:rsidP="00457BF4">
      <w:pPr>
        <w:pStyle w:val="Bodycopy"/>
        <w:spacing w:after="360"/>
        <w:ind w:left="720" w:hanging="720"/>
        <w:rPr>
          <w:rFonts w:ascii="Arial" w:hAnsi="Arial" w:cs="Arial"/>
          <w:sz w:val="22"/>
          <w:szCs w:val="22"/>
        </w:rPr>
      </w:pPr>
      <w:r w:rsidRPr="00457BF4">
        <w:rPr>
          <w:rFonts w:eastAsia="SimSun" w:cs="Arial"/>
          <w:szCs w:val="22"/>
          <w:lang w:val="en-GB"/>
        </w:rPr>
        <w:t xml:space="preserve">ISBN </w:t>
      </w:r>
      <w:r w:rsidRPr="00457BF4">
        <w:rPr>
          <w:rFonts w:eastAsia="SimSun" w:cs="Arial"/>
          <w:szCs w:val="22"/>
          <w:lang w:val="en-GB"/>
        </w:rPr>
        <w:tab/>
        <w:t xml:space="preserve">978-1-76051-001-5 (PDF) </w:t>
      </w:r>
      <w:r>
        <w:rPr>
          <w:rFonts w:eastAsia="SimSun" w:cs="Arial"/>
          <w:szCs w:val="22"/>
          <w:lang w:val="en-GB"/>
        </w:rPr>
        <w:br/>
      </w:r>
      <w:r w:rsidRPr="00457BF4">
        <w:rPr>
          <w:rFonts w:eastAsia="SimSun" w:cs="Arial"/>
          <w:szCs w:val="22"/>
          <w:lang w:val="en-GB"/>
        </w:rPr>
        <w:t>978-1-76051-002-2 (DOCX)</w:t>
      </w:r>
    </w:p>
    <w:p w:rsidR="0040088F" w:rsidRPr="004C44D8" w:rsidRDefault="0040088F" w:rsidP="0040088F">
      <w:pPr>
        <w:pStyle w:val="Bodycopy"/>
        <w:ind w:left="0"/>
        <w:rPr>
          <w:rFonts w:ascii="Arial" w:hAnsi="Arial" w:cs="Arial"/>
          <w:sz w:val="22"/>
          <w:szCs w:val="22"/>
        </w:rPr>
      </w:pPr>
      <w:r w:rsidRPr="004C44D8">
        <w:rPr>
          <w:rFonts w:ascii="Arial" w:hAnsi="Arial" w:cs="Arial"/>
          <w:sz w:val="22"/>
          <w:szCs w:val="22"/>
        </w:rPr>
        <w:t xml:space="preserve">Except for the logo of Safe Work Australia, this copyright work is licensed under a Creative Commons Attribution-Noncommercial 3.0 Australia </w:t>
      </w:r>
      <w:r w:rsidRPr="00356F53">
        <w:rPr>
          <w:rFonts w:ascii="Arial" w:hAnsi="Arial" w:cs="Arial"/>
          <w:sz w:val="22"/>
          <w:szCs w:val="22"/>
          <w:lang w:val="en-AU"/>
        </w:rPr>
        <w:t>licence</w:t>
      </w:r>
      <w:r w:rsidRPr="004C44D8">
        <w:rPr>
          <w:rFonts w:ascii="Arial" w:hAnsi="Arial" w:cs="Arial"/>
          <w:sz w:val="22"/>
          <w:szCs w:val="22"/>
        </w:rPr>
        <w:t xml:space="preserve">. To view a copy of this </w:t>
      </w:r>
      <w:r w:rsidRPr="00356F53">
        <w:rPr>
          <w:rFonts w:ascii="Arial" w:hAnsi="Arial" w:cs="Arial"/>
          <w:sz w:val="22"/>
          <w:szCs w:val="22"/>
          <w:lang w:val="en-AU"/>
        </w:rPr>
        <w:t>licence</w:t>
      </w:r>
      <w:r w:rsidRPr="004C44D8">
        <w:rPr>
          <w:rFonts w:ascii="Arial" w:hAnsi="Arial" w:cs="Arial"/>
          <w:sz w:val="22"/>
          <w:szCs w:val="22"/>
        </w:rPr>
        <w:t>, visit</w:t>
      </w:r>
      <w:r w:rsidR="00356F53">
        <w:rPr>
          <w:rFonts w:ascii="Arial" w:hAnsi="Arial" w:cs="Arial"/>
          <w:sz w:val="22"/>
          <w:szCs w:val="22"/>
        </w:rPr>
        <w:t xml:space="preserve"> </w:t>
      </w:r>
      <w:hyperlink r:id="rId12" w:history="1">
        <w:r w:rsidRPr="004C44D8">
          <w:rPr>
            <w:rStyle w:val="Hyperlink"/>
            <w:rFonts w:ascii="Arial" w:eastAsia="Batang" w:hAnsi="Arial" w:cs="Arial"/>
            <w:sz w:val="22"/>
            <w:szCs w:val="22"/>
          </w:rPr>
          <w:t>http://creativecommons.org/licenses/by-nc/3.0/au/</w:t>
        </w:r>
      </w:hyperlink>
      <w:r w:rsidR="002B4ED0" w:rsidRPr="002B4ED0">
        <w:t>.</w:t>
      </w:r>
    </w:p>
    <w:p w:rsidR="0040088F" w:rsidRPr="004C44D8" w:rsidRDefault="0040088F" w:rsidP="0040088F">
      <w:pPr>
        <w:pStyle w:val="Bodycopy"/>
        <w:ind w:left="0"/>
        <w:rPr>
          <w:rFonts w:ascii="Arial" w:hAnsi="Arial" w:cs="Arial"/>
          <w:sz w:val="22"/>
          <w:szCs w:val="22"/>
        </w:rPr>
      </w:pPr>
      <w:r w:rsidRPr="004C44D8">
        <w:rPr>
          <w:rFonts w:ascii="Arial" w:hAnsi="Arial" w:cs="Arial"/>
          <w:sz w:val="22"/>
          <w:szCs w:val="22"/>
        </w:rPr>
        <w:t xml:space="preserve">In essence, you are free to copy, communicate and adapt the work for non-commercial purposes, as long as you attribute the work to Safe Work Australia and abide by the other </w:t>
      </w:r>
      <w:r w:rsidRPr="00356F53">
        <w:rPr>
          <w:rFonts w:ascii="Arial" w:hAnsi="Arial" w:cs="Arial"/>
          <w:sz w:val="22"/>
          <w:szCs w:val="22"/>
          <w:lang w:val="en-AU"/>
        </w:rPr>
        <w:t>licence</w:t>
      </w:r>
      <w:r w:rsidRPr="004C44D8">
        <w:rPr>
          <w:rFonts w:ascii="Arial" w:hAnsi="Arial" w:cs="Arial"/>
          <w:sz w:val="22"/>
          <w:szCs w:val="22"/>
        </w:rPr>
        <w:t xml:space="preserve"> terms.</w:t>
      </w:r>
    </w:p>
    <w:p w:rsidR="0040088F" w:rsidRPr="004C44D8" w:rsidRDefault="0040088F" w:rsidP="0040088F">
      <w:pPr>
        <w:pStyle w:val="Bodycopy"/>
        <w:spacing w:after="0" w:line="240" w:lineRule="auto"/>
        <w:ind w:left="0"/>
        <w:rPr>
          <w:rFonts w:ascii="Arial" w:hAnsi="Arial" w:cs="Arial"/>
          <w:b/>
          <w:sz w:val="22"/>
          <w:szCs w:val="22"/>
        </w:rPr>
      </w:pPr>
      <w:r w:rsidRPr="004C44D8">
        <w:rPr>
          <w:rFonts w:ascii="Arial" w:hAnsi="Arial" w:cs="Arial"/>
          <w:b/>
          <w:sz w:val="22"/>
          <w:szCs w:val="22"/>
        </w:rPr>
        <w:t>Contact information</w:t>
      </w:r>
    </w:p>
    <w:p w:rsidR="0040088F" w:rsidRPr="004C44D8" w:rsidRDefault="0040088F" w:rsidP="0040088F">
      <w:pPr>
        <w:pStyle w:val="Bodycopy"/>
        <w:spacing w:after="0" w:line="240" w:lineRule="auto"/>
        <w:ind w:left="0"/>
        <w:rPr>
          <w:rFonts w:ascii="Arial" w:hAnsi="Arial" w:cs="Arial"/>
          <w:sz w:val="22"/>
          <w:szCs w:val="22"/>
        </w:rPr>
      </w:pPr>
      <w:r w:rsidRPr="004C44D8">
        <w:rPr>
          <w:rFonts w:ascii="Arial" w:hAnsi="Arial" w:cs="Arial"/>
          <w:sz w:val="22"/>
          <w:szCs w:val="22"/>
        </w:rPr>
        <w:t>Safe Work Australia</w:t>
      </w:r>
    </w:p>
    <w:p w:rsidR="0040088F" w:rsidRPr="004C44D8" w:rsidRDefault="0040088F" w:rsidP="00356F53">
      <w:pPr>
        <w:pStyle w:val="Bodycopy"/>
        <w:ind w:left="0"/>
        <w:rPr>
          <w:rFonts w:ascii="Arial" w:hAnsi="Arial" w:cs="Arial"/>
          <w:sz w:val="22"/>
          <w:szCs w:val="22"/>
        </w:rPr>
      </w:pPr>
      <w:r w:rsidRPr="004C44D8">
        <w:rPr>
          <w:rFonts w:ascii="Arial" w:hAnsi="Arial" w:cs="Arial"/>
          <w:sz w:val="22"/>
          <w:szCs w:val="22"/>
        </w:rPr>
        <w:t xml:space="preserve">Email: </w:t>
      </w:r>
      <w:hyperlink r:id="rId13" w:history="1">
        <w:r w:rsidRPr="004C44D8">
          <w:rPr>
            <w:rStyle w:val="Hyperlink"/>
            <w:rFonts w:ascii="Arial" w:hAnsi="Arial" w:cs="Arial"/>
            <w:sz w:val="22"/>
            <w:szCs w:val="22"/>
          </w:rPr>
          <w:t>info@swa.gov.au</w:t>
        </w:r>
      </w:hyperlink>
    </w:p>
    <w:p w:rsidR="0040088F" w:rsidRDefault="0040088F" w:rsidP="00356F53">
      <w:pPr>
        <w:pStyle w:val="Bodycopy"/>
        <w:ind w:left="0"/>
        <w:rPr>
          <w:rFonts w:ascii="Arial" w:hAnsi="Arial" w:cs="Arial"/>
          <w:b/>
          <w:sz w:val="22"/>
          <w:szCs w:val="22"/>
        </w:rPr>
      </w:pPr>
      <w:r w:rsidRPr="004C44D8">
        <w:rPr>
          <w:rFonts w:ascii="Arial" w:hAnsi="Arial" w:cs="Arial"/>
          <w:sz w:val="22"/>
          <w:szCs w:val="22"/>
        </w:rPr>
        <w:t xml:space="preserve">Website: </w:t>
      </w:r>
      <w:hyperlink r:id="rId14" w:history="1">
        <w:r w:rsidRPr="004C44D8">
          <w:rPr>
            <w:rStyle w:val="Hyperlink"/>
            <w:rFonts w:ascii="Arial" w:hAnsi="Arial" w:cs="Arial"/>
            <w:sz w:val="22"/>
            <w:szCs w:val="22"/>
          </w:rPr>
          <w:t>www.swa.gov.au</w:t>
        </w:r>
      </w:hyperlink>
      <w:r w:rsidRPr="004C44D8">
        <w:rPr>
          <w:rFonts w:ascii="Arial" w:hAnsi="Arial" w:cs="Arial"/>
          <w:b/>
          <w:sz w:val="22"/>
          <w:szCs w:val="22"/>
        </w:rPr>
        <w:t xml:space="preserve"> </w:t>
      </w:r>
    </w:p>
    <w:p w:rsidR="0040088F" w:rsidRPr="0040088F" w:rsidRDefault="0040088F" w:rsidP="0040088F">
      <w:pPr>
        <w:rPr>
          <w:rFonts w:cstheme="minorHAnsi"/>
        </w:rPr>
      </w:pPr>
    </w:p>
    <w:p w:rsidR="0040088F" w:rsidRPr="004C44D8" w:rsidRDefault="0040088F" w:rsidP="0040088F">
      <w:pPr>
        <w:rPr>
          <w:rFonts w:cstheme="minorHAnsi"/>
        </w:rPr>
      </w:pPr>
      <w:r w:rsidRPr="004C44D8">
        <w:rPr>
          <w:rFonts w:cstheme="minorHAnsi"/>
        </w:rPr>
        <w:br w:type="page"/>
      </w:r>
    </w:p>
    <w:sdt>
      <w:sdtPr>
        <w:rPr>
          <w:rFonts w:eastAsia="Batang" w:cstheme="minorHAnsi"/>
          <w:b/>
          <w:bCs/>
          <w:szCs w:val="24"/>
        </w:rPr>
        <w:id w:val="791023830"/>
        <w:docPartObj>
          <w:docPartGallery w:val="Table of Contents"/>
          <w:docPartUnique/>
        </w:docPartObj>
      </w:sdtPr>
      <w:sdtEndPr>
        <w:rPr>
          <w:rFonts w:eastAsiaTheme="minorEastAsia"/>
          <w:b w:val="0"/>
          <w:bCs w:val="0"/>
          <w:noProof/>
          <w:szCs w:val="22"/>
        </w:rPr>
      </w:sdtEndPr>
      <w:sdtContent>
        <w:p w:rsidR="00722AE0" w:rsidRPr="00801357" w:rsidRDefault="00722AE0" w:rsidP="002B17D0">
          <w:pPr>
            <w:spacing w:before="40" w:after="40"/>
            <w:rPr>
              <w:rFonts w:eastAsia="Batang" w:cstheme="minorHAnsi"/>
              <w:b/>
              <w:sz w:val="32"/>
            </w:rPr>
          </w:pPr>
          <w:r w:rsidRPr="00801357">
            <w:rPr>
              <w:rFonts w:eastAsia="Batang" w:cstheme="minorHAnsi"/>
              <w:b/>
              <w:sz w:val="32"/>
            </w:rPr>
            <w:t>Contents</w:t>
          </w:r>
        </w:p>
        <w:p w:rsidR="002B17D0" w:rsidRPr="00D30F19" w:rsidRDefault="00C32273" w:rsidP="002B17D0">
          <w:pPr>
            <w:pStyle w:val="TOC1"/>
            <w:tabs>
              <w:tab w:val="right" w:leader="dot" w:pos="9398"/>
            </w:tabs>
            <w:spacing w:before="40" w:after="40"/>
            <w:rPr>
              <w:b/>
              <w:noProof/>
              <w:sz w:val="28"/>
              <w:szCs w:val="28"/>
              <w:lang w:eastAsia="en-AU"/>
            </w:rPr>
          </w:pPr>
          <w:r w:rsidRPr="00536A47">
            <w:rPr>
              <w:rFonts w:cstheme="minorHAnsi"/>
            </w:rPr>
            <w:fldChar w:fldCharType="begin"/>
          </w:r>
          <w:r w:rsidR="00722AE0" w:rsidRPr="00536A47">
            <w:rPr>
              <w:rFonts w:cstheme="minorHAnsi"/>
            </w:rPr>
            <w:instrText xml:space="preserve"> TOC \o "1-3" \h \z \u </w:instrText>
          </w:r>
          <w:r w:rsidRPr="00536A47">
            <w:rPr>
              <w:rFonts w:cstheme="minorHAnsi"/>
            </w:rPr>
            <w:fldChar w:fldCharType="separate"/>
          </w:r>
          <w:hyperlink w:anchor="_Toc459276883" w:history="1">
            <w:r w:rsidR="002B17D0" w:rsidRPr="00D30F19">
              <w:rPr>
                <w:rStyle w:val="Hyperlink"/>
                <w:rFonts w:cstheme="minorHAnsi"/>
                <w:b/>
                <w:noProof/>
                <w:sz w:val="28"/>
                <w:szCs w:val="28"/>
              </w:rPr>
              <w:t>Executive Summary</w:t>
            </w:r>
            <w:r w:rsidR="002B17D0" w:rsidRPr="00D30F19">
              <w:rPr>
                <w:b/>
                <w:noProof/>
                <w:webHidden/>
                <w:sz w:val="28"/>
                <w:szCs w:val="28"/>
              </w:rPr>
              <w:tab/>
            </w:r>
            <w:r w:rsidR="002B17D0" w:rsidRPr="00D30F19">
              <w:rPr>
                <w:b/>
                <w:noProof/>
                <w:webHidden/>
                <w:sz w:val="28"/>
                <w:szCs w:val="28"/>
              </w:rPr>
              <w:fldChar w:fldCharType="begin"/>
            </w:r>
            <w:r w:rsidR="002B17D0" w:rsidRPr="00D30F19">
              <w:rPr>
                <w:b/>
                <w:noProof/>
                <w:webHidden/>
                <w:sz w:val="28"/>
                <w:szCs w:val="28"/>
              </w:rPr>
              <w:instrText xml:space="preserve"> PAGEREF _Toc459276883 \h </w:instrText>
            </w:r>
            <w:r w:rsidR="002B17D0" w:rsidRPr="00D30F19">
              <w:rPr>
                <w:b/>
                <w:noProof/>
                <w:webHidden/>
                <w:sz w:val="28"/>
                <w:szCs w:val="28"/>
              </w:rPr>
            </w:r>
            <w:r w:rsidR="002B17D0" w:rsidRPr="00D30F19">
              <w:rPr>
                <w:b/>
                <w:noProof/>
                <w:webHidden/>
                <w:sz w:val="28"/>
                <w:szCs w:val="28"/>
              </w:rPr>
              <w:fldChar w:fldCharType="separate"/>
            </w:r>
            <w:r w:rsidR="0040088F">
              <w:rPr>
                <w:b/>
                <w:noProof/>
                <w:webHidden/>
                <w:sz w:val="28"/>
                <w:szCs w:val="28"/>
              </w:rPr>
              <w:t>5</w:t>
            </w:r>
            <w:r w:rsidR="002B17D0" w:rsidRPr="00D30F19">
              <w:rPr>
                <w:b/>
                <w:noProof/>
                <w:webHidden/>
                <w:sz w:val="28"/>
                <w:szCs w:val="28"/>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884" w:history="1">
            <w:r w:rsidR="002B17D0" w:rsidRPr="00D30F19">
              <w:rPr>
                <w:rStyle w:val="Hyperlink"/>
                <w:b/>
                <w:noProof/>
              </w:rPr>
              <w:t>1.</w:t>
            </w:r>
            <w:r w:rsidR="002B17D0" w:rsidRPr="00D30F19">
              <w:rPr>
                <w:b/>
                <w:noProof/>
                <w:lang w:eastAsia="en-AU"/>
              </w:rPr>
              <w:tab/>
            </w:r>
            <w:r w:rsidR="002B17D0" w:rsidRPr="00D30F19">
              <w:rPr>
                <w:rStyle w:val="Hyperlink"/>
                <w:b/>
                <w:noProof/>
              </w:rPr>
              <w:t>Introduction</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_Toc459276884 \h </w:instrText>
            </w:r>
            <w:r w:rsidR="002B17D0" w:rsidRPr="00D30F19">
              <w:rPr>
                <w:b/>
                <w:noProof/>
                <w:webHidden/>
              </w:rPr>
            </w:r>
            <w:r w:rsidR="002B17D0" w:rsidRPr="00D30F19">
              <w:rPr>
                <w:b/>
                <w:noProof/>
                <w:webHidden/>
              </w:rPr>
              <w:fldChar w:fldCharType="separate"/>
            </w:r>
            <w:r w:rsidR="0040088F">
              <w:rPr>
                <w:b/>
                <w:noProof/>
                <w:webHidden/>
              </w:rPr>
              <w:t>7</w:t>
            </w:r>
            <w:r w:rsidR="002B17D0" w:rsidRPr="00D30F19">
              <w:rPr>
                <w:b/>
                <w:noProof/>
                <w:webHidden/>
              </w:rPr>
              <w:fldChar w:fldCharType="end"/>
            </w:r>
          </w:hyperlink>
        </w:p>
        <w:p w:rsidR="002B17D0" w:rsidRDefault="00CB69C0" w:rsidP="00D30F19">
          <w:pPr>
            <w:pStyle w:val="TOC2"/>
            <w:rPr>
              <w:noProof/>
              <w:lang w:eastAsia="en-AU"/>
            </w:rPr>
          </w:pPr>
          <w:hyperlink w:anchor="_Toc459276885" w:history="1">
            <w:r w:rsidR="002B17D0" w:rsidRPr="004C3D73">
              <w:rPr>
                <w:rStyle w:val="Hyperlink"/>
                <w:noProof/>
              </w:rPr>
              <w:t>1.1.</w:t>
            </w:r>
            <w:r w:rsidR="002B17D0">
              <w:rPr>
                <w:noProof/>
                <w:lang w:eastAsia="en-AU"/>
              </w:rPr>
              <w:tab/>
            </w:r>
            <w:r w:rsidR="002B17D0" w:rsidRPr="004C3D73">
              <w:rPr>
                <w:rStyle w:val="Hyperlink"/>
                <w:noProof/>
              </w:rPr>
              <w:t>About Safe Work Australia</w:t>
            </w:r>
            <w:r w:rsidR="002B17D0">
              <w:rPr>
                <w:noProof/>
                <w:webHidden/>
              </w:rPr>
              <w:tab/>
            </w:r>
            <w:r w:rsidR="002B17D0">
              <w:rPr>
                <w:noProof/>
                <w:webHidden/>
              </w:rPr>
              <w:fldChar w:fldCharType="begin"/>
            </w:r>
            <w:r w:rsidR="002B17D0">
              <w:rPr>
                <w:noProof/>
                <w:webHidden/>
              </w:rPr>
              <w:instrText xml:space="preserve"> PAGEREF _Toc459276885 \h </w:instrText>
            </w:r>
            <w:r w:rsidR="002B17D0">
              <w:rPr>
                <w:noProof/>
                <w:webHidden/>
              </w:rPr>
            </w:r>
            <w:r w:rsidR="002B17D0">
              <w:rPr>
                <w:noProof/>
                <w:webHidden/>
              </w:rPr>
              <w:fldChar w:fldCharType="separate"/>
            </w:r>
            <w:r w:rsidR="0040088F">
              <w:rPr>
                <w:noProof/>
                <w:webHidden/>
              </w:rPr>
              <w:t>7</w:t>
            </w:r>
            <w:r w:rsidR="002B17D0">
              <w:rPr>
                <w:noProof/>
                <w:webHidden/>
              </w:rPr>
              <w:fldChar w:fldCharType="end"/>
            </w:r>
          </w:hyperlink>
        </w:p>
        <w:p w:rsidR="002B17D0" w:rsidRDefault="00CB69C0" w:rsidP="00D30F19">
          <w:pPr>
            <w:pStyle w:val="TOC2"/>
            <w:rPr>
              <w:noProof/>
              <w:lang w:eastAsia="en-AU"/>
            </w:rPr>
          </w:pPr>
          <w:hyperlink w:anchor="_Toc459276886" w:history="1">
            <w:r w:rsidR="002B17D0" w:rsidRPr="004C3D73">
              <w:rPr>
                <w:rStyle w:val="Hyperlink"/>
                <w:noProof/>
              </w:rPr>
              <w:t>1.2.</w:t>
            </w:r>
            <w:r w:rsidR="002B17D0">
              <w:rPr>
                <w:noProof/>
                <w:lang w:eastAsia="en-AU"/>
              </w:rPr>
              <w:tab/>
            </w:r>
            <w:r w:rsidR="002B17D0" w:rsidRPr="004C3D73">
              <w:rPr>
                <w:rStyle w:val="Hyperlink"/>
                <w:noProof/>
              </w:rPr>
              <w:t>Background</w:t>
            </w:r>
            <w:r w:rsidR="002B17D0">
              <w:rPr>
                <w:noProof/>
                <w:webHidden/>
              </w:rPr>
              <w:tab/>
            </w:r>
            <w:r w:rsidR="002B17D0">
              <w:rPr>
                <w:noProof/>
                <w:webHidden/>
              </w:rPr>
              <w:fldChar w:fldCharType="begin"/>
            </w:r>
            <w:r w:rsidR="002B17D0">
              <w:rPr>
                <w:noProof/>
                <w:webHidden/>
              </w:rPr>
              <w:instrText xml:space="preserve"> PAGEREF _Toc459276886 \h </w:instrText>
            </w:r>
            <w:r w:rsidR="002B17D0">
              <w:rPr>
                <w:noProof/>
                <w:webHidden/>
              </w:rPr>
            </w:r>
            <w:r w:rsidR="002B17D0">
              <w:rPr>
                <w:noProof/>
                <w:webHidden/>
              </w:rPr>
              <w:fldChar w:fldCharType="separate"/>
            </w:r>
            <w:r w:rsidR="0040088F">
              <w:rPr>
                <w:noProof/>
                <w:webHidden/>
              </w:rPr>
              <w:t>7</w:t>
            </w:r>
            <w:r w:rsidR="002B17D0">
              <w:rPr>
                <w:noProof/>
                <w:webHidden/>
              </w:rPr>
              <w:fldChar w:fldCharType="end"/>
            </w:r>
          </w:hyperlink>
        </w:p>
        <w:p w:rsidR="002B17D0" w:rsidRDefault="00CB69C0" w:rsidP="00D30F19">
          <w:pPr>
            <w:pStyle w:val="TOC2"/>
            <w:rPr>
              <w:noProof/>
              <w:lang w:eastAsia="en-AU"/>
            </w:rPr>
          </w:pPr>
          <w:hyperlink w:anchor="_Toc459276887" w:history="1">
            <w:r w:rsidR="002B17D0" w:rsidRPr="004C3D73">
              <w:rPr>
                <w:rStyle w:val="Hyperlink"/>
                <w:noProof/>
              </w:rPr>
              <w:t>1.3.</w:t>
            </w:r>
            <w:r w:rsidR="002B17D0">
              <w:rPr>
                <w:noProof/>
                <w:lang w:eastAsia="en-AU"/>
              </w:rPr>
              <w:tab/>
            </w:r>
            <w:r w:rsidR="002B17D0" w:rsidRPr="004C3D73">
              <w:rPr>
                <w:rStyle w:val="Hyperlink"/>
                <w:noProof/>
              </w:rPr>
              <w:t>Purpose of this document</w:t>
            </w:r>
            <w:r w:rsidR="002B17D0">
              <w:rPr>
                <w:noProof/>
                <w:webHidden/>
              </w:rPr>
              <w:tab/>
            </w:r>
            <w:r w:rsidR="002B17D0">
              <w:rPr>
                <w:noProof/>
                <w:webHidden/>
              </w:rPr>
              <w:fldChar w:fldCharType="begin"/>
            </w:r>
            <w:r w:rsidR="002B17D0">
              <w:rPr>
                <w:noProof/>
                <w:webHidden/>
              </w:rPr>
              <w:instrText xml:space="preserve"> PAGEREF _Toc459276887 \h </w:instrText>
            </w:r>
            <w:r w:rsidR="002B17D0">
              <w:rPr>
                <w:noProof/>
                <w:webHidden/>
              </w:rPr>
            </w:r>
            <w:r w:rsidR="002B17D0">
              <w:rPr>
                <w:noProof/>
                <w:webHidden/>
              </w:rPr>
              <w:fldChar w:fldCharType="separate"/>
            </w:r>
            <w:r w:rsidR="0040088F">
              <w:rPr>
                <w:noProof/>
                <w:webHidden/>
              </w:rPr>
              <w:t>8</w:t>
            </w:r>
            <w:r w:rsidR="002B17D0">
              <w:rPr>
                <w:noProof/>
                <w:webHidden/>
              </w:rPr>
              <w:fldChar w:fldCharType="end"/>
            </w:r>
          </w:hyperlink>
        </w:p>
        <w:p w:rsidR="002B17D0" w:rsidRDefault="00CB69C0" w:rsidP="00D30F19">
          <w:pPr>
            <w:pStyle w:val="TOC2"/>
            <w:rPr>
              <w:noProof/>
              <w:lang w:eastAsia="en-AU"/>
            </w:rPr>
          </w:pPr>
          <w:hyperlink w:anchor="_Toc459276888" w:history="1">
            <w:r w:rsidR="002B17D0" w:rsidRPr="004C3D73">
              <w:rPr>
                <w:rStyle w:val="Hyperlink"/>
                <w:noProof/>
              </w:rPr>
              <w:t>1.4.</w:t>
            </w:r>
            <w:r w:rsidR="002B17D0">
              <w:rPr>
                <w:noProof/>
                <w:lang w:eastAsia="en-AU"/>
              </w:rPr>
              <w:tab/>
            </w:r>
            <w:r w:rsidR="002B17D0" w:rsidRPr="004C3D73">
              <w:rPr>
                <w:rStyle w:val="Hyperlink"/>
                <w:noProof/>
              </w:rPr>
              <w:t>Overview of the document</w:t>
            </w:r>
            <w:r w:rsidR="002B17D0">
              <w:rPr>
                <w:noProof/>
                <w:webHidden/>
              </w:rPr>
              <w:tab/>
            </w:r>
            <w:r w:rsidR="002B17D0">
              <w:rPr>
                <w:noProof/>
                <w:webHidden/>
              </w:rPr>
              <w:fldChar w:fldCharType="begin"/>
            </w:r>
            <w:r w:rsidR="002B17D0">
              <w:rPr>
                <w:noProof/>
                <w:webHidden/>
              </w:rPr>
              <w:instrText xml:space="preserve"> PAGEREF _Toc459276888 \h </w:instrText>
            </w:r>
            <w:r w:rsidR="002B17D0">
              <w:rPr>
                <w:noProof/>
                <w:webHidden/>
              </w:rPr>
            </w:r>
            <w:r w:rsidR="002B17D0">
              <w:rPr>
                <w:noProof/>
                <w:webHidden/>
              </w:rPr>
              <w:fldChar w:fldCharType="separate"/>
            </w:r>
            <w:r w:rsidR="0040088F">
              <w:rPr>
                <w:noProof/>
                <w:webHidden/>
              </w:rPr>
              <w:t>8</w:t>
            </w:r>
            <w:r w:rsidR="002B17D0">
              <w:rPr>
                <w:noProof/>
                <w:webHidden/>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889" w:history="1">
            <w:r w:rsidR="002B17D0" w:rsidRPr="00D30F19">
              <w:rPr>
                <w:rStyle w:val="Hyperlink"/>
                <w:rFonts w:cstheme="minorHAnsi"/>
                <w:b/>
                <w:noProof/>
              </w:rPr>
              <w:t>2.</w:t>
            </w:r>
            <w:r w:rsidR="002B17D0" w:rsidRPr="00D30F19">
              <w:rPr>
                <w:b/>
                <w:noProof/>
                <w:lang w:eastAsia="en-AU"/>
              </w:rPr>
              <w:tab/>
            </w:r>
            <w:r w:rsidR="002B17D0" w:rsidRPr="00D30F19">
              <w:rPr>
                <w:rStyle w:val="Hyperlink"/>
                <w:rFonts w:cstheme="minorHAnsi"/>
                <w:b/>
                <w:noProof/>
              </w:rPr>
              <w:t>Background</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_Toc459276889 \h </w:instrText>
            </w:r>
            <w:r w:rsidR="002B17D0" w:rsidRPr="00D30F19">
              <w:rPr>
                <w:b/>
                <w:noProof/>
                <w:webHidden/>
              </w:rPr>
            </w:r>
            <w:r w:rsidR="002B17D0" w:rsidRPr="00D30F19">
              <w:rPr>
                <w:b/>
                <w:noProof/>
                <w:webHidden/>
              </w:rPr>
              <w:fldChar w:fldCharType="separate"/>
            </w:r>
            <w:r w:rsidR="0040088F">
              <w:rPr>
                <w:b/>
                <w:noProof/>
                <w:webHidden/>
              </w:rPr>
              <w:t>10</w:t>
            </w:r>
            <w:r w:rsidR="002B17D0" w:rsidRPr="00D30F19">
              <w:rPr>
                <w:b/>
                <w:noProof/>
                <w:webHidden/>
              </w:rPr>
              <w:fldChar w:fldCharType="end"/>
            </w:r>
          </w:hyperlink>
        </w:p>
        <w:p w:rsidR="002B17D0" w:rsidRDefault="00CB69C0" w:rsidP="00D30F19">
          <w:pPr>
            <w:pStyle w:val="TOC2"/>
            <w:rPr>
              <w:noProof/>
              <w:lang w:eastAsia="en-AU"/>
            </w:rPr>
          </w:pPr>
          <w:hyperlink w:anchor="_Toc459276890" w:history="1">
            <w:r w:rsidR="002B17D0" w:rsidRPr="004C3D73">
              <w:rPr>
                <w:rStyle w:val="Hyperlink"/>
                <w:noProof/>
              </w:rPr>
              <w:t>2.1.</w:t>
            </w:r>
            <w:r w:rsidR="002B17D0">
              <w:rPr>
                <w:noProof/>
                <w:lang w:eastAsia="en-AU"/>
              </w:rPr>
              <w:tab/>
            </w:r>
            <w:r w:rsidR="002B17D0" w:rsidRPr="004C3D73">
              <w:rPr>
                <w:rStyle w:val="Hyperlink"/>
                <w:noProof/>
              </w:rPr>
              <w:t>What is lead and how is it used?</w:t>
            </w:r>
            <w:r w:rsidR="002B17D0">
              <w:rPr>
                <w:noProof/>
                <w:webHidden/>
              </w:rPr>
              <w:tab/>
            </w:r>
            <w:r w:rsidR="002B17D0">
              <w:rPr>
                <w:noProof/>
                <w:webHidden/>
              </w:rPr>
              <w:fldChar w:fldCharType="begin"/>
            </w:r>
            <w:r w:rsidR="002B17D0">
              <w:rPr>
                <w:noProof/>
                <w:webHidden/>
              </w:rPr>
              <w:instrText xml:space="preserve"> PAGEREF _Toc459276890 \h </w:instrText>
            </w:r>
            <w:r w:rsidR="002B17D0">
              <w:rPr>
                <w:noProof/>
                <w:webHidden/>
              </w:rPr>
            </w:r>
            <w:r w:rsidR="002B17D0">
              <w:rPr>
                <w:noProof/>
                <w:webHidden/>
              </w:rPr>
              <w:fldChar w:fldCharType="separate"/>
            </w:r>
            <w:r w:rsidR="0040088F">
              <w:rPr>
                <w:noProof/>
                <w:webHidden/>
              </w:rPr>
              <w:t>10</w:t>
            </w:r>
            <w:r w:rsidR="002B17D0">
              <w:rPr>
                <w:noProof/>
                <w:webHidden/>
              </w:rPr>
              <w:fldChar w:fldCharType="end"/>
            </w:r>
          </w:hyperlink>
        </w:p>
        <w:p w:rsidR="002B17D0" w:rsidRDefault="00CB69C0" w:rsidP="00D30F19">
          <w:pPr>
            <w:pStyle w:val="TOC2"/>
            <w:rPr>
              <w:noProof/>
              <w:lang w:eastAsia="en-AU"/>
            </w:rPr>
          </w:pPr>
          <w:hyperlink w:anchor="_Toc459276891" w:history="1">
            <w:r w:rsidR="002B17D0" w:rsidRPr="004C3D73">
              <w:rPr>
                <w:rStyle w:val="Hyperlink"/>
                <w:noProof/>
              </w:rPr>
              <w:t>2.2.</w:t>
            </w:r>
            <w:r w:rsidR="002B17D0">
              <w:rPr>
                <w:noProof/>
                <w:lang w:eastAsia="en-AU"/>
              </w:rPr>
              <w:tab/>
            </w:r>
            <w:r w:rsidR="002B17D0" w:rsidRPr="004C3D73">
              <w:rPr>
                <w:rStyle w:val="Hyperlink"/>
                <w:noProof/>
              </w:rPr>
              <w:t>The adverse health effects of lead</w:t>
            </w:r>
            <w:r w:rsidR="002B17D0">
              <w:rPr>
                <w:noProof/>
                <w:webHidden/>
              </w:rPr>
              <w:tab/>
            </w:r>
            <w:r w:rsidR="002B17D0">
              <w:rPr>
                <w:noProof/>
                <w:webHidden/>
              </w:rPr>
              <w:fldChar w:fldCharType="begin"/>
            </w:r>
            <w:r w:rsidR="002B17D0">
              <w:rPr>
                <w:noProof/>
                <w:webHidden/>
              </w:rPr>
              <w:instrText xml:space="preserve"> PAGEREF _Toc459276891 \h </w:instrText>
            </w:r>
            <w:r w:rsidR="002B17D0">
              <w:rPr>
                <w:noProof/>
                <w:webHidden/>
              </w:rPr>
            </w:r>
            <w:r w:rsidR="002B17D0">
              <w:rPr>
                <w:noProof/>
                <w:webHidden/>
              </w:rPr>
              <w:fldChar w:fldCharType="separate"/>
            </w:r>
            <w:r w:rsidR="0040088F">
              <w:rPr>
                <w:noProof/>
                <w:webHidden/>
              </w:rPr>
              <w:t>10</w:t>
            </w:r>
            <w:r w:rsidR="002B17D0">
              <w:rPr>
                <w:noProof/>
                <w:webHidden/>
              </w:rPr>
              <w:fldChar w:fldCharType="end"/>
            </w:r>
          </w:hyperlink>
        </w:p>
        <w:p w:rsidR="002B17D0" w:rsidRDefault="00CB69C0" w:rsidP="00D30F19">
          <w:pPr>
            <w:pStyle w:val="TOC2"/>
            <w:rPr>
              <w:noProof/>
              <w:lang w:eastAsia="en-AU"/>
            </w:rPr>
          </w:pPr>
          <w:hyperlink w:anchor="_Toc459276892" w:history="1">
            <w:r w:rsidR="002B17D0" w:rsidRPr="004C3D73">
              <w:rPr>
                <w:rStyle w:val="Hyperlink"/>
                <w:noProof/>
              </w:rPr>
              <w:t>2.3.</w:t>
            </w:r>
            <w:r w:rsidR="002B17D0">
              <w:rPr>
                <w:noProof/>
                <w:lang w:eastAsia="en-AU"/>
              </w:rPr>
              <w:tab/>
            </w:r>
            <w:r w:rsidR="002B17D0" w:rsidRPr="004C3D73">
              <w:rPr>
                <w:rStyle w:val="Hyperlink"/>
                <w:noProof/>
              </w:rPr>
              <w:t>Lead exposure in the workplace</w:t>
            </w:r>
            <w:r w:rsidR="002B17D0">
              <w:rPr>
                <w:noProof/>
                <w:webHidden/>
              </w:rPr>
              <w:tab/>
            </w:r>
            <w:r w:rsidR="002B17D0">
              <w:rPr>
                <w:noProof/>
                <w:webHidden/>
              </w:rPr>
              <w:fldChar w:fldCharType="begin"/>
            </w:r>
            <w:r w:rsidR="002B17D0">
              <w:rPr>
                <w:noProof/>
                <w:webHidden/>
              </w:rPr>
              <w:instrText xml:space="preserve"> PAGEREF _Toc459276892 \h </w:instrText>
            </w:r>
            <w:r w:rsidR="002B17D0">
              <w:rPr>
                <w:noProof/>
                <w:webHidden/>
              </w:rPr>
            </w:r>
            <w:r w:rsidR="002B17D0">
              <w:rPr>
                <w:noProof/>
                <w:webHidden/>
              </w:rPr>
              <w:fldChar w:fldCharType="separate"/>
            </w:r>
            <w:r w:rsidR="0040088F">
              <w:rPr>
                <w:noProof/>
                <w:webHidden/>
              </w:rPr>
              <w:t>10</w:t>
            </w:r>
            <w:r w:rsidR="002B17D0">
              <w:rPr>
                <w:noProof/>
                <w:webHidden/>
              </w:rPr>
              <w:fldChar w:fldCharType="end"/>
            </w:r>
          </w:hyperlink>
        </w:p>
        <w:p w:rsidR="002B17D0" w:rsidRDefault="00CB69C0" w:rsidP="00D30F19">
          <w:pPr>
            <w:pStyle w:val="TOC2"/>
            <w:rPr>
              <w:noProof/>
              <w:lang w:eastAsia="en-AU"/>
            </w:rPr>
          </w:pPr>
          <w:hyperlink w:anchor="_Toc459276893" w:history="1">
            <w:r w:rsidR="002B17D0" w:rsidRPr="004C3D73">
              <w:rPr>
                <w:rStyle w:val="Hyperlink"/>
                <w:noProof/>
              </w:rPr>
              <w:t>2.4.</w:t>
            </w:r>
            <w:r w:rsidR="002B17D0">
              <w:rPr>
                <w:noProof/>
                <w:lang w:eastAsia="en-AU"/>
              </w:rPr>
              <w:tab/>
            </w:r>
            <w:r w:rsidR="002B17D0" w:rsidRPr="004C3D73">
              <w:rPr>
                <w:rStyle w:val="Hyperlink"/>
                <w:noProof/>
              </w:rPr>
              <w:t>How is workplace lead exposure measured?</w:t>
            </w:r>
            <w:r w:rsidR="002B17D0">
              <w:rPr>
                <w:noProof/>
                <w:webHidden/>
              </w:rPr>
              <w:tab/>
            </w:r>
            <w:r w:rsidR="002B17D0">
              <w:rPr>
                <w:noProof/>
                <w:webHidden/>
              </w:rPr>
              <w:fldChar w:fldCharType="begin"/>
            </w:r>
            <w:r w:rsidR="002B17D0">
              <w:rPr>
                <w:noProof/>
                <w:webHidden/>
              </w:rPr>
              <w:instrText xml:space="preserve"> PAGEREF _Toc459276893 \h </w:instrText>
            </w:r>
            <w:r w:rsidR="002B17D0">
              <w:rPr>
                <w:noProof/>
                <w:webHidden/>
              </w:rPr>
            </w:r>
            <w:r w:rsidR="002B17D0">
              <w:rPr>
                <w:noProof/>
                <w:webHidden/>
              </w:rPr>
              <w:fldChar w:fldCharType="separate"/>
            </w:r>
            <w:r w:rsidR="0040088F">
              <w:rPr>
                <w:noProof/>
                <w:webHidden/>
              </w:rPr>
              <w:t>11</w:t>
            </w:r>
            <w:r w:rsidR="002B17D0">
              <w:rPr>
                <w:noProof/>
                <w:webHidden/>
              </w:rPr>
              <w:fldChar w:fldCharType="end"/>
            </w:r>
          </w:hyperlink>
        </w:p>
        <w:p w:rsidR="002B17D0" w:rsidRDefault="00CB69C0" w:rsidP="00D30F19">
          <w:pPr>
            <w:pStyle w:val="TOC2"/>
            <w:rPr>
              <w:noProof/>
              <w:lang w:eastAsia="en-AU"/>
            </w:rPr>
          </w:pPr>
          <w:hyperlink w:anchor="_Toc459276894" w:history="1">
            <w:r w:rsidR="002B17D0" w:rsidRPr="004C3D73">
              <w:rPr>
                <w:rStyle w:val="Hyperlink"/>
                <w:noProof/>
              </w:rPr>
              <w:t>2.5.</w:t>
            </w:r>
            <w:r w:rsidR="002B17D0">
              <w:rPr>
                <w:noProof/>
                <w:lang w:eastAsia="en-AU"/>
              </w:rPr>
              <w:tab/>
            </w:r>
            <w:r w:rsidR="002B17D0" w:rsidRPr="004C3D73">
              <w:rPr>
                <w:rStyle w:val="Hyperlink"/>
                <w:noProof/>
              </w:rPr>
              <w:t>Work Health and Safety legislative requirements</w:t>
            </w:r>
            <w:r w:rsidR="002B17D0">
              <w:rPr>
                <w:noProof/>
                <w:webHidden/>
              </w:rPr>
              <w:tab/>
            </w:r>
            <w:r w:rsidR="002B17D0">
              <w:rPr>
                <w:noProof/>
                <w:webHidden/>
              </w:rPr>
              <w:fldChar w:fldCharType="begin"/>
            </w:r>
            <w:r w:rsidR="002B17D0">
              <w:rPr>
                <w:noProof/>
                <w:webHidden/>
              </w:rPr>
              <w:instrText xml:space="preserve"> PAGEREF _Toc459276894 \h </w:instrText>
            </w:r>
            <w:r w:rsidR="002B17D0">
              <w:rPr>
                <w:noProof/>
                <w:webHidden/>
              </w:rPr>
            </w:r>
            <w:r w:rsidR="002B17D0">
              <w:rPr>
                <w:noProof/>
                <w:webHidden/>
              </w:rPr>
              <w:fldChar w:fldCharType="separate"/>
            </w:r>
            <w:r w:rsidR="0040088F">
              <w:rPr>
                <w:noProof/>
                <w:webHidden/>
              </w:rPr>
              <w:t>11</w:t>
            </w:r>
            <w:r w:rsidR="002B17D0">
              <w:rPr>
                <w:noProof/>
                <w:webHidden/>
              </w:rPr>
              <w:fldChar w:fldCharType="end"/>
            </w:r>
          </w:hyperlink>
        </w:p>
        <w:p w:rsidR="002B17D0" w:rsidRDefault="00CB69C0" w:rsidP="00D30F19">
          <w:pPr>
            <w:pStyle w:val="TOC2"/>
            <w:rPr>
              <w:noProof/>
              <w:lang w:eastAsia="en-AU"/>
            </w:rPr>
          </w:pPr>
          <w:hyperlink w:anchor="_Toc459276895" w:history="1">
            <w:r w:rsidR="002B17D0" w:rsidRPr="004C3D73">
              <w:rPr>
                <w:rStyle w:val="Hyperlink"/>
                <w:noProof/>
              </w:rPr>
              <w:t>2.6.</w:t>
            </w:r>
            <w:r w:rsidR="002B17D0">
              <w:rPr>
                <w:noProof/>
                <w:lang w:eastAsia="en-AU"/>
              </w:rPr>
              <w:tab/>
            </w:r>
            <w:r w:rsidR="002B17D0" w:rsidRPr="004C3D73">
              <w:rPr>
                <w:rStyle w:val="Hyperlink"/>
                <w:noProof/>
              </w:rPr>
              <w:t>Biological monitoring of blood lead levels</w:t>
            </w:r>
            <w:r w:rsidR="002B17D0">
              <w:rPr>
                <w:noProof/>
                <w:webHidden/>
              </w:rPr>
              <w:tab/>
            </w:r>
            <w:r w:rsidR="002B17D0">
              <w:rPr>
                <w:noProof/>
                <w:webHidden/>
              </w:rPr>
              <w:fldChar w:fldCharType="begin"/>
            </w:r>
            <w:r w:rsidR="002B17D0">
              <w:rPr>
                <w:noProof/>
                <w:webHidden/>
              </w:rPr>
              <w:instrText xml:space="preserve"> PAGEREF _Toc459276895 \h </w:instrText>
            </w:r>
            <w:r w:rsidR="002B17D0">
              <w:rPr>
                <w:noProof/>
                <w:webHidden/>
              </w:rPr>
            </w:r>
            <w:r w:rsidR="002B17D0">
              <w:rPr>
                <w:noProof/>
                <w:webHidden/>
              </w:rPr>
              <w:fldChar w:fldCharType="separate"/>
            </w:r>
            <w:r w:rsidR="0040088F">
              <w:rPr>
                <w:noProof/>
                <w:webHidden/>
              </w:rPr>
              <w:t>12</w:t>
            </w:r>
            <w:r w:rsidR="002B17D0">
              <w:rPr>
                <w:noProof/>
                <w:webHidden/>
              </w:rPr>
              <w:fldChar w:fldCharType="end"/>
            </w:r>
          </w:hyperlink>
        </w:p>
        <w:p w:rsidR="002B17D0" w:rsidRDefault="00CB69C0" w:rsidP="00D30F19">
          <w:pPr>
            <w:pStyle w:val="TOC2"/>
            <w:rPr>
              <w:noProof/>
              <w:lang w:eastAsia="en-AU"/>
            </w:rPr>
          </w:pPr>
          <w:hyperlink w:anchor="_Toc459276896" w:history="1">
            <w:r w:rsidR="002B17D0" w:rsidRPr="004C3D73">
              <w:rPr>
                <w:rStyle w:val="Hyperlink"/>
                <w:noProof/>
              </w:rPr>
              <w:t>2.7.</w:t>
            </w:r>
            <w:r w:rsidR="002B17D0">
              <w:rPr>
                <w:noProof/>
                <w:lang w:eastAsia="en-AU"/>
              </w:rPr>
              <w:tab/>
            </w:r>
            <w:r w:rsidR="002B17D0" w:rsidRPr="004C3D73">
              <w:rPr>
                <w:rStyle w:val="Hyperlink"/>
                <w:noProof/>
              </w:rPr>
              <w:t xml:space="preserve">Air monitoring in the workplace: workplace exposure standard for dusts and fumes of </w:t>
            </w:r>
            <w:r w:rsidR="00D30F19">
              <w:rPr>
                <w:rStyle w:val="Hyperlink"/>
                <w:noProof/>
              </w:rPr>
              <w:tab/>
            </w:r>
            <w:r w:rsidR="002B17D0" w:rsidRPr="004C3D73">
              <w:rPr>
                <w:rStyle w:val="Hyperlink"/>
                <w:noProof/>
              </w:rPr>
              <w:t>inorganic lead</w:t>
            </w:r>
            <w:r w:rsidR="002B17D0">
              <w:rPr>
                <w:noProof/>
                <w:webHidden/>
              </w:rPr>
              <w:tab/>
            </w:r>
            <w:r w:rsidR="002B17D0">
              <w:rPr>
                <w:noProof/>
                <w:webHidden/>
              </w:rPr>
              <w:fldChar w:fldCharType="begin"/>
            </w:r>
            <w:r w:rsidR="002B17D0">
              <w:rPr>
                <w:noProof/>
                <w:webHidden/>
              </w:rPr>
              <w:instrText xml:space="preserve"> PAGEREF _Toc459276896 \h </w:instrText>
            </w:r>
            <w:r w:rsidR="002B17D0">
              <w:rPr>
                <w:noProof/>
                <w:webHidden/>
              </w:rPr>
            </w:r>
            <w:r w:rsidR="002B17D0">
              <w:rPr>
                <w:noProof/>
                <w:webHidden/>
              </w:rPr>
              <w:fldChar w:fldCharType="separate"/>
            </w:r>
            <w:r w:rsidR="0040088F">
              <w:rPr>
                <w:noProof/>
                <w:webHidden/>
              </w:rPr>
              <w:t>13</w:t>
            </w:r>
            <w:r w:rsidR="002B17D0">
              <w:rPr>
                <w:noProof/>
                <w:webHidden/>
              </w:rPr>
              <w:fldChar w:fldCharType="end"/>
            </w:r>
          </w:hyperlink>
        </w:p>
        <w:p w:rsidR="002B17D0" w:rsidRDefault="00CB69C0" w:rsidP="00D30F19">
          <w:pPr>
            <w:pStyle w:val="TOC2"/>
            <w:rPr>
              <w:noProof/>
              <w:lang w:eastAsia="en-AU"/>
            </w:rPr>
          </w:pPr>
          <w:hyperlink w:anchor="_Toc459276897" w:history="1">
            <w:r w:rsidR="002B17D0" w:rsidRPr="004C3D73">
              <w:rPr>
                <w:rStyle w:val="Hyperlink"/>
                <w:noProof/>
              </w:rPr>
              <w:t>2.8.</w:t>
            </w:r>
            <w:r w:rsidR="002B17D0">
              <w:rPr>
                <w:noProof/>
                <w:lang w:eastAsia="en-AU"/>
              </w:rPr>
              <w:tab/>
            </w:r>
            <w:r w:rsidR="002B17D0" w:rsidRPr="004C3D73">
              <w:rPr>
                <w:rStyle w:val="Hyperlink"/>
                <w:noProof/>
              </w:rPr>
              <w:t>Mandatory notifications</w:t>
            </w:r>
            <w:r w:rsidR="002B17D0">
              <w:rPr>
                <w:noProof/>
                <w:webHidden/>
              </w:rPr>
              <w:tab/>
            </w:r>
            <w:r w:rsidR="002B17D0">
              <w:rPr>
                <w:noProof/>
                <w:webHidden/>
              </w:rPr>
              <w:fldChar w:fldCharType="begin"/>
            </w:r>
            <w:r w:rsidR="002B17D0">
              <w:rPr>
                <w:noProof/>
                <w:webHidden/>
              </w:rPr>
              <w:instrText xml:space="preserve"> PAGEREF _Toc459276897 \h </w:instrText>
            </w:r>
            <w:r w:rsidR="002B17D0">
              <w:rPr>
                <w:noProof/>
                <w:webHidden/>
              </w:rPr>
            </w:r>
            <w:r w:rsidR="002B17D0">
              <w:rPr>
                <w:noProof/>
                <w:webHidden/>
              </w:rPr>
              <w:fldChar w:fldCharType="separate"/>
            </w:r>
            <w:r w:rsidR="0040088F">
              <w:rPr>
                <w:noProof/>
                <w:webHidden/>
              </w:rPr>
              <w:t>13</w:t>
            </w:r>
            <w:r w:rsidR="002B17D0">
              <w:rPr>
                <w:noProof/>
                <w:webHidden/>
              </w:rPr>
              <w:fldChar w:fldCharType="end"/>
            </w:r>
          </w:hyperlink>
        </w:p>
        <w:p w:rsidR="002B17D0" w:rsidRDefault="00CB69C0" w:rsidP="00D30F19">
          <w:pPr>
            <w:pStyle w:val="TOC2"/>
            <w:rPr>
              <w:noProof/>
              <w:lang w:eastAsia="en-AU"/>
            </w:rPr>
          </w:pPr>
          <w:hyperlink w:anchor="_Toc459276898" w:history="1">
            <w:r w:rsidR="002B17D0" w:rsidRPr="004C3D73">
              <w:rPr>
                <w:rStyle w:val="Hyperlink"/>
                <w:noProof/>
              </w:rPr>
              <w:t>2.9.</w:t>
            </w:r>
            <w:r w:rsidR="002B17D0">
              <w:rPr>
                <w:noProof/>
                <w:lang w:eastAsia="en-AU"/>
              </w:rPr>
              <w:tab/>
            </w:r>
            <w:r w:rsidR="002B17D0" w:rsidRPr="004C3D73">
              <w:rPr>
                <w:rStyle w:val="Hyperlink"/>
                <w:noProof/>
              </w:rPr>
              <w:t>Jurisdictional differences</w:t>
            </w:r>
            <w:r w:rsidR="002B17D0">
              <w:rPr>
                <w:noProof/>
                <w:webHidden/>
              </w:rPr>
              <w:tab/>
            </w:r>
            <w:r w:rsidR="002B17D0">
              <w:rPr>
                <w:noProof/>
                <w:webHidden/>
              </w:rPr>
              <w:fldChar w:fldCharType="begin"/>
            </w:r>
            <w:r w:rsidR="002B17D0">
              <w:rPr>
                <w:noProof/>
                <w:webHidden/>
              </w:rPr>
              <w:instrText xml:space="preserve"> PAGEREF _Toc459276898 \h </w:instrText>
            </w:r>
            <w:r w:rsidR="002B17D0">
              <w:rPr>
                <w:noProof/>
                <w:webHidden/>
              </w:rPr>
            </w:r>
            <w:r w:rsidR="002B17D0">
              <w:rPr>
                <w:noProof/>
                <w:webHidden/>
              </w:rPr>
              <w:fldChar w:fldCharType="separate"/>
            </w:r>
            <w:r w:rsidR="0040088F">
              <w:rPr>
                <w:noProof/>
                <w:webHidden/>
              </w:rPr>
              <w:t>13</w:t>
            </w:r>
            <w:r w:rsidR="002B17D0">
              <w:rPr>
                <w:noProof/>
                <w:webHidden/>
              </w:rPr>
              <w:fldChar w:fldCharType="end"/>
            </w:r>
          </w:hyperlink>
        </w:p>
        <w:p w:rsidR="002B17D0" w:rsidRDefault="00CB69C0" w:rsidP="00D30F19">
          <w:pPr>
            <w:pStyle w:val="TOC2"/>
            <w:rPr>
              <w:noProof/>
              <w:lang w:eastAsia="en-AU"/>
            </w:rPr>
          </w:pPr>
          <w:hyperlink w:anchor="_Toc459276899" w:history="1">
            <w:r w:rsidR="002B17D0" w:rsidRPr="004C3D73">
              <w:rPr>
                <w:rStyle w:val="Hyperlink"/>
                <w:noProof/>
              </w:rPr>
              <w:t>2.10.</w:t>
            </w:r>
            <w:r w:rsidR="002B17D0">
              <w:rPr>
                <w:noProof/>
                <w:lang w:eastAsia="en-AU"/>
              </w:rPr>
              <w:tab/>
            </w:r>
            <w:r w:rsidR="002B17D0" w:rsidRPr="004C3D73">
              <w:rPr>
                <w:rStyle w:val="Hyperlink"/>
                <w:noProof/>
              </w:rPr>
              <w:t>International standards</w:t>
            </w:r>
            <w:r w:rsidR="002B17D0">
              <w:rPr>
                <w:noProof/>
                <w:webHidden/>
              </w:rPr>
              <w:tab/>
            </w:r>
            <w:r w:rsidR="002B17D0">
              <w:rPr>
                <w:noProof/>
                <w:webHidden/>
              </w:rPr>
              <w:fldChar w:fldCharType="begin"/>
            </w:r>
            <w:r w:rsidR="002B17D0">
              <w:rPr>
                <w:noProof/>
                <w:webHidden/>
              </w:rPr>
              <w:instrText xml:space="preserve"> PAGEREF _Toc459276899 \h </w:instrText>
            </w:r>
            <w:r w:rsidR="002B17D0">
              <w:rPr>
                <w:noProof/>
                <w:webHidden/>
              </w:rPr>
            </w:r>
            <w:r w:rsidR="002B17D0">
              <w:rPr>
                <w:noProof/>
                <w:webHidden/>
              </w:rPr>
              <w:fldChar w:fldCharType="separate"/>
            </w:r>
            <w:r w:rsidR="0040088F">
              <w:rPr>
                <w:noProof/>
                <w:webHidden/>
              </w:rPr>
              <w:t>13</w:t>
            </w:r>
            <w:r w:rsidR="002B17D0">
              <w:rPr>
                <w:noProof/>
                <w:webHidden/>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900" w:history="1">
            <w:r w:rsidR="002B17D0" w:rsidRPr="00D30F19">
              <w:rPr>
                <w:rStyle w:val="Hyperlink"/>
                <w:rFonts w:cstheme="minorHAnsi"/>
                <w:b/>
                <w:noProof/>
              </w:rPr>
              <w:t>3.</w:t>
            </w:r>
            <w:r w:rsidR="002B17D0" w:rsidRPr="00D30F19">
              <w:rPr>
                <w:b/>
                <w:noProof/>
                <w:lang w:eastAsia="en-AU"/>
              </w:rPr>
              <w:tab/>
            </w:r>
            <w:r w:rsidR="002B17D0" w:rsidRPr="00D30F19">
              <w:rPr>
                <w:rStyle w:val="Hyperlink"/>
                <w:rFonts w:cstheme="minorHAnsi"/>
                <w:b/>
                <w:noProof/>
              </w:rPr>
              <w:t>Statement of the problem</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_Toc459276900 \h </w:instrText>
            </w:r>
            <w:r w:rsidR="002B17D0" w:rsidRPr="00D30F19">
              <w:rPr>
                <w:b/>
                <w:noProof/>
                <w:webHidden/>
              </w:rPr>
            </w:r>
            <w:r w:rsidR="002B17D0" w:rsidRPr="00D30F19">
              <w:rPr>
                <w:b/>
                <w:noProof/>
                <w:webHidden/>
              </w:rPr>
              <w:fldChar w:fldCharType="separate"/>
            </w:r>
            <w:r w:rsidR="0040088F">
              <w:rPr>
                <w:b/>
                <w:noProof/>
                <w:webHidden/>
              </w:rPr>
              <w:t>16</w:t>
            </w:r>
            <w:r w:rsidR="002B17D0" w:rsidRPr="00D30F19">
              <w:rPr>
                <w:b/>
                <w:noProof/>
                <w:webHidden/>
              </w:rPr>
              <w:fldChar w:fldCharType="end"/>
            </w:r>
          </w:hyperlink>
        </w:p>
        <w:p w:rsidR="002B17D0" w:rsidRDefault="00CB69C0" w:rsidP="00D30F19">
          <w:pPr>
            <w:pStyle w:val="TOC2"/>
            <w:rPr>
              <w:noProof/>
              <w:lang w:eastAsia="en-AU"/>
            </w:rPr>
          </w:pPr>
          <w:hyperlink w:anchor="_Toc459276901" w:history="1">
            <w:r w:rsidR="002B17D0" w:rsidRPr="004C3D73">
              <w:rPr>
                <w:rStyle w:val="Hyperlink"/>
                <w:noProof/>
              </w:rPr>
              <w:t>3.1.</w:t>
            </w:r>
            <w:r w:rsidR="002B17D0">
              <w:rPr>
                <w:noProof/>
                <w:lang w:eastAsia="en-AU"/>
              </w:rPr>
              <w:tab/>
            </w:r>
            <w:r w:rsidR="002B17D0" w:rsidRPr="004C3D73">
              <w:rPr>
                <w:rStyle w:val="Hyperlink"/>
                <w:noProof/>
              </w:rPr>
              <w:t>Toxicological and epidemiological evidence</w:t>
            </w:r>
            <w:r w:rsidR="002B17D0">
              <w:rPr>
                <w:noProof/>
                <w:webHidden/>
              </w:rPr>
              <w:tab/>
            </w:r>
            <w:r w:rsidR="002B17D0">
              <w:rPr>
                <w:noProof/>
                <w:webHidden/>
              </w:rPr>
              <w:fldChar w:fldCharType="begin"/>
            </w:r>
            <w:r w:rsidR="002B17D0">
              <w:rPr>
                <w:noProof/>
                <w:webHidden/>
              </w:rPr>
              <w:instrText xml:space="preserve"> PAGEREF _Toc459276901 \h </w:instrText>
            </w:r>
            <w:r w:rsidR="002B17D0">
              <w:rPr>
                <w:noProof/>
                <w:webHidden/>
              </w:rPr>
            </w:r>
            <w:r w:rsidR="002B17D0">
              <w:rPr>
                <w:noProof/>
                <w:webHidden/>
              </w:rPr>
              <w:fldChar w:fldCharType="separate"/>
            </w:r>
            <w:r w:rsidR="0040088F">
              <w:rPr>
                <w:noProof/>
                <w:webHidden/>
              </w:rPr>
              <w:t>16</w:t>
            </w:r>
            <w:r w:rsidR="002B17D0">
              <w:rPr>
                <w:noProof/>
                <w:webHidden/>
              </w:rPr>
              <w:fldChar w:fldCharType="end"/>
            </w:r>
          </w:hyperlink>
        </w:p>
        <w:p w:rsidR="002B17D0" w:rsidRDefault="00CB69C0" w:rsidP="00D30F19">
          <w:pPr>
            <w:pStyle w:val="TOC2"/>
            <w:rPr>
              <w:noProof/>
              <w:lang w:eastAsia="en-AU"/>
            </w:rPr>
          </w:pPr>
          <w:hyperlink w:anchor="_Toc459276902" w:history="1">
            <w:r w:rsidR="002B17D0" w:rsidRPr="004C3D73">
              <w:rPr>
                <w:rStyle w:val="Hyperlink"/>
                <w:noProof/>
              </w:rPr>
              <w:t>3.2.</w:t>
            </w:r>
            <w:r w:rsidR="002B17D0">
              <w:rPr>
                <w:noProof/>
                <w:lang w:eastAsia="en-AU"/>
              </w:rPr>
              <w:tab/>
            </w:r>
            <w:r w:rsidR="002B17D0" w:rsidRPr="004C3D73">
              <w:rPr>
                <w:rStyle w:val="Hyperlink"/>
                <w:noProof/>
              </w:rPr>
              <w:t>Evidence of adverse health effects from exposure to lead at the workplace</w:t>
            </w:r>
            <w:r w:rsidR="002B17D0">
              <w:rPr>
                <w:noProof/>
                <w:webHidden/>
              </w:rPr>
              <w:tab/>
            </w:r>
            <w:r w:rsidR="002B17D0">
              <w:rPr>
                <w:noProof/>
                <w:webHidden/>
              </w:rPr>
              <w:fldChar w:fldCharType="begin"/>
            </w:r>
            <w:r w:rsidR="002B17D0">
              <w:rPr>
                <w:noProof/>
                <w:webHidden/>
              </w:rPr>
              <w:instrText xml:space="preserve"> PAGEREF _Toc459276902 \h </w:instrText>
            </w:r>
            <w:r w:rsidR="002B17D0">
              <w:rPr>
                <w:noProof/>
                <w:webHidden/>
              </w:rPr>
            </w:r>
            <w:r w:rsidR="002B17D0">
              <w:rPr>
                <w:noProof/>
                <w:webHidden/>
              </w:rPr>
              <w:fldChar w:fldCharType="separate"/>
            </w:r>
            <w:r w:rsidR="0040088F">
              <w:rPr>
                <w:noProof/>
                <w:webHidden/>
              </w:rPr>
              <w:t>18</w:t>
            </w:r>
            <w:r w:rsidR="002B17D0">
              <w:rPr>
                <w:noProof/>
                <w:webHidden/>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903" w:history="1">
            <w:r w:rsidR="002B17D0" w:rsidRPr="00D30F19">
              <w:rPr>
                <w:rStyle w:val="Hyperlink"/>
                <w:rFonts w:cstheme="minorHAnsi"/>
                <w:b/>
                <w:noProof/>
              </w:rPr>
              <w:t>4.</w:t>
            </w:r>
            <w:r w:rsidR="002B17D0" w:rsidRPr="00D30F19">
              <w:rPr>
                <w:b/>
                <w:noProof/>
                <w:lang w:eastAsia="en-AU"/>
              </w:rPr>
              <w:tab/>
            </w:r>
            <w:r w:rsidR="002B17D0" w:rsidRPr="00D30F19">
              <w:rPr>
                <w:rStyle w:val="Hyperlink"/>
                <w:rFonts w:cstheme="minorHAnsi"/>
                <w:b/>
                <w:noProof/>
              </w:rPr>
              <w:t>Objectives of government action</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_Toc459276903 \h </w:instrText>
            </w:r>
            <w:r w:rsidR="002B17D0" w:rsidRPr="00D30F19">
              <w:rPr>
                <w:b/>
                <w:noProof/>
                <w:webHidden/>
              </w:rPr>
            </w:r>
            <w:r w:rsidR="002B17D0" w:rsidRPr="00D30F19">
              <w:rPr>
                <w:b/>
                <w:noProof/>
                <w:webHidden/>
              </w:rPr>
              <w:fldChar w:fldCharType="separate"/>
            </w:r>
            <w:r w:rsidR="0040088F">
              <w:rPr>
                <w:b/>
                <w:noProof/>
                <w:webHidden/>
              </w:rPr>
              <w:t>20</w:t>
            </w:r>
            <w:r w:rsidR="002B17D0" w:rsidRPr="00D30F19">
              <w:rPr>
                <w:b/>
                <w:noProof/>
                <w:webHidden/>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904" w:history="1">
            <w:r w:rsidR="002B17D0" w:rsidRPr="00D30F19">
              <w:rPr>
                <w:rStyle w:val="Hyperlink"/>
                <w:rFonts w:cstheme="minorHAnsi"/>
                <w:b/>
                <w:noProof/>
              </w:rPr>
              <w:t>5.</w:t>
            </w:r>
            <w:r w:rsidR="002B17D0" w:rsidRPr="00D30F19">
              <w:rPr>
                <w:b/>
                <w:noProof/>
                <w:lang w:eastAsia="en-AU"/>
              </w:rPr>
              <w:tab/>
            </w:r>
            <w:r w:rsidR="002B17D0" w:rsidRPr="00D30F19">
              <w:rPr>
                <w:rStyle w:val="Hyperlink"/>
                <w:rFonts w:cstheme="minorHAnsi"/>
                <w:b/>
                <w:noProof/>
              </w:rPr>
              <w:t>Consultation</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_Toc459276904 \h </w:instrText>
            </w:r>
            <w:r w:rsidR="002B17D0" w:rsidRPr="00D30F19">
              <w:rPr>
                <w:b/>
                <w:noProof/>
                <w:webHidden/>
              </w:rPr>
            </w:r>
            <w:r w:rsidR="002B17D0" w:rsidRPr="00D30F19">
              <w:rPr>
                <w:b/>
                <w:noProof/>
                <w:webHidden/>
              </w:rPr>
              <w:fldChar w:fldCharType="separate"/>
            </w:r>
            <w:r w:rsidR="0040088F">
              <w:rPr>
                <w:b/>
                <w:noProof/>
                <w:webHidden/>
              </w:rPr>
              <w:t>21</w:t>
            </w:r>
            <w:r w:rsidR="002B17D0" w:rsidRPr="00D30F19">
              <w:rPr>
                <w:b/>
                <w:noProof/>
                <w:webHidden/>
              </w:rPr>
              <w:fldChar w:fldCharType="end"/>
            </w:r>
          </w:hyperlink>
        </w:p>
        <w:p w:rsidR="002B17D0" w:rsidRDefault="00CB69C0" w:rsidP="00D30F19">
          <w:pPr>
            <w:pStyle w:val="TOC2"/>
            <w:rPr>
              <w:noProof/>
              <w:lang w:eastAsia="en-AU"/>
            </w:rPr>
          </w:pPr>
          <w:hyperlink w:anchor="_Toc459276905" w:history="1">
            <w:r w:rsidR="002B17D0" w:rsidRPr="004C3D73">
              <w:rPr>
                <w:rStyle w:val="Hyperlink"/>
                <w:noProof/>
              </w:rPr>
              <w:t>5.1.</w:t>
            </w:r>
            <w:r w:rsidR="002B17D0">
              <w:rPr>
                <w:noProof/>
                <w:lang w:eastAsia="en-AU"/>
              </w:rPr>
              <w:tab/>
            </w:r>
            <w:r w:rsidR="002B17D0" w:rsidRPr="004C3D73">
              <w:rPr>
                <w:rStyle w:val="Hyperlink"/>
                <w:noProof/>
              </w:rPr>
              <w:t>Objective of Consultation</w:t>
            </w:r>
            <w:r w:rsidR="002B17D0">
              <w:rPr>
                <w:noProof/>
                <w:webHidden/>
              </w:rPr>
              <w:tab/>
            </w:r>
            <w:r w:rsidR="002B17D0">
              <w:rPr>
                <w:noProof/>
                <w:webHidden/>
              </w:rPr>
              <w:fldChar w:fldCharType="begin"/>
            </w:r>
            <w:r w:rsidR="002B17D0">
              <w:rPr>
                <w:noProof/>
                <w:webHidden/>
              </w:rPr>
              <w:instrText xml:space="preserve"> PAGEREF _Toc459276905 \h </w:instrText>
            </w:r>
            <w:r w:rsidR="002B17D0">
              <w:rPr>
                <w:noProof/>
                <w:webHidden/>
              </w:rPr>
            </w:r>
            <w:r w:rsidR="002B17D0">
              <w:rPr>
                <w:noProof/>
                <w:webHidden/>
              </w:rPr>
              <w:fldChar w:fldCharType="separate"/>
            </w:r>
            <w:r w:rsidR="0040088F">
              <w:rPr>
                <w:noProof/>
                <w:webHidden/>
              </w:rPr>
              <w:t>21</w:t>
            </w:r>
            <w:r w:rsidR="002B17D0">
              <w:rPr>
                <w:noProof/>
                <w:webHidden/>
              </w:rPr>
              <w:fldChar w:fldCharType="end"/>
            </w:r>
          </w:hyperlink>
        </w:p>
        <w:p w:rsidR="002B17D0" w:rsidRDefault="00CB69C0" w:rsidP="00D30F19">
          <w:pPr>
            <w:pStyle w:val="TOC2"/>
            <w:rPr>
              <w:noProof/>
              <w:lang w:eastAsia="en-AU"/>
            </w:rPr>
          </w:pPr>
          <w:hyperlink w:anchor="_Toc459276906" w:history="1">
            <w:r w:rsidR="002B17D0" w:rsidRPr="004C3D73">
              <w:rPr>
                <w:rStyle w:val="Hyperlink"/>
                <w:noProof/>
              </w:rPr>
              <w:t>5.2.</w:t>
            </w:r>
            <w:r w:rsidR="002B17D0">
              <w:rPr>
                <w:noProof/>
                <w:lang w:eastAsia="en-AU"/>
              </w:rPr>
              <w:tab/>
            </w:r>
            <w:r w:rsidR="002B17D0" w:rsidRPr="004C3D73">
              <w:rPr>
                <w:rStyle w:val="Hyperlink"/>
                <w:noProof/>
              </w:rPr>
              <w:t>Consultation methods</w:t>
            </w:r>
            <w:r w:rsidR="002B17D0">
              <w:rPr>
                <w:noProof/>
                <w:webHidden/>
              </w:rPr>
              <w:tab/>
            </w:r>
            <w:r w:rsidR="002B17D0">
              <w:rPr>
                <w:noProof/>
                <w:webHidden/>
              </w:rPr>
              <w:fldChar w:fldCharType="begin"/>
            </w:r>
            <w:r w:rsidR="002B17D0">
              <w:rPr>
                <w:noProof/>
                <w:webHidden/>
              </w:rPr>
              <w:instrText xml:space="preserve"> PAGEREF _Toc459276906 \h </w:instrText>
            </w:r>
            <w:r w:rsidR="002B17D0">
              <w:rPr>
                <w:noProof/>
                <w:webHidden/>
              </w:rPr>
            </w:r>
            <w:r w:rsidR="002B17D0">
              <w:rPr>
                <w:noProof/>
                <w:webHidden/>
              </w:rPr>
              <w:fldChar w:fldCharType="separate"/>
            </w:r>
            <w:r w:rsidR="0040088F">
              <w:rPr>
                <w:noProof/>
                <w:webHidden/>
              </w:rPr>
              <w:t>21</w:t>
            </w:r>
            <w:r w:rsidR="002B17D0">
              <w:rPr>
                <w:noProof/>
                <w:webHidden/>
              </w:rPr>
              <w:fldChar w:fldCharType="end"/>
            </w:r>
          </w:hyperlink>
        </w:p>
        <w:p w:rsidR="002B17D0" w:rsidRDefault="00CB69C0" w:rsidP="00D30F19">
          <w:pPr>
            <w:pStyle w:val="TOC2"/>
            <w:rPr>
              <w:noProof/>
              <w:lang w:eastAsia="en-AU"/>
            </w:rPr>
          </w:pPr>
          <w:hyperlink w:anchor="_Toc459276907" w:history="1">
            <w:r w:rsidR="002B17D0" w:rsidRPr="004C3D73">
              <w:rPr>
                <w:rStyle w:val="Hyperlink"/>
                <w:noProof/>
              </w:rPr>
              <w:t>5.3.</w:t>
            </w:r>
            <w:r w:rsidR="002B17D0">
              <w:rPr>
                <w:noProof/>
                <w:lang w:eastAsia="en-AU"/>
              </w:rPr>
              <w:tab/>
            </w:r>
            <w:r w:rsidR="002B17D0" w:rsidRPr="004C3D73">
              <w:rPr>
                <w:rStyle w:val="Hyperlink"/>
                <w:noProof/>
              </w:rPr>
              <w:t>Submissions and targeted consultation</w:t>
            </w:r>
            <w:r w:rsidR="002B17D0">
              <w:rPr>
                <w:noProof/>
                <w:webHidden/>
              </w:rPr>
              <w:tab/>
            </w:r>
            <w:r w:rsidR="002B17D0">
              <w:rPr>
                <w:noProof/>
                <w:webHidden/>
              </w:rPr>
              <w:fldChar w:fldCharType="begin"/>
            </w:r>
            <w:r w:rsidR="002B17D0">
              <w:rPr>
                <w:noProof/>
                <w:webHidden/>
              </w:rPr>
              <w:instrText xml:space="preserve"> PAGEREF _Toc459276907 \h </w:instrText>
            </w:r>
            <w:r w:rsidR="002B17D0">
              <w:rPr>
                <w:noProof/>
                <w:webHidden/>
              </w:rPr>
            </w:r>
            <w:r w:rsidR="002B17D0">
              <w:rPr>
                <w:noProof/>
                <w:webHidden/>
              </w:rPr>
              <w:fldChar w:fldCharType="separate"/>
            </w:r>
            <w:r w:rsidR="0040088F">
              <w:rPr>
                <w:noProof/>
                <w:webHidden/>
              </w:rPr>
              <w:t>21</w:t>
            </w:r>
            <w:r w:rsidR="002B17D0">
              <w:rPr>
                <w:noProof/>
                <w:webHidden/>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908" w:history="1">
            <w:r w:rsidR="002B17D0" w:rsidRPr="00D30F19">
              <w:rPr>
                <w:rStyle w:val="Hyperlink"/>
                <w:rFonts w:cstheme="minorHAnsi"/>
                <w:b/>
                <w:noProof/>
              </w:rPr>
              <w:t>6.</w:t>
            </w:r>
            <w:r w:rsidR="002B17D0" w:rsidRPr="00D30F19">
              <w:rPr>
                <w:b/>
                <w:noProof/>
                <w:lang w:eastAsia="en-AU"/>
              </w:rPr>
              <w:tab/>
            </w:r>
            <w:r w:rsidR="002B17D0" w:rsidRPr="00D30F19">
              <w:rPr>
                <w:rStyle w:val="Hyperlink"/>
                <w:rFonts w:cstheme="minorHAnsi"/>
                <w:b/>
                <w:noProof/>
              </w:rPr>
              <w:t>Options and analysis</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_Toc459276908 \h </w:instrText>
            </w:r>
            <w:r w:rsidR="002B17D0" w:rsidRPr="00D30F19">
              <w:rPr>
                <w:b/>
                <w:noProof/>
                <w:webHidden/>
              </w:rPr>
            </w:r>
            <w:r w:rsidR="002B17D0" w:rsidRPr="00D30F19">
              <w:rPr>
                <w:b/>
                <w:noProof/>
                <w:webHidden/>
              </w:rPr>
              <w:fldChar w:fldCharType="separate"/>
            </w:r>
            <w:r w:rsidR="0040088F">
              <w:rPr>
                <w:b/>
                <w:noProof/>
                <w:webHidden/>
              </w:rPr>
              <w:t>23</w:t>
            </w:r>
            <w:r w:rsidR="002B17D0" w:rsidRPr="00D30F19">
              <w:rPr>
                <w:b/>
                <w:noProof/>
                <w:webHidden/>
              </w:rPr>
              <w:fldChar w:fldCharType="end"/>
            </w:r>
          </w:hyperlink>
        </w:p>
        <w:p w:rsidR="002B17D0" w:rsidRDefault="00CB69C0" w:rsidP="00D30F19">
          <w:pPr>
            <w:pStyle w:val="TOC2"/>
            <w:rPr>
              <w:noProof/>
              <w:lang w:eastAsia="en-AU"/>
            </w:rPr>
          </w:pPr>
          <w:hyperlink w:anchor="_Toc459276909" w:history="1">
            <w:r w:rsidR="002B17D0" w:rsidRPr="004C3D73">
              <w:rPr>
                <w:rStyle w:val="Hyperlink"/>
                <w:noProof/>
              </w:rPr>
              <w:t>6.1.</w:t>
            </w:r>
            <w:r w:rsidR="002B17D0">
              <w:rPr>
                <w:noProof/>
                <w:lang w:eastAsia="en-AU"/>
              </w:rPr>
              <w:tab/>
            </w:r>
            <w:r w:rsidR="002B17D0" w:rsidRPr="004C3D73">
              <w:rPr>
                <w:rStyle w:val="Hyperlink"/>
                <w:noProof/>
              </w:rPr>
              <w:t>Options considered</w:t>
            </w:r>
            <w:r w:rsidR="002B17D0">
              <w:rPr>
                <w:noProof/>
                <w:webHidden/>
              </w:rPr>
              <w:tab/>
            </w:r>
            <w:r w:rsidR="002B17D0">
              <w:rPr>
                <w:noProof/>
                <w:webHidden/>
              </w:rPr>
              <w:fldChar w:fldCharType="begin"/>
            </w:r>
            <w:r w:rsidR="002B17D0">
              <w:rPr>
                <w:noProof/>
                <w:webHidden/>
              </w:rPr>
              <w:instrText xml:space="preserve"> PAGEREF _Toc459276909 \h </w:instrText>
            </w:r>
            <w:r w:rsidR="002B17D0">
              <w:rPr>
                <w:noProof/>
                <w:webHidden/>
              </w:rPr>
            </w:r>
            <w:r w:rsidR="002B17D0">
              <w:rPr>
                <w:noProof/>
                <w:webHidden/>
              </w:rPr>
              <w:fldChar w:fldCharType="separate"/>
            </w:r>
            <w:r w:rsidR="0040088F">
              <w:rPr>
                <w:noProof/>
                <w:webHidden/>
              </w:rPr>
              <w:t>23</w:t>
            </w:r>
            <w:r w:rsidR="002B17D0">
              <w:rPr>
                <w:noProof/>
                <w:webHidden/>
              </w:rPr>
              <w:fldChar w:fldCharType="end"/>
            </w:r>
          </w:hyperlink>
        </w:p>
        <w:p w:rsidR="002B17D0" w:rsidRDefault="00CB69C0" w:rsidP="00D30F19">
          <w:pPr>
            <w:pStyle w:val="TOC2"/>
            <w:rPr>
              <w:noProof/>
              <w:lang w:eastAsia="en-AU"/>
            </w:rPr>
          </w:pPr>
          <w:hyperlink w:anchor="_Toc459276910" w:history="1">
            <w:r w:rsidR="002B17D0" w:rsidRPr="004C3D73">
              <w:rPr>
                <w:rStyle w:val="Hyperlink"/>
                <w:noProof/>
              </w:rPr>
              <w:t>6.2.</w:t>
            </w:r>
            <w:r w:rsidR="002B17D0">
              <w:rPr>
                <w:noProof/>
                <w:lang w:eastAsia="en-AU"/>
              </w:rPr>
              <w:tab/>
            </w:r>
            <w:r w:rsidR="002B17D0" w:rsidRPr="004C3D73">
              <w:rPr>
                <w:rStyle w:val="Hyperlink"/>
                <w:noProof/>
              </w:rPr>
              <w:t>Analysis of options</w:t>
            </w:r>
            <w:r w:rsidR="002B17D0">
              <w:rPr>
                <w:noProof/>
                <w:webHidden/>
              </w:rPr>
              <w:tab/>
            </w:r>
            <w:r w:rsidR="002B17D0">
              <w:rPr>
                <w:noProof/>
                <w:webHidden/>
              </w:rPr>
              <w:fldChar w:fldCharType="begin"/>
            </w:r>
            <w:r w:rsidR="002B17D0">
              <w:rPr>
                <w:noProof/>
                <w:webHidden/>
              </w:rPr>
              <w:instrText xml:space="preserve"> PAGEREF _Toc459276910 \h </w:instrText>
            </w:r>
            <w:r w:rsidR="002B17D0">
              <w:rPr>
                <w:noProof/>
                <w:webHidden/>
              </w:rPr>
            </w:r>
            <w:r w:rsidR="002B17D0">
              <w:rPr>
                <w:noProof/>
                <w:webHidden/>
              </w:rPr>
              <w:fldChar w:fldCharType="separate"/>
            </w:r>
            <w:r w:rsidR="0040088F">
              <w:rPr>
                <w:noProof/>
                <w:webHidden/>
              </w:rPr>
              <w:t>24</w:t>
            </w:r>
            <w:r w:rsidR="002B17D0">
              <w:rPr>
                <w:noProof/>
                <w:webHidden/>
              </w:rPr>
              <w:fldChar w:fldCharType="end"/>
            </w:r>
          </w:hyperlink>
        </w:p>
        <w:p w:rsidR="002B17D0" w:rsidRDefault="00CB69C0" w:rsidP="00D30F19">
          <w:pPr>
            <w:pStyle w:val="TOC2"/>
            <w:rPr>
              <w:noProof/>
              <w:lang w:eastAsia="en-AU"/>
            </w:rPr>
          </w:pPr>
          <w:hyperlink w:anchor="_Toc459276911" w:history="1">
            <w:r w:rsidR="002B17D0" w:rsidRPr="004C3D73">
              <w:rPr>
                <w:rStyle w:val="Hyperlink"/>
                <w:noProof/>
              </w:rPr>
              <w:t>6.3.</w:t>
            </w:r>
            <w:r w:rsidR="002B17D0">
              <w:rPr>
                <w:noProof/>
                <w:lang w:eastAsia="en-AU"/>
              </w:rPr>
              <w:tab/>
            </w:r>
            <w:r w:rsidR="002B17D0" w:rsidRPr="004C3D73">
              <w:rPr>
                <w:rStyle w:val="Hyperlink"/>
                <w:noProof/>
              </w:rPr>
              <w:t>Summary of public submissions</w:t>
            </w:r>
            <w:r w:rsidR="002B17D0">
              <w:rPr>
                <w:noProof/>
                <w:webHidden/>
              </w:rPr>
              <w:tab/>
            </w:r>
            <w:r w:rsidR="002B17D0">
              <w:rPr>
                <w:noProof/>
                <w:webHidden/>
              </w:rPr>
              <w:fldChar w:fldCharType="begin"/>
            </w:r>
            <w:r w:rsidR="002B17D0">
              <w:rPr>
                <w:noProof/>
                <w:webHidden/>
              </w:rPr>
              <w:instrText xml:space="preserve"> PAGEREF _Toc459276911 \h </w:instrText>
            </w:r>
            <w:r w:rsidR="002B17D0">
              <w:rPr>
                <w:noProof/>
                <w:webHidden/>
              </w:rPr>
            </w:r>
            <w:r w:rsidR="002B17D0">
              <w:rPr>
                <w:noProof/>
                <w:webHidden/>
              </w:rPr>
              <w:fldChar w:fldCharType="separate"/>
            </w:r>
            <w:r w:rsidR="0040088F">
              <w:rPr>
                <w:noProof/>
                <w:webHidden/>
              </w:rPr>
              <w:t>24</w:t>
            </w:r>
            <w:r w:rsidR="002B17D0">
              <w:rPr>
                <w:noProof/>
                <w:webHidden/>
              </w:rPr>
              <w:fldChar w:fldCharType="end"/>
            </w:r>
          </w:hyperlink>
        </w:p>
        <w:p w:rsidR="002B17D0" w:rsidRDefault="00CB69C0" w:rsidP="00D30F19">
          <w:pPr>
            <w:pStyle w:val="TOC2"/>
            <w:rPr>
              <w:noProof/>
              <w:lang w:eastAsia="en-AU"/>
            </w:rPr>
          </w:pPr>
          <w:hyperlink w:anchor="_Toc459276912" w:history="1">
            <w:r w:rsidR="002B17D0" w:rsidRPr="004C3D73">
              <w:rPr>
                <w:rStyle w:val="Hyperlink"/>
                <w:noProof/>
              </w:rPr>
              <w:t>6.4.</w:t>
            </w:r>
            <w:r w:rsidR="002B17D0">
              <w:rPr>
                <w:noProof/>
                <w:lang w:eastAsia="en-AU"/>
              </w:rPr>
              <w:tab/>
            </w:r>
            <w:r w:rsidR="002B17D0" w:rsidRPr="004C3D73">
              <w:rPr>
                <w:rStyle w:val="Hyperlink"/>
                <w:noProof/>
              </w:rPr>
              <w:t>Other key issues and impacts raised</w:t>
            </w:r>
            <w:r w:rsidR="002B17D0">
              <w:rPr>
                <w:noProof/>
                <w:webHidden/>
              </w:rPr>
              <w:tab/>
            </w:r>
            <w:r w:rsidR="002B17D0">
              <w:rPr>
                <w:noProof/>
                <w:webHidden/>
              </w:rPr>
              <w:fldChar w:fldCharType="begin"/>
            </w:r>
            <w:r w:rsidR="002B17D0">
              <w:rPr>
                <w:noProof/>
                <w:webHidden/>
              </w:rPr>
              <w:instrText xml:space="preserve"> PAGEREF _Toc459276912 \h </w:instrText>
            </w:r>
            <w:r w:rsidR="002B17D0">
              <w:rPr>
                <w:noProof/>
                <w:webHidden/>
              </w:rPr>
            </w:r>
            <w:r w:rsidR="002B17D0">
              <w:rPr>
                <w:noProof/>
                <w:webHidden/>
              </w:rPr>
              <w:fldChar w:fldCharType="separate"/>
            </w:r>
            <w:r w:rsidR="0040088F">
              <w:rPr>
                <w:noProof/>
                <w:webHidden/>
              </w:rPr>
              <w:t>30</w:t>
            </w:r>
            <w:r w:rsidR="002B17D0">
              <w:rPr>
                <w:noProof/>
                <w:webHidden/>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913" w:history="1">
            <w:r w:rsidR="002B17D0" w:rsidRPr="00D30F19">
              <w:rPr>
                <w:rStyle w:val="Hyperlink"/>
                <w:b/>
                <w:noProof/>
              </w:rPr>
              <w:t>7.</w:t>
            </w:r>
            <w:r w:rsidR="002B17D0" w:rsidRPr="00D30F19">
              <w:rPr>
                <w:b/>
                <w:noProof/>
                <w:lang w:eastAsia="en-AU"/>
              </w:rPr>
              <w:tab/>
            </w:r>
            <w:r w:rsidR="002B17D0" w:rsidRPr="00D30F19">
              <w:rPr>
                <w:rStyle w:val="Hyperlink"/>
                <w:b/>
                <w:noProof/>
              </w:rPr>
              <w:t>Cost Benefit Analysis (CBA)</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_Toc459276913 \h </w:instrText>
            </w:r>
            <w:r w:rsidR="002B17D0" w:rsidRPr="00D30F19">
              <w:rPr>
                <w:b/>
                <w:noProof/>
                <w:webHidden/>
              </w:rPr>
            </w:r>
            <w:r w:rsidR="002B17D0" w:rsidRPr="00D30F19">
              <w:rPr>
                <w:b/>
                <w:noProof/>
                <w:webHidden/>
              </w:rPr>
              <w:fldChar w:fldCharType="separate"/>
            </w:r>
            <w:r w:rsidR="0040088F">
              <w:rPr>
                <w:b/>
                <w:noProof/>
                <w:webHidden/>
              </w:rPr>
              <w:t>33</w:t>
            </w:r>
            <w:r w:rsidR="002B17D0" w:rsidRPr="00D30F19">
              <w:rPr>
                <w:b/>
                <w:noProof/>
                <w:webHidden/>
              </w:rPr>
              <w:fldChar w:fldCharType="end"/>
            </w:r>
          </w:hyperlink>
        </w:p>
        <w:p w:rsidR="002B17D0" w:rsidRDefault="00CB69C0" w:rsidP="00D30F19">
          <w:pPr>
            <w:pStyle w:val="TOC2"/>
            <w:rPr>
              <w:noProof/>
              <w:lang w:eastAsia="en-AU"/>
            </w:rPr>
          </w:pPr>
          <w:hyperlink w:anchor="_Toc459276914" w:history="1">
            <w:r w:rsidR="002B17D0" w:rsidRPr="004C3D73">
              <w:rPr>
                <w:rStyle w:val="Hyperlink"/>
                <w:noProof/>
              </w:rPr>
              <w:t>7.1.</w:t>
            </w:r>
            <w:r w:rsidR="002B17D0">
              <w:rPr>
                <w:noProof/>
                <w:lang w:eastAsia="en-AU"/>
              </w:rPr>
              <w:tab/>
            </w:r>
            <w:r w:rsidR="002B17D0" w:rsidRPr="004C3D73">
              <w:rPr>
                <w:rStyle w:val="Hyperlink"/>
                <w:noProof/>
              </w:rPr>
              <w:t>Approach to measuring the impacts of the options</w:t>
            </w:r>
            <w:r w:rsidR="002B17D0">
              <w:rPr>
                <w:noProof/>
                <w:webHidden/>
              </w:rPr>
              <w:tab/>
            </w:r>
            <w:r w:rsidR="002B17D0">
              <w:rPr>
                <w:noProof/>
                <w:webHidden/>
              </w:rPr>
              <w:fldChar w:fldCharType="begin"/>
            </w:r>
            <w:r w:rsidR="002B17D0">
              <w:rPr>
                <w:noProof/>
                <w:webHidden/>
              </w:rPr>
              <w:instrText xml:space="preserve"> PAGEREF _Toc459276914 \h </w:instrText>
            </w:r>
            <w:r w:rsidR="002B17D0">
              <w:rPr>
                <w:noProof/>
                <w:webHidden/>
              </w:rPr>
            </w:r>
            <w:r w:rsidR="002B17D0">
              <w:rPr>
                <w:noProof/>
                <w:webHidden/>
              </w:rPr>
              <w:fldChar w:fldCharType="separate"/>
            </w:r>
            <w:r w:rsidR="0040088F">
              <w:rPr>
                <w:noProof/>
                <w:webHidden/>
              </w:rPr>
              <w:t>33</w:t>
            </w:r>
            <w:r w:rsidR="002B17D0">
              <w:rPr>
                <w:noProof/>
                <w:webHidden/>
              </w:rPr>
              <w:fldChar w:fldCharType="end"/>
            </w:r>
          </w:hyperlink>
        </w:p>
        <w:p w:rsidR="002B17D0" w:rsidRDefault="00CB69C0" w:rsidP="00D30F19">
          <w:pPr>
            <w:pStyle w:val="TOC2"/>
            <w:rPr>
              <w:noProof/>
              <w:lang w:eastAsia="en-AU"/>
            </w:rPr>
          </w:pPr>
          <w:hyperlink w:anchor="_Toc459276915" w:history="1">
            <w:r w:rsidR="002B17D0" w:rsidRPr="004C3D73">
              <w:rPr>
                <w:rStyle w:val="Hyperlink"/>
                <w:noProof/>
              </w:rPr>
              <w:t>7.2.</w:t>
            </w:r>
            <w:r w:rsidR="002B17D0">
              <w:rPr>
                <w:noProof/>
                <w:lang w:eastAsia="en-AU"/>
              </w:rPr>
              <w:tab/>
            </w:r>
            <w:r w:rsidR="002B17D0" w:rsidRPr="004C3D73">
              <w:rPr>
                <w:rStyle w:val="Hyperlink"/>
                <w:noProof/>
              </w:rPr>
              <w:t>Key assumptions used in the analysis</w:t>
            </w:r>
            <w:r w:rsidR="002B17D0">
              <w:rPr>
                <w:noProof/>
                <w:webHidden/>
              </w:rPr>
              <w:tab/>
            </w:r>
            <w:r w:rsidR="002B17D0">
              <w:rPr>
                <w:noProof/>
                <w:webHidden/>
              </w:rPr>
              <w:fldChar w:fldCharType="begin"/>
            </w:r>
            <w:r w:rsidR="002B17D0">
              <w:rPr>
                <w:noProof/>
                <w:webHidden/>
              </w:rPr>
              <w:instrText xml:space="preserve"> PAGEREF _Toc459276915 \h </w:instrText>
            </w:r>
            <w:r w:rsidR="002B17D0">
              <w:rPr>
                <w:noProof/>
                <w:webHidden/>
              </w:rPr>
            </w:r>
            <w:r w:rsidR="002B17D0">
              <w:rPr>
                <w:noProof/>
                <w:webHidden/>
              </w:rPr>
              <w:fldChar w:fldCharType="separate"/>
            </w:r>
            <w:r w:rsidR="0040088F">
              <w:rPr>
                <w:noProof/>
                <w:webHidden/>
              </w:rPr>
              <w:t>35</w:t>
            </w:r>
            <w:r w:rsidR="002B17D0">
              <w:rPr>
                <w:noProof/>
                <w:webHidden/>
              </w:rPr>
              <w:fldChar w:fldCharType="end"/>
            </w:r>
          </w:hyperlink>
        </w:p>
        <w:p w:rsidR="002B17D0" w:rsidRDefault="00CB69C0" w:rsidP="00D30F19">
          <w:pPr>
            <w:pStyle w:val="TOC2"/>
            <w:rPr>
              <w:noProof/>
              <w:lang w:eastAsia="en-AU"/>
            </w:rPr>
          </w:pPr>
          <w:hyperlink w:anchor="_Toc459276916" w:history="1">
            <w:r w:rsidR="002B17D0" w:rsidRPr="004C3D73">
              <w:rPr>
                <w:rStyle w:val="Hyperlink"/>
                <w:noProof/>
              </w:rPr>
              <w:t>7.3.</w:t>
            </w:r>
            <w:r w:rsidR="002B17D0">
              <w:rPr>
                <w:noProof/>
                <w:lang w:eastAsia="en-AU"/>
              </w:rPr>
              <w:tab/>
            </w:r>
            <w:r w:rsidR="002B17D0" w:rsidRPr="004C3D73">
              <w:rPr>
                <w:rStyle w:val="Hyperlink"/>
                <w:noProof/>
              </w:rPr>
              <w:t>Impact of the proposed options for blood lead levels</w:t>
            </w:r>
            <w:r w:rsidR="002B17D0">
              <w:rPr>
                <w:noProof/>
                <w:webHidden/>
              </w:rPr>
              <w:tab/>
            </w:r>
            <w:r w:rsidR="002B17D0">
              <w:rPr>
                <w:noProof/>
                <w:webHidden/>
              </w:rPr>
              <w:fldChar w:fldCharType="begin"/>
            </w:r>
            <w:r w:rsidR="002B17D0">
              <w:rPr>
                <w:noProof/>
                <w:webHidden/>
              </w:rPr>
              <w:instrText xml:space="preserve"> PAGEREF _Toc459276916 \h </w:instrText>
            </w:r>
            <w:r w:rsidR="002B17D0">
              <w:rPr>
                <w:noProof/>
                <w:webHidden/>
              </w:rPr>
            </w:r>
            <w:r w:rsidR="002B17D0">
              <w:rPr>
                <w:noProof/>
                <w:webHidden/>
              </w:rPr>
              <w:fldChar w:fldCharType="separate"/>
            </w:r>
            <w:r w:rsidR="0040088F">
              <w:rPr>
                <w:noProof/>
                <w:webHidden/>
              </w:rPr>
              <w:t>39</w:t>
            </w:r>
            <w:r w:rsidR="002B17D0">
              <w:rPr>
                <w:noProof/>
                <w:webHidden/>
              </w:rPr>
              <w:fldChar w:fldCharType="end"/>
            </w:r>
          </w:hyperlink>
        </w:p>
        <w:p w:rsidR="002B17D0" w:rsidRDefault="00CB69C0" w:rsidP="00D30F19">
          <w:pPr>
            <w:pStyle w:val="TOC2"/>
            <w:rPr>
              <w:noProof/>
              <w:lang w:eastAsia="en-AU"/>
            </w:rPr>
          </w:pPr>
          <w:hyperlink w:anchor="_Toc459276917" w:history="1">
            <w:r w:rsidR="002B17D0" w:rsidRPr="004C3D73">
              <w:rPr>
                <w:rStyle w:val="Hyperlink"/>
                <w:noProof/>
              </w:rPr>
              <w:t>7.4.</w:t>
            </w:r>
            <w:r w:rsidR="002B17D0">
              <w:rPr>
                <w:noProof/>
                <w:lang w:eastAsia="en-AU"/>
              </w:rPr>
              <w:tab/>
            </w:r>
            <w:r w:rsidR="002B17D0" w:rsidRPr="004C3D73">
              <w:rPr>
                <w:rStyle w:val="Hyperlink"/>
                <w:noProof/>
              </w:rPr>
              <w:t>Benefits of reducing exposure to lead</w:t>
            </w:r>
            <w:r w:rsidR="002B17D0">
              <w:rPr>
                <w:noProof/>
                <w:webHidden/>
              </w:rPr>
              <w:tab/>
            </w:r>
            <w:r w:rsidR="002B17D0">
              <w:rPr>
                <w:noProof/>
                <w:webHidden/>
              </w:rPr>
              <w:fldChar w:fldCharType="begin"/>
            </w:r>
            <w:r w:rsidR="002B17D0">
              <w:rPr>
                <w:noProof/>
                <w:webHidden/>
              </w:rPr>
              <w:instrText xml:space="preserve"> PAGEREF _Toc459276917 \h </w:instrText>
            </w:r>
            <w:r w:rsidR="002B17D0">
              <w:rPr>
                <w:noProof/>
                <w:webHidden/>
              </w:rPr>
            </w:r>
            <w:r w:rsidR="002B17D0">
              <w:rPr>
                <w:noProof/>
                <w:webHidden/>
              </w:rPr>
              <w:fldChar w:fldCharType="separate"/>
            </w:r>
            <w:r w:rsidR="0040088F">
              <w:rPr>
                <w:noProof/>
                <w:webHidden/>
              </w:rPr>
              <w:t>43</w:t>
            </w:r>
            <w:r w:rsidR="002B17D0">
              <w:rPr>
                <w:noProof/>
                <w:webHidden/>
              </w:rPr>
              <w:fldChar w:fldCharType="end"/>
            </w:r>
          </w:hyperlink>
        </w:p>
        <w:p w:rsidR="002B17D0" w:rsidRDefault="00CB69C0" w:rsidP="00D30F19">
          <w:pPr>
            <w:pStyle w:val="TOC2"/>
            <w:rPr>
              <w:noProof/>
              <w:lang w:eastAsia="en-AU"/>
            </w:rPr>
          </w:pPr>
          <w:hyperlink w:anchor="_Toc459276918" w:history="1">
            <w:r w:rsidR="002B17D0" w:rsidRPr="004C3D73">
              <w:rPr>
                <w:rStyle w:val="Hyperlink"/>
                <w:noProof/>
              </w:rPr>
              <w:t>7.5.</w:t>
            </w:r>
            <w:r w:rsidR="002B17D0">
              <w:rPr>
                <w:noProof/>
                <w:lang w:eastAsia="en-AU"/>
              </w:rPr>
              <w:tab/>
            </w:r>
            <w:r w:rsidR="002B17D0" w:rsidRPr="004C3D73">
              <w:rPr>
                <w:rStyle w:val="Hyperlink"/>
                <w:noProof/>
              </w:rPr>
              <w:t>Impacts of Option 2 (evidence-based approach)</w:t>
            </w:r>
            <w:r w:rsidR="002B17D0">
              <w:rPr>
                <w:noProof/>
                <w:webHidden/>
              </w:rPr>
              <w:tab/>
            </w:r>
            <w:r w:rsidR="002B17D0">
              <w:rPr>
                <w:noProof/>
                <w:webHidden/>
              </w:rPr>
              <w:fldChar w:fldCharType="begin"/>
            </w:r>
            <w:r w:rsidR="002B17D0">
              <w:rPr>
                <w:noProof/>
                <w:webHidden/>
              </w:rPr>
              <w:instrText xml:space="preserve"> PAGEREF _Toc459276918 \h </w:instrText>
            </w:r>
            <w:r w:rsidR="002B17D0">
              <w:rPr>
                <w:noProof/>
                <w:webHidden/>
              </w:rPr>
            </w:r>
            <w:r w:rsidR="002B17D0">
              <w:rPr>
                <w:noProof/>
                <w:webHidden/>
              </w:rPr>
              <w:fldChar w:fldCharType="separate"/>
            </w:r>
            <w:r w:rsidR="0040088F">
              <w:rPr>
                <w:noProof/>
                <w:webHidden/>
              </w:rPr>
              <w:t>45</w:t>
            </w:r>
            <w:r w:rsidR="002B17D0">
              <w:rPr>
                <w:noProof/>
                <w:webHidden/>
              </w:rPr>
              <w:fldChar w:fldCharType="end"/>
            </w:r>
          </w:hyperlink>
        </w:p>
        <w:p w:rsidR="002B17D0" w:rsidRDefault="00CB69C0" w:rsidP="00D30F19">
          <w:pPr>
            <w:pStyle w:val="TOC2"/>
            <w:rPr>
              <w:noProof/>
              <w:lang w:eastAsia="en-AU"/>
            </w:rPr>
          </w:pPr>
          <w:hyperlink w:anchor="_Toc459276919" w:history="1">
            <w:r w:rsidR="002B17D0" w:rsidRPr="004C3D73">
              <w:rPr>
                <w:rStyle w:val="Hyperlink"/>
                <w:noProof/>
              </w:rPr>
              <w:t>7.6.</w:t>
            </w:r>
            <w:r w:rsidR="002B17D0">
              <w:rPr>
                <w:noProof/>
                <w:lang w:eastAsia="en-AU"/>
              </w:rPr>
              <w:tab/>
            </w:r>
            <w:r w:rsidR="002B17D0" w:rsidRPr="004C3D73">
              <w:rPr>
                <w:rStyle w:val="Hyperlink"/>
                <w:noProof/>
              </w:rPr>
              <w:t>Impacts of Option 3 (gender neutral approach)</w:t>
            </w:r>
            <w:r w:rsidR="002B17D0">
              <w:rPr>
                <w:noProof/>
                <w:webHidden/>
              </w:rPr>
              <w:tab/>
            </w:r>
            <w:r w:rsidR="002B17D0">
              <w:rPr>
                <w:noProof/>
                <w:webHidden/>
              </w:rPr>
              <w:fldChar w:fldCharType="begin"/>
            </w:r>
            <w:r w:rsidR="002B17D0">
              <w:rPr>
                <w:noProof/>
                <w:webHidden/>
              </w:rPr>
              <w:instrText xml:space="preserve"> PAGEREF _Toc459276919 \h </w:instrText>
            </w:r>
            <w:r w:rsidR="002B17D0">
              <w:rPr>
                <w:noProof/>
                <w:webHidden/>
              </w:rPr>
            </w:r>
            <w:r w:rsidR="002B17D0">
              <w:rPr>
                <w:noProof/>
                <w:webHidden/>
              </w:rPr>
              <w:fldChar w:fldCharType="separate"/>
            </w:r>
            <w:r w:rsidR="0040088F">
              <w:rPr>
                <w:noProof/>
                <w:webHidden/>
              </w:rPr>
              <w:t>48</w:t>
            </w:r>
            <w:r w:rsidR="002B17D0">
              <w:rPr>
                <w:noProof/>
                <w:webHidden/>
              </w:rPr>
              <w:fldChar w:fldCharType="end"/>
            </w:r>
          </w:hyperlink>
        </w:p>
        <w:p w:rsidR="002B17D0" w:rsidRDefault="00CB69C0" w:rsidP="00D30F19">
          <w:pPr>
            <w:pStyle w:val="TOC2"/>
            <w:rPr>
              <w:noProof/>
              <w:lang w:eastAsia="en-AU"/>
            </w:rPr>
          </w:pPr>
          <w:hyperlink w:anchor="_Toc459276920" w:history="1">
            <w:r w:rsidR="002B17D0" w:rsidRPr="004C3D73">
              <w:rPr>
                <w:rStyle w:val="Hyperlink"/>
                <w:noProof/>
              </w:rPr>
              <w:t>7.7.</w:t>
            </w:r>
            <w:r w:rsidR="002B17D0">
              <w:rPr>
                <w:noProof/>
                <w:lang w:eastAsia="en-AU"/>
              </w:rPr>
              <w:tab/>
            </w:r>
            <w:r w:rsidR="002B17D0" w:rsidRPr="004C3D73">
              <w:rPr>
                <w:rStyle w:val="Hyperlink"/>
                <w:noProof/>
              </w:rPr>
              <w:t xml:space="preserve">Impacts of options for workplace exposure standard (WES) for dusts and fumes of </w:t>
            </w:r>
            <w:r w:rsidR="00D30F19">
              <w:rPr>
                <w:rStyle w:val="Hyperlink"/>
                <w:noProof/>
              </w:rPr>
              <w:tab/>
            </w:r>
            <w:r w:rsidR="002B17D0" w:rsidRPr="004C3D73">
              <w:rPr>
                <w:rStyle w:val="Hyperlink"/>
                <w:noProof/>
              </w:rPr>
              <w:t>inorganic lead</w:t>
            </w:r>
            <w:r w:rsidR="002B17D0">
              <w:rPr>
                <w:noProof/>
                <w:webHidden/>
              </w:rPr>
              <w:tab/>
            </w:r>
            <w:r w:rsidR="002B17D0">
              <w:rPr>
                <w:noProof/>
                <w:webHidden/>
              </w:rPr>
              <w:fldChar w:fldCharType="begin"/>
            </w:r>
            <w:r w:rsidR="002B17D0">
              <w:rPr>
                <w:noProof/>
                <w:webHidden/>
              </w:rPr>
              <w:instrText xml:space="preserve"> PAGEREF _Toc459276920 \h </w:instrText>
            </w:r>
            <w:r w:rsidR="002B17D0">
              <w:rPr>
                <w:noProof/>
                <w:webHidden/>
              </w:rPr>
            </w:r>
            <w:r w:rsidR="002B17D0">
              <w:rPr>
                <w:noProof/>
                <w:webHidden/>
              </w:rPr>
              <w:fldChar w:fldCharType="separate"/>
            </w:r>
            <w:r w:rsidR="0040088F">
              <w:rPr>
                <w:noProof/>
                <w:webHidden/>
              </w:rPr>
              <w:t>49</w:t>
            </w:r>
            <w:r w:rsidR="002B17D0">
              <w:rPr>
                <w:noProof/>
                <w:webHidden/>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921" w:history="1">
            <w:r w:rsidR="002B17D0" w:rsidRPr="00D30F19">
              <w:rPr>
                <w:rStyle w:val="Hyperlink"/>
                <w:b/>
                <w:noProof/>
              </w:rPr>
              <w:t>8.</w:t>
            </w:r>
            <w:r w:rsidR="002B17D0" w:rsidRPr="00D30F19">
              <w:rPr>
                <w:b/>
                <w:noProof/>
                <w:lang w:eastAsia="en-AU"/>
              </w:rPr>
              <w:tab/>
            </w:r>
            <w:r w:rsidR="002B17D0" w:rsidRPr="00D30F19">
              <w:rPr>
                <w:rStyle w:val="Hyperlink"/>
                <w:b/>
                <w:noProof/>
              </w:rPr>
              <w:t>Summary of preferred options</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_Toc459276921 \h </w:instrText>
            </w:r>
            <w:r w:rsidR="002B17D0" w:rsidRPr="00D30F19">
              <w:rPr>
                <w:b/>
                <w:noProof/>
                <w:webHidden/>
              </w:rPr>
            </w:r>
            <w:r w:rsidR="002B17D0" w:rsidRPr="00D30F19">
              <w:rPr>
                <w:b/>
                <w:noProof/>
                <w:webHidden/>
              </w:rPr>
              <w:fldChar w:fldCharType="separate"/>
            </w:r>
            <w:r w:rsidR="0040088F">
              <w:rPr>
                <w:b/>
                <w:noProof/>
                <w:webHidden/>
              </w:rPr>
              <w:t>52</w:t>
            </w:r>
            <w:r w:rsidR="002B17D0" w:rsidRPr="00D30F19">
              <w:rPr>
                <w:b/>
                <w:noProof/>
                <w:webHidden/>
              </w:rPr>
              <w:fldChar w:fldCharType="end"/>
            </w:r>
          </w:hyperlink>
        </w:p>
        <w:p w:rsidR="002B17D0" w:rsidRDefault="00CB69C0" w:rsidP="00D30F19">
          <w:pPr>
            <w:pStyle w:val="TOC2"/>
            <w:rPr>
              <w:noProof/>
              <w:lang w:eastAsia="en-AU"/>
            </w:rPr>
          </w:pPr>
          <w:hyperlink w:anchor="_Toc459276922" w:history="1">
            <w:r w:rsidR="002B17D0" w:rsidRPr="004C3D73">
              <w:rPr>
                <w:rStyle w:val="Hyperlink"/>
                <w:noProof/>
              </w:rPr>
              <w:t>8.1.</w:t>
            </w:r>
            <w:r w:rsidR="002B17D0">
              <w:rPr>
                <w:noProof/>
                <w:lang w:eastAsia="en-AU"/>
              </w:rPr>
              <w:tab/>
            </w:r>
            <w:r w:rsidR="002B17D0" w:rsidRPr="004C3D73">
              <w:rPr>
                <w:rStyle w:val="Hyperlink"/>
                <w:noProof/>
              </w:rPr>
              <w:t>Summary of outcomes</w:t>
            </w:r>
            <w:r w:rsidR="002B17D0">
              <w:rPr>
                <w:noProof/>
                <w:webHidden/>
              </w:rPr>
              <w:tab/>
            </w:r>
            <w:r w:rsidR="002B17D0">
              <w:rPr>
                <w:noProof/>
                <w:webHidden/>
              </w:rPr>
              <w:fldChar w:fldCharType="begin"/>
            </w:r>
            <w:r w:rsidR="002B17D0">
              <w:rPr>
                <w:noProof/>
                <w:webHidden/>
              </w:rPr>
              <w:instrText xml:space="preserve"> PAGEREF _Toc459276922 \h </w:instrText>
            </w:r>
            <w:r w:rsidR="002B17D0">
              <w:rPr>
                <w:noProof/>
                <w:webHidden/>
              </w:rPr>
            </w:r>
            <w:r w:rsidR="002B17D0">
              <w:rPr>
                <w:noProof/>
                <w:webHidden/>
              </w:rPr>
              <w:fldChar w:fldCharType="separate"/>
            </w:r>
            <w:r w:rsidR="0040088F">
              <w:rPr>
                <w:noProof/>
                <w:webHidden/>
              </w:rPr>
              <w:t>52</w:t>
            </w:r>
            <w:r w:rsidR="002B17D0">
              <w:rPr>
                <w:noProof/>
                <w:webHidden/>
              </w:rPr>
              <w:fldChar w:fldCharType="end"/>
            </w:r>
          </w:hyperlink>
        </w:p>
        <w:p w:rsidR="002B17D0" w:rsidRDefault="00CB69C0" w:rsidP="00D30F19">
          <w:pPr>
            <w:pStyle w:val="TOC2"/>
            <w:rPr>
              <w:noProof/>
              <w:lang w:eastAsia="en-AU"/>
            </w:rPr>
          </w:pPr>
          <w:hyperlink w:anchor="_Toc459276923" w:history="1">
            <w:r w:rsidR="002B17D0" w:rsidRPr="004C3D73">
              <w:rPr>
                <w:rStyle w:val="Hyperlink"/>
                <w:noProof/>
              </w:rPr>
              <w:t>8.2.</w:t>
            </w:r>
            <w:r w:rsidR="002B17D0">
              <w:rPr>
                <w:noProof/>
                <w:lang w:eastAsia="en-AU"/>
              </w:rPr>
              <w:tab/>
            </w:r>
            <w:r w:rsidR="002B17D0" w:rsidRPr="004C3D73">
              <w:rPr>
                <w:rStyle w:val="Hyperlink"/>
                <w:noProof/>
              </w:rPr>
              <w:t>Preferred Option – blood lead levels</w:t>
            </w:r>
            <w:r w:rsidR="002B17D0">
              <w:rPr>
                <w:noProof/>
                <w:webHidden/>
              </w:rPr>
              <w:tab/>
            </w:r>
            <w:r w:rsidR="002B17D0">
              <w:rPr>
                <w:noProof/>
                <w:webHidden/>
              </w:rPr>
              <w:fldChar w:fldCharType="begin"/>
            </w:r>
            <w:r w:rsidR="002B17D0">
              <w:rPr>
                <w:noProof/>
                <w:webHidden/>
              </w:rPr>
              <w:instrText xml:space="preserve"> PAGEREF _Toc459276923 \h </w:instrText>
            </w:r>
            <w:r w:rsidR="002B17D0">
              <w:rPr>
                <w:noProof/>
                <w:webHidden/>
              </w:rPr>
            </w:r>
            <w:r w:rsidR="002B17D0">
              <w:rPr>
                <w:noProof/>
                <w:webHidden/>
              </w:rPr>
              <w:fldChar w:fldCharType="separate"/>
            </w:r>
            <w:r w:rsidR="0040088F">
              <w:rPr>
                <w:noProof/>
                <w:webHidden/>
              </w:rPr>
              <w:t>54</w:t>
            </w:r>
            <w:r w:rsidR="002B17D0">
              <w:rPr>
                <w:noProof/>
                <w:webHidden/>
              </w:rPr>
              <w:fldChar w:fldCharType="end"/>
            </w:r>
          </w:hyperlink>
        </w:p>
        <w:p w:rsidR="002B17D0" w:rsidRDefault="00CB69C0" w:rsidP="00D30F19">
          <w:pPr>
            <w:pStyle w:val="TOC2"/>
            <w:rPr>
              <w:noProof/>
              <w:lang w:eastAsia="en-AU"/>
            </w:rPr>
          </w:pPr>
          <w:hyperlink w:anchor="_Toc459276924" w:history="1">
            <w:r w:rsidR="002B17D0" w:rsidRPr="004C3D73">
              <w:rPr>
                <w:rStyle w:val="Hyperlink"/>
                <w:noProof/>
              </w:rPr>
              <w:t>8.3.</w:t>
            </w:r>
            <w:r w:rsidR="002B17D0">
              <w:rPr>
                <w:noProof/>
                <w:lang w:eastAsia="en-AU"/>
              </w:rPr>
              <w:tab/>
            </w:r>
            <w:r w:rsidR="002B17D0" w:rsidRPr="004C3D73">
              <w:rPr>
                <w:rStyle w:val="Hyperlink"/>
                <w:noProof/>
              </w:rPr>
              <w:t>Preferred Option – workplace exposure standard</w:t>
            </w:r>
            <w:r w:rsidR="002B17D0">
              <w:rPr>
                <w:noProof/>
                <w:webHidden/>
              </w:rPr>
              <w:tab/>
            </w:r>
            <w:r w:rsidR="002B17D0">
              <w:rPr>
                <w:noProof/>
                <w:webHidden/>
              </w:rPr>
              <w:fldChar w:fldCharType="begin"/>
            </w:r>
            <w:r w:rsidR="002B17D0">
              <w:rPr>
                <w:noProof/>
                <w:webHidden/>
              </w:rPr>
              <w:instrText xml:space="preserve"> PAGEREF _Toc459276924 \h </w:instrText>
            </w:r>
            <w:r w:rsidR="002B17D0">
              <w:rPr>
                <w:noProof/>
                <w:webHidden/>
              </w:rPr>
            </w:r>
            <w:r w:rsidR="002B17D0">
              <w:rPr>
                <w:noProof/>
                <w:webHidden/>
              </w:rPr>
              <w:fldChar w:fldCharType="separate"/>
            </w:r>
            <w:r w:rsidR="0040088F">
              <w:rPr>
                <w:noProof/>
                <w:webHidden/>
              </w:rPr>
              <w:t>55</w:t>
            </w:r>
            <w:r w:rsidR="002B17D0">
              <w:rPr>
                <w:noProof/>
                <w:webHidden/>
              </w:rPr>
              <w:fldChar w:fldCharType="end"/>
            </w:r>
          </w:hyperlink>
        </w:p>
        <w:p w:rsidR="002B17D0" w:rsidRDefault="00CB69C0" w:rsidP="00D30F19">
          <w:pPr>
            <w:pStyle w:val="TOC2"/>
            <w:rPr>
              <w:noProof/>
              <w:lang w:eastAsia="en-AU"/>
            </w:rPr>
          </w:pPr>
          <w:hyperlink w:anchor="_Toc459276925" w:history="1">
            <w:r w:rsidR="002B17D0" w:rsidRPr="004C3D73">
              <w:rPr>
                <w:rStyle w:val="Hyperlink"/>
                <w:noProof/>
              </w:rPr>
              <w:t>8.4.</w:t>
            </w:r>
            <w:r w:rsidR="002B17D0">
              <w:rPr>
                <w:noProof/>
                <w:lang w:eastAsia="en-AU"/>
              </w:rPr>
              <w:tab/>
            </w:r>
            <w:r w:rsidR="002B17D0" w:rsidRPr="004C3D73">
              <w:rPr>
                <w:rStyle w:val="Hyperlink"/>
                <w:noProof/>
              </w:rPr>
              <w:t>Preferred Option – transition period</w:t>
            </w:r>
            <w:r w:rsidR="002B17D0">
              <w:rPr>
                <w:noProof/>
                <w:webHidden/>
              </w:rPr>
              <w:tab/>
            </w:r>
            <w:r w:rsidR="002B17D0">
              <w:rPr>
                <w:noProof/>
                <w:webHidden/>
              </w:rPr>
              <w:fldChar w:fldCharType="begin"/>
            </w:r>
            <w:r w:rsidR="002B17D0">
              <w:rPr>
                <w:noProof/>
                <w:webHidden/>
              </w:rPr>
              <w:instrText xml:space="preserve"> PAGEREF _Toc459276925 \h </w:instrText>
            </w:r>
            <w:r w:rsidR="002B17D0">
              <w:rPr>
                <w:noProof/>
                <w:webHidden/>
              </w:rPr>
            </w:r>
            <w:r w:rsidR="002B17D0">
              <w:rPr>
                <w:noProof/>
                <w:webHidden/>
              </w:rPr>
              <w:fldChar w:fldCharType="separate"/>
            </w:r>
            <w:r w:rsidR="0040088F">
              <w:rPr>
                <w:noProof/>
                <w:webHidden/>
              </w:rPr>
              <w:t>55</w:t>
            </w:r>
            <w:r w:rsidR="002B17D0">
              <w:rPr>
                <w:noProof/>
                <w:webHidden/>
              </w:rPr>
              <w:fldChar w:fldCharType="end"/>
            </w:r>
          </w:hyperlink>
        </w:p>
        <w:p w:rsidR="002B17D0" w:rsidRPr="00D30F19" w:rsidRDefault="00CB69C0" w:rsidP="002B17D0">
          <w:pPr>
            <w:pStyle w:val="TOC1"/>
            <w:tabs>
              <w:tab w:val="left" w:pos="440"/>
              <w:tab w:val="right" w:leader="dot" w:pos="9398"/>
            </w:tabs>
            <w:spacing w:before="40" w:after="40"/>
            <w:rPr>
              <w:b/>
              <w:noProof/>
              <w:lang w:eastAsia="en-AU"/>
            </w:rPr>
          </w:pPr>
          <w:hyperlink w:anchor="_Toc459276926" w:history="1">
            <w:r w:rsidR="002B17D0" w:rsidRPr="00D30F19">
              <w:rPr>
                <w:rStyle w:val="Hyperlink"/>
                <w:rFonts w:cstheme="minorHAnsi"/>
                <w:b/>
                <w:noProof/>
              </w:rPr>
              <w:t>9.</w:t>
            </w:r>
            <w:r w:rsidR="002B17D0" w:rsidRPr="00D30F19">
              <w:rPr>
                <w:b/>
                <w:noProof/>
                <w:lang w:eastAsia="en-AU"/>
              </w:rPr>
              <w:tab/>
            </w:r>
            <w:r w:rsidR="002B17D0" w:rsidRPr="00D30F19">
              <w:rPr>
                <w:rStyle w:val="Hyperlink"/>
                <w:rFonts w:cstheme="minorHAnsi"/>
                <w:b/>
                <w:noProof/>
              </w:rPr>
              <w:t>Implementation and review</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_Toc459276926 \h </w:instrText>
            </w:r>
            <w:r w:rsidR="002B17D0" w:rsidRPr="00D30F19">
              <w:rPr>
                <w:b/>
                <w:noProof/>
                <w:webHidden/>
              </w:rPr>
            </w:r>
            <w:r w:rsidR="002B17D0" w:rsidRPr="00D30F19">
              <w:rPr>
                <w:b/>
                <w:noProof/>
                <w:webHidden/>
              </w:rPr>
              <w:fldChar w:fldCharType="separate"/>
            </w:r>
            <w:r w:rsidR="0040088F">
              <w:rPr>
                <w:b/>
                <w:noProof/>
                <w:webHidden/>
              </w:rPr>
              <w:t>56</w:t>
            </w:r>
            <w:r w:rsidR="002B17D0" w:rsidRPr="00D30F19">
              <w:rPr>
                <w:b/>
                <w:noProof/>
                <w:webHidden/>
              </w:rPr>
              <w:fldChar w:fldCharType="end"/>
            </w:r>
          </w:hyperlink>
        </w:p>
        <w:p w:rsidR="002B17D0" w:rsidRDefault="00CB69C0" w:rsidP="00D30F19">
          <w:pPr>
            <w:pStyle w:val="TOC2"/>
            <w:rPr>
              <w:noProof/>
              <w:lang w:eastAsia="en-AU"/>
            </w:rPr>
          </w:pPr>
          <w:hyperlink w:anchor="_Toc459276927" w:history="1">
            <w:r w:rsidR="002B17D0" w:rsidRPr="004C3D73">
              <w:rPr>
                <w:rStyle w:val="Hyperlink"/>
                <w:noProof/>
              </w:rPr>
              <w:t>9.1.</w:t>
            </w:r>
            <w:r w:rsidR="002B17D0">
              <w:rPr>
                <w:noProof/>
                <w:lang w:eastAsia="en-AU"/>
              </w:rPr>
              <w:tab/>
            </w:r>
            <w:r w:rsidR="002B17D0" w:rsidRPr="004C3D73">
              <w:rPr>
                <w:rStyle w:val="Hyperlink"/>
                <w:noProof/>
              </w:rPr>
              <w:t>Implementation</w:t>
            </w:r>
            <w:r w:rsidR="002B17D0">
              <w:rPr>
                <w:noProof/>
                <w:webHidden/>
              </w:rPr>
              <w:tab/>
            </w:r>
            <w:r w:rsidR="002B17D0">
              <w:rPr>
                <w:noProof/>
                <w:webHidden/>
              </w:rPr>
              <w:fldChar w:fldCharType="begin"/>
            </w:r>
            <w:r w:rsidR="002B17D0">
              <w:rPr>
                <w:noProof/>
                <w:webHidden/>
              </w:rPr>
              <w:instrText xml:space="preserve"> PAGEREF _Toc459276927 \h </w:instrText>
            </w:r>
            <w:r w:rsidR="002B17D0">
              <w:rPr>
                <w:noProof/>
                <w:webHidden/>
              </w:rPr>
            </w:r>
            <w:r w:rsidR="002B17D0">
              <w:rPr>
                <w:noProof/>
                <w:webHidden/>
              </w:rPr>
              <w:fldChar w:fldCharType="separate"/>
            </w:r>
            <w:r w:rsidR="0040088F">
              <w:rPr>
                <w:noProof/>
                <w:webHidden/>
              </w:rPr>
              <w:t>56</w:t>
            </w:r>
            <w:r w:rsidR="002B17D0">
              <w:rPr>
                <w:noProof/>
                <w:webHidden/>
              </w:rPr>
              <w:fldChar w:fldCharType="end"/>
            </w:r>
          </w:hyperlink>
        </w:p>
        <w:p w:rsidR="002B17D0" w:rsidRDefault="00CB69C0" w:rsidP="00D30F19">
          <w:pPr>
            <w:pStyle w:val="TOC2"/>
            <w:rPr>
              <w:noProof/>
              <w:lang w:eastAsia="en-AU"/>
            </w:rPr>
          </w:pPr>
          <w:hyperlink w:anchor="_Toc459276928" w:history="1">
            <w:r w:rsidR="002B17D0" w:rsidRPr="004C3D73">
              <w:rPr>
                <w:rStyle w:val="Hyperlink"/>
                <w:noProof/>
              </w:rPr>
              <w:t>9.2.</w:t>
            </w:r>
            <w:r w:rsidR="002B17D0">
              <w:rPr>
                <w:noProof/>
                <w:lang w:eastAsia="en-AU"/>
              </w:rPr>
              <w:tab/>
            </w:r>
            <w:r w:rsidR="002B17D0" w:rsidRPr="004C3D73">
              <w:rPr>
                <w:rStyle w:val="Hyperlink"/>
                <w:noProof/>
              </w:rPr>
              <w:t>Transition period</w:t>
            </w:r>
            <w:r w:rsidR="002B17D0">
              <w:rPr>
                <w:noProof/>
                <w:webHidden/>
              </w:rPr>
              <w:tab/>
            </w:r>
            <w:r w:rsidR="002B17D0">
              <w:rPr>
                <w:noProof/>
                <w:webHidden/>
              </w:rPr>
              <w:fldChar w:fldCharType="begin"/>
            </w:r>
            <w:r w:rsidR="002B17D0">
              <w:rPr>
                <w:noProof/>
                <w:webHidden/>
              </w:rPr>
              <w:instrText xml:space="preserve"> PAGEREF _Toc459276928 \h </w:instrText>
            </w:r>
            <w:r w:rsidR="002B17D0">
              <w:rPr>
                <w:noProof/>
                <w:webHidden/>
              </w:rPr>
            </w:r>
            <w:r w:rsidR="002B17D0">
              <w:rPr>
                <w:noProof/>
                <w:webHidden/>
              </w:rPr>
              <w:fldChar w:fldCharType="separate"/>
            </w:r>
            <w:r w:rsidR="0040088F">
              <w:rPr>
                <w:noProof/>
                <w:webHidden/>
              </w:rPr>
              <w:t>57</w:t>
            </w:r>
            <w:r w:rsidR="002B17D0">
              <w:rPr>
                <w:noProof/>
                <w:webHidden/>
              </w:rPr>
              <w:fldChar w:fldCharType="end"/>
            </w:r>
          </w:hyperlink>
        </w:p>
        <w:p w:rsidR="002B17D0" w:rsidRDefault="00CB69C0" w:rsidP="00D30F19">
          <w:pPr>
            <w:pStyle w:val="TOC2"/>
            <w:rPr>
              <w:noProof/>
              <w:lang w:eastAsia="en-AU"/>
            </w:rPr>
          </w:pPr>
          <w:hyperlink w:anchor="_Toc459276929" w:history="1">
            <w:r w:rsidR="002B17D0" w:rsidRPr="004C3D73">
              <w:rPr>
                <w:rStyle w:val="Hyperlink"/>
                <w:noProof/>
              </w:rPr>
              <w:t>9.3.</w:t>
            </w:r>
            <w:r w:rsidR="002B17D0">
              <w:rPr>
                <w:noProof/>
                <w:lang w:eastAsia="en-AU"/>
              </w:rPr>
              <w:tab/>
            </w:r>
            <w:r w:rsidR="002B17D0" w:rsidRPr="004C3D73">
              <w:rPr>
                <w:rStyle w:val="Hyperlink"/>
                <w:noProof/>
              </w:rPr>
              <w:t>Review</w:t>
            </w:r>
            <w:r w:rsidR="002B17D0">
              <w:rPr>
                <w:noProof/>
                <w:webHidden/>
              </w:rPr>
              <w:tab/>
            </w:r>
            <w:r w:rsidR="002B17D0">
              <w:rPr>
                <w:noProof/>
                <w:webHidden/>
              </w:rPr>
              <w:fldChar w:fldCharType="begin"/>
            </w:r>
            <w:r w:rsidR="002B17D0">
              <w:rPr>
                <w:noProof/>
                <w:webHidden/>
              </w:rPr>
              <w:instrText xml:space="preserve"> PAGEREF _Toc459276929 \h </w:instrText>
            </w:r>
            <w:r w:rsidR="002B17D0">
              <w:rPr>
                <w:noProof/>
                <w:webHidden/>
              </w:rPr>
            </w:r>
            <w:r w:rsidR="002B17D0">
              <w:rPr>
                <w:noProof/>
                <w:webHidden/>
              </w:rPr>
              <w:fldChar w:fldCharType="separate"/>
            </w:r>
            <w:r w:rsidR="0040088F">
              <w:rPr>
                <w:noProof/>
                <w:webHidden/>
              </w:rPr>
              <w:t>57</w:t>
            </w:r>
            <w:r w:rsidR="002B17D0">
              <w:rPr>
                <w:noProof/>
                <w:webHidden/>
              </w:rPr>
              <w:fldChar w:fldCharType="end"/>
            </w:r>
          </w:hyperlink>
        </w:p>
        <w:p w:rsidR="002B17D0" w:rsidRPr="00D30F19" w:rsidRDefault="00CB69C0" w:rsidP="002B17D0">
          <w:pPr>
            <w:pStyle w:val="TOC1"/>
            <w:tabs>
              <w:tab w:val="right" w:leader="dot" w:pos="9398"/>
            </w:tabs>
            <w:spacing w:before="40" w:after="40"/>
            <w:rPr>
              <w:b/>
              <w:noProof/>
              <w:lang w:eastAsia="en-AU"/>
            </w:rPr>
          </w:pPr>
          <w:hyperlink w:anchor="_Toc459276930" w:history="1">
            <w:r w:rsidR="002B17D0" w:rsidRPr="00D30F19">
              <w:rPr>
                <w:rStyle w:val="Hyperlink"/>
                <w:rFonts w:cstheme="minorHAnsi"/>
                <w:b/>
                <w:noProof/>
              </w:rPr>
              <w:t>References</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_Toc459276930 \h </w:instrText>
            </w:r>
            <w:r w:rsidR="002B17D0" w:rsidRPr="00D30F19">
              <w:rPr>
                <w:b/>
                <w:noProof/>
                <w:webHidden/>
              </w:rPr>
            </w:r>
            <w:r w:rsidR="002B17D0" w:rsidRPr="00D30F19">
              <w:rPr>
                <w:b/>
                <w:noProof/>
                <w:webHidden/>
              </w:rPr>
              <w:fldChar w:fldCharType="separate"/>
            </w:r>
            <w:r w:rsidR="0040088F">
              <w:rPr>
                <w:b/>
                <w:noProof/>
                <w:webHidden/>
              </w:rPr>
              <w:t>58</w:t>
            </w:r>
            <w:r w:rsidR="002B17D0" w:rsidRPr="00D30F19">
              <w:rPr>
                <w:b/>
                <w:noProof/>
                <w:webHidden/>
              </w:rPr>
              <w:fldChar w:fldCharType="end"/>
            </w:r>
          </w:hyperlink>
        </w:p>
        <w:p w:rsidR="002B17D0" w:rsidRPr="00D30F19" w:rsidRDefault="00CB69C0" w:rsidP="002B17D0">
          <w:pPr>
            <w:pStyle w:val="TOC1"/>
            <w:tabs>
              <w:tab w:val="right" w:leader="dot" w:pos="9398"/>
            </w:tabs>
            <w:spacing w:before="40" w:after="40"/>
            <w:rPr>
              <w:b/>
              <w:noProof/>
              <w:lang w:eastAsia="en-AU"/>
            </w:rPr>
          </w:pPr>
          <w:hyperlink w:anchor="_Toc459276931" w:history="1">
            <w:r w:rsidR="002B17D0" w:rsidRPr="00D30F19">
              <w:rPr>
                <w:rStyle w:val="Hyperlink"/>
                <w:rFonts w:cstheme="minorHAnsi"/>
                <w:b/>
                <w:noProof/>
              </w:rPr>
              <w:t>Appendix A: Glossary</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_Toc459276931 \h </w:instrText>
            </w:r>
            <w:r w:rsidR="002B17D0" w:rsidRPr="00D30F19">
              <w:rPr>
                <w:b/>
                <w:noProof/>
                <w:webHidden/>
              </w:rPr>
            </w:r>
            <w:r w:rsidR="002B17D0" w:rsidRPr="00D30F19">
              <w:rPr>
                <w:b/>
                <w:noProof/>
                <w:webHidden/>
              </w:rPr>
              <w:fldChar w:fldCharType="separate"/>
            </w:r>
            <w:r w:rsidR="0040088F">
              <w:rPr>
                <w:b/>
                <w:noProof/>
                <w:webHidden/>
              </w:rPr>
              <w:t>60</w:t>
            </w:r>
            <w:r w:rsidR="002B17D0" w:rsidRPr="00D30F19">
              <w:rPr>
                <w:b/>
                <w:noProof/>
                <w:webHidden/>
              </w:rPr>
              <w:fldChar w:fldCharType="end"/>
            </w:r>
          </w:hyperlink>
        </w:p>
        <w:p w:rsidR="002B17D0" w:rsidRPr="00D30F19" w:rsidRDefault="00CB69C0" w:rsidP="002B17D0">
          <w:pPr>
            <w:pStyle w:val="TOC1"/>
            <w:tabs>
              <w:tab w:val="right" w:leader="dot" w:pos="9398"/>
            </w:tabs>
            <w:spacing w:before="40" w:after="40"/>
            <w:rPr>
              <w:b/>
              <w:noProof/>
              <w:lang w:eastAsia="en-AU"/>
            </w:rPr>
          </w:pPr>
          <w:hyperlink w:anchor="_Toc459276932" w:history="1">
            <w:r w:rsidR="002B17D0" w:rsidRPr="00D30F19">
              <w:rPr>
                <w:rStyle w:val="Hyperlink"/>
                <w:rFonts w:cstheme="minorHAnsi"/>
                <w:b/>
                <w:noProof/>
              </w:rPr>
              <w:t>Appendix B: Meaning of a lead process</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_Toc459276932 \h </w:instrText>
            </w:r>
            <w:r w:rsidR="002B17D0" w:rsidRPr="00D30F19">
              <w:rPr>
                <w:b/>
                <w:noProof/>
                <w:webHidden/>
              </w:rPr>
            </w:r>
            <w:r w:rsidR="002B17D0" w:rsidRPr="00D30F19">
              <w:rPr>
                <w:b/>
                <w:noProof/>
                <w:webHidden/>
              </w:rPr>
              <w:fldChar w:fldCharType="separate"/>
            </w:r>
            <w:r w:rsidR="0040088F">
              <w:rPr>
                <w:b/>
                <w:noProof/>
                <w:webHidden/>
              </w:rPr>
              <w:t>62</w:t>
            </w:r>
            <w:r w:rsidR="002B17D0" w:rsidRPr="00D30F19">
              <w:rPr>
                <w:b/>
                <w:noProof/>
                <w:webHidden/>
              </w:rPr>
              <w:fldChar w:fldCharType="end"/>
            </w:r>
          </w:hyperlink>
        </w:p>
        <w:p w:rsidR="002B17D0" w:rsidRPr="00D30F19" w:rsidRDefault="00CB69C0" w:rsidP="002B17D0">
          <w:pPr>
            <w:pStyle w:val="TOC1"/>
            <w:tabs>
              <w:tab w:val="right" w:leader="dot" w:pos="9398"/>
            </w:tabs>
            <w:spacing w:before="40" w:after="40"/>
            <w:rPr>
              <w:b/>
              <w:noProof/>
              <w:lang w:eastAsia="en-AU"/>
            </w:rPr>
          </w:pPr>
          <w:hyperlink w:anchor="_Toc459276933" w:history="1">
            <w:r w:rsidR="002B17D0" w:rsidRPr="00D30F19">
              <w:rPr>
                <w:rStyle w:val="Hyperlink"/>
                <w:rFonts w:cstheme="minorHAnsi"/>
                <w:b/>
                <w:noProof/>
              </w:rPr>
              <w:t>Appendix C: Questions asked of stakeholders in the Consultation RIS</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_Toc459276933 \h </w:instrText>
            </w:r>
            <w:r w:rsidR="002B17D0" w:rsidRPr="00D30F19">
              <w:rPr>
                <w:b/>
                <w:noProof/>
                <w:webHidden/>
              </w:rPr>
            </w:r>
            <w:r w:rsidR="002B17D0" w:rsidRPr="00D30F19">
              <w:rPr>
                <w:b/>
                <w:noProof/>
                <w:webHidden/>
              </w:rPr>
              <w:fldChar w:fldCharType="separate"/>
            </w:r>
            <w:r w:rsidR="0040088F">
              <w:rPr>
                <w:b/>
                <w:noProof/>
                <w:webHidden/>
              </w:rPr>
              <w:t>63</w:t>
            </w:r>
            <w:r w:rsidR="002B17D0" w:rsidRPr="00D30F19">
              <w:rPr>
                <w:b/>
                <w:noProof/>
                <w:webHidden/>
              </w:rPr>
              <w:fldChar w:fldCharType="end"/>
            </w:r>
          </w:hyperlink>
        </w:p>
        <w:p w:rsidR="002B17D0" w:rsidRPr="00D30F19" w:rsidRDefault="00CB69C0" w:rsidP="002B17D0">
          <w:pPr>
            <w:pStyle w:val="TOC1"/>
            <w:tabs>
              <w:tab w:val="right" w:leader="dot" w:pos="9398"/>
            </w:tabs>
            <w:spacing w:before="40" w:after="40"/>
            <w:rPr>
              <w:b/>
              <w:noProof/>
              <w:lang w:eastAsia="en-AU"/>
            </w:rPr>
          </w:pPr>
          <w:hyperlink w:anchor="_Toc459276934" w:history="1">
            <w:r w:rsidR="002B17D0" w:rsidRPr="00D30F19">
              <w:rPr>
                <w:rStyle w:val="Hyperlink"/>
                <w:rFonts w:cstheme="minorHAnsi"/>
                <w:b/>
                <w:noProof/>
              </w:rPr>
              <w:t>Appendix D: Common assumptions used in CBA</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_Toc459276934 \h </w:instrText>
            </w:r>
            <w:r w:rsidR="002B17D0" w:rsidRPr="00D30F19">
              <w:rPr>
                <w:b/>
                <w:noProof/>
                <w:webHidden/>
              </w:rPr>
            </w:r>
            <w:r w:rsidR="002B17D0" w:rsidRPr="00D30F19">
              <w:rPr>
                <w:b/>
                <w:noProof/>
                <w:webHidden/>
              </w:rPr>
              <w:fldChar w:fldCharType="separate"/>
            </w:r>
            <w:r w:rsidR="0040088F">
              <w:rPr>
                <w:b/>
                <w:noProof/>
                <w:webHidden/>
              </w:rPr>
              <w:t>65</w:t>
            </w:r>
            <w:r w:rsidR="002B17D0" w:rsidRPr="00D30F19">
              <w:rPr>
                <w:b/>
                <w:noProof/>
                <w:webHidden/>
              </w:rPr>
              <w:fldChar w:fldCharType="end"/>
            </w:r>
          </w:hyperlink>
        </w:p>
        <w:p w:rsidR="002B17D0" w:rsidRPr="00D30F19" w:rsidRDefault="00CB69C0" w:rsidP="002B17D0">
          <w:pPr>
            <w:pStyle w:val="TOC1"/>
            <w:tabs>
              <w:tab w:val="right" w:leader="dot" w:pos="9398"/>
            </w:tabs>
            <w:spacing w:before="40" w:after="40"/>
            <w:rPr>
              <w:b/>
              <w:noProof/>
              <w:lang w:eastAsia="en-AU"/>
            </w:rPr>
          </w:pPr>
          <w:hyperlink w:anchor="_Toc459276935" w:history="1">
            <w:r w:rsidR="002B17D0" w:rsidRPr="00D30F19">
              <w:rPr>
                <w:rStyle w:val="Hyperlink"/>
                <w:rFonts w:cstheme="minorHAnsi"/>
                <w:b/>
                <w:noProof/>
              </w:rPr>
              <w:t>Appendix E: Regulatory Burden Measurement Framework Costings</w:t>
            </w:r>
            <w:r w:rsidR="002B17D0" w:rsidRPr="00D30F19">
              <w:rPr>
                <w:b/>
                <w:noProof/>
                <w:webHidden/>
              </w:rPr>
              <w:tab/>
            </w:r>
            <w:r w:rsidR="002B17D0" w:rsidRPr="00D30F19">
              <w:rPr>
                <w:b/>
                <w:noProof/>
                <w:webHidden/>
              </w:rPr>
              <w:fldChar w:fldCharType="begin"/>
            </w:r>
            <w:r w:rsidR="002B17D0" w:rsidRPr="00D30F19">
              <w:rPr>
                <w:b/>
                <w:noProof/>
                <w:webHidden/>
              </w:rPr>
              <w:instrText xml:space="preserve"> PAGEREF _Toc459276935 \h </w:instrText>
            </w:r>
            <w:r w:rsidR="002B17D0" w:rsidRPr="00D30F19">
              <w:rPr>
                <w:b/>
                <w:noProof/>
                <w:webHidden/>
              </w:rPr>
            </w:r>
            <w:r w:rsidR="002B17D0" w:rsidRPr="00D30F19">
              <w:rPr>
                <w:b/>
                <w:noProof/>
                <w:webHidden/>
              </w:rPr>
              <w:fldChar w:fldCharType="separate"/>
            </w:r>
            <w:r w:rsidR="0040088F">
              <w:rPr>
                <w:b/>
                <w:noProof/>
                <w:webHidden/>
              </w:rPr>
              <w:t>66</w:t>
            </w:r>
            <w:r w:rsidR="002B17D0" w:rsidRPr="00D30F19">
              <w:rPr>
                <w:b/>
                <w:noProof/>
                <w:webHidden/>
              </w:rPr>
              <w:fldChar w:fldCharType="end"/>
            </w:r>
          </w:hyperlink>
        </w:p>
        <w:p w:rsidR="00722AE0" w:rsidRPr="00536A47" w:rsidRDefault="00C32273" w:rsidP="002B17D0">
          <w:pPr>
            <w:pStyle w:val="TOC1"/>
            <w:tabs>
              <w:tab w:val="right" w:leader="dot" w:pos="9398"/>
            </w:tabs>
            <w:spacing w:before="40" w:after="40"/>
            <w:rPr>
              <w:rFonts w:cstheme="minorHAnsi"/>
              <w:noProof/>
            </w:rPr>
          </w:pPr>
          <w:r w:rsidRPr="00536A47">
            <w:rPr>
              <w:rFonts w:cstheme="minorHAnsi"/>
              <w:b/>
              <w:bCs/>
              <w:noProof/>
            </w:rPr>
            <w:fldChar w:fldCharType="end"/>
          </w:r>
        </w:p>
      </w:sdtContent>
    </w:sdt>
    <w:p w:rsidR="00722AE0" w:rsidRPr="0005799A" w:rsidRDefault="00722AE0" w:rsidP="00722AE0">
      <w:pPr>
        <w:pStyle w:val="Default"/>
      </w:pPr>
      <w:r w:rsidRPr="0005799A">
        <w:br w:type="page"/>
      </w:r>
      <w:bookmarkStart w:id="1" w:name="_Toc358795932"/>
      <w:bookmarkStart w:id="2" w:name="_Toc378143754"/>
    </w:p>
    <w:p w:rsidR="00722AE0" w:rsidRPr="00536A47" w:rsidRDefault="00722AE0" w:rsidP="00773093">
      <w:pPr>
        <w:pStyle w:val="Heading1"/>
        <w:rPr>
          <w:rFonts w:asciiTheme="minorHAnsi" w:hAnsiTheme="minorHAnsi" w:cstheme="minorHAnsi"/>
        </w:rPr>
      </w:pPr>
      <w:bookmarkStart w:id="3" w:name="_Toc459276883"/>
      <w:r w:rsidRPr="00536A47">
        <w:rPr>
          <w:rFonts w:asciiTheme="minorHAnsi" w:hAnsiTheme="minorHAnsi" w:cstheme="minorHAnsi"/>
        </w:rPr>
        <w:lastRenderedPageBreak/>
        <w:t>Executive Summary</w:t>
      </w:r>
      <w:bookmarkEnd w:id="3"/>
    </w:p>
    <w:p w:rsidR="00722AE0" w:rsidRPr="00C9446F" w:rsidRDefault="00722AE0" w:rsidP="0005799A">
      <w:r w:rsidRPr="00C9446F">
        <w:t>Lead has a wide range of biological effects, including on the developing foetus</w:t>
      </w:r>
      <w:r w:rsidR="000C1BBD">
        <w:t xml:space="preserve"> and young children</w:t>
      </w:r>
      <w:r w:rsidR="00226635">
        <w:t>. These effects</w:t>
      </w:r>
      <w:r w:rsidRPr="00C9446F">
        <w:t xml:space="preserve"> are directly related to the concentration of lead in the affected organ systems.</w:t>
      </w:r>
    </w:p>
    <w:p w:rsidR="0076551D" w:rsidRPr="00536A47" w:rsidRDefault="005A5D34" w:rsidP="000D478A">
      <w:pPr>
        <w:pStyle w:val="Paragraph1"/>
        <w:spacing w:before="120" w:after="120"/>
        <w:rPr>
          <w:rFonts w:asciiTheme="minorHAnsi" w:hAnsiTheme="minorHAnsi" w:cstheme="minorHAnsi"/>
        </w:rPr>
      </w:pPr>
      <w:r w:rsidRPr="00536A47">
        <w:rPr>
          <w:rFonts w:asciiTheme="minorHAnsi" w:hAnsiTheme="minorHAnsi" w:cstheme="minorHAnsi"/>
        </w:rPr>
        <w:t xml:space="preserve">The </w:t>
      </w:r>
      <w:r w:rsidR="00864CC6">
        <w:rPr>
          <w:rFonts w:asciiTheme="minorHAnsi" w:hAnsiTheme="minorHAnsi" w:cstheme="minorHAnsi"/>
        </w:rPr>
        <w:t xml:space="preserve">regulatory </w:t>
      </w:r>
      <w:r w:rsidRPr="00536A47">
        <w:rPr>
          <w:rFonts w:asciiTheme="minorHAnsi" w:hAnsiTheme="minorHAnsi" w:cstheme="minorHAnsi"/>
        </w:rPr>
        <w:t xml:space="preserve">thresholds for </w:t>
      </w:r>
      <w:r w:rsidR="00B861DA">
        <w:rPr>
          <w:rFonts w:asciiTheme="minorHAnsi" w:hAnsiTheme="minorHAnsi" w:cstheme="minorHAnsi"/>
        </w:rPr>
        <w:t xml:space="preserve">workplace </w:t>
      </w:r>
      <w:r w:rsidRPr="00536A47">
        <w:rPr>
          <w:rFonts w:asciiTheme="minorHAnsi" w:hAnsiTheme="minorHAnsi" w:cstheme="minorHAnsi"/>
        </w:rPr>
        <w:t>lead exposure are higher in Australia th</w:t>
      </w:r>
      <w:r w:rsidR="00B861DA">
        <w:rPr>
          <w:rFonts w:asciiTheme="minorHAnsi" w:hAnsiTheme="minorHAnsi" w:cstheme="minorHAnsi"/>
        </w:rPr>
        <w:t>an in many other countries. E</w:t>
      </w:r>
      <w:r w:rsidR="000D478A" w:rsidRPr="00536A47">
        <w:rPr>
          <w:rFonts w:asciiTheme="minorHAnsi" w:hAnsiTheme="minorHAnsi" w:cstheme="minorHAnsi"/>
        </w:rPr>
        <w:t xml:space="preserve">vidence </w:t>
      </w:r>
      <w:r w:rsidRPr="00536A47">
        <w:rPr>
          <w:rFonts w:asciiTheme="minorHAnsi" w:hAnsiTheme="minorHAnsi" w:cstheme="minorHAnsi"/>
        </w:rPr>
        <w:t xml:space="preserve">collected by Safe Work Australia </w:t>
      </w:r>
      <w:r w:rsidR="003C6019">
        <w:rPr>
          <w:rFonts w:asciiTheme="minorHAnsi" w:hAnsiTheme="minorHAnsi" w:cstheme="minorHAnsi"/>
        </w:rPr>
        <w:t>(SWA 2014</w:t>
      </w:r>
      <w:r w:rsidR="003A0AAE">
        <w:rPr>
          <w:rFonts w:asciiTheme="minorHAnsi" w:hAnsiTheme="minorHAnsi" w:cstheme="minorHAnsi"/>
        </w:rPr>
        <w:t>b</w:t>
      </w:r>
      <w:r w:rsidR="003C6019">
        <w:rPr>
          <w:rFonts w:asciiTheme="minorHAnsi" w:hAnsiTheme="minorHAnsi" w:cstheme="minorHAnsi"/>
        </w:rPr>
        <w:t>) indicates</w:t>
      </w:r>
      <w:r w:rsidR="000D478A" w:rsidRPr="00536A47">
        <w:rPr>
          <w:rFonts w:asciiTheme="minorHAnsi" w:hAnsiTheme="minorHAnsi" w:cstheme="minorHAnsi"/>
        </w:rPr>
        <w:t xml:space="preserve"> the current </w:t>
      </w:r>
      <w:r w:rsidR="003C6019">
        <w:rPr>
          <w:rFonts w:asciiTheme="minorHAnsi" w:hAnsiTheme="minorHAnsi" w:cstheme="minorHAnsi"/>
        </w:rPr>
        <w:t>blood lead removal levels and workplace exposure standard</w:t>
      </w:r>
      <w:r w:rsidR="000D478A" w:rsidRPr="00536A47">
        <w:rPr>
          <w:rFonts w:asciiTheme="minorHAnsi" w:hAnsiTheme="minorHAnsi" w:cstheme="minorHAnsi"/>
        </w:rPr>
        <w:t xml:space="preserve"> for </w:t>
      </w:r>
      <w:r w:rsidR="00226635">
        <w:rPr>
          <w:rFonts w:asciiTheme="minorHAnsi" w:hAnsiTheme="minorHAnsi" w:cstheme="minorHAnsi"/>
        </w:rPr>
        <w:t xml:space="preserve">dusts and fumes of </w:t>
      </w:r>
      <w:r w:rsidR="003C6019">
        <w:rPr>
          <w:rFonts w:asciiTheme="minorHAnsi" w:hAnsiTheme="minorHAnsi" w:cstheme="minorHAnsi"/>
        </w:rPr>
        <w:t xml:space="preserve">inorganic lead </w:t>
      </w:r>
      <w:r w:rsidR="000D478A" w:rsidRPr="00536A47">
        <w:rPr>
          <w:rFonts w:asciiTheme="minorHAnsi" w:hAnsiTheme="minorHAnsi" w:cstheme="minorHAnsi"/>
        </w:rPr>
        <w:t>are not adequate to protect the health and safety of lead process workers.</w:t>
      </w:r>
    </w:p>
    <w:p w:rsidR="0002395E" w:rsidRPr="00C9446F" w:rsidRDefault="0002395E" w:rsidP="0002395E">
      <w:r>
        <w:t>This Decision RIS aim</w:t>
      </w:r>
      <w:r w:rsidRPr="00C9446F">
        <w:t xml:space="preserve">s to assist Ministers responsible for Work Health and Safety in </w:t>
      </w:r>
      <w:r>
        <w:t>deciding</w:t>
      </w:r>
      <w:r w:rsidRPr="00C9446F">
        <w:t xml:space="preserve"> the best way to reduce the potential for adverse health outcomes caused by expo</w:t>
      </w:r>
      <w:r>
        <w:t xml:space="preserve">sure to lead in the workplace. </w:t>
      </w:r>
    </w:p>
    <w:p w:rsidR="005A5D34" w:rsidRPr="00C9446F" w:rsidRDefault="005A5D34" w:rsidP="0005799A">
      <w:r w:rsidRPr="00C9446F">
        <w:t xml:space="preserve">In December 2015, Safe Work Australia published a Consultation Regulation Impact Statement (RIS), which </w:t>
      </w:r>
      <w:r w:rsidR="0002395E">
        <w:t xml:space="preserve">proposed </w:t>
      </w:r>
      <w:r w:rsidRPr="00C9446F">
        <w:t xml:space="preserve">several options for decreasing the </w:t>
      </w:r>
      <w:r w:rsidR="00B70DBB">
        <w:t>regulatory</w:t>
      </w:r>
      <w:r w:rsidRPr="00C9446F">
        <w:t xml:space="preserve"> thresholds</w:t>
      </w:r>
      <w:r w:rsidR="00B70DBB">
        <w:t xml:space="preserve"> for lead</w:t>
      </w:r>
      <w:r w:rsidRPr="00C9446F">
        <w:t xml:space="preserve"> </w:t>
      </w:r>
      <w:r w:rsidR="0002395E">
        <w:t>in relation to</w:t>
      </w:r>
      <w:r w:rsidRPr="00C9446F">
        <w:t>:</w:t>
      </w:r>
    </w:p>
    <w:p w:rsidR="005A5D34" w:rsidRPr="00536A47" w:rsidRDefault="00B70DBB" w:rsidP="00186120">
      <w:pPr>
        <w:pStyle w:val="ListBullet"/>
        <w:numPr>
          <w:ilvl w:val="0"/>
          <w:numId w:val="12"/>
        </w:numPr>
        <w:rPr>
          <w:rFonts w:cstheme="minorHAnsi"/>
        </w:rPr>
      </w:pPr>
      <w:r>
        <w:rPr>
          <w:rFonts w:cstheme="minorHAnsi"/>
        </w:rPr>
        <w:t>t</w:t>
      </w:r>
      <w:r w:rsidR="005A5D34" w:rsidRPr="00536A47">
        <w:rPr>
          <w:rFonts w:cstheme="minorHAnsi"/>
        </w:rPr>
        <w:t xml:space="preserve">he </w:t>
      </w:r>
      <w:r>
        <w:rPr>
          <w:rFonts w:cstheme="minorHAnsi"/>
        </w:rPr>
        <w:t xml:space="preserve">threshold for </w:t>
      </w:r>
      <w:r w:rsidR="005A5D34" w:rsidRPr="00536A47">
        <w:rPr>
          <w:rFonts w:cstheme="minorHAnsi"/>
        </w:rPr>
        <w:t xml:space="preserve">blood lead </w:t>
      </w:r>
      <w:r>
        <w:rPr>
          <w:rFonts w:cstheme="minorHAnsi"/>
        </w:rPr>
        <w:t xml:space="preserve">removal </w:t>
      </w:r>
      <w:r w:rsidR="005A5D34" w:rsidRPr="00536A47">
        <w:rPr>
          <w:rFonts w:cstheme="minorHAnsi"/>
        </w:rPr>
        <w:t>level</w:t>
      </w:r>
      <w:r>
        <w:rPr>
          <w:rFonts w:cstheme="minorHAnsi"/>
        </w:rPr>
        <w:t>s</w:t>
      </w:r>
      <w:r w:rsidR="005A5D34" w:rsidRPr="00536A47">
        <w:rPr>
          <w:rFonts w:cstheme="minorHAnsi"/>
        </w:rPr>
        <w:t xml:space="preserve"> </w:t>
      </w:r>
      <w:r w:rsidR="000C1BBD">
        <w:rPr>
          <w:rFonts w:cstheme="minorHAnsi"/>
        </w:rPr>
        <w:t xml:space="preserve">and return to lead risk work blood lead levels </w:t>
      </w:r>
      <w:r>
        <w:rPr>
          <w:rFonts w:cstheme="minorHAnsi"/>
        </w:rPr>
        <w:t xml:space="preserve">for males, females not of reproductive capacity, females of reproductive capacity </w:t>
      </w:r>
      <w:r w:rsidR="005D6180">
        <w:rPr>
          <w:rFonts w:cstheme="minorHAnsi"/>
        </w:rPr>
        <w:t>including those</w:t>
      </w:r>
      <w:r>
        <w:rPr>
          <w:rFonts w:cstheme="minorHAnsi"/>
        </w:rPr>
        <w:t xml:space="preserve"> who are pregnant or breastfeeding </w:t>
      </w:r>
      <w:r w:rsidR="005A5D34" w:rsidRPr="00536A47">
        <w:rPr>
          <w:rFonts w:cstheme="minorHAnsi"/>
        </w:rPr>
        <w:t>(measured as microgra</w:t>
      </w:r>
      <w:r w:rsidR="000C1BBD">
        <w:rPr>
          <w:rFonts w:cstheme="minorHAnsi"/>
        </w:rPr>
        <w:t xml:space="preserve">ms of lead per 100 mL of blood; </w:t>
      </w:r>
      <w:r w:rsidR="005A5D34" w:rsidRPr="00536A47">
        <w:rPr>
          <w:rFonts w:cstheme="minorHAnsi"/>
        </w:rPr>
        <w:t>μg/dL), and</w:t>
      </w:r>
    </w:p>
    <w:p w:rsidR="005A5D34" w:rsidRPr="00536A47" w:rsidRDefault="00B70DBB" w:rsidP="00186120">
      <w:pPr>
        <w:pStyle w:val="ListBullet"/>
        <w:numPr>
          <w:ilvl w:val="0"/>
          <w:numId w:val="12"/>
        </w:numPr>
        <w:rPr>
          <w:rFonts w:cstheme="minorHAnsi"/>
        </w:rPr>
      </w:pPr>
      <w:r>
        <w:rPr>
          <w:rFonts w:cstheme="minorHAnsi"/>
        </w:rPr>
        <w:t>the w</w:t>
      </w:r>
      <w:r w:rsidR="005A5D34" w:rsidRPr="00536A47">
        <w:rPr>
          <w:rFonts w:cstheme="minorHAnsi"/>
        </w:rPr>
        <w:t>orkplace exposure standard for airborne lead contaminants (</w:t>
      </w:r>
      <w:r>
        <w:rPr>
          <w:rFonts w:cstheme="minorHAnsi"/>
        </w:rPr>
        <w:t xml:space="preserve">dusts and fumes; </w:t>
      </w:r>
      <w:r w:rsidR="005A5D34" w:rsidRPr="00536A47">
        <w:rPr>
          <w:rFonts w:cstheme="minorHAnsi"/>
        </w:rPr>
        <w:t xml:space="preserve">measured as micrograms </w:t>
      </w:r>
      <w:r w:rsidR="000C1BBD">
        <w:rPr>
          <w:rFonts w:cstheme="minorHAnsi"/>
        </w:rPr>
        <w:t xml:space="preserve">of lead per cubic metre of air; </w:t>
      </w:r>
      <w:r w:rsidR="005A5D34" w:rsidRPr="00536A47">
        <w:rPr>
          <w:rFonts w:cstheme="minorHAnsi"/>
        </w:rPr>
        <w:t>mg/m</w:t>
      </w:r>
      <w:r w:rsidR="005A5D34" w:rsidRPr="00536A47">
        <w:rPr>
          <w:rFonts w:cstheme="minorHAnsi"/>
          <w:vertAlign w:val="superscript"/>
        </w:rPr>
        <w:t>3</w:t>
      </w:r>
      <w:r w:rsidR="005A5D34" w:rsidRPr="00536A47">
        <w:rPr>
          <w:rFonts w:cstheme="minorHAnsi"/>
        </w:rPr>
        <w:t>).</w:t>
      </w:r>
    </w:p>
    <w:p w:rsidR="00722AE0" w:rsidRPr="00E705D4" w:rsidRDefault="0002395E" w:rsidP="000D0502">
      <w:pPr>
        <w:pStyle w:val="Heading3"/>
        <w:rPr>
          <w:rStyle w:val="Strong"/>
          <w:b/>
          <w:bCs w:val="0"/>
        </w:rPr>
      </w:pPr>
      <w:r w:rsidRPr="00E705D4">
        <w:rPr>
          <w:rStyle w:val="Strong"/>
          <w:b/>
          <w:bCs w:val="0"/>
        </w:rPr>
        <w:t xml:space="preserve">Options for </w:t>
      </w:r>
      <w:r w:rsidR="0078094C" w:rsidRPr="00E705D4">
        <w:rPr>
          <w:rStyle w:val="Strong"/>
          <w:b/>
          <w:bCs w:val="0"/>
        </w:rPr>
        <w:t>b</w:t>
      </w:r>
      <w:r w:rsidR="00722AE0" w:rsidRPr="00E705D4">
        <w:rPr>
          <w:rStyle w:val="Strong"/>
          <w:b/>
          <w:bCs w:val="0"/>
        </w:rPr>
        <w:t xml:space="preserve">lood lead </w:t>
      </w:r>
      <w:r w:rsidR="00B70DBB" w:rsidRPr="00E705D4">
        <w:rPr>
          <w:rStyle w:val="Strong"/>
          <w:b/>
          <w:bCs w:val="0"/>
        </w:rPr>
        <w:t xml:space="preserve">removal </w:t>
      </w:r>
      <w:r w:rsidR="00722AE0" w:rsidRPr="00E705D4">
        <w:rPr>
          <w:rStyle w:val="Strong"/>
          <w:b/>
          <w:bCs w:val="0"/>
        </w:rPr>
        <w:t>levels</w:t>
      </w:r>
    </w:p>
    <w:p w:rsidR="0002395E" w:rsidRPr="0069565C" w:rsidRDefault="0002395E" w:rsidP="000D0502">
      <w:pPr>
        <w:rPr>
          <w:rFonts w:eastAsia="Times New Roman"/>
          <w:b/>
          <w:bCs/>
          <w:iCs/>
          <w:lang w:eastAsia="en-AU"/>
        </w:rPr>
      </w:pPr>
      <w:r>
        <w:rPr>
          <w:rFonts w:eastAsia="Times New Roman"/>
          <w:lang w:eastAsia="en-AU"/>
        </w:rPr>
        <w:t xml:space="preserve">The Consultation RIS proposed the following </w:t>
      </w:r>
      <w:r w:rsidRPr="0069565C">
        <w:rPr>
          <w:rFonts w:eastAsia="Times New Roman"/>
          <w:lang w:eastAsia="en-AU"/>
        </w:rPr>
        <w:t>options for blo</w:t>
      </w:r>
      <w:r>
        <w:rPr>
          <w:rFonts w:eastAsia="Times New Roman"/>
          <w:lang w:eastAsia="en-AU"/>
        </w:rPr>
        <w:t>o</w:t>
      </w:r>
      <w:r w:rsidRPr="0069565C">
        <w:rPr>
          <w:rFonts w:eastAsia="Times New Roman"/>
          <w:lang w:eastAsia="en-AU"/>
        </w:rPr>
        <w:t>d lead removal levels for lead risk workers:</w:t>
      </w:r>
    </w:p>
    <w:p w:rsidR="0002395E" w:rsidRPr="00536A47" w:rsidRDefault="0002395E" w:rsidP="0002395E">
      <w:pPr>
        <w:pStyle w:val="ListBullet"/>
        <w:rPr>
          <w:rFonts w:cstheme="minorHAnsi"/>
        </w:rPr>
      </w:pPr>
      <w:r w:rsidRPr="00263C91">
        <w:rPr>
          <w:rFonts w:cstheme="minorHAnsi"/>
          <w:b/>
        </w:rPr>
        <w:t>Option 1</w:t>
      </w:r>
      <w:r w:rsidRPr="00536A47">
        <w:rPr>
          <w:rFonts w:cstheme="minorHAnsi"/>
        </w:rPr>
        <w:t>: Status quo (no changes to mandated blood lead removal levels)</w:t>
      </w:r>
    </w:p>
    <w:p w:rsidR="0002395E" w:rsidRPr="00536A47" w:rsidRDefault="0002395E" w:rsidP="0002395E">
      <w:pPr>
        <w:pStyle w:val="ListBullet"/>
        <w:rPr>
          <w:rFonts w:cstheme="minorHAnsi"/>
        </w:rPr>
      </w:pPr>
      <w:r w:rsidRPr="00263C91">
        <w:rPr>
          <w:rFonts w:cstheme="minorHAnsi"/>
          <w:b/>
        </w:rPr>
        <w:t>Option 2</w:t>
      </w:r>
      <w:r w:rsidRPr="00536A47">
        <w:rPr>
          <w:rFonts w:cstheme="minorHAnsi"/>
        </w:rPr>
        <w:t xml:space="preserve">: </w:t>
      </w:r>
      <w:r>
        <w:rPr>
          <w:rFonts w:cstheme="minorHAnsi"/>
        </w:rPr>
        <w:t>Reducing</w:t>
      </w:r>
      <w:r w:rsidRPr="00536A47">
        <w:rPr>
          <w:rFonts w:cstheme="minorHAnsi"/>
        </w:rPr>
        <w:t xml:space="preserve"> mandated blood lead removal levels and related requirements to reflect epidemiological and toxicological evidence:</w:t>
      </w:r>
    </w:p>
    <w:p w:rsidR="0002395E" w:rsidRDefault="0002395E" w:rsidP="0002395E">
      <w:pPr>
        <w:pStyle w:val="ListBullet2"/>
        <w:numPr>
          <w:ilvl w:val="1"/>
          <w:numId w:val="3"/>
        </w:numPr>
        <w:rPr>
          <w:rFonts w:cstheme="minorHAnsi"/>
        </w:rPr>
      </w:pPr>
      <w:r w:rsidRPr="00536A47">
        <w:rPr>
          <w:rFonts w:cstheme="minorHAnsi"/>
        </w:rPr>
        <w:t xml:space="preserve">a 20 μg/dL (target level) and 30 μg/dL (removal level) for females </w:t>
      </w:r>
      <w:r>
        <w:rPr>
          <w:rFonts w:cstheme="minorHAnsi"/>
        </w:rPr>
        <w:t xml:space="preserve">not </w:t>
      </w:r>
      <w:r w:rsidRPr="00536A47">
        <w:rPr>
          <w:rFonts w:cstheme="minorHAnsi"/>
        </w:rPr>
        <w:t>of</w:t>
      </w:r>
      <w:r w:rsidRPr="00536A47">
        <w:rPr>
          <w:rFonts w:cstheme="minorHAnsi"/>
        </w:rPr>
        <w:tab/>
        <w:t xml:space="preserve">reproductive capacity and </w:t>
      </w:r>
      <w:r>
        <w:rPr>
          <w:rFonts w:cstheme="minorHAnsi"/>
        </w:rPr>
        <w:t>males, and</w:t>
      </w:r>
    </w:p>
    <w:p w:rsidR="0002395E" w:rsidRPr="00536A47" w:rsidRDefault="0002395E" w:rsidP="0002395E">
      <w:pPr>
        <w:pStyle w:val="ListBullet2"/>
        <w:numPr>
          <w:ilvl w:val="1"/>
          <w:numId w:val="3"/>
        </w:numPr>
        <w:rPr>
          <w:rFonts w:cstheme="minorHAnsi"/>
        </w:rPr>
      </w:pPr>
      <w:r w:rsidRPr="00536A47">
        <w:rPr>
          <w:rFonts w:cstheme="minorHAnsi"/>
        </w:rPr>
        <w:t>10 μg/dL r</w:t>
      </w:r>
      <w:r>
        <w:rPr>
          <w:rFonts w:cstheme="minorHAnsi"/>
        </w:rPr>
        <w:t xml:space="preserve">emoval level for females </w:t>
      </w:r>
      <w:r w:rsidRPr="00536A47">
        <w:rPr>
          <w:rFonts w:cstheme="minorHAnsi"/>
        </w:rPr>
        <w:t>of reproductive capacity</w:t>
      </w:r>
      <w:r>
        <w:rPr>
          <w:rStyle w:val="FootnoteReference"/>
          <w:rFonts w:cstheme="minorHAnsi"/>
        </w:rPr>
        <w:footnoteReference w:id="1"/>
      </w:r>
      <w:r w:rsidRPr="00536A47">
        <w:rPr>
          <w:rFonts w:cstheme="minorHAnsi"/>
        </w:rPr>
        <w:t>.</w:t>
      </w:r>
    </w:p>
    <w:p w:rsidR="0002395E" w:rsidRPr="00536A47" w:rsidRDefault="0002395E" w:rsidP="0002395E">
      <w:pPr>
        <w:pStyle w:val="ListBullet"/>
        <w:rPr>
          <w:rFonts w:cstheme="minorHAnsi"/>
        </w:rPr>
      </w:pPr>
      <w:r w:rsidRPr="00263C91">
        <w:rPr>
          <w:rFonts w:cstheme="minorHAnsi"/>
          <w:b/>
        </w:rPr>
        <w:t>Option 3</w:t>
      </w:r>
      <w:r w:rsidRPr="00536A47">
        <w:rPr>
          <w:rFonts w:cstheme="minorHAnsi"/>
        </w:rPr>
        <w:t>: Gender neutral blood lead removal level</w:t>
      </w:r>
      <w:r>
        <w:rPr>
          <w:rFonts w:cstheme="minorHAnsi"/>
        </w:rPr>
        <w:t xml:space="preserve"> to protect the most vulnerable sub-population</w:t>
      </w:r>
      <w:r w:rsidRPr="00536A47">
        <w:rPr>
          <w:rFonts w:cstheme="minorHAnsi"/>
        </w:rPr>
        <w:t>:</w:t>
      </w:r>
    </w:p>
    <w:p w:rsidR="0002395E" w:rsidRPr="00843B26" w:rsidRDefault="0002395E" w:rsidP="0002395E">
      <w:pPr>
        <w:pStyle w:val="ListBullet2"/>
        <w:numPr>
          <w:ilvl w:val="1"/>
          <w:numId w:val="3"/>
        </w:numPr>
        <w:rPr>
          <w:rFonts w:cstheme="minorHAnsi"/>
        </w:rPr>
      </w:pPr>
      <w:r w:rsidRPr="00536A47">
        <w:rPr>
          <w:rFonts w:cstheme="minorHAnsi"/>
        </w:rPr>
        <w:tab/>
        <w:t>a 10 μg/dL removal level for all workers.</w:t>
      </w:r>
    </w:p>
    <w:p w:rsidR="00722AE0" w:rsidRPr="00E705D4" w:rsidRDefault="0002395E" w:rsidP="00E77182">
      <w:pPr>
        <w:pStyle w:val="Heading3"/>
        <w:rPr>
          <w:rStyle w:val="Strong"/>
          <w:b/>
          <w:bCs w:val="0"/>
        </w:rPr>
      </w:pPr>
      <w:r w:rsidRPr="00E705D4">
        <w:rPr>
          <w:rStyle w:val="Strong"/>
          <w:b/>
          <w:bCs w:val="0"/>
        </w:rPr>
        <w:t>O</w:t>
      </w:r>
      <w:r w:rsidR="0078094C" w:rsidRPr="00E705D4">
        <w:rPr>
          <w:rStyle w:val="Strong"/>
          <w:b/>
          <w:bCs w:val="0"/>
        </w:rPr>
        <w:t xml:space="preserve">ptions </w:t>
      </w:r>
      <w:r w:rsidR="009633A2" w:rsidRPr="00E705D4">
        <w:rPr>
          <w:rStyle w:val="Strong"/>
          <w:b/>
          <w:bCs w:val="0"/>
        </w:rPr>
        <w:t>for</w:t>
      </w:r>
      <w:r w:rsidR="0078094C" w:rsidRPr="00E705D4">
        <w:rPr>
          <w:rStyle w:val="Strong"/>
          <w:b/>
          <w:bCs w:val="0"/>
        </w:rPr>
        <w:t xml:space="preserve"> </w:t>
      </w:r>
      <w:r w:rsidR="00FF1A06" w:rsidRPr="00E705D4">
        <w:rPr>
          <w:rStyle w:val="Strong"/>
          <w:b/>
          <w:bCs w:val="0"/>
        </w:rPr>
        <w:t>workplace exposure standard</w:t>
      </w:r>
    </w:p>
    <w:p w:rsidR="0002395E" w:rsidRPr="00536A47" w:rsidRDefault="009633A2" w:rsidP="0002395E">
      <w:pPr>
        <w:autoSpaceDE w:val="0"/>
        <w:autoSpaceDN w:val="0"/>
        <w:adjustRightInd w:val="0"/>
        <w:spacing w:line="201" w:lineRule="atLeast"/>
        <w:rPr>
          <w:rFonts w:cstheme="minorHAnsi"/>
        </w:rPr>
      </w:pPr>
      <w:r w:rsidRPr="009633A2">
        <w:rPr>
          <w:rFonts w:cstheme="minorHAnsi"/>
        </w:rPr>
        <w:t xml:space="preserve">The Consultation RIS proposed the following </w:t>
      </w:r>
      <w:r w:rsidR="0002395E">
        <w:rPr>
          <w:rFonts w:cstheme="minorHAnsi"/>
        </w:rPr>
        <w:t>o</w:t>
      </w:r>
      <w:r w:rsidR="0002395E" w:rsidRPr="00536A47">
        <w:rPr>
          <w:rFonts w:cstheme="minorHAnsi"/>
        </w:rPr>
        <w:t>ptions for the Australian Workplace Exposure Standard (WES) for</w:t>
      </w:r>
      <w:r w:rsidR="0002395E">
        <w:rPr>
          <w:rFonts w:cstheme="minorHAnsi"/>
        </w:rPr>
        <w:t xml:space="preserve"> dusts and fumes of inorganic</w:t>
      </w:r>
      <w:r w:rsidR="0002395E" w:rsidRPr="00536A47">
        <w:rPr>
          <w:rFonts w:cstheme="minorHAnsi"/>
        </w:rPr>
        <w:t xml:space="preserve"> lead:</w:t>
      </w:r>
    </w:p>
    <w:p w:rsidR="0002395E" w:rsidRPr="00536A47" w:rsidRDefault="0002395E" w:rsidP="0002395E">
      <w:pPr>
        <w:pStyle w:val="ListBullet"/>
        <w:rPr>
          <w:rFonts w:cstheme="minorHAnsi"/>
        </w:rPr>
      </w:pPr>
      <w:r w:rsidRPr="00263C91">
        <w:rPr>
          <w:rFonts w:cstheme="minorHAnsi"/>
          <w:b/>
        </w:rPr>
        <w:t>Option 1</w:t>
      </w:r>
      <w:r w:rsidRPr="00536A47">
        <w:rPr>
          <w:rFonts w:cstheme="minorHAnsi"/>
        </w:rPr>
        <w:t>: Status quo (</w:t>
      </w:r>
      <w:r>
        <w:rPr>
          <w:rFonts w:cstheme="minorHAnsi"/>
        </w:rPr>
        <w:t xml:space="preserve">retain a </w:t>
      </w:r>
      <w:r w:rsidRPr="00536A47">
        <w:rPr>
          <w:rFonts w:cstheme="minorHAnsi"/>
        </w:rPr>
        <w:t>workplace exposure standard of 0.15 mg/m</w:t>
      </w:r>
      <w:r w:rsidRPr="00536A47">
        <w:rPr>
          <w:rFonts w:cstheme="minorHAnsi"/>
          <w:vertAlign w:val="superscript"/>
        </w:rPr>
        <w:t>3</w:t>
      </w:r>
      <w:r w:rsidRPr="00536A47">
        <w:rPr>
          <w:rFonts w:cstheme="minorHAnsi"/>
        </w:rPr>
        <w:t>)</w:t>
      </w:r>
    </w:p>
    <w:p w:rsidR="0002395E" w:rsidRPr="00536A47" w:rsidRDefault="0002395E" w:rsidP="0002395E">
      <w:pPr>
        <w:pStyle w:val="ListBullet"/>
        <w:rPr>
          <w:rFonts w:cstheme="minorHAnsi"/>
        </w:rPr>
      </w:pPr>
      <w:r w:rsidRPr="00263C91">
        <w:rPr>
          <w:rFonts w:cstheme="minorHAnsi"/>
          <w:b/>
        </w:rPr>
        <w:t>Option 2</w:t>
      </w:r>
      <w:r w:rsidRPr="00536A47">
        <w:rPr>
          <w:rFonts w:cstheme="minorHAnsi"/>
        </w:rPr>
        <w:t xml:space="preserve">: </w:t>
      </w:r>
      <w:r>
        <w:rPr>
          <w:rFonts w:cstheme="minorHAnsi"/>
        </w:rPr>
        <w:t>Reduce the w</w:t>
      </w:r>
      <w:r w:rsidRPr="00536A47">
        <w:rPr>
          <w:rFonts w:cstheme="minorHAnsi"/>
        </w:rPr>
        <w:t xml:space="preserve">orkplace exposure standard </w:t>
      </w:r>
      <w:r>
        <w:rPr>
          <w:rFonts w:cstheme="minorHAnsi"/>
        </w:rPr>
        <w:t>to</w:t>
      </w:r>
      <w:r w:rsidRPr="00536A47">
        <w:rPr>
          <w:rFonts w:cstheme="minorHAnsi"/>
        </w:rPr>
        <w:t xml:space="preserve"> 0.05 mg/m</w:t>
      </w:r>
      <w:r w:rsidRPr="00536A47">
        <w:rPr>
          <w:rFonts w:cstheme="minorHAnsi"/>
          <w:vertAlign w:val="superscript"/>
        </w:rPr>
        <w:t>3</w:t>
      </w:r>
    </w:p>
    <w:p w:rsidR="0002395E" w:rsidRPr="00536A47" w:rsidRDefault="0002395E" w:rsidP="0002395E">
      <w:pPr>
        <w:pStyle w:val="ListBullet"/>
        <w:rPr>
          <w:rFonts w:cstheme="minorHAnsi"/>
        </w:rPr>
      </w:pPr>
      <w:r w:rsidRPr="00263C91">
        <w:rPr>
          <w:rFonts w:cstheme="minorHAnsi"/>
          <w:b/>
        </w:rPr>
        <w:t>Option 3</w:t>
      </w:r>
      <w:r w:rsidRPr="00536A47">
        <w:rPr>
          <w:rFonts w:cstheme="minorHAnsi"/>
        </w:rPr>
        <w:t xml:space="preserve">: </w:t>
      </w:r>
      <w:r>
        <w:rPr>
          <w:rFonts w:cstheme="minorHAnsi"/>
        </w:rPr>
        <w:t>Reduce the w</w:t>
      </w:r>
      <w:r w:rsidRPr="00536A47">
        <w:rPr>
          <w:rFonts w:cstheme="minorHAnsi"/>
        </w:rPr>
        <w:t xml:space="preserve">orkplace exposure standard </w:t>
      </w:r>
      <w:r>
        <w:rPr>
          <w:rFonts w:cstheme="minorHAnsi"/>
        </w:rPr>
        <w:t xml:space="preserve">to </w:t>
      </w:r>
      <w:r w:rsidRPr="00536A47">
        <w:rPr>
          <w:rFonts w:cstheme="minorHAnsi"/>
        </w:rPr>
        <w:t>0.01 mg/m</w:t>
      </w:r>
      <w:r w:rsidRPr="00536A47">
        <w:rPr>
          <w:rFonts w:cstheme="minorHAnsi"/>
          <w:vertAlign w:val="superscript"/>
        </w:rPr>
        <w:t>3</w:t>
      </w:r>
      <w:r>
        <w:rPr>
          <w:rFonts w:cstheme="minorHAnsi"/>
          <w:vertAlign w:val="superscript"/>
        </w:rPr>
        <w:t xml:space="preserve"> </w:t>
      </w:r>
    </w:p>
    <w:p w:rsidR="0002395E" w:rsidRPr="00843B26" w:rsidRDefault="0002395E" w:rsidP="0002395E">
      <w:pPr>
        <w:pStyle w:val="ListBullet"/>
        <w:rPr>
          <w:rFonts w:cstheme="minorHAnsi"/>
        </w:rPr>
      </w:pPr>
      <w:r w:rsidRPr="00263C91">
        <w:rPr>
          <w:rFonts w:cstheme="minorHAnsi"/>
          <w:b/>
        </w:rPr>
        <w:t>Option 4</w:t>
      </w:r>
      <w:r w:rsidRPr="00536A47">
        <w:rPr>
          <w:rFonts w:cstheme="minorHAnsi"/>
        </w:rPr>
        <w:t>: Non-regulatory approach (non-mandatory) work airborne level of 0.15 mg/m</w:t>
      </w:r>
      <w:r w:rsidRPr="00536A47">
        <w:rPr>
          <w:rFonts w:cstheme="minorHAnsi"/>
          <w:vertAlign w:val="superscript"/>
        </w:rPr>
        <w:t>3</w:t>
      </w:r>
      <w:r w:rsidRPr="00536A47">
        <w:rPr>
          <w:rFonts w:cstheme="minorHAnsi"/>
        </w:rPr>
        <w:t>, 0.05 mg/m</w:t>
      </w:r>
      <w:r w:rsidRPr="00536A47">
        <w:rPr>
          <w:rFonts w:cstheme="minorHAnsi"/>
          <w:vertAlign w:val="superscript"/>
        </w:rPr>
        <w:t>3</w:t>
      </w:r>
      <w:r w:rsidRPr="00536A47">
        <w:rPr>
          <w:rFonts w:cstheme="minorHAnsi"/>
        </w:rPr>
        <w:t xml:space="preserve"> or 0.01 mg/m</w:t>
      </w:r>
      <w:r w:rsidRPr="00536A47">
        <w:rPr>
          <w:rFonts w:cstheme="minorHAnsi"/>
          <w:vertAlign w:val="superscript"/>
        </w:rPr>
        <w:t>3</w:t>
      </w:r>
      <w:r w:rsidRPr="00536A47">
        <w:rPr>
          <w:rFonts w:cstheme="minorHAnsi"/>
        </w:rPr>
        <w:t xml:space="preserve"> depe</w:t>
      </w:r>
      <w:r>
        <w:rPr>
          <w:rFonts w:cstheme="minorHAnsi"/>
        </w:rPr>
        <w:t>ndant on the preferred blood lead removal level option.</w:t>
      </w:r>
      <w:r w:rsidRPr="00536A47">
        <w:rPr>
          <w:rFonts w:cstheme="minorHAnsi"/>
        </w:rPr>
        <w:t xml:space="preserve"> </w:t>
      </w:r>
    </w:p>
    <w:p w:rsidR="00C82781" w:rsidRDefault="00C82781">
      <w:pPr>
        <w:rPr>
          <w:rStyle w:val="Strong"/>
          <w:rFonts w:asciiTheme="majorHAnsi" w:eastAsiaTheme="majorEastAsia" w:hAnsiTheme="majorHAnsi" w:cstheme="majorBidi"/>
          <w:bCs w:val="0"/>
          <w:i/>
          <w:iCs/>
        </w:rPr>
      </w:pPr>
      <w:r>
        <w:rPr>
          <w:rStyle w:val="Strong"/>
          <w:b w:val="0"/>
        </w:rPr>
        <w:br w:type="page"/>
      </w:r>
    </w:p>
    <w:p w:rsidR="0078094C" w:rsidRPr="00E705D4" w:rsidRDefault="000C1BBD" w:rsidP="00E77182">
      <w:pPr>
        <w:pStyle w:val="Heading3"/>
        <w:rPr>
          <w:rStyle w:val="Strong"/>
          <w:b/>
        </w:rPr>
      </w:pPr>
      <w:r w:rsidRPr="00E705D4">
        <w:rPr>
          <w:rStyle w:val="Strong"/>
          <w:b/>
        </w:rPr>
        <w:lastRenderedPageBreak/>
        <w:t>Regulatory i</w:t>
      </w:r>
      <w:r w:rsidR="0078094C" w:rsidRPr="00E705D4">
        <w:rPr>
          <w:rStyle w:val="Strong"/>
          <w:b/>
        </w:rPr>
        <w:t>mpact analysis and preferred options</w:t>
      </w:r>
    </w:p>
    <w:p w:rsidR="00770FA9" w:rsidRDefault="00770FA9" w:rsidP="0005799A">
      <w:r>
        <w:t xml:space="preserve">Safe Work Australia received 30 responses from industry and interest groups across a wide range of lead process workplaces. </w:t>
      </w:r>
      <w:r w:rsidRPr="00C9446F">
        <w:t>Targeted follow-up consultations were</w:t>
      </w:r>
      <w:r>
        <w:t xml:space="preserve"> also</w:t>
      </w:r>
      <w:r w:rsidRPr="00C9446F">
        <w:t xml:space="preserve"> conducted </w:t>
      </w:r>
      <w:r>
        <w:t>to clarify responses and</w:t>
      </w:r>
      <w:r w:rsidRPr="00C9446F">
        <w:t xml:space="preserve"> to fill any information gaps. </w:t>
      </w:r>
      <w:r>
        <w:t>Data was collected from jurisdictional health departments to assist with quantifying the cost of compliance.</w:t>
      </w:r>
    </w:p>
    <w:p w:rsidR="0078094C" w:rsidRPr="00C9446F" w:rsidRDefault="009633A2" w:rsidP="0005799A">
      <w:r w:rsidRPr="00C9446F">
        <w:t>This Decision RIS analyse</w:t>
      </w:r>
      <w:r>
        <w:t>s</w:t>
      </w:r>
      <w:r w:rsidRPr="00C9446F">
        <w:t xml:space="preserve"> the options proposed </w:t>
      </w:r>
      <w:r>
        <w:t>in</w:t>
      </w:r>
      <w:r w:rsidRPr="00C9446F">
        <w:t xml:space="preserve"> the Consultation RIS</w:t>
      </w:r>
      <w:r>
        <w:t xml:space="preserve"> based on both quantitative cost benefit analysis and qualitative analysis of information provided during the consultation process.</w:t>
      </w:r>
      <w:r w:rsidRPr="00C9446F">
        <w:t xml:space="preserve"> </w:t>
      </w:r>
      <w:r w:rsidR="006E58E9" w:rsidRPr="00C9446F">
        <w:t xml:space="preserve">In accordance with the COAG Best Practice </w:t>
      </w:r>
      <w:r w:rsidR="001E5347">
        <w:t>G</w:t>
      </w:r>
      <w:r w:rsidR="006E58E9" w:rsidRPr="00C9446F">
        <w:t xml:space="preserve">uidelines, the Decision RIS recommends the options which provide the greatest net benefit to business and the community. </w:t>
      </w:r>
    </w:p>
    <w:p w:rsidR="00C228C7" w:rsidRPr="00E77182" w:rsidRDefault="00B969C2" w:rsidP="00E77182">
      <w:pPr>
        <w:pStyle w:val="Heading4"/>
      </w:pPr>
      <w:r w:rsidRPr="00E77182">
        <w:t>Blood lead removal level</w:t>
      </w:r>
      <w:r w:rsidR="00C228C7" w:rsidRPr="00E77182">
        <w:t>s</w:t>
      </w:r>
    </w:p>
    <w:p w:rsidR="00C228C7" w:rsidRPr="00E77182" w:rsidRDefault="00C228C7" w:rsidP="00E77182">
      <w:pPr>
        <w:pStyle w:val="Heading5"/>
      </w:pPr>
      <w:r w:rsidRPr="00E77182">
        <w:t xml:space="preserve">Option 2: </w:t>
      </w:r>
      <w:r w:rsidR="008739C9" w:rsidRPr="00E77182">
        <w:t>Reduction in mandated blood lead levels</w:t>
      </w:r>
    </w:p>
    <w:p w:rsidR="00770FA9" w:rsidRDefault="00770FA9" w:rsidP="00770FA9">
      <w:pPr>
        <w:spacing w:before="60" w:after="60"/>
      </w:pPr>
      <w:r>
        <w:t>This option was supported by a majority of submissions that indicated a preference. Of the public submissions one did not support this option due to ‘severe’ financial impacts</w:t>
      </w:r>
      <w:r w:rsidR="0097637D">
        <w:t xml:space="preserve"> and one did not </w:t>
      </w:r>
      <w:r w:rsidR="00482EF7">
        <w:t>believe</w:t>
      </w:r>
      <w:r w:rsidR="0097637D">
        <w:t xml:space="preserve"> the option was protective enough</w:t>
      </w:r>
      <w:r>
        <w:t xml:space="preserve">. </w:t>
      </w:r>
    </w:p>
    <w:p w:rsidR="00C01804" w:rsidRDefault="003A6DA0" w:rsidP="00C9446F">
      <w:pPr>
        <w:spacing w:before="60" w:after="60"/>
      </w:pPr>
      <w:r>
        <w:t xml:space="preserve">Submissions from regulators </w:t>
      </w:r>
      <w:r w:rsidR="0059721E">
        <w:t>and t</w:t>
      </w:r>
      <w:r w:rsidR="00C01804">
        <w:t xml:space="preserve">argeted interviews indicated that approximately </w:t>
      </w:r>
      <w:r w:rsidR="00502F13">
        <w:t>7</w:t>
      </w:r>
      <w:r w:rsidR="00C01804">
        <w:t xml:space="preserve">0 per cent of businesses are already meeting the </w:t>
      </w:r>
      <w:r w:rsidR="00770FA9">
        <w:t xml:space="preserve">Option 2 </w:t>
      </w:r>
      <w:r w:rsidR="00C01804">
        <w:t>proposed t</w:t>
      </w:r>
      <w:r w:rsidR="00502F13">
        <w:t>hresholds</w:t>
      </w:r>
      <w:r w:rsidR="00C01804">
        <w:t xml:space="preserve">. The key concern around the adoption of this </w:t>
      </w:r>
      <w:r w:rsidR="00770FA9">
        <w:t>proposal</w:t>
      </w:r>
      <w:r w:rsidR="00C01804">
        <w:t xml:space="preserve"> revolved around the process of changing internal target values and the time needed for workers once removed to have blood lead level results below the target levels.</w:t>
      </w:r>
    </w:p>
    <w:p w:rsidR="001F0658" w:rsidRDefault="004413EF" w:rsidP="00C01804">
      <w:pPr>
        <w:spacing w:before="60" w:after="60"/>
      </w:pPr>
      <w:r>
        <w:t xml:space="preserve">The </w:t>
      </w:r>
      <w:r w:rsidR="00D13871">
        <w:t>cost benefit analysis</w:t>
      </w:r>
      <w:r>
        <w:t xml:space="preserve"> showed</w:t>
      </w:r>
      <w:r w:rsidR="001F0658">
        <w:t>:</w:t>
      </w:r>
    </w:p>
    <w:p w:rsidR="001F0658" w:rsidRDefault="001F0658" w:rsidP="00263482">
      <w:pPr>
        <w:pStyle w:val="ListParagraph"/>
        <w:numPr>
          <w:ilvl w:val="0"/>
          <w:numId w:val="19"/>
        </w:numPr>
        <w:spacing w:before="60" w:after="60"/>
      </w:pPr>
      <w:r>
        <w:t>quantifiable health benefits of $</w:t>
      </w:r>
      <w:r w:rsidR="008E3B87">
        <w:t>5</w:t>
      </w:r>
      <w:r>
        <w:t xml:space="preserve"> million per annum which can be reached within 3 years of implementation</w:t>
      </w:r>
    </w:p>
    <w:p w:rsidR="001F0658" w:rsidRDefault="001F0658" w:rsidP="00263482">
      <w:pPr>
        <w:pStyle w:val="ListParagraph"/>
        <w:numPr>
          <w:ilvl w:val="0"/>
          <w:numId w:val="19"/>
        </w:numPr>
        <w:spacing w:before="60" w:after="60"/>
      </w:pPr>
      <w:r>
        <w:t>average costs over 10 years of $2.7 million</w:t>
      </w:r>
      <w:r w:rsidR="00B9465B">
        <w:t xml:space="preserve"> per annum</w:t>
      </w:r>
    </w:p>
    <w:p w:rsidR="001F0658" w:rsidRDefault="001F0658" w:rsidP="00263482">
      <w:pPr>
        <w:pStyle w:val="ListParagraph"/>
        <w:numPr>
          <w:ilvl w:val="0"/>
          <w:numId w:val="19"/>
        </w:numPr>
        <w:spacing w:before="60" w:after="60"/>
      </w:pPr>
      <w:r>
        <w:t>an average benefit over 10 years of $4.</w:t>
      </w:r>
      <w:r w:rsidR="008E3B87">
        <w:t>8</w:t>
      </w:r>
      <w:r>
        <w:t xml:space="preserve"> million</w:t>
      </w:r>
      <w:r w:rsidR="00B9465B">
        <w:t xml:space="preserve"> per annum</w:t>
      </w:r>
    </w:p>
    <w:p w:rsidR="001F0658" w:rsidRDefault="001F0658" w:rsidP="00263482">
      <w:pPr>
        <w:pStyle w:val="ListParagraph"/>
        <w:numPr>
          <w:ilvl w:val="0"/>
          <w:numId w:val="19"/>
        </w:numPr>
        <w:spacing w:before="60" w:after="60"/>
      </w:pPr>
      <w:r>
        <w:t>an exceedance of benefit over costs over 10 years</w:t>
      </w:r>
      <w:r w:rsidR="00972BC7">
        <w:t xml:space="preserve"> by a ratio of 1.5</w:t>
      </w:r>
      <w:r w:rsidR="008E3B87">
        <w:t>7</w:t>
      </w:r>
      <w:r w:rsidR="00972BC7">
        <w:t xml:space="preserve"> to one.</w:t>
      </w:r>
    </w:p>
    <w:p w:rsidR="00C228C7" w:rsidRPr="00536A47" w:rsidRDefault="0059721E" w:rsidP="00E77182">
      <w:pPr>
        <w:pStyle w:val="Heading4"/>
      </w:pPr>
      <w:r>
        <w:t>Workplace Exposure Standard</w:t>
      </w:r>
    </w:p>
    <w:p w:rsidR="00C228C7" w:rsidRPr="00536A47" w:rsidRDefault="00C228C7" w:rsidP="00E77182">
      <w:pPr>
        <w:pStyle w:val="Heading5"/>
      </w:pPr>
      <w:r w:rsidRPr="00536A47">
        <w:t>Option 2</w:t>
      </w:r>
      <w:r w:rsidR="00AB02EC">
        <w:t xml:space="preserve">: </w:t>
      </w:r>
      <w:r w:rsidR="0029760E" w:rsidRPr="0029760E">
        <w:t>Reduce the workplace exposure standard to 0.05 mg/m</w:t>
      </w:r>
      <w:r w:rsidR="0029760E" w:rsidRPr="0029760E">
        <w:rPr>
          <w:vertAlign w:val="superscript"/>
        </w:rPr>
        <w:t>3</w:t>
      </w:r>
    </w:p>
    <w:p w:rsidR="00C85991" w:rsidRDefault="009633A2" w:rsidP="00C9446F">
      <w:pPr>
        <w:spacing w:before="60" w:after="60"/>
      </w:pPr>
      <w:r>
        <w:t>A</w:t>
      </w:r>
      <w:r w:rsidR="00770FA9">
        <w:t xml:space="preserve"> majority of submissions that indicated a preference supported</w:t>
      </w:r>
      <w:r w:rsidR="00C85991">
        <w:t xml:space="preserve"> </w:t>
      </w:r>
      <w:r>
        <w:t xml:space="preserve">reducing the WES for lead to 0.05 </w:t>
      </w:r>
      <w:r w:rsidRPr="00A9299C">
        <w:t>mg/m</w:t>
      </w:r>
      <w:r w:rsidRPr="00A9299C">
        <w:rPr>
          <w:vertAlign w:val="superscript"/>
        </w:rPr>
        <w:t>3</w:t>
      </w:r>
      <w:r w:rsidR="00D13871">
        <w:t>,</w:t>
      </w:r>
      <w:r w:rsidR="00C85991">
        <w:t xml:space="preserve"> regardless of the cost involved with upgrading control measures or </w:t>
      </w:r>
      <w:r w:rsidR="00502F13">
        <w:t>changing</w:t>
      </w:r>
      <w:r w:rsidR="00C85991">
        <w:t xml:space="preserve"> </w:t>
      </w:r>
      <w:r w:rsidR="00D13871">
        <w:t xml:space="preserve">the frequency of </w:t>
      </w:r>
      <w:r w:rsidR="00C85991">
        <w:t>air sampling procedures.</w:t>
      </w:r>
      <w:r w:rsidR="00770FA9">
        <w:t xml:space="preserve"> </w:t>
      </w:r>
      <w:r w:rsidR="0097637D">
        <w:t>One submission noted difficulty in being able to comply with this standard</w:t>
      </w:r>
      <w:r w:rsidR="00C85991">
        <w:t>.</w:t>
      </w:r>
    </w:p>
    <w:p w:rsidR="000971E6" w:rsidRDefault="005D6180" w:rsidP="00C9446F">
      <w:pPr>
        <w:spacing w:before="60" w:after="60"/>
      </w:pPr>
      <w:r>
        <w:t xml:space="preserve">The </w:t>
      </w:r>
      <w:r w:rsidR="009C01DE">
        <w:t xml:space="preserve">costs </w:t>
      </w:r>
      <w:r>
        <w:t xml:space="preserve">for air monitoring conducted in lead process workplaces </w:t>
      </w:r>
      <w:r w:rsidR="00770FA9">
        <w:t>we</w:t>
      </w:r>
      <w:r w:rsidR="009C01DE">
        <w:t xml:space="preserve">re difficult to quantify. However, </w:t>
      </w:r>
      <w:r w:rsidR="00B9465B">
        <w:t>submissions indicated</w:t>
      </w:r>
      <w:r w:rsidR="009C01DE">
        <w:t xml:space="preserve"> that </w:t>
      </w:r>
      <w:r w:rsidR="000971E6">
        <w:t xml:space="preserve">air </w:t>
      </w:r>
      <w:r w:rsidR="00B9465B">
        <w:t>monitoring is</w:t>
      </w:r>
      <w:r w:rsidR="001D625B">
        <w:t xml:space="preserve"> most </w:t>
      </w:r>
      <w:r w:rsidR="00B9465B">
        <w:t>often used</w:t>
      </w:r>
      <w:r w:rsidR="009C01DE">
        <w:t xml:space="preserve"> as part of a </w:t>
      </w:r>
      <w:r w:rsidR="000971E6">
        <w:t>control</w:t>
      </w:r>
      <w:r w:rsidR="009C01DE">
        <w:t xml:space="preserve"> </w:t>
      </w:r>
      <w:r>
        <w:t>strategy</w:t>
      </w:r>
      <w:r w:rsidR="009C01DE">
        <w:t xml:space="preserve"> for </w:t>
      </w:r>
      <w:r w:rsidR="000971E6">
        <w:t xml:space="preserve">workplace </w:t>
      </w:r>
      <w:r w:rsidR="009C01DE">
        <w:t xml:space="preserve">lead and therefore </w:t>
      </w:r>
      <w:r w:rsidR="000971E6">
        <w:t xml:space="preserve">many of </w:t>
      </w:r>
      <w:r w:rsidR="009C01DE">
        <w:t>the costs</w:t>
      </w:r>
      <w:r w:rsidR="000971E6">
        <w:t xml:space="preserve"> for compliance with the WES</w:t>
      </w:r>
      <w:r w:rsidR="00770FA9">
        <w:t xml:space="preserve"> we</w:t>
      </w:r>
      <w:r w:rsidR="009C01DE">
        <w:t xml:space="preserve">re considered to be included </w:t>
      </w:r>
      <w:r w:rsidR="001D625B">
        <w:t xml:space="preserve">in </w:t>
      </w:r>
      <w:r w:rsidR="00B9465B">
        <w:t>controlling blood</w:t>
      </w:r>
      <w:r w:rsidR="009C01DE">
        <w:t xml:space="preserve"> lead level</w:t>
      </w:r>
      <w:r w:rsidR="00B9465B">
        <w:t>s.</w:t>
      </w:r>
      <w:r w:rsidR="009C01DE">
        <w:t xml:space="preserve"> </w:t>
      </w:r>
    </w:p>
    <w:p w:rsidR="005D6180" w:rsidRDefault="000971E6" w:rsidP="00C9446F">
      <w:pPr>
        <w:spacing w:before="60" w:after="60"/>
      </w:pPr>
      <w:r>
        <w:t xml:space="preserve">The CBA </w:t>
      </w:r>
      <w:r w:rsidR="003A6DA0">
        <w:t>demonstrate</w:t>
      </w:r>
      <w:r w:rsidR="00770FA9">
        <w:t>d</w:t>
      </w:r>
      <w:r w:rsidR="003A6DA0">
        <w:t xml:space="preserve"> </w:t>
      </w:r>
      <w:r w:rsidR="00B9465B">
        <w:t>t</w:t>
      </w:r>
      <w:r>
        <w:t>hat even if</w:t>
      </w:r>
      <w:r w:rsidR="009633A2">
        <w:t xml:space="preserve"> </w:t>
      </w:r>
      <w:r>
        <w:t xml:space="preserve">additional air monitoring </w:t>
      </w:r>
      <w:r w:rsidR="009633A2">
        <w:t xml:space="preserve">is </w:t>
      </w:r>
      <w:r>
        <w:t>required to comply</w:t>
      </w:r>
      <w:r w:rsidR="00770FA9">
        <w:t xml:space="preserve"> </w:t>
      </w:r>
      <w:r w:rsidR="009633A2">
        <w:t xml:space="preserve">with Option 2 </w:t>
      </w:r>
      <w:r w:rsidR="00770FA9">
        <w:t>(i.e. an increase in frequency)</w:t>
      </w:r>
      <w:r w:rsidR="002872C5">
        <w:t>,</w:t>
      </w:r>
      <w:r>
        <w:t xml:space="preserve"> the benefits still outweigh the costs at a ratio of 1.4</w:t>
      </w:r>
      <w:r w:rsidR="008E3B87">
        <w:t>6</w:t>
      </w:r>
      <w:r>
        <w:t xml:space="preserve"> to </w:t>
      </w:r>
      <w:r w:rsidR="008E3B87">
        <w:t>one</w:t>
      </w:r>
      <w:r>
        <w:t>.</w:t>
      </w:r>
      <w:r w:rsidR="009C01DE">
        <w:t xml:space="preserve"> </w:t>
      </w:r>
    </w:p>
    <w:p w:rsidR="009C01DE" w:rsidRPr="0005799A" w:rsidRDefault="005D6180" w:rsidP="00C9446F">
      <w:pPr>
        <w:spacing w:before="60" w:after="60"/>
      </w:pPr>
      <w:r>
        <w:t>T</w:t>
      </w:r>
      <w:r w:rsidR="009C01DE">
        <w:t>herefore</w:t>
      </w:r>
      <w:r w:rsidR="00770FA9">
        <w:t>,</w:t>
      </w:r>
      <w:r w:rsidR="009C01DE">
        <w:t xml:space="preserve"> </w:t>
      </w:r>
      <w:r w:rsidR="001F0658">
        <w:t xml:space="preserve">Option 2 </w:t>
      </w:r>
      <w:r w:rsidR="009C01DE">
        <w:t xml:space="preserve">is </w:t>
      </w:r>
      <w:r w:rsidR="001F0658">
        <w:t>considered the</w:t>
      </w:r>
      <w:r w:rsidR="009C01DE">
        <w:t xml:space="preserve"> preferred option to enable </w:t>
      </w:r>
      <w:r>
        <w:t xml:space="preserve">businesses to integrate air monitoring into their workplace lead control strategy and comply with </w:t>
      </w:r>
      <w:r w:rsidR="005B33AA">
        <w:t>the proposed regulatory requirements.</w:t>
      </w:r>
    </w:p>
    <w:p w:rsidR="00C228C7" w:rsidRPr="00E705D4" w:rsidRDefault="008A6B0D" w:rsidP="00E77182">
      <w:pPr>
        <w:pStyle w:val="Heading3"/>
        <w:rPr>
          <w:rStyle w:val="Strong"/>
          <w:b/>
        </w:rPr>
      </w:pPr>
      <w:r w:rsidRPr="00E705D4">
        <w:rPr>
          <w:rStyle w:val="Strong"/>
          <w:b/>
        </w:rPr>
        <w:t>Implementation and review</w:t>
      </w:r>
    </w:p>
    <w:p w:rsidR="00675111" w:rsidRDefault="008A6B0D" w:rsidP="0005799A">
      <w:r w:rsidRPr="00C9446F">
        <w:t>Should WHS Ministers agree to the preferred options in this Decision RIS</w:t>
      </w:r>
      <w:r w:rsidR="000C5278">
        <w:t>,</w:t>
      </w:r>
      <w:r w:rsidRPr="00C9446F">
        <w:t xml:space="preserve"> </w:t>
      </w:r>
      <w:r w:rsidR="000C5278">
        <w:t>the</w:t>
      </w:r>
      <w:r w:rsidRPr="00C9446F">
        <w:t xml:space="preserve"> </w:t>
      </w:r>
      <w:r w:rsidR="000C5278">
        <w:t xml:space="preserve">model </w:t>
      </w:r>
      <w:r w:rsidR="00B2765A">
        <w:t>WHS R</w:t>
      </w:r>
      <w:r w:rsidR="00502F13">
        <w:t>egulations will be amended to</w:t>
      </w:r>
      <w:r w:rsidR="00B2765A">
        <w:t xml:space="preserve"> reflect the preferred options; specifically regulations 394, 407, 415 and 417. </w:t>
      </w:r>
    </w:p>
    <w:p w:rsidR="00675111" w:rsidRDefault="00995807" w:rsidP="0005799A">
      <w:r>
        <w:t>The transition</w:t>
      </w:r>
      <w:r w:rsidR="00675111">
        <w:t xml:space="preserve"> period for compliance with the regulatory requirements outlined above</w:t>
      </w:r>
      <w:r w:rsidR="00D13871">
        <w:t xml:space="preserve"> is recommended to </w:t>
      </w:r>
      <w:r w:rsidR="00675111">
        <w:t>be two years from adoption.</w:t>
      </w:r>
    </w:p>
    <w:p w:rsidR="008A6B0D" w:rsidRPr="00C9446F" w:rsidRDefault="008A6B0D" w:rsidP="0005799A">
      <w:r w:rsidRPr="00C9446F">
        <w:t xml:space="preserve">Review </w:t>
      </w:r>
      <w:r w:rsidR="00675111">
        <w:t xml:space="preserve">of the adopted change to the </w:t>
      </w:r>
      <w:r w:rsidR="00B128F4">
        <w:t>workplace lead requirements will be conducted as part of the scheduled review of the model WHS Regulations.</w:t>
      </w:r>
    </w:p>
    <w:p w:rsidR="00FE5D6B" w:rsidRPr="0005799A" w:rsidRDefault="00FE5D6B" w:rsidP="00C9446F">
      <w:pPr>
        <w:spacing w:before="60" w:after="60"/>
      </w:pPr>
      <w:r w:rsidRPr="0005799A">
        <w:br w:type="page"/>
      </w:r>
    </w:p>
    <w:p w:rsidR="00C9446F" w:rsidRPr="0013099F" w:rsidRDefault="00722AE0" w:rsidP="0013099F">
      <w:pPr>
        <w:pStyle w:val="Heading1-number"/>
      </w:pPr>
      <w:bookmarkStart w:id="4" w:name="_Toc426100990"/>
      <w:bookmarkStart w:id="5" w:name="_Toc426100991"/>
      <w:bookmarkStart w:id="6" w:name="_Toc426100992"/>
      <w:bookmarkStart w:id="7" w:name="_Toc426100993"/>
      <w:bookmarkStart w:id="8" w:name="_Toc426100994"/>
      <w:bookmarkStart w:id="9" w:name="_Toc426100995"/>
      <w:bookmarkStart w:id="10" w:name="_Toc426100997"/>
      <w:bookmarkStart w:id="11" w:name="_Toc426100998"/>
      <w:bookmarkStart w:id="12" w:name="_Toc426100999"/>
      <w:bookmarkStart w:id="13" w:name="_Toc426101000"/>
      <w:bookmarkStart w:id="14" w:name="_Toc426101001"/>
      <w:bookmarkStart w:id="15" w:name="_Toc426101002"/>
      <w:bookmarkStart w:id="16" w:name="_Toc426101003"/>
      <w:bookmarkStart w:id="17" w:name="_Toc426101004"/>
      <w:bookmarkStart w:id="18" w:name="_Toc426101005"/>
      <w:bookmarkStart w:id="19" w:name="_Toc426101006"/>
      <w:bookmarkStart w:id="20" w:name="_Toc459276884"/>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13099F">
        <w:lastRenderedPageBreak/>
        <w:t>Introduction</w:t>
      </w:r>
      <w:bookmarkEnd w:id="20"/>
    </w:p>
    <w:p w:rsidR="00722AE0" w:rsidRPr="00263482" w:rsidRDefault="00722AE0" w:rsidP="00263482">
      <w:pPr>
        <w:pStyle w:val="Heading2"/>
        <w:ind w:left="426"/>
      </w:pPr>
      <w:bookmarkStart w:id="21" w:name="_Toc459276885"/>
      <w:r w:rsidRPr="00263482">
        <w:t>About Safe Work Australia</w:t>
      </w:r>
      <w:bookmarkEnd w:id="21"/>
    </w:p>
    <w:p w:rsidR="00722AE0" w:rsidRPr="00536A47" w:rsidRDefault="00722AE0" w:rsidP="00722AE0">
      <w:pPr>
        <w:spacing w:before="120"/>
        <w:rPr>
          <w:rFonts w:cstheme="minorHAnsi"/>
        </w:rPr>
      </w:pPr>
      <w:r w:rsidRPr="00536A47">
        <w:rPr>
          <w:rFonts w:cstheme="minorHAnsi"/>
        </w:rPr>
        <w:t>Safe Work Australia is an independent Australian Government statutory agency which is jointly funded by the Commonwealth, state and territory governments through an Intergovernmental Agreement.</w:t>
      </w:r>
    </w:p>
    <w:p w:rsidR="00722AE0" w:rsidRPr="0005799A" w:rsidRDefault="00722AE0" w:rsidP="00C9446F">
      <w:pPr>
        <w:spacing w:before="60" w:after="60"/>
      </w:pPr>
      <w:r w:rsidRPr="0005799A">
        <w:t xml:space="preserve">Safe Work Australia was established by the </w:t>
      </w:r>
      <w:r w:rsidRPr="00536A47">
        <w:rPr>
          <w:rFonts w:cstheme="minorHAnsi"/>
          <w:i/>
          <w:iCs/>
        </w:rPr>
        <w:t>Safe Work Australia Act 2008</w:t>
      </w:r>
      <w:r w:rsidRPr="0005799A">
        <w:t xml:space="preserve"> (Cth) with primary responsibility to lead the development of policy to improve WHS and workers’ compensation arrangements across Australia. </w:t>
      </w:r>
    </w:p>
    <w:p w:rsidR="00722AE0" w:rsidRPr="00C9446F" w:rsidRDefault="00722AE0" w:rsidP="0005799A">
      <w:r w:rsidRPr="00C9446F">
        <w:t>Safe Work Australia does not regulate WHS l</w:t>
      </w:r>
      <w:r w:rsidR="005D3716">
        <w:t>egislation</w:t>
      </w:r>
      <w:r w:rsidRPr="00C9446F">
        <w:t>. The Commonwealth, states and territories retain responsibility for regulating and enforcing WHS laws in their jurisdiction.</w:t>
      </w:r>
    </w:p>
    <w:p w:rsidR="00722AE0" w:rsidRPr="00C9446F" w:rsidRDefault="00722AE0" w:rsidP="0005799A">
      <w:r w:rsidRPr="00C9446F">
        <w:t>Safe Work Australia is governed by a tripartite body comprising 15 Members, including:</w:t>
      </w:r>
    </w:p>
    <w:p w:rsidR="00722AE0" w:rsidRPr="00536A47" w:rsidRDefault="00722AE0" w:rsidP="006D6E29">
      <w:pPr>
        <w:pStyle w:val="ListBullet"/>
        <w:rPr>
          <w:rFonts w:cstheme="minorHAnsi"/>
        </w:rPr>
      </w:pPr>
      <w:r w:rsidRPr="00536A47">
        <w:rPr>
          <w:rFonts w:cstheme="minorHAnsi"/>
        </w:rPr>
        <w:t>an independent Chair</w:t>
      </w:r>
    </w:p>
    <w:p w:rsidR="00722AE0" w:rsidRPr="00536A47" w:rsidRDefault="00722AE0" w:rsidP="006D6E29">
      <w:pPr>
        <w:pStyle w:val="ListBullet"/>
        <w:rPr>
          <w:rFonts w:cstheme="minorHAnsi"/>
        </w:rPr>
      </w:pPr>
      <w:r w:rsidRPr="00536A47">
        <w:rPr>
          <w:rFonts w:cstheme="minorHAnsi"/>
        </w:rPr>
        <w:t>nine Members representing the Commonwealth and each state and territory</w:t>
      </w:r>
    </w:p>
    <w:p w:rsidR="00722AE0" w:rsidRPr="00536A47" w:rsidRDefault="00722AE0" w:rsidP="006D6E29">
      <w:pPr>
        <w:pStyle w:val="ListBullet"/>
        <w:rPr>
          <w:rFonts w:cstheme="minorHAnsi"/>
        </w:rPr>
      </w:pPr>
      <w:r w:rsidRPr="00536A47">
        <w:rPr>
          <w:rFonts w:cstheme="minorHAnsi"/>
        </w:rPr>
        <w:t>two Members representing the interests of workers</w:t>
      </w:r>
    </w:p>
    <w:p w:rsidR="00722AE0" w:rsidRPr="00536A47" w:rsidRDefault="00722AE0" w:rsidP="006D6E29">
      <w:pPr>
        <w:pStyle w:val="ListBullet"/>
        <w:rPr>
          <w:rFonts w:cstheme="minorHAnsi"/>
        </w:rPr>
      </w:pPr>
      <w:r w:rsidRPr="00536A47">
        <w:rPr>
          <w:rFonts w:cstheme="minorHAnsi"/>
        </w:rPr>
        <w:t xml:space="preserve">two Members representing the interests of employers, and </w:t>
      </w:r>
    </w:p>
    <w:p w:rsidR="00722AE0" w:rsidRPr="00536A47" w:rsidRDefault="00722AE0" w:rsidP="006D6E29">
      <w:pPr>
        <w:pStyle w:val="ListBullet"/>
        <w:rPr>
          <w:rFonts w:cstheme="minorHAnsi"/>
        </w:rPr>
      </w:pPr>
      <w:r w:rsidRPr="00536A47">
        <w:rPr>
          <w:rFonts w:cstheme="minorHAnsi"/>
        </w:rPr>
        <w:t>the Chief Executive Officer (CEO) of Safe Work Australia, who is responsible for managing Safe Work Australia’s administration and assisting it in the performance of its statutory functions.</w:t>
      </w:r>
    </w:p>
    <w:p w:rsidR="00C9446F" w:rsidRDefault="005D3716" w:rsidP="00C9446F">
      <w:r>
        <w:t>Safe Work Australia’s role includes:</w:t>
      </w:r>
    </w:p>
    <w:p w:rsidR="005D3716" w:rsidRDefault="008C52F2" w:rsidP="00186120">
      <w:pPr>
        <w:pStyle w:val="ListParagraph"/>
        <w:numPr>
          <w:ilvl w:val="0"/>
          <w:numId w:val="15"/>
        </w:numPr>
      </w:pPr>
      <w:r>
        <w:t>m</w:t>
      </w:r>
      <w:r w:rsidR="005D3716" w:rsidRPr="005D3716">
        <w:t>onitor</w:t>
      </w:r>
      <w:r w:rsidR="009633A2">
        <w:t xml:space="preserve">ing and </w:t>
      </w:r>
      <w:r w:rsidR="005D3716" w:rsidRPr="005D3716">
        <w:t>evaluat</w:t>
      </w:r>
      <w:r w:rsidR="009633A2">
        <w:t>ing</w:t>
      </w:r>
      <w:r w:rsidR="005D3716" w:rsidRPr="005D3716">
        <w:t xml:space="preserve"> the model Work Health and Safety laws to improve safety outcomes, address issues impeding the effective and efficient operation of the laws and rem</w:t>
      </w:r>
      <w:r>
        <w:t>ove unnecessary over-regulation, and</w:t>
      </w:r>
    </w:p>
    <w:p w:rsidR="005D3716" w:rsidRPr="00C9446F" w:rsidRDefault="008C52F2" w:rsidP="00186120">
      <w:pPr>
        <w:pStyle w:val="ListParagraph"/>
        <w:numPr>
          <w:ilvl w:val="0"/>
          <w:numId w:val="15"/>
        </w:numPr>
      </w:pPr>
      <w:r>
        <w:t>f</w:t>
      </w:r>
      <w:r w:rsidR="005D3716" w:rsidRPr="005D3716">
        <w:t>acilitat</w:t>
      </w:r>
      <w:r w:rsidR="009633A2">
        <w:t>ing</w:t>
      </w:r>
      <w:r w:rsidR="005D3716" w:rsidRPr="005D3716">
        <w:t xml:space="preserve"> the development of accessible, effective and practical material to aid understanding and compliance; minimise regulatory cost; and support improved work health and safety outcomes, particularly for small business and individuals</w:t>
      </w:r>
      <w:r>
        <w:t>.</w:t>
      </w:r>
    </w:p>
    <w:p w:rsidR="00722AE0" w:rsidRPr="00313AAD" w:rsidRDefault="00722AE0" w:rsidP="00263482">
      <w:pPr>
        <w:pStyle w:val="Heading2"/>
        <w:ind w:left="426"/>
      </w:pPr>
      <w:bookmarkStart w:id="22" w:name="_Toc459276886"/>
      <w:r w:rsidRPr="00263482">
        <w:t>Background</w:t>
      </w:r>
      <w:bookmarkEnd w:id="22"/>
    </w:p>
    <w:p w:rsidR="00722AE0" w:rsidRPr="00536A47" w:rsidRDefault="00BF4FF2" w:rsidP="00263482">
      <w:r w:rsidRPr="00536A47">
        <w:t xml:space="preserve">In 2009 </w:t>
      </w:r>
      <w:r w:rsidR="00722AE0" w:rsidRPr="00536A47">
        <w:t>Safe Work Australia establish</w:t>
      </w:r>
      <w:r w:rsidR="00422206" w:rsidRPr="00536A47">
        <w:t>ed</w:t>
      </w:r>
      <w:r w:rsidR="00722AE0" w:rsidRPr="00536A47">
        <w:t xml:space="preserve"> a tripartite Lead Working Group in response to evidence published by the National Health and Medical Research Centre (NHMRC) and the Australian Institute of Occupational Hygienists (AIOH) on the health effects of lead exposure and associated blood lead levels.</w:t>
      </w:r>
    </w:p>
    <w:p w:rsidR="00722AE0" w:rsidRPr="00536A47"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 xml:space="preserve">In consultation with this group, </w:t>
      </w:r>
      <w:r w:rsidR="00617F2B" w:rsidRPr="00536A47">
        <w:rPr>
          <w:rFonts w:asciiTheme="minorHAnsi" w:hAnsiTheme="minorHAnsi" w:cstheme="minorHAnsi"/>
        </w:rPr>
        <w:t>Safe Work Australia</w:t>
      </w:r>
      <w:r w:rsidRPr="00536A47">
        <w:rPr>
          <w:rFonts w:asciiTheme="minorHAnsi" w:hAnsiTheme="minorHAnsi" w:cstheme="minorHAnsi"/>
        </w:rPr>
        <w:t xml:space="preserve"> commenced a program of work to review both the blood lead removal levels and workplace exposure standard, taking into account current toxicological information, overseas trends and revised classification information for lead. </w:t>
      </w:r>
    </w:p>
    <w:p w:rsidR="008C52F2" w:rsidRDefault="00722AE0" w:rsidP="00D303A1">
      <w:pPr>
        <w:pStyle w:val="Paragraph1"/>
        <w:spacing w:before="120" w:after="40"/>
        <w:rPr>
          <w:rFonts w:asciiTheme="minorHAnsi" w:hAnsiTheme="minorHAnsi" w:cstheme="minorHAnsi"/>
        </w:rPr>
      </w:pPr>
      <w:r w:rsidRPr="00536A47">
        <w:rPr>
          <w:rFonts w:asciiTheme="minorHAnsi" w:hAnsiTheme="minorHAnsi" w:cstheme="minorHAnsi"/>
        </w:rPr>
        <w:t>The review consulted a va</w:t>
      </w:r>
      <w:r w:rsidR="008C52F2">
        <w:rPr>
          <w:rFonts w:asciiTheme="minorHAnsi" w:hAnsiTheme="minorHAnsi" w:cstheme="minorHAnsi"/>
        </w:rPr>
        <w:t>riety of stakeholders including:</w:t>
      </w:r>
      <w:r w:rsidRPr="00536A47">
        <w:rPr>
          <w:rFonts w:asciiTheme="minorHAnsi" w:hAnsiTheme="minorHAnsi" w:cstheme="minorHAnsi"/>
        </w:rPr>
        <w:t xml:space="preserve">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jurisdictional</w:t>
      </w:r>
      <w:r w:rsidR="00422206" w:rsidRPr="00536A47">
        <w:rPr>
          <w:rFonts w:asciiTheme="minorHAnsi" w:hAnsiTheme="minorHAnsi" w:cstheme="minorHAnsi"/>
        </w:rPr>
        <w:t xml:space="preserve"> WHS</w:t>
      </w:r>
      <w:r w:rsidRPr="00536A47">
        <w:rPr>
          <w:rFonts w:asciiTheme="minorHAnsi" w:hAnsiTheme="minorHAnsi" w:cstheme="minorHAnsi"/>
        </w:rPr>
        <w:t xml:space="preserve"> </w:t>
      </w:r>
      <w:r w:rsidR="00BF4FF2" w:rsidRPr="00536A47">
        <w:rPr>
          <w:rFonts w:asciiTheme="minorHAnsi" w:hAnsiTheme="minorHAnsi" w:cstheme="minorHAnsi"/>
        </w:rPr>
        <w:t>regulators</w:t>
      </w:r>
      <w:r w:rsidRPr="00536A47">
        <w:rPr>
          <w:rFonts w:asciiTheme="minorHAnsi" w:hAnsiTheme="minorHAnsi" w:cstheme="minorHAnsi"/>
        </w:rPr>
        <w:t xml:space="preserve">,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 xml:space="preserve">the Australian Chamber of Commerce and Industry (ACCI),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 xml:space="preserve">the Australian Industry Group (Ai Group),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 xml:space="preserve">the Australian Council of Trade Unions (ACTU),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 xml:space="preserve">the National Health and Medical Research Council (NHMRC),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 xml:space="preserve">the Australian Institute of Occupational Hygienists (AIOH),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 xml:space="preserve">the Australasian College of Toxicology and Risk Assessment (ACTRA),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 xml:space="preserve">representatives from major business involved with the production and export of lead, </w:t>
      </w:r>
    </w:p>
    <w:p w:rsidR="008C52F2"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 xml:space="preserve">the National Industrial Chemicals Notification and Assessment Scheme (NICNAS), and </w:t>
      </w:r>
    </w:p>
    <w:p w:rsidR="00722AE0" w:rsidRPr="00536A47" w:rsidRDefault="00722AE0" w:rsidP="00186120">
      <w:pPr>
        <w:pStyle w:val="Paragraph1"/>
        <w:numPr>
          <w:ilvl w:val="0"/>
          <w:numId w:val="16"/>
        </w:numPr>
        <w:spacing w:before="40" w:after="40"/>
        <w:ind w:left="714" w:hanging="357"/>
        <w:rPr>
          <w:rFonts w:asciiTheme="minorHAnsi" w:hAnsiTheme="minorHAnsi" w:cstheme="minorHAnsi"/>
        </w:rPr>
      </w:pPr>
      <w:r w:rsidRPr="00536A47">
        <w:rPr>
          <w:rFonts w:asciiTheme="minorHAnsi" w:hAnsiTheme="minorHAnsi" w:cstheme="minorHAnsi"/>
        </w:rPr>
        <w:t>the Plastics and Chemicals Industries Association (PACIA).</w:t>
      </w:r>
    </w:p>
    <w:p w:rsidR="00BF4FF2" w:rsidRPr="00536A47" w:rsidRDefault="004F4AA1" w:rsidP="008C52F2">
      <w:pPr>
        <w:pStyle w:val="Paragraph1"/>
        <w:spacing w:before="120" w:after="120"/>
        <w:rPr>
          <w:rFonts w:cstheme="minorHAnsi"/>
          <w:i/>
        </w:rPr>
      </w:pPr>
      <w:r>
        <w:rPr>
          <w:rFonts w:asciiTheme="minorHAnsi" w:hAnsiTheme="minorHAnsi" w:cstheme="minorHAnsi"/>
        </w:rPr>
        <w:lastRenderedPageBreak/>
        <w:t>This</w:t>
      </w:r>
      <w:r w:rsidR="008C52F2">
        <w:rPr>
          <w:rFonts w:asciiTheme="minorHAnsi" w:hAnsiTheme="minorHAnsi" w:cstheme="minorHAnsi"/>
        </w:rPr>
        <w:t xml:space="preserve"> work </w:t>
      </w:r>
      <w:r w:rsidR="00722AE0" w:rsidRPr="00536A47">
        <w:rPr>
          <w:rFonts w:asciiTheme="minorHAnsi" w:hAnsiTheme="minorHAnsi" w:cstheme="minorHAnsi"/>
        </w:rPr>
        <w:t xml:space="preserve">was further supported in 2011 when Safe Work Australia released the model Work Health and Safety Regulations following public consultation. The </w:t>
      </w:r>
      <w:r w:rsidR="007E3AFE" w:rsidRPr="00536A47">
        <w:rPr>
          <w:rFonts w:asciiTheme="minorHAnsi" w:hAnsiTheme="minorHAnsi" w:cstheme="minorHAnsi"/>
        </w:rPr>
        <w:t xml:space="preserve">model Work Health and Safety Regulations </w:t>
      </w:r>
      <w:r w:rsidR="00722AE0" w:rsidRPr="00536A47">
        <w:rPr>
          <w:rFonts w:asciiTheme="minorHAnsi" w:hAnsiTheme="minorHAnsi" w:cstheme="minorHAnsi"/>
        </w:rPr>
        <w:t>Decision RIS noted:</w:t>
      </w:r>
    </w:p>
    <w:p w:rsidR="00722AE0" w:rsidRPr="00536A47" w:rsidRDefault="007E3AFE" w:rsidP="00666EB6">
      <w:pPr>
        <w:pStyle w:val="Paragraph1"/>
        <w:spacing w:before="120" w:after="120"/>
        <w:ind w:left="567" w:right="761"/>
        <w:rPr>
          <w:rFonts w:asciiTheme="minorHAnsi" w:hAnsiTheme="minorHAnsi" w:cstheme="minorHAnsi"/>
          <w:i/>
        </w:rPr>
      </w:pPr>
      <w:r w:rsidRPr="00536A47">
        <w:rPr>
          <w:rFonts w:asciiTheme="minorHAnsi" w:hAnsiTheme="minorHAnsi" w:cstheme="minorHAnsi"/>
          <w:i/>
        </w:rPr>
        <w:t>“</w:t>
      </w:r>
      <w:r w:rsidR="00722AE0" w:rsidRPr="00536A47">
        <w:rPr>
          <w:rFonts w:asciiTheme="minorHAnsi" w:hAnsiTheme="minorHAnsi" w:cstheme="minorHAnsi"/>
          <w:i/>
        </w:rPr>
        <w:t>There were a number of submissions including from employer groups and unions for the blood lead levels proposed within the draft model WHS Regulations to be reviewed as soon as possible to reflect the latest toxicological information and current practicability standards.</w:t>
      </w:r>
      <w:r w:rsidRPr="00536A47">
        <w:rPr>
          <w:rFonts w:asciiTheme="minorHAnsi" w:hAnsiTheme="minorHAnsi" w:cstheme="minorHAnsi"/>
          <w:i/>
        </w:rPr>
        <w:t>”</w:t>
      </w:r>
    </w:p>
    <w:p w:rsidR="00722AE0" w:rsidRPr="00536A47" w:rsidRDefault="00471641" w:rsidP="00722AE0">
      <w:pPr>
        <w:pStyle w:val="Paragraph1"/>
        <w:spacing w:before="120" w:after="120"/>
        <w:rPr>
          <w:rFonts w:asciiTheme="minorHAnsi" w:hAnsiTheme="minorHAnsi" w:cstheme="minorHAnsi"/>
        </w:rPr>
      </w:pPr>
      <w:r>
        <w:rPr>
          <w:rFonts w:asciiTheme="minorHAnsi" w:hAnsiTheme="minorHAnsi" w:cstheme="minorHAnsi"/>
        </w:rPr>
        <w:t xml:space="preserve">In 2014 </w:t>
      </w:r>
      <w:r w:rsidR="00722AE0" w:rsidRPr="00536A47">
        <w:rPr>
          <w:rFonts w:asciiTheme="minorHAnsi" w:hAnsiTheme="minorHAnsi" w:cstheme="minorHAnsi"/>
        </w:rPr>
        <w:t xml:space="preserve">Safe Work Australia commissioned an </w:t>
      </w:r>
      <w:hyperlink r:id="rId15" w:history="1">
        <w:r w:rsidR="00722AE0" w:rsidRPr="00536A47">
          <w:rPr>
            <w:rStyle w:val="Hyperlink"/>
            <w:rFonts w:asciiTheme="minorHAnsi" w:hAnsiTheme="minorHAnsi" w:cstheme="minorHAnsi"/>
          </w:rPr>
          <w:t xml:space="preserve">independent, </w:t>
        </w:r>
        <w:r w:rsidR="00D05C30">
          <w:rPr>
            <w:rStyle w:val="Hyperlink"/>
            <w:rFonts w:asciiTheme="minorHAnsi" w:hAnsiTheme="minorHAnsi" w:cstheme="minorHAnsi"/>
          </w:rPr>
          <w:t>evidence-based</w:t>
        </w:r>
        <w:r w:rsidR="00722AE0" w:rsidRPr="00536A47">
          <w:rPr>
            <w:rStyle w:val="Hyperlink"/>
            <w:rFonts w:asciiTheme="minorHAnsi" w:hAnsiTheme="minorHAnsi" w:cstheme="minorHAnsi"/>
          </w:rPr>
          <w:t xml:space="preserve"> report</w:t>
        </w:r>
      </w:hyperlink>
      <w:r w:rsidR="00722AE0" w:rsidRPr="00536A47">
        <w:rPr>
          <w:rFonts w:asciiTheme="minorHAnsi" w:hAnsiTheme="minorHAnsi" w:cstheme="minorHAnsi"/>
        </w:rPr>
        <w:t>. It included an extensive literature review and reference</w:t>
      </w:r>
      <w:r w:rsidR="007E3AFE" w:rsidRPr="00536A47">
        <w:rPr>
          <w:rFonts w:asciiTheme="minorHAnsi" w:hAnsiTheme="minorHAnsi" w:cstheme="minorHAnsi"/>
        </w:rPr>
        <w:t>d</w:t>
      </w:r>
      <w:r w:rsidR="00722AE0" w:rsidRPr="00536A47">
        <w:rPr>
          <w:rFonts w:asciiTheme="minorHAnsi" w:hAnsiTheme="minorHAnsi" w:cstheme="minorHAnsi"/>
        </w:rPr>
        <w:t xml:space="preserve"> over 350</w:t>
      </w:r>
      <w:r w:rsidR="00CA1CDF">
        <w:rPr>
          <w:rFonts w:asciiTheme="minorHAnsi" w:hAnsiTheme="minorHAnsi" w:cstheme="minorHAnsi"/>
        </w:rPr>
        <w:t> </w:t>
      </w:r>
      <w:r w:rsidR="00722AE0" w:rsidRPr="00536A47">
        <w:rPr>
          <w:rFonts w:asciiTheme="minorHAnsi" w:hAnsiTheme="minorHAnsi" w:cstheme="minorHAnsi"/>
        </w:rPr>
        <w:t xml:space="preserve">individual reports and documents in support of its findings. The </w:t>
      </w:r>
      <w:r w:rsidR="007E5ECF" w:rsidRPr="00536A47">
        <w:rPr>
          <w:rFonts w:asciiTheme="minorHAnsi" w:hAnsiTheme="minorHAnsi" w:cstheme="minorHAnsi"/>
        </w:rPr>
        <w:t>r</w:t>
      </w:r>
      <w:r w:rsidR="00722AE0" w:rsidRPr="00536A47">
        <w:rPr>
          <w:rFonts w:asciiTheme="minorHAnsi" w:hAnsiTheme="minorHAnsi" w:cstheme="minorHAnsi"/>
        </w:rPr>
        <w:t>epor</w:t>
      </w:r>
      <w:r w:rsidR="00607640">
        <w:rPr>
          <w:rFonts w:asciiTheme="minorHAnsi" w:hAnsiTheme="minorHAnsi" w:cstheme="minorHAnsi"/>
        </w:rPr>
        <w:t xml:space="preserve">t </w:t>
      </w:r>
      <w:r w:rsidR="00722AE0" w:rsidRPr="00536A47">
        <w:rPr>
          <w:rFonts w:asciiTheme="minorHAnsi" w:hAnsiTheme="minorHAnsi" w:cstheme="minorHAnsi"/>
        </w:rPr>
        <w:t>was peer reviewed by the United States</w:t>
      </w:r>
      <w:r w:rsidR="00CA1CDF">
        <w:rPr>
          <w:rFonts w:asciiTheme="minorHAnsi" w:hAnsiTheme="minorHAnsi" w:cstheme="minorHAnsi"/>
        </w:rPr>
        <w:t>’</w:t>
      </w:r>
      <w:r w:rsidR="00722AE0" w:rsidRPr="00536A47">
        <w:rPr>
          <w:rFonts w:asciiTheme="minorHAnsi" w:hAnsiTheme="minorHAnsi" w:cstheme="minorHAnsi"/>
        </w:rPr>
        <w:t xml:space="preserve"> National Institute for Occupational Safety and Health </w:t>
      </w:r>
      <w:r w:rsidR="007E3AFE" w:rsidRPr="00536A47">
        <w:rPr>
          <w:rFonts w:asciiTheme="minorHAnsi" w:hAnsiTheme="minorHAnsi" w:cstheme="minorHAnsi"/>
        </w:rPr>
        <w:t xml:space="preserve">(NIOSH) </w:t>
      </w:r>
      <w:r w:rsidR="00722AE0" w:rsidRPr="00536A47">
        <w:rPr>
          <w:rFonts w:asciiTheme="minorHAnsi" w:hAnsiTheme="minorHAnsi" w:cstheme="minorHAnsi"/>
        </w:rPr>
        <w:t xml:space="preserve">and comment was sought through the Safe Work Australia website. </w:t>
      </w:r>
      <w:r w:rsidR="004F4AA1">
        <w:rPr>
          <w:rFonts w:asciiTheme="minorHAnsi" w:hAnsiTheme="minorHAnsi" w:cstheme="minorHAnsi"/>
        </w:rPr>
        <w:t>The report recommended reducing both the blood lead removal level and the workplace exposure standard to protect workers from the adverse effects of lead exposure.</w:t>
      </w:r>
    </w:p>
    <w:p w:rsidR="005773F5" w:rsidRPr="00313AAD" w:rsidRDefault="005773F5" w:rsidP="00263482">
      <w:pPr>
        <w:pStyle w:val="Heading2"/>
        <w:ind w:left="426"/>
      </w:pPr>
      <w:bookmarkStart w:id="23" w:name="_Toc450046335"/>
      <w:bookmarkStart w:id="24" w:name="_Toc459276887"/>
      <w:r w:rsidRPr="00313AAD">
        <w:t>Purpose of this document</w:t>
      </w:r>
      <w:bookmarkEnd w:id="23"/>
      <w:bookmarkEnd w:id="24"/>
    </w:p>
    <w:p w:rsidR="005773F5" w:rsidRPr="00773EB8" w:rsidRDefault="005773F5" w:rsidP="005773F5">
      <w:r w:rsidRPr="00773EB8">
        <w:t xml:space="preserve">This </w:t>
      </w:r>
      <w:r>
        <w:t>Decision RIS</w:t>
      </w:r>
      <w:r w:rsidRPr="00773EB8">
        <w:t xml:space="preserve"> </w:t>
      </w:r>
      <w:r w:rsidR="00471641">
        <w:t>recommends preferred options</w:t>
      </w:r>
      <w:r w:rsidRPr="00773EB8">
        <w:t xml:space="preserve"> to </w:t>
      </w:r>
      <w:r>
        <w:t xml:space="preserve">improve the level of protection for </w:t>
      </w:r>
      <w:r w:rsidR="00542710">
        <w:t>lead risk</w:t>
      </w:r>
      <w:r>
        <w:t xml:space="preserve"> workers. </w:t>
      </w:r>
      <w:r w:rsidRPr="00773EB8">
        <w:t xml:space="preserve">It </w:t>
      </w:r>
      <w:r w:rsidR="009633A2">
        <w:t xml:space="preserve">aims </w:t>
      </w:r>
      <w:r w:rsidRPr="00773EB8">
        <w:t xml:space="preserve">to assist </w:t>
      </w:r>
      <w:r w:rsidR="009633A2">
        <w:t xml:space="preserve">policy makers decide </w:t>
      </w:r>
      <w:r>
        <w:t xml:space="preserve">what </w:t>
      </w:r>
      <w:r w:rsidRPr="00773EB8">
        <w:t>regulatory changes, if any, should be made</w:t>
      </w:r>
      <w:r>
        <w:t>,</w:t>
      </w:r>
      <w:r w:rsidRPr="00773EB8">
        <w:t xml:space="preserve"> and follows on from </w:t>
      </w:r>
      <w:r w:rsidR="00422140">
        <w:t>a</w:t>
      </w:r>
      <w:r w:rsidRPr="00773EB8">
        <w:t xml:space="preserve"> Consultation RI</w:t>
      </w:r>
      <w:r>
        <w:t>S</w:t>
      </w:r>
      <w:r w:rsidR="004F4AA1">
        <w:t>.</w:t>
      </w:r>
    </w:p>
    <w:p w:rsidR="005773F5" w:rsidRPr="00773EB8" w:rsidRDefault="00471641" w:rsidP="005773F5">
      <w:r>
        <w:t xml:space="preserve">This RIS </w:t>
      </w:r>
      <w:r w:rsidR="00D13871">
        <w:t>wa</w:t>
      </w:r>
      <w:r>
        <w:t>s</w:t>
      </w:r>
      <w:r w:rsidR="005773F5" w:rsidRPr="00773EB8">
        <w:t xml:space="preserve"> prepared in accordance with COAG RIS requirements contained in the </w:t>
      </w:r>
      <w:hyperlink r:id="rId16" w:history="1">
        <w:r w:rsidR="005773F5" w:rsidRPr="00773EB8">
          <w:rPr>
            <w:i/>
          </w:rPr>
          <w:t>COAG Best Practice Regulation Guide</w:t>
        </w:r>
      </w:hyperlink>
      <w:r w:rsidR="005773F5" w:rsidRPr="00773EB8">
        <w:t>.</w:t>
      </w:r>
      <w:r w:rsidR="005773F5" w:rsidRPr="00773EB8">
        <w:rPr>
          <w:vertAlign w:val="superscript"/>
        </w:rPr>
        <w:footnoteReference w:id="2"/>
      </w:r>
      <w:r w:rsidR="005773F5" w:rsidRPr="00773EB8">
        <w:t xml:space="preserve"> Under this guide, a RIS must address seven key elements:</w:t>
      </w:r>
    </w:p>
    <w:p w:rsidR="005773F5" w:rsidRPr="00773EB8" w:rsidRDefault="005773F5" w:rsidP="00263482">
      <w:pPr>
        <w:pStyle w:val="ListParagraph"/>
        <w:numPr>
          <w:ilvl w:val="0"/>
          <w:numId w:val="20"/>
        </w:numPr>
        <w:spacing w:before="120" w:after="120"/>
        <w:ind w:left="714" w:hanging="357"/>
        <w:contextualSpacing w:val="0"/>
      </w:pPr>
      <w:r w:rsidRPr="00773EB8">
        <w:t>The problem/s that needs to be addressed</w:t>
      </w:r>
    </w:p>
    <w:p w:rsidR="005773F5" w:rsidRPr="00773EB8" w:rsidRDefault="005773F5" w:rsidP="00263482">
      <w:pPr>
        <w:pStyle w:val="ListParagraph"/>
        <w:numPr>
          <w:ilvl w:val="0"/>
          <w:numId w:val="20"/>
        </w:numPr>
        <w:spacing w:before="120" w:after="120"/>
        <w:ind w:left="714" w:hanging="357"/>
        <w:contextualSpacing w:val="0"/>
      </w:pPr>
      <w:r w:rsidRPr="00773EB8">
        <w:t>The objectives of government action</w:t>
      </w:r>
    </w:p>
    <w:p w:rsidR="005773F5" w:rsidRPr="00773EB8" w:rsidRDefault="005773F5" w:rsidP="00263482">
      <w:pPr>
        <w:pStyle w:val="ListParagraph"/>
        <w:numPr>
          <w:ilvl w:val="0"/>
          <w:numId w:val="20"/>
        </w:numPr>
        <w:spacing w:before="120" w:after="120"/>
        <w:ind w:left="714" w:hanging="357"/>
        <w:contextualSpacing w:val="0"/>
      </w:pPr>
      <w:r w:rsidRPr="00773EB8">
        <w:t>A range of policy options to address the identified problem/s</w:t>
      </w:r>
    </w:p>
    <w:p w:rsidR="005773F5" w:rsidRPr="00773EB8" w:rsidRDefault="005773F5" w:rsidP="00263482">
      <w:pPr>
        <w:pStyle w:val="ListParagraph"/>
        <w:numPr>
          <w:ilvl w:val="0"/>
          <w:numId w:val="20"/>
        </w:numPr>
        <w:spacing w:before="120" w:after="120"/>
        <w:ind w:left="714" w:hanging="357"/>
        <w:contextualSpacing w:val="0"/>
      </w:pPr>
      <w:r w:rsidRPr="00773EB8">
        <w:t>The likely costs and benefits of the options being considered</w:t>
      </w:r>
    </w:p>
    <w:p w:rsidR="005773F5" w:rsidRPr="00773EB8" w:rsidRDefault="005773F5" w:rsidP="00263482">
      <w:pPr>
        <w:pStyle w:val="ListParagraph"/>
        <w:numPr>
          <w:ilvl w:val="0"/>
          <w:numId w:val="20"/>
        </w:numPr>
        <w:spacing w:before="120" w:after="120"/>
        <w:ind w:left="714" w:hanging="357"/>
        <w:contextualSpacing w:val="0"/>
      </w:pPr>
      <w:r w:rsidRPr="00773EB8">
        <w:t>The consultation undertaken with affected key stakeholders</w:t>
      </w:r>
    </w:p>
    <w:p w:rsidR="005773F5" w:rsidRPr="00773EB8" w:rsidRDefault="005773F5" w:rsidP="00263482">
      <w:pPr>
        <w:pStyle w:val="ListParagraph"/>
        <w:numPr>
          <w:ilvl w:val="0"/>
          <w:numId w:val="20"/>
        </w:numPr>
        <w:spacing w:before="120" w:after="120"/>
        <w:ind w:left="714" w:hanging="357"/>
        <w:contextualSpacing w:val="0"/>
      </w:pPr>
      <w:r w:rsidRPr="00773EB8">
        <w:t xml:space="preserve">A clear statement as to which is the preferred option and why </w:t>
      </w:r>
    </w:p>
    <w:p w:rsidR="005773F5" w:rsidRPr="00773EB8" w:rsidRDefault="005773F5" w:rsidP="00263482">
      <w:pPr>
        <w:pStyle w:val="ListParagraph"/>
        <w:numPr>
          <w:ilvl w:val="0"/>
          <w:numId w:val="20"/>
        </w:numPr>
        <w:spacing w:before="120" w:after="120"/>
        <w:ind w:left="714" w:hanging="357"/>
        <w:contextualSpacing w:val="0"/>
      </w:pPr>
      <w:r w:rsidRPr="00773EB8">
        <w:t>Information on how the preferred option would be implemented, monitored and reviewed.</w:t>
      </w:r>
    </w:p>
    <w:p w:rsidR="005773F5" w:rsidRPr="00313AAD" w:rsidRDefault="005773F5" w:rsidP="00263482">
      <w:pPr>
        <w:pStyle w:val="Heading2"/>
        <w:ind w:left="426"/>
      </w:pPr>
      <w:bookmarkStart w:id="25" w:name="_Toc450046337"/>
      <w:bookmarkStart w:id="26" w:name="_Toc459276888"/>
      <w:r w:rsidRPr="00313AAD">
        <w:t>Overview of the document</w:t>
      </w:r>
      <w:bookmarkEnd w:id="25"/>
      <w:bookmarkEnd w:id="26"/>
    </w:p>
    <w:p w:rsidR="00226E87" w:rsidRPr="004C4DEF" w:rsidRDefault="005773F5" w:rsidP="00E77182">
      <w:pPr>
        <w:pStyle w:val="Heading3"/>
      </w:pPr>
      <w:r w:rsidRPr="004C4DEF">
        <w:t xml:space="preserve">Chapter 1 </w:t>
      </w:r>
      <w:r w:rsidR="00226E87" w:rsidRPr="004C4DEF">
        <w:t>– Introduction</w:t>
      </w:r>
    </w:p>
    <w:p w:rsidR="005773F5" w:rsidRPr="004C4DEF" w:rsidRDefault="00226E87" w:rsidP="00E77182">
      <w:pPr>
        <w:pStyle w:val="Heading3"/>
      </w:pPr>
      <w:r w:rsidRPr="004C4DEF">
        <w:t xml:space="preserve">Chapter 2 </w:t>
      </w:r>
      <w:r w:rsidR="005773F5" w:rsidRPr="004C4DEF">
        <w:t xml:space="preserve">– Background </w:t>
      </w:r>
    </w:p>
    <w:p w:rsidR="00422140" w:rsidRPr="00422140" w:rsidRDefault="00422140" w:rsidP="00422140">
      <w:r>
        <w:t xml:space="preserve">This chapter outlines what lead is and what it is used for, the toxicological hazard profile of lead, measurement of workplace lead exposures, the regulatory framework for the control of lead in the workplace and </w:t>
      </w:r>
      <w:r w:rsidR="004F4AA1">
        <w:t>how</w:t>
      </w:r>
      <w:r>
        <w:t xml:space="preserve"> Australia’s requirements </w:t>
      </w:r>
      <w:r w:rsidR="004F4AA1">
        <w:t>compare internationally.</w:t>
      </w:r>
    </w:p>
    <w:p w:rsidR="005773F5" w:rsidRPr="004C4DEF" w:rsidRDefault="005773F5" w:rsidP="00E77182">
      <w:pPr>
        <w:pStyle w:val="Heading3"/>
      </w:pPr>
      <w:r w:rsidRPr="004C4DEF">
        <w:t xml:space="preserve">Chapter </w:t>
      </w:r>
      <w:r w:rsidR="00226E87" w:rsidRPr="004C4DEF">
        <w:t>3</w:t>
      </w:r>
      <w:r w:rsidRPr="004C4DEF">
        <w:t xml:space="preserve"> – Statement of the problem</w:t>
      </w:r>
    </w:p>
    <w:p w:rsidR="00422140" w:rsidRPr="00422140" w:rsidRDefault="00422140" w:rsidP="00422140">
      <w:r>
        <w:t>This chapter outlines the toxicological hazard profile for lead, the recommended limits based on no observed adverse effect levels and evidence of adverse effects at the current legislated workplace levels.</w:t>
      </w:r>
    </w:p>
    <w:p w:rsidR="005773F5" w:rsidRPr="004C4DEF" w:rsidRDefault="00226E87" w:rsidP="00E77182">
      <w:pPr>
        <w:pStyle w:val="Heading3"/>
      </w:pPr>
      <w:r w:rsidRPr="004C4DEF">
        <w:t>Chapter 4</w:t>
      </w:r>
      <w:r w:rsidR="005773F5" w:rsidRPr="004C4DEF">
        <w:t xml:space="preserve"> – Objectives of government action</w:t>
      </w:r>
    </w:p>
    <w:p w:rsidR="00422140" w:rsidRPr="00422140" w:rsidRDefault="00422140" w:rsidP="00422140">
      <w:r>
        <w:t>This chapter outlines the objective of the WHS Regulations in relation to protecting workers against the effects of lead.</w:t>
      </w:r>
    </w:p>
    <w:p w:rsidR="00422140" w:rsidRPr="004C4DEF" w:rsidRDefault="005773F5" w:rsidP="00E77182">
      <w:pPr>
        <w:pStyle w:val="Heading3"/>
      </w:pPr>
      <w:r w:rsidRPr="004C4DEF">
        <w:t>Chapter </w:t>
      </w:r>
      <w:r w:rsidR="00226E87" w:rsidRPr="004C4DEF">
        <w:t>5</w:t>
      </w:r>
      <w:r w:rsidRPr="004C4DEF">
        <w:t xml:space="preserve"> – </w:t>
      </w:r>
      <w:r w:rsidR="00422140" w:rsidRPr="004C4DEF">
        <w:t>Consultation</w:t>
      </w:r>
    </w:p>
    <w:p w:rsidR="00422140" w:rsidRPr="00422140" w:rsidRDefault="00422140" w:rsidP="00422140">
      <w:r>
        <w:t xml:space="preserve">This chapter outlines the consultation process conducted by Safe Work Australia to inform an analysis of the proposed options. </w:t>
      </w:r>
    </w:p>
    <w:p w:rsidR="005773F5" w:rsidRPr="004C4DEF" w:rsidRDefault="00422140" w:rsidP="00E77182">
      <w:pPr>
        <w:pStyle w:val="Heading3"/>
      </w:pPr>
      <w:r w:rsidRPr="004C4DEF">
        <w:lastRenderedPageBreak/>
        <w:t xml:space="preserve">Chapter </w:t>
      </w:r>
      <w:r w:rsidR="00226E87" w:rsidRPr="004C4DEF">
        <w:t>6</w:t>
      </w:r>
      <w:r w:rsidRPr="004C4DEF">
        <w:t xml:space="preserve"> – </w:t>
      </w:r>
      <w:r w:rsidR="005773F5" w:rsidRPr="004C4DEF">
        <w:t>Options and analysis</w:t>
      </w:r>
    </w:p>
    <w:p w:rsidR="004F4AA1" w:rsidRDefault="00422140" w:rsidP="005773F5">
      <w:r>
        <w:t>This chapter o</w:t>
      </w:r>
      <w:r w:rsidR="005773F5" w:rsidRPr="00773EB8">
        <w:t xml:space="preserve">utlines </w:t>
      </w:r>
      <w:r w:rsidR="00D038BC">
        <w:t xml:space="preserve">the options proposed for blood lead removal levels, the workplace exposure standard and the transition periods. </w:t>
      </w:r>
      <w:r w:rsidR="004F4AA1">
        <w:t>This chapter also summarises the submissions and data received and any key issues and impacts raised</w:t>
      </w:r>
      <w:r w:rsidR="00D038BC">
        <w:t xml:space="preserve"> by stakeholders</w:t>
      </w:r>
      <w:r w:rsidR="004F4AA1">
        <w:t>.</w:t>
      </w:r>
    </w:p>
    <w:p w:rsidR="005773F5" w:rsidRPr="004C4DEF" w:rsidRDefault="005773F5" w:rsidP="00E77182">
      <w:pPr>
        <w:pStyle w:val="Heading3"/>
      </w:pPr>
      <w:r w:rsidRPr="004C4DEF">
        <w:t xml:space="preserve">Chapter </w:t>
      </w:r>
      <w:r w:rsidR="00226E87" w:rsidRPr="004C4DEF">
        <w:t>7</w:t>
      </w:r>
      <w:r w:rsidRPr="004C4DEF">
        <w:t xml:space="preserve"> – Cost Benefit Analysis (CBA)</w:t>
      </w:r>
    </w:p>
    <w:p w:rsidR="005773F5" w:rsidRDefault="00782597" w:rsidP="00782597">
      <w:r>
        <w:t>This chapter outlines the cost benefit analysis for each option.</w:t>
      </w:r>
    </w:p>
    <w:p w:rsidR="005773F5" w:rsidRPr="004C4DEF" w:rsidRDefault="005773F5" w:rsidP="00E77182">
      <w:pPr>
        <w:pStyle w:val="Heading3"/>
      </w:pPr>
      <w:r w:rsidRPr="004C4DEF">
        <w:t xml:space="preserve">Chapter </w:t>
      </w:r>
      <w:r w:rsidR="00226E87" w:rsidRPr="004C4DEF">
        <w:t>8</w:t>
      </w:r>
      <w:r w:rsidRPr="004C4DEF">
        <w:t xml:space="preserve"> – Summary of preferred options</w:t>
      </w:r>
    </w:p>
    <w:p w:rsidR="005773F5" w:rsidRPr="00773EB8" w:rsidRDefault="00782597" w:rsidP="00782597">
      <w:r>
        <w:t>This chapter s</w:t>
      </w:r>
      <w:r w:rsidR="005773F5" w:rsidRPr="00773EB8">
        <w:t>ummarises th</w:t>
      </w:r>
      <w:r>
        <w:t>e</w:t>
      </w:r>
      <w:r w:rsidR="005773F5" w:rsidRPr="00773EB8">
        <w:t xml:space="preserve"> options which analysis shows are likely to provide the greatest net benefit to the community, differentiating between those that are expected to have a significant impact on stakeholders and those that will have only a minor impact. </w:t>
      </w:r>
    </w:p>
    <w:p w:rsidR="005773F5" w:rsidRPr="004C4DEF" w:rsidRDefault="005773F5" w:rsidP="00E77182">
      <w:pPr>
        <w:pStyle w:val="Heading3"/>
      </w:pPr>
      <w:r w:rsidRPr="004C4DEF">
        <w:t xml:space="preserve">Chapter </w:t>
      </w:r>
      <w:r w:rsidR="00226E87" w:rsidRPr="004C4DEF">
        <w:t>9</w:t>
      </w:r>
      <w:r w:rsidRPr="004C4DEF">
        <w:t xml:space="preserve"> – </w:t>
      </w:r>
      <w:r w:rsidR="00C0173F" w:rsidRPr="004C4DEF">
        <w:t>Implementation and review</w:t>
      </w:r>
    </w:p>
    <w:p w:rsidR="005773F5" w:rsidRPr="00773EB8" w:rsidRDefault="00782597" w:rsidP="005773F5">
      <w:r>
        <w:t>This chapter o</w:t>
      </w:r>
      <w:r w:rsidR="005773F5" w:rsidRPr="00773EB8">
        <w:t>utlines the next steps in the process should the recommended option be agreed by Ministers, and the likely timeframes and processes for review.</w:t>
      </w:r>
    </w:p>
    <w:p w:rsidR="005773F5" w:rsidRPr="00997B3B" w:rsidRDefault="005773F5" w:rsidP="005B7535">
      <w:r w:rsidRPr="00E77182">
        <w:rPr>
          <w:rStyle w:val="Heading3Char"/>
        </w:rPr>
        <w:t xml:space="preserve">Appendix </w:t>
      </w:r>
      <w:r w:rsidR="00D038BC" w:rsidRPr="00E77182">
        <w:rPr>
          <w:rStyle w:val="Heading3Char"/>
        </w:rPr>
        <w:t>A</w:t>
      </w:r>
      <w:r w:rsidRPr="00997B3B">
        <w:t xml:space="preserve"> – </w:t>
      </w:r>
      <w:r w:rsidR="00D038BC" w:rsidRPr="00997B3B">
        <w:t>Glossary</w:t>
      </w:r>
    </w:p>
    <w:p w:rsidR="005773F5" w:rsidRPr="00997B3B" w:rsidRDefault="005773F5" w:rsidP="005B7535">
      <w:r w:rsidRPr="00E77182">
        <w:rPr>
          <w:rStyle w:val="Heading3Char"/>
        </w:rPr>
        <w:t xml:space="preserve">Appendix </w:t>
      </w:r>
      <w:r w:rsidR="00D038BC" w:rsidRPr="00E77182">
        <w:rPr>
          <w:rStyle w:val="Heading3Char"/>
        </w:rPr>
        <w:t>B</w:t>
      </w:r>
      <w:r w:rsidRPr="00997B3B">
        <w:t xml:space="preserve"> – </w:t>
      </w:r>
      <w:r w:rsidR="00D038BC" w:rsidRPr="00997B3B">
        <w:t>Definition of lead process work</w:t>
      </w:r>
    </w:p>
    <w:p w:rsidR="005773F5" w:rsidRPr="00997B3B" w:rsidRDefault="005773F5" w:rsidP="005B7535">
      <w:r w:rsidRPr="00E77182">
        <w:rPr>
          <w:rStyle w:val="Heading3Char"/>
        </w:rPr>
        <w:t xml:space="preserve">Appendix </w:t>
      </w:r>
      <w:r w:rsidR="00D038BC" w:rsidRPr="00E77182">
        <w:rPr>
          <w:rStyle w:val="Heading3Char"/>
        </w:rPr>
        <w:t>C</w:t>
      </w:r>
      <w:r w:rsidRPr="00997B3B">
        <w:t xml:space="preserve"> – </w:t>
      </w:r>
      <w:r w:rsidR="005B33AA" w:rsidRPr="00997B3B">
        <w:t>Consultation RIS questions</w:t>
      </w:r>
    </w:p>
    <w:p w:rsidR="005B33AA" w:rsidRDefault="005B33AA" w:rsidP="005B7535">
      <w:r w:rsidRPr="00E77182">
        <w:rPr>
          <w:rStyle w:val="Heading3Char"/>
        </w:rPr>
        <w:t>Appendix D</w:t>
      </w:r>
      <w:r w:rsidRPr="00997B3B">
        <w:t xml:space="preserve"> – Common assumptions used in CBA</w:t>
      </w:r>
    </w:p>
    <w:p w:rsidR="00722AE0" w:rsidRPr="00536A47" w:rsidRDefault="00735E35" w:rsidP="00C82781">
      <w:pPr>
        <w:rPr>
          <w:rFonts w:cstheme="minorHAnsi"/>
        </w:rPr>
      </w:pPr>
      <w:r w:rsidRPr="00E77182">
        <w:rPr>
          <w:rStyle w:val="Heading3Char"/>
        </w:rPr>
        <w:t>Appendix E</w:t>
      </w:r>
      <w:r>
        <w:t xml:space="preserve"> – Regulatory Burden Measurement Framework</w:t>
      </w:r>
    </w:p>
    <w:p w:rsidR="00722AE0" w:rsidRPr="00536A47" w:rsidRDefault="00722AE0" w:rsidP="00722AE0">
      <w:pPr>
        <w:rPr>
          <w:rFonts w:eastAsia="Times New Roman" w:cstheme="minorHAnsi"/>
          <w:i/>
          <w:szCs w:val="20"/>
          <w:lang w:eastAsia="en-AU"/>
        </w:rPr>
      </w:pPr>
      <w:r w:rsidRPr="00536A47">
        <w:rPr>
          <w:rFonts w:cstheme="minorHAnsi"/>
          <w:i/>
        </w:rPr>
        <w:br w:type="page"/>
      </w:r>
    </w:p>
    <w:p w:rsidR="007E3AFE" w:rsidRPr="00536A47" w:rsidRDefault="0035186A" w:rsidP="007E3AFE">
      <w:pPr>
        <w:pStyle w:val="Heading1-number"/>
        <w:rPr>
          <w:rFonts w:asciiTheme="minorHAnsi" w:hAnsiTheme="minorHAnsi" w:cstheme="minorHAnsi"/>
        </w:rPr>
      </w:pPr>
      <w:bookmarkStart w:id="27" w:name="_Toc436398325"/>
      <w:bookmarkStart w:id="28" w:name="_Toc436403235"/>
      <w:bookmarkStart w:id="29" w:name="_Toc436403515"/>
      <w:bookmarkStart w:id="30" w:name="_Toc436403581"/>
      <w:bookmarkStart w:id="31" w:name="_Toc436404169"/>
      <w:bookmarkStart w:id="32" w:name="_Toc436404365"/>
      <w:bookmarkStart w:id="33" w:name="_Toc436744198"/>
      <w:bookmarkStart w:id="34" w:name="_Toc438048628"/>
      <w:bookmarkStart w:id="35" w:name="_Toc438202909"/>
      <w:bookmarkStart w:id="36" w:name="_Toc438203526"/>
      <w:bookmarkStart w:id="37" w:name="_Toc459276889"/>
      <w:bookmarkEnd w:id="27"/>
      <w:bookmarkEnd w:id="28"/>
      <w:bookmarkEnd w:id="29"/>
      <w:bookmarkEnd w:id="30"/>
      <w:bookmarkEnd w:id="31"/>
      <w:bookmarkEnd w:id="32"/>
      <w:bookmarkEnd w:id="33"/>
      <w:bookmarkEnd w:id="34"/>
      <w:bookmarkEnd w:id="35"/>
      <w:bookmarkEnd w:id="36"/>
      <w:r>
        <w:rPr>
          <w:rFonts w:asciiTheme="minorHAnsi" w:hAnsiTheme="minorHAnsi" w:cstheme="minorHAnsi"/>
        </w:rPr>
        <w:lastRenderedPageBreak/>
        <w:t>Background</w:t>
      </w:r>
      <w:bookmarkEnd w:id="37"/>
    </w:p>
    <w:p w:rsidR="00722AE0" w:rsidRPr="00313AAD" w:rsidRDefault="00722AE0" w:rsidP="00263482">
      <w:pPr>
        <w:pStyle w:val="Heading2"/>
        <w:ind w:left="426"/>
      </w:pPr>
      <w:bookmarkStart w:id="38" w:name="_Toc459276890"/>
      <w:r w:rsidRPr="00313AAD">
        <w:t>What is lead and how is it used?</w:t>
      </w:r>
      <w:bookmarkEnd w:id="38"/>
    </w:p>
    <w:p w:rsidR="00D038BC" w:rsidRDefault="00722AE0" w:rsidP="002D5B7C">
      <w:pPr>
        <w:pStyle w:val="Paragraph1"/>
        <w:spacing w:before="120" w:after="120"/>
        <w:rPr>
          <w:rFonts w:asciiTheme="minorHAnsi" w:hAnsiTheme="minorHAnsi" w:cstheme="minorHAnsi"/>
        </w:rPr>
      </w:pPr>
      <w:r w:rsidRPr="00536A47">
        <w:rPr>
          <w:rFonts w:asciiTheme="minorHAnsi" w:hAnsiTheme="minorHAnsi" w:cstheme="minorHAnsi"/>
        </w:rPr>
        <w:t xml:space="preserve">Lead is a naturally occurring metal with properties that make it useful for a wide range of applications </w:t>
      </w:r>
      <w:r w:rsidR="00D038BC">
        <w:rPr>
          <w:rFonts w:asciiTheme="minorHAnsi" w:hAnsiTheme="minorHAnsi" w:cstheme="minorHAnsi"/>
        </w:rPr>
        <w:t>including</w:t>
      </w:r>
      <w:r w:rsidRPr="00536A47">
        <w:rPr>
          <w:rFonts w:asciiTheme="minorHAnsi" w:hAnsiTheme="minorHAnsi" w:cstheme="minorHAnsi"/>
        </w:rPr>
        <w:t xml:space="preserve"> producing </w:t>
      </w:r>
      <w:r w:rsidR="00D038BC">
        <w:rPr>
          <w:rFonts w:asciiTheme="minorHAnsi" w:hAnsiTheme="minorHAnsi" w:cstheme="minorHAnsi"/>
        </w:rPr>
        <w:t xml:space="preserve">and using </w:t>
      </w:r>
      <w:r w:rsidRPr="00536A47">
        <w:rPr>
          <w:rFonts w:asciiTheme="minorHAnsi" w:hAnsiTheme="minorHAnsi" w:cstheme="minorHAnsi"/>
        </w:rPr>
        <w:t xml:space="preserve">solder, batteries, x-ray shielding and ammunition. </w:t>
      </w:r>
    </w:p>
    <w:p w:rsidR="002D5B7C" w:rsidRPr="00536A47" w:rsidRDefault="002D5B7C" w:rsidP="002D5B7C">
      <w:pPr>
        <w:pStyle w:val="Paragraph1"/>
        <w:spacing w:before="120" w:after="120"/>
        <w:rPr>
          <w:rFonts w:asciiTheme="minorHAnsi" w:hAnsiTheme="minorHAnsi" w:cstheme="minorHAnsi"/>
        </w:rPr>
      </w:pPr>
      <w:r w:rsidRPr="00536A47">
        <w:rPr>
          <w:rFonts w:asciiTheme="minorHAnsi" w:hAnsiTheme="minorHAnsi" w:cstheme="minorHAnsi"/>
        </w:rPr>
        <w:t>Solid lead, in itself, presents little or no risk to people.</w:t>
      </w:r>
      <w:r>
        <w:rPr>
          <w:rFonts w:asciiTheme="minorHAnsi" w:hAnsiTheme="minorHAnsi" w:cstheme="minorHAnsi"/>
        </w:rPr>
        <w:t xml:space="preserve"> </w:t>
      </w:r>
      <w:r w:rsidRPr="00536A47">
        <w:rPr>
          <w:rFonts w:asciiTheme="minorHAnsi" w:hAnsiTheme="minorHAnsi" w:cstheme="minorHAnsi"/>
        </w:rPr>
        <w:t xml:space="preserve">However, when lead is processed in a way that produces lead dust, fumes or mist (e.g. </w:t>
      </w:r>
      <w:r w:rsidR="00D038BC">
        <w:rPr>
          <w:rFonts w:asciiTheme="minorHAnsi" w:hAnsiTheme="minorHAnsi" w:cstheme="minorHAnsi"/>
        </w:rPr>
        <w:t>sanding or grinding, heating lead or spraying lead-based coatings</w:t>
      </w:r>
      <w:r>
        <w:rPr>
          <w:rFonts w:asciiTheme="minorHAnsi" w:hAnsiTheme="minorHAnsi" w:cstheme="minorHAnsi"/>
        </w:rPr>
        <w:t xml:space="preserve">) it poses a risk to health. </w:t>
      </w:r>
      <w:r w:rsidRPr="00536A47">
        <w:rPr>
          <w:rFonts w:asciiTheme="minorHAnsi" w:hAnsiTheme="minorHAnsi" w:cstheme="minorHAnsi"/>
        </w:rPr>
        <w:t xml:space="preserve">Even small amounts of lead and lead compounds can be </w:t>
      </w:r>
      <w:r>
        <w:rPr>
          <w:rFonts w:asciiTheme="minorHAnsi" w:hAnsiTheme="minorHAnsi" w:cstheme="minorHAnsi"/>
        </w:rPr>
        <w:t>toxic when ingested or inhaled.</w:t>
      </w:r>
    </w:p>
    <w:p w:rsidR="00722AE0" w:rsidRPr="00536A47"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 xml:space="preserve">The use of lead in the developed world has been progressively eliminated or reduced as knowledge has increased about its adverse health effects. </w:t>
      </w:r>
      <w:r w:rsidR="006E2907" w:rsidRPr="00536A47">
        <w:rPr>
          <w:rFonts w:asciiTheme="minorHAnsi" w:hAnsiTheme="minorHAnsi" w:cstheme="minorHAnsi"/>
        </w:rPr>
        <w:t xml:space="preserve">In Australia removing lead from petrol and paint has significantly reduced </w:t>
      </w:r>
      <w:r w:rsidR="006E2907">
        <w:rPr>
          <w:rFonts w:asciiTheme="minorHAnsi" w:hAnsiTheme="minorHAnsi" w:cstheme="minorHAnsi"/>
        </w:rPr>
        <w:t>exposure</w:t>
      </w:r>
      <w:r w:rsidR="006E2907" w:rsidRPr="00536A47">
        <w:rPr>
          <w:rFonts w:asciiTheme="minorHAnsi" w:hAnsiTheme="minorHAnsi" w:cstheme="minorHAnsi"/>
        </w:rPr>
        <w:t xml:space="preserve"> to workers and the general population</w:t>
      </w:r>
      <w:r w:rsidR="006E2907">
        <w:rPr>
          <w:rStyle w:val="FootnoteReference"/>
          <w:rFonts w:asciiTheme="minorHAnsi" w:hAnsiTheme="minorHAnsi" w:cstheme="minorHAnsi"/>
        </w:rPr>
        <w:footnoteReference w:id="3"/>
      </w:r>
      <w:r w:rsidR="006E2907">
        <w:rPr>
          <w:rFonts w:asciiTheme="minorHAnsi" w:hAnsiTheme="minorHAnsi" w:cstheme="minorHAnsi"/>
        </w:rPr>
        <w:t xml:space="preserve">. </w:t>
      </w:r>
      <w:r w:rsidRPr="00536A47">
        <w:rPr>
          <w:rFonts w:asciiTheme="minorHAnsi" w:hAnsiTheme="minorHAnsi" w:cstheme="minorHAnsi"/>
        </w:rPr>
        <w:t>However</w:t>
      </w:r>
      <w:r w:rsidR="006E2907">
        <w:rPr>
          <w:rFonts w:asciiTheme="minorHAnsi" w:hAnsiTheme="minorHAnsi" w:cstheme="minorHAnsi"/>
        </w:rPr>
        <w:t>,</w:t>
      </w:r>
      <w:r w:rsidRPr="00536A47">
        <w:rPr>
          <w:rFonts w:asciiTheme="minorHAnsi" w:hAnsiTheme="minorHAnsi" w:cstheme="minorHAnsi"/>
        </w:rPr>
        <w:t xml:space="preserve"> </w:t>
      </w:r>
      <w:r w:rsidR="006E2907">
        <w:rPr>
          <w:rFonts w:asciiTheme="minorHAnsi" w:hAnsiTheme="minorHAnsi" w:cstheme="minorHAnsi"/>
        </w:rPr>
        <w:t>the legacy of environmental lead contamination remains in many areas throughout Australia.</w:t>
      </w:r>
      <w:r w:rsidRPr="00536A47">
        <w:rPr>
          <w:rFonts w:asciiTheme="minorHAnsi" w:hAnsiTheme="minorHAnsi" w:cstheme="minorHAnsi"/>
        </w:rPr>
        <w:t xml:space="preserve"> </w:t>
      </w:r>
    </w:p>
    <w:p w:rsidR="00722AE0" w:rsidRPr="00313AAD" w:rsidRDefault="006E2907" w:rsidP="00263482">
      <w:pPr>
        <w:pStyle w:val="Heading2"/>
        <w:ind w:left="426"/>
      </w:pPr>
      <w:bookmarkStart w:id="39" w:name="_Toc459276891"/>
      <w:r w:rsidRPr="00313AAD">
        <w:t>The adverse health effects of lead</w:t>
      </w:r>
      <w:bookmarkEnd w:id="39"/>
    </w:p>
    <w:p w:rsidR="00722AE0"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Lead has a wide range of biological effects on people, including</w:t>
      </w:r>
      <w:r w:rsidR="002D5B7C">
        <w:rPr>
          <w:rFonts w:asciiTheme="minorHAnsi" w:hAnsiTheme="minorHAnsi" w:cstheme="minorHAnsi"/>
        </w:rPr>
        <w:t xml:space="preserve"> on</w:t>
      </w:r>
      <w:r w:rsidRPr="00536A47">
        <w:rPr>
          <w:rFonts w:asciiTheme="minorHAnsi" w:hAnsiTheme="minorHAnsi" w:cstheme="minorHAnsi"/>
        </w:rPr>
        <w:t xml:space="preserve"> the developing foetus, which are directly related to the concentration of lead in the affected organ systems. </w:t>
      </w:r>
      <w:r w:rsidR="002D5B7C">
        <w:rPr>
          <w:rFonts w:asciiTheme="minorHAnsi" w:hAnsiTheme="minorHAnsi" w:cstheme="minorHAnsi"/>
        </w:rPr>
        <w:t>Biological effects</w:t>
      </w:r>
      <w:r w:rsidRPr="00536A47">
        <w:rPr>
          <w:rFonts w:asciiTheme="minorHAnsi" w:hAnsiTheme="minorHAnsi" w:cstheme="minorHAnsi"/>
        </w:rPr>
        <w:t xml:space="preserve"> includes nervous system</w:t>
      </w:r>
      <w:r w:rsidR="002D5B7C">
        <w:rPr>
          <w:rFonts w:asciiTheme="minorHAnsi" w:hAnsiTheme="minorHAnsi" w:cstheme="minorHAnsi"/>
        </w:rPr>
        <w:t xml:space="preserve"> abnormalities</w:t>
      </w:r>
      <w:r w:rsidRPr="00536A47">
        <w:rPr>
          <w:rFonts w:asciiTheme="minorHAnsi" w:hAnsiTheme="minorHAnsi" w:cstheme="minorHAnsi"/>
        </w:rPr>
        <w:t xml:space="preserve">, increased blood pressure, heart rate variability, kidney dysfunction, changes in immune system markers, reduced sperm quality and haematological </w:t>
      </w:r>
      <w:r w:rsidR="002D5B7C">
        <w:rPr>
          <w:rFonts w:asciiTheme="minorHAnsi" w:hAnsiTheme="minorHAnsi" w:cstheme="minorHAnsi"/>
        </w:rPr>
        <w:t xml:space="preserve">(blood cell) </w:t>
      </w:r>
      <w:r w:rsidRPr="00536A47">
        <w:rPr>
          <w:rFonts w:asciiTheme="minorHAnsi" w:hAnsiTheme="minorHAnsi" w:cstheme="minorHAnsi"/>
        </w:rPr>
        <w:t>effects.</w:t>
      </w:r>
    </w:p>
    <w:p w:rsidR="002D5B7C" w:rsidRPr="00536A47" w:rsidRDefault="002D5B7C" w:rsidP="00722AE0">
      <w:pPr>
        <w:pStyle w:val="Paragraph1"/>
        <w:spacing w:before="120" w:after="120"/>
        <w:rPr>
          <w:rFonts w:asciiTheme="minorHAnsi" w:hAnsiTheme="minorHAnsi" w:cstheme="minorHAnsi"/>
        </w:rPr>
      </w:pPr>
      <w:r>
        <w:rPr>
          <w:rFonts w:asciiTheme="minorHAnsi" w:hAnsiTheme="minorHAnsi" w:cstheme="minorHAnsi"/>
        </w:rPr>
        <w:t>The t</w:t>
      </w:r>
      <w:r w:rsidRPr="00536A47">
        <w:rPr>
          <w:rFonts w:asciiTheme="minorHAnsi" w:hAnsiTheme="minorHAnsi" w:cstheme="minorHAnsi"/>
        </w:rPr>
        <w:t>oxicity</w:t>
      </w:r>
      <w:r>
        <w:rPr>
          <w:rFonts w:asciiTheme="minorHAnsi" w:hAnsiTheme="minorHAnsi" w:cstheme="minorHAnsi"/>
        </w:rPr>
        <w:t xml:space="preserve"> of lead</w:t>
      </w:r>
      <w:r w:rsidRPr="00536A47">
        <w:rPr>
          <w:rFonts w:asciiTheme="minorHAnsi" w:hAnsiTheme="minorHAnsi" w:cstheme="minorHAnsi"/>
        </w:rPr>
        <w:t xml:space="preserve"> depends on </w:t>
      </w:r>
      <w:r>
        <w:rPr>
          <w:rFonts w:asciiTheme="minorHAnsi" w:hAnsiTheme="minorHAnsi" w:cstheme="minorHAnsi"/>
        </w:rPr>
        <w:t xml:space="preserve">its </w:t>
      </w:r>
      <w:r w:rsidRPr="00536A47">
        <w:rPr>
          <w:rFonts w:asciiTheme="minorHAnsi" w:hAnsiTheme="minorHAnsi" w:cstheme="minorHAnsi"/>
        </w:rPr>
        <w:t xml:space="preserve">particle </w:t>
      </w:r>
      <w:r w:rsidR="006E2907">
        <w:rPr>
          <w:rFonts w:asciiTheme="minorHAnsi" w:hAnsiTheme="minorHAnsi" w:cstheme="minorHAnsi"/>
        </w:rPr>
        <w:t xml:space="preserve">size and </w:t>
      </w:r>
      <w:r w:rsidRPr="00536A47">
        <w:rPr>
          <w:rFonts w:asciiTheme="minorHAnsi" w:hAnsiTheme="minorHAnsi" w:cstheme="minorHAnsi"/>
        </w:rPr>
        <w:t xml:space="preserve">solubility, </w:t>
      </w:r>
      <w:r>
        <w:rPr>
          <w:rFonts w:asciiTheme="minorHAnsi" w:hAnsiTheme="minorHAnsi" w:cstheme="minorHAnsi"/>
        </w:rPr>
        <w:t>as</w:t>
      </w:r>
      <w:r w:rsidRPr="00536A47">
        <w:rPr>
          <w:rFonts w:asciiTheme="minorHAnsi" w:hAnsiTheme="minorHAnsi" w:cstheme="minorHAnsi"/>
        </w:rPr>
        <w:t xml:space="preserve"> these </w:t>
      </w:r>
      <w:r>
        <w:rPr>
          <w:rFonts w:asciiTheme="minorHAnsi" w:hAnsiTheme="minorHAnsi" w:cstheme="minorHAnsi"/>
        </w:rPr>
        <w:t xml:space="preserve">parameters </w:t>
      </w:r>
      <w:r w:rsidRPr="00536A47">
        <w:rPr>
          <w:rFonts w:asciiTheme="minorHAnsi" w:hAnsiTheme="minorHAnsi" w:cstheme="minorHAnsi"/>
        </w:rPr>
        <w:t xml:space="preserve">determine how easily </w:t>
      </w:r>
      <w:r>
        <w:rPr>
          <w:rFonts w:asciiTheme="minorHAnsi" w:hAnsiTheme="minorHAnsi" w:cstheme="minorHAnsi"/>
        </w:rPr>
        <w:t>lead is absorbed;</w:t>
      </w:r>
      <w:r w:rsidRPr="00536A47">
        <w:rPr>
          <w:rFonts w:asciiTheme="minorHAnsi" w:hAnsiTheme="minorHAnsi" w:cstheme="minorHAnsi"/>
        </w:rPr>
        <w:t xml:space="preserve"> </w:t>
      </w:r>
      <w:r>
        <w:rPr>
          <w:rFonts w:asciiTheme="minorHAnsi" w:hAnsiTheme="minorHAnsi" w:cstheme="minorHAnsi"/>
        </w:rPr>
        <w:t>t</w:t>
      </w:r>
      <w:r w:rsidRPr="00536A47">
        <w:rPr>
          <w:rFonts w:asciiTheme="minorHAnsi" w:hAnsiTheme="minorHAnsi" w:cstheme="minorHAnsi"/>
        </w:rPr>
        <w:t xml:space="preserve">he smaller the particle, </w:t>
      </w:r>
      <w:r>
        <w:rPr>
          <w:rFonts w:asciiTheme="minorHAnsi" w:hAnsiTheme="minorHAnsi" w:cstheme="minorHAnsi"/>
        </w:rPr>
        <w:t>the more rapid the absorption therefore</w:t>
      </w:r>
      <w:r w:rsidRPr="00536A47">
        <w:rPr>
          <w:rFonts w:asciiTheme="minorHAnsi" w:hAnsiTheme="minorHAnsi" w:cstheme="minorHAnsi"/>
        </w:rPr>
        <w:t xml:space="preserve"> the more acut</w:t>
      </w:r>
      <w:r>
        <w:rPr>
          <w:rFonts w:asciiTheme="minorHAnsi" w:hAnsiTheme="minorHAnsi" w:cstheme="minorHAnsi"/>
        </w:rPr>
        <w:t xml:space="preserve">e and severe the toxic effect. </w:t>
      </w:r>
    </w:p>
    <w:p w:rsidR="00722AE0" w:rsidRPr="0005799A" w:rsidRDefault="007C1D9E" w:rsidP="00C9446F">
      <w:pPr>
        <w:spacing w:before="60" w:after="60"/>
      </w:pPr>
      <w:r>
        <w:t>T</w:t>
      </w:r>
      <w:r w:rsidR="00722AE0" w:rsidRPr="0005799A">
        <w:t xml:space="preserve">he </w:t>
      </w:r>
      <w:r w:rsidR="00722AE0" w:rsidRPr="00536A47">
        <w:rPr>
          <w:rFonts w:cstheme="minorHAnsi"/>
          <w:i/>
        </w:rPr>
        <w:t xml:space="preserve">Review of hazards and health effects of inorganic lead – implications for WHS regulatory policy </w:t>
      </w:r>
      <w:r w:rsidR="00722AE0" w:rsidRPr="0005799A">
        <w:t>(</w:t>
      </w:r>
      <w:r w:rsidR="005B7535">
        <w:t>SWA 2014</w:t>
      </w:r>
      <w:r w:rsidR="003A0AAE">
        <w:t>b</w:t>
      </w:r>
      <w:r w:rsidR="00722AE0" w:rsidRPr="0005799A">
        <w:t xml:space="preserve">) lists the </w:t>
      </w:r>
      <w:r w:rsidR="005B7535">
        <w:t xml:space="preserve">adverse </w:t>
      </w:r>
      <w:r w:rsidR="00722AE0" w:rsidRPr="0005799A">
        <w:t>effects of most concern as:</w:t>
      </w:r>
    </w:p>
    <w:p w:rsidR="00722AE0" w:rsidRPr="00536A47" w:rsidRDefault="00C00401" w:rsidP="006122E2">
      <w:pPr>
        <w:pStyle w:val="ListBullet"/>
        <w:rPr>
          <w:rFonts w:cstheme="minorHAnsi"/>
        </w:rPr>
      </w:pPr>
      <w:r>
        <w:rPr>
          <w:rFonts w:cstheme="minorHAnsi"/>
          <w:b/>
        </w:rPr>
        <w:t>c</w:t>
      </w:r>
      <w:r w:rsidR="00722AE0" w:rsidRPr="002D5B7C">
        <w:rPr>
          <w:rFonts w:cstheme="minorHAnsi"/>
          <w:b/>
        </w:rPr>
        <w:t>arcinogenicity</w:t>
      </w:r>
      <w:r w:rsidR="007C1D9E">
        <w:rPr>
          <w:rFonts w:cstheme="minorHAnsi"/>
        </w:rPr>
        <w:t>:</w:t>
      </w:r>
      <w:r w:rsidR="00722AE0" w:rsidRPr="00536A47">
        <w:rPr>
          <w:rFonts w:cstheme="minorHAnsi"/>
        </w:rPr>
        <w:t xml:space="preserve"> lead compounds  have been classified by the International Agency for Research on Cancer as probable human carcinogens</w:t>
      </w:r>
      <w:r w:rsidR="00C60A4E">
        <w:rPr>
          <w:rFonts w:cstheme="minorHAnsi"/>
        </w:rPr>
        <w:t xml:space="preserve"> and numerous studies have found links with exposure to lead and cancers including lung, stomach, kidney, brain and oesophageal cancers</w:t>
      </w:r>
    </w:p>
    <w:p w:rsidR="00722AE0" w:rsidRPr="00536A47" w:rsidRDefault="00722AE0" w:rsidP="006122E2">
      <w:pPr>
        <w:pStyle w:val="ListBullet"/>
        <w:rPr>
          <w:rFonts w:cstheme="minorHAnsi"/>
        </w:rPr>
      </w:pPr>
      <w:r w:rsidRPr="002D5B7C">
        <w:rPr>
          <w:rFonts w:cstheme="minorHAnsi"/>
          <w:b/>
        </w:rPr>
        <w:t>nervous system effects</w:t>
      </w:r>
      <w:r w:rsidR="00C60A4E" w:rsidRPr="005B33AA">
        <w:rPr>
          <w:rFonts w:cstheme="minorHAnsi"/>
        </w:rPr>
        <w:t>:</w:t>
      </w:r>
      <w:r w:rsidRPr="00536A47">
        <w:rPr>
          <w:rFonts w:cstheme="minorHAnsi"/>
        </w:rPr>
        <w:t xml:space="preserve"> </w:t>
      </w:r>
      <w:r w:rsidR="00C60A4E">
        <w:rPr>
          <w:rFonts w:cstheme="minorHAnsi"/>
        </w:rPr>
        <w:t>difficulty concentrating, anger,</w:t>
      </w:r>
      <w:r w:rsidRPr="00536A47">
        <w:rPr>
          <w:rFonts w:cstheme="minorHAnsi"/>
        </w:rPr>
        <w:t xml:space="preserve"> anxiety, depression, hearing loss, panic, balance dysfunction and tremors </w:t>
      </w:r>
    </w:p>
    <w:p w:rsidR="00722AE0" w:rsidRPr="00536A47" w:rsidRDefault="00722AE0" w:rsidP="006122E2">
      <w:pPr>
        <w:pStyle w:val="ListBullet"/>
        <w:rPr>
          <w:rFonts w:cstheme="minorHAnsi"/>
        </w:rPr>
      </w:pPr>
      <w:r w:rsidRPr="00536A47">
        <w:rPr>
          <w:rFonts w:cstheme="minorHAnsi"/>
        </w:rPr>
        <w:t xml:space="preserve">changed </w:t>
      </w:r>
      <w:r w:rsidRPr="002D5B7C">
        <w:rPr>
          <w:rFonts w:cstheme="minorHAnsi"/>
          <w:b/>
        </w:rPr>
        <w:t>risks for cardiovascular disease</w:t>
      </w:r>
      <w:r w:rsidRPr="00536A47">
        <w:rPr>
          <w:rFonts w:cstheme="minorHAnsi"/>
        </w:rPr>
        <w:t xml:space="preserve"> resulting from small, lead associated, increases in blood pressure</w:t>
      </w:r>
    </w:p>
    <w:p w:rsidR="00722AE0" w:rsidRPr="00536A47" w:rsidRDefault="00722AE0" w:rsidP="006122E2">
      <w:pPr>
        <w:pStyle w:val="ListBullet"/>
        <w:rPr>
          <w:rFonts w:cstheme="minorHAnsi"/>
        </w:rPr>
      </w:pPr>
      <w:r w:rsidRPr="00536A47">
        <w:rPr>
          <w:rFonts w:cstheme="minorHAnsi"/>
        </w:rPr>
        <w:t xml:space="preserve">changes in </w:t>
      </w:r>
      <w:r w:rsidRPr="002D5B7C">
        <w:rPr>
          <w:rFonts w:cstheme="minorHAnsi"/>
          <w:b/>
        </w:rPr>
        <w:t>sperm quality</w:t>
      </w:r>
      <w:r w:rsidRPr="00536A47">
        <w:rPr>
          <w:rFonts w:cstheme="minorHAnsi"/>
        </w:rPr>
        <w:t xml:space="preserve"> that may be important for men with a natural tendency towards having low sperm count</w:t>
      </w:r>
    </w:p>
    <w:p w:rsidR="00722AE0" w:rsidRPr="00536A47" w:rsidRDefault="00722AE0" w:rsidP="006122E2">
      <w:pPr>
        <w:pStyle w:val="ListBullet"/>
        <w:rPr>
          <w:rFonts w:cstheme="minorHAnsi"/>
        </w:rPr>
      </w:pPr>
      <w:r w:rsidRPr="00536A47">
        <w:rPr>
          <w:rFonts w:cstheme="minorHAnsi"/>
        </w:rPr>
        <w:t xml:space="preserve">increased risk of </w:t>
      </w:r>
      <w:r w:rsidRPr="002D5B7C">
        <w:rPr>
          <w:rFonts w:cstheme="minorHAnsi"/>
          <w:b/>
        </w:rPr>
        <w:t>detrimental intellectual development in unborn children</w:t>
      </w:r>
      <w:r w:rsidRPr="00536A47">
        <w:rPr>
          <w:rFonts w:cstheme="minorHAnsi"/>
        </w:rPr>
        <w:t>, and</w:t>
      </w:r>
    </w:p>
    <w:p w:rsidR="00722AE0" w:rsidRPr="00536A47" w:rsidRDefault="00722AE0" w:rsidP="006122E2">
      <w:pPr>
        <w:pStyle w:val="ListBullet"/>
        <w:rPr>
          <w:rFonts w:cstheme="minorHAnsi"/>
        </w:rPr>
      </w:pPr>
      <w:r w:rsidRPr="00536A47">
        <w:rPr>
          <w:rFonts w:cstheme="minorHAnsi"/>
        </w:rPr>
        <w:t xml:space="preserve">increased risk of </w:t>
      </w:r>
      <w:r w:rsidRPr="002D5B7C">
        <w:rPr>
          <w:rFonts w:cstheme="minorHAnsi"/>
          <w:b/>
        </w:rPr>
        <w:t>spontaneous abortion</w:t>
      </w:r>
      <w:r w:rsidRPr="00536A47">
        <w:rPr>
          <w:rFonts w:cstheme="minorHAnsi"/>
        </w:rPr>
        <w:t>.</w:t>
      </w:r>
    </w:p>
    <w:p w:rsidR="00D23201" w:rsidRPr="00536A47" w:rsidRDefault="00D23201" w:rsidP="00D23201">
      <w:pPr>
        <w:pStyle w:val="ListBullet"/>
        <w:numPr>
          <w:ilvl w:val="0"/>
          <w:numId w:val="0"/>
        </w:numPr>
      </w:pPr>
      <w:r w:rsidRPr="00536A47">
        <w:t xml:space="preserve">Historically public health authorities have tried to set ‘safe’ blood lead levels. It now appears no ‘safe’ threshold can be identified </w:t>
      </w:r>
      <w:r w:rsidR="00C60A4E">
        <w:t>for</w:t>
      </w:r>
      <w:r w:rsidRPr="00536A47">
        <w:t xml:space="preserve"> developmental neurotoxicity, vascular toxicity and other systemic effects. Efforts have shifted to build a better understanding of health effects at different blood level levels </w:t>
      </w:r>
      <w:r w:rsidR="00D303A1" w:rsidRPr="00D303A1">
        <w:t>(</w:t>
      </w:r>
      <w:r w:rsidR="00D303A1">
        <w:t>NHMRC</w:t>
      </w:r>
      <w:r w:rsidR="00D303A1" w:rsidRPr="00D303A1">
        <w:t xml:space="preserve"> 2014)</w:t>
      </w:r>
      <w:r w:rsidRPr="00D303A1">
        <w:t>.</w:t>
      </w:r>
    </w:p>
    <w:p w:rsidR="002D5B7C" w:rsidRPr="00313AAD" w:rsidRDefault="002D5B7C" w:rsidP="00263482">
      <w:pPr>
        <w:pStyle w:val="Heading2"/>
        <w:ind w:left="426"/>
      </w:pPr>
      <w:bookmarkStart w:id="40" w:name="_Toc459276892"/>
      <w:r w:rsidRPr="00313AAD">
        <w:t>Lead exposure in the workplace</w:t>
      </w:r>
      <w:bookmarkEnd w:id="40"/>
    </w:p>
    <w:p w:rsidR="00C60A4E" w:rsidRDefault="00C60A4E" w:rsidP="00722AE0">
      <w:pPr>
        <w:pStyle w:val="Paragraph1"/>
        <w:spacing w:before="120" w:after="120"/>
        <w:rPr>
          <w:rFonts w:asciiTheme="minorHAnsi" w:hAnsiTheme="minorHAnsi" w:cstheme="minorHAnsi"/>
        </w:rPr>
      </w:pPr>
      <w:r>
        <w:rPr>
          <w:rFonts w:asciiTheme="minorHAnsi" w:hAnsiTheme="minorHAnsi" w:cstheme="minorHAnsi"/>
        </w:rPr>
        <w:t xml:space="preserve">Exposure to lead in the workplace occurs </w:t>
      </w:r>
      <w:r w:rsidRPr="00C60A4E">
        <w:rPr>
          <w:rFonts w:asciiTheme="minorHAnsi" w:hAnsiTheme="minorHAnsi" w:cstheme="minorHAnsi"/>
          <w:i/>
        </w:rPr>
        <w:t>via</w:t>
      </w:r>
      <w:r>
        <w:rPr>
          <w:rFonts w:asciiTheme="minorHAnsi" w:hAnsiTheme="minorHAnsi" w:cstheme="minorHAnsi"/>
        </w:rPr>
        <w:t xml:space="preserve"> two routes—</w:t>
      </w:r>
      <w:r w:rsidR="00110B98">
        <w:rPr>
          <w:rFonts w:asciiTheme="minorHAnsi" w:hAnsiTheme="minorHAnsi" w:cstheme="minorHAnsi"/>
        </w:rPr>
        <w:t xml:space="preserve">ingestion and </w:t>
      </w:r>
      <w:r>
        <w:rPr>
          <w:rFonts w:asciiTheme="minorHAnsi" w:hAnsiTheme="minorHAnsi" w:cstheme="minorHAnsi"/>
        </w:rPr>
        <w:t xml:space="preserve">inhalation. </w:t>
      </w:r>
      <w:r w:rsidR="00D23201">
        <w:rPr>
          <w:rFonts w:asciiTheme="minorHAnsi" w:hAnsiTheme="minorHAnsi" w:cstheme="minorHAnsi"/>
        </w:rPr>
        <w:t>Absorption of lead through th</w:t>
      </w:r>
      <w:r>
        <w:rPr>
          <w:rFonts w:asciiTheme="minorHAnsi" w:hAnsiTheme="minorHAnsi" w:cstheme="minorHAnsi"/>
        </w:rPr>
        <w:t xml:space="preserve">e skin is negligible. </w:t>
      </w:r>
    </w:p>
    <w:p w:rsidR="00722AE0" w:rsidRDefault="00C60A4E" w:rsidP="00722AE0">
      <w:pPr>
        <w:pStyle w:val="Paragraph1"/>
        <w:spacing w:before="120" w:after="120"/>
        <w:rPr>
          <w:rFonts w:asciiTheme="minorHAnsi" w:hAnsiTheme="minorHAnsi" w:cstheme="minorHAnsi"/>
        </w:rPr>
      </w:pPr>
      <w:r>
        <w:rPr>
          <w:rFonts w:asciiTheme="minorHAnsi" w:hAnsiTheme="minorHAnsi" w:cstheme="minorHAnsi"/>
        </w:rPr>
        <w:lastRenderedPageBreak/>
        <w:t>I</w:t>
      </w:r>
      <w:r w:rsidR="00722AE0" w:rsidRPr="00536A47">
        <w:rPr>
          <w:rFonts w:asciiTheme="minorHAnsi" w:hAnsiTheme="minorHAnsi" w:cstheme="minorHAnsi"/>
        </w:rPr>
        <w:t>ngestion</w:t>
      </w:r>
      <w:r>
        <w:rPr>
          <w:rFonts w:asciiTheme="minorHAnsi" w:hAnsiTheme="minorHAnsi" w:cstheme="minorHAnsi"/>
        </w:rPr>
        <w:t xml:space="preserve"> of lead at the workplace occurs </w:t>
      </w:r>
      <w:r w:rsidRPr="00C60A4E">
        <w:rPr>
          <w:rFonts w:asciiTheme="minorHAnsi" w:hAnsiTheme="minorHAnsi" w:cstheme="minorHAnsi"/>
          <w:i/>
        </w:rPr>
        <w:t>via</w:t>
      </w:r>
      <w:r w:rsidR="00722AE0" w:rsidRPr="00536A47">
        <w:rPr>
          <w:rFonts w:asciiTheme="minorHAnsi" w:hAnsiTheme="minorHAnsi" w:cstheme="minorHAnsi"/>
        </w:rPr>
        <w:t xml:space="preserve"> hand-to-mouth transfer </w:t>
      </w:r>
      <w:r>
        <w:rPr>
          <w:rFonts w:asciiTheme="minorHAnsi" w:hAnsiTheme="minorHAnsi" w:cstheme="minorHAnsi"/>
        </w:rPr>
        <w:t xml:space="preserve">and </w:t>
      </w:r>
      <w:r w:rsidR="00722AE0" w:rsidRPr="00536A47">
        <w:rPr>
          <w:rFonts w:asciiTheme="minorHAnsi" w:hAnsiTheme="minorHAnsi" w:cstheme="minorHAnsi"/>
        </w:rPr>
        <w:t>is a significant route of exposure if a worker’s personal hygiene</w:t>
      </w:r>
      <w:r>
        <w:rPr>
          <w:rFonts w:asciiTheme="minorHAnsi" w:hAnsiTheme="minorHAnsi" w:cstheme="minorHAnsi"/>
        </w:rPr>
        <w:t xml:space="preserve"> or cleaning of the work area</w:t>
      </w:r>
      <w:r w:rsidR="00722AE0" w:rsidRPr="00536A47">
        <w:rPr>
          <w:rFonts w:asciiTheme="minorHAnsi" w:hAnsiTheme="minorHAnsi" w:cstheme="minorHAnsi"/>
        </w:rPr>
        <w:t xml:space="preserve"> is poor</w:t>
      </w:r>
      <w:r>
        <w:rPr>
          <w:rFonts w:asciiTheme="minorHAnsi" w:hAnsiTheme="minorHAnsi" w:cstheme="minorHAnsi"/>
        </w:rPr>
        <w:t>, if workers eat and drink in contaminated areas or if washing and clean areas are not provided.</w:t>
      </w:r>
    </w:p>
    <w:p w:rsidR="00B74E28" w:rsidRDefault="00D23201" w:rsidP="00722AE0">
      <w:pPr>
        <w:pStyle w:val="Paragraph1"/>
        <w:spacing w:before="120" w:after="120"/>
        <w:rPr>
          <w:rFonts w:asciiTheme="minorHAnsi" w:hAnsiTheme="minorHAnsi" w:cstheme="minorHAnsi"/>
        </w:rPr>
      </w:pPr>
      <w:r w:rsidRPr="00536A47">
        <w:rPr>
          <w:rFonts w:asciiTheme="minorHAnsi" w:hAnsiTheme="minorHAnsi" w:cstheme="minorHAnsi"/>
        </w:rPr>
        <w:t>In a lead risk workplace</w:t>
      </w:r>
      <w:r>
        <w:rPr>
          <w:rStyle w:val="FootnoteReference"/>
          <w:rFonts w:asciiTheme="minorHAnsi" w:hAnsiTheme="minorHAnsi" w:cstheme="minorHAnsi"/>
        </w:rPr>
        <w:footnoteReference w:id="4"/>
      </w:r>
      <w:r w:rsidRPr="00536A47">
        <w:rPr>
          <w:rFonts w:asciiTheme="minorHAnsi" w:hAnsiTheme="minorHAnsi" w:cstheme="minorHAnsi"/>
        </w:rPr>
        <w:t xml:space="preserve">, workers are exposed to lead particulates in air (dust and fumes) by breathing them in. </w:t>
      </w:r>
      <w:r w:rsidR="00C60A4E">
        <w:rPr>
          <w:rFonts w:asciiTheme="minorHAnsi" w:hAnsiTheme="minorHAnsi" w:cstheme="minorHAnsi"/>
        </w:rPr>
        <w:t>Once inhaled</w:t>
      </w:r>
      <w:r w:rsidR="00C60A4E" w:rsidRPr="00536A47">
        <w:rPr>
          <w:rFonts w:asciiTheme="minorHAnsi" w:hAnsiTheme="minorHAnsi" w:cstheme="minorHAnsi"/>
        </w:rPr>
        <w:t xml:space="preserve">, </w:t>
      </w:r>
      <w:r w:rsidR="00C60A4E">
        <w:rPr>
          <w:rFonts w:asciiTheme="minorHAnsi" w:hAnsiTheme="minorHAnsi" w:cstheme="minorHAnsi"/>
        </w:rPr>
        <w:t xml:space="preserve">lead </w:t>
      </w:r>
      <w:r w:rsidR="00C60A4E" w:rsidRPr="00536A47">
        <w:rPr>
          <w:rFonts w:asciiTheme="minorHAnsi" w:hAnsiTheme="minorHAnsi" w:cstheme="minorHAnsi"/>
        </w:rPr>
        <w:t>fumes</w:t>
      </w:r>
      <w:r w:rsidR="00C60A4E">
        <w:rPr>
          <w:rFonts w:asciiTheme="minorHAnsi" w:hAnsiTheme="minorHAnsi" w:cstheme="minorHAnsi"/>
        </w:rPr>
        <w:t xml:space="preserve"> and some particulates</w:t>
      </w:r>
      <w:r w:rsidR="00C60A4E" w:rsidRPr="00536A47">
        <w:rPr>
          <w:rFonts w:asciiTheme="minorHAnsi" w:hAnsiTheme="minorHAnsi" w:cstheme="minorHAnsi"/>
        </w:rPr>
        <w:t xml:space="preserve"> can pass </w:t>
      </w:r>
      <w:r w:rsidR="00C60A4E">
        <w:rPr>
          <w:rFonts w:asciiTheme="minorHAnsi" w:hAnsiTheme="minorHAnsi" w:cstheme="minorHAnsi"/>
        </w:rPr>
        <w:t>readily</w:t>
      </w:r>
      <w:r w:rsidR="00C60A4E" w:rsidRPr="00536A47">
        <w:rPr>
          <w:rFonts w:asciiTheme="minorHAnsi" w:hAnsiTheme="minorHAnsi" w:cstheme="minorHAnsi"/>
        </w:rPr>
        <w:t xml:space="preserve"> through the lung alveolar wall </w:t>
      </w:r>
      <w:r w:rsidR="00C60A4E">
        <w:rPr>
          <w:rFonts w:asciiTheme="minorHAnsi" w:hAnsiTheme="minorHAnsi" w:cstheme="minorHAnsi"/>
        </w:rPr>
        <w:t xml:space="preserve">and </w:t>
      </w:r>
      <w:r w:rsidR="00C60A4E" w:rsidRPr="00536A47">
        <w:rPr>
          <w:rFonts w:asciiTheme="minorHAnsi" w:hAnsiTheme="minorHAnsi" w:cstheme="minorHAnsi"/>
        </w:rPr>
        <w:t xml:space="preserve">directly into the blood stream. </w:t>
      </w:r>
      <w:r w:rsidR="00744A82">
        <w:rPr>
          <w:rFonts w:asciiTheme="minorHAnsi" w:hAnsiTheme="minorHAnsi" w:cstheme="minorHAnsi"/>
        </w:rPr>
        <w:t xml:space="preserve">Thermally </w:t>
      </w:r>
      <w:r w:rsidR="00722AE0" w:rsidRPr="00536A47">
        <w:rPr>
          <w:rFonts w:asciiTheme="minorHAnsi" w:hAnsiTheme="minorHAnsi" w:cstheme="minorHAnsi"/>
        </w:rPr>
        <w:t>generated fumes of lead</w:t>
      </w:r>
      <w:r w:rsidR="00B74E28">
        <w:rPr>
          <w:rStyle w:val="FootnoteReference"/>
          <w:rFonts w:asciiTheme="minorHAnsi" w:hAnsiTheme="minorHAnsi" w:cstheme="minorHAnsi"/>
        </w:rPr>
        <w:footnoteReference w:id="5"/>
      </w:r>
      <w:r w:rsidR="00722AE0" w:rsidRPr="00536A47">
        <w:rPr>
          <w:rFonts w:asciiTheme="minorHAnsi" w:hAnsiTheme="minorHAnsi" w:cstheme="minorHAnsi"/>
        </w:rPr>
        <w:t xml:space="preserve"> are more often involved in </w:t>
      </w:r>
      <w:r w:rsidR="00C60A4E">
        <w:rPr>
          <w:rFonts w:asciiTheme="minorHAnsi" w:hAnsiTheme="minorHAnsi" w:cstheme="minorHAnsi"/>
        </w:rPr>
        <w:t xml:space="preserve">worker’s </w:t>
      </w:r>
      <w:r w:rsidR="00722AE0" w:rsidRPr="00536A47">
        <w:rPr>
          <w:rFonts w:asciiTheme="minorHAnsi" w:hAnsiTheme="minorHAnsi" w:cstheme="minorHAnsi"/>
        </w:rPr>
        <w:t xml:space="preserve">high blood lead concentrations. </w:t>
      </w:r>
    </w:p>
    <w:p w:rsidR="00722AE0" w:rsidRPr="00536A47"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Once in the body</w:t>
      </w:r>
      <w:r w:rsidR="00CB3F5A">
        <w:rPr>
          <w:rFonts w:asciiTheme="minorHAnsi" w:hAnsiTheme="minorHAnsi" w:cstheme="minorHAnsi"/>
        </w:rPr>
        <w:t xml:space="preserve"> </w:t>
      </w:r>
      <w:r w:rsidRPr="00536A47">
        <w:rPr>
          <w:rFonts w:asciiTheme="minorHAnsi" w:hAnsiTheme="minorHAnsi" w:cstheme="minorHAnsi"/>
        </w:rPr>
        <w:t xml:space="preserve">lead </w:t>
      </w:r>
      <w:r w:rsidR="008D0344">
        <w:rPr>
          <w:rFonts w:asciiTheme="minorHAnsi" w:hAnsiTheme="minorHAnsi" w:cstheme="minorHAnsi"/>
        </w:rPr>
        <w:t xml:space="preserve">binds to red blood cells and </w:t>
      </w:r>
      <w:r w:rsidRPr="00536A47">
        <w:rPr>
          <w:rFonts w:asciiTheme="minorHAnsi" w:hAnsiTheme="minorHAnsi" w:cstheme="minorHAnsi"/>
        </w:rPr>
        <w:t>circulates</w:t>
      </w:r>
      <w:r w:rsidR="008D0344">
        <w:rPr>
          <w:rFonts w:asciiTheme="minorHAnsi" w:hAnsiTheme="minorHAnsi" w:cstheme="minorHAnsi"/>
        </w:rPr>
        <w:t xml:space="preserve"> the body in the blood. W</w:t>
      </w:r>
      <w:r w:rsidRPr="00536A47">
        <w:rPr>
          <w:rFonts w:asciiTheme="minorHAnsi" w:hAnsiTheme="minorHAnsi" w:cstheme="minorHAnsi"/>
        </w:rPr>
        <w:t xml:space="preserve">hile most is excreted </w:t>
      </w:r>
      <w:r w:rsidR="00CB3F5A">
        <w:rPr>
          <w:rFonts w:asciiTheme="minorHAnsi" w:hAnsiTheme="minorHAnsi" w:cstheme="minorHAnsi"/>
        </w:rPr>
        <w:t>(</w:t>
      </w:r>
      <w:r w:rsidR="008D0344" w:rsidRPr="00CB747E">
        <w:rPr>
          <w:rFonts w:asciiTheme="minorHAnsi" w:hAnsiTheme="minorHAnsi" w:cstheme="minorHAnsi"/>
          <w:i/>
        </w:rPr>
        <w:t>via</w:t>
      </w:r>
      <w:r w:rsidR="008D0344">
        <w:rPr>
          <w:rFonts w:asciiTheme="minorHAnsi" w:hAnsiTheme="minorHAnsi" w:cstheme="minorHAnsi"/>
        </w:rPr>
        <w:t xml:space="preserve"> urine, faeces, sweat, breast milk nails and hair; and </w:t>
      </w:r>
      <w:r w:rsidR="00CB3F5A">
        <w:rPr>
          <w:rFonts w:asciiTheme="minorHAnsi" w:hAnsiTheme="minorHAnsi" w:cstheme="minorHAnsi"/>
        </w:rPr>
        <w:t xml:space="preserve">generally within 30 days) </w:t>
      </w:r>
      <w:r w:rsidRPr="00536A47">
        <w:rPr>
          <w:rFonts w:asciiTheme="minorHAnsi" w:hAnsiTheme="minorHAnsi" w:cstheme="minorHAnsi"/>
        </w:rPr>
        <w:t>so</w:t>
      </w:r>
      <w:r w:rsidR="00CB3F5A">
        <w:rPr>
          <w:rFonts w:asciiTheme="minorHAnsi" w:hAnsiTheme="minorHAnsi" w:cstheme="minorHAnsi"/>
        </w:rPr>
        <w:t xml:space="preserve">me can remain in human tissues and </w:t>
      </w:r>
      <w:r w:rsidRPr="00536A47">
        <w:rPr>
          <w:rFonts w:asciiTheme="minorHAnsi" w:hAnsiTheme="minorHAnsi" w:cstheme="minorHAnsi"/>
        </w:rPr>
        <w:t>organs</w:t>
      </w:r>
      <w:r w:rsidR="00CB3F5A">
        <w:rPr>
          <w:rFonts w:asciiTheme="minorHAnsi" w:hAnsiTheme="minorHAnsi" w:cstheme="minorHAnsi"/>
        </w:rPr>
        <w:t>. Lead can remain in</w:t>
      </w:r>
      <w:r w:rsidRPr="00536A47">
        <w:rPr>
          <w:rFonts w:asciiTheme="minorHAnsi" w:hAnsiTheme="minorHAnsi" w:cstheme="minorHAnsi"/>
        </w:rPr>
        <w:t xml:space="preserve"> bones</w:t>
      </w:r>
      <w:r w:rsidR="00CB3F5A">
        <w:rPr>
          <w:rFonts w:asciiTheme="minorHAnsi" w:hAnsiTheme="minorHAnsi" w:cstheme="minorHAnsi"/>
        </w:rPr>
        <w:t xml:space="preserve"> for decades</w:t>
      </w:r>
      <w:r w:rsidR="008D0344">
        <w:rPr>
          <w:rFonts w:asciiTheme="minorHAnsi" w:hAnsiTheme="minorHAnsi" w:cstheme="minorHAnsi"/>
        </w:rPr>
        <w:t xml:space="preserve"> and can represent up to 95% of the body burden (ACGIH 2001)</w:t>
      </w:r>
      <w:r w:rsidRPr="00536A47">
        <w:rPr>
          <w:rFonts w:asciiTheme="minorHAnsi" w:hAnsiTheme="minorHAnsi" w:cstheme="minorHAnsi"/>
        </w:rPr>
        <w:t>.</w:t>
      </w:r>
    </w:p>
    <w:p w:rsidR="00722AE0" w:rsidRPr="00536A47" w:rsidRDefault="00722AE0" w:rsidP="00722AE0">
      <w:pPr>
        <w:pStyle w:val="Paragraph1"/>
        <w:spacing w:before="120" w:after="240"/>
        <w:rPr>
          <w:rFonts w:asciiTheme="minorHAnsi" w:hAnsiTheme="minorHAnsi" w:cstheme="minorHAnsi"/>
        </w:rPr>
      </w:pPr>
      <w:r w:rsidRPr="00536A47">
        <w:rPr>
          <w:rFonts w:asciiTheme="minorHAnsi" w:hAnsiTheme="minorHAnsi" w:cstheme="minorHAnsi"/>
        </w:rPr>
        <w:t xml:space="preserve">Blood lead levels in workers </w:t>
      </w:r>
      <w:r w:rsidR="00CB3F5A">
        <w:rPr>
          <w:rFonts w:asciiTheme="minorHAnsi" w:hAnsiTheme="minorHAnsi" w:cstheme="minorHAnsi"/>
        </w:rPr>
        <w:t>can</w:t>
      </w:r>
      <w:r w:rsidRPr="00536A47">
        <w:rPr>
          <w:rFonts w:asciiTheme="minorHAnsi" w:hAnsiTheme="minorHAnsi" w:cstheme="minorHAnsi"/>
        </w:rPr>
        <w:t xml:space="preserve"> be reduced by removing them from </w:t>
      </w:r>
      <w:r w:rsidR="00542710">
        <w:rPr>
          <w:rFonts w:asciiTheme="minorHAnsi" w:hAnsiTheme="minorHAnsi" w:cstheme="minorHAnsi"/>
        </w:rPr>
        <w:t>lead risk</w:t>
      </w:r>
      <w:r w:rsidRPr="00536A47">
        <w:rPr>
          <w:rFonts w:asciiTheme="minorHAnsi" w:hAnsiTheme="minorHAnsi" w:cstheme="minorHAnsi"/>
        </w:rPr>
        <w:t xml:space="preserve"> work</w:t>
      </w:r>
      <w:r w:rsidR="008D0344">
        <w:rPr>
          <w:rFonts w:asciiTheme="minorHAnsi" w:hAnsiTheme="minorHAnsi" w:cstheme="minorHAnsi"/>
        </w:rPr>
        <w:t>, improving ventilation controls and adhering to strict hygiene and housekeeping procedures</w:t>
      </w:r>
      <w:r w:rsidRPr="00536A47">
        <w:rPr>
          <w:rFonts w:asciiTheme="minorHAnsi" w:hAnsiTheme="minorHAnsi" w:cstheme="minorHAnsi"/>
        </w:rPr>
        <w:t xml:space="preserve"> until their blood lead levels are sufficiently reduced.</w:t>
      </w:r>
    </w:p>
    <w:p w:rsidR="00722AE0" w:rsidRPr="00313AAD" w:rsidRDefault="00722AE0" w:rsidP="00263482">
      <w:pPr>
        <w:pStyle w:val="Heading2"/>
        <w:ind w:left="426"/>
      </w:pPr>
      <w:bookmarkStart w:id="41" w:name="_Toc459276893"/>
      <w:r w:rsidRPr="00313AAD">
        <w:t xml:space="preserve">How is </w:t>
      </w:r>
      <w:r w:rsidR="00277812" w:rsidRPr="00313AAD">
        <w:t>workplace lead</w:t>
      </w:r>
      <w:r w:rsidRPr="00313AAD">
        <w:t xml:space="preserve"> </w:t>
      </w:r>
      <w:r w:rsidR="00277812" w:rsidRPr="00313AAD">
        <w:t xml:space="preserve">exposure </w:t>
      </w:r>
      <w:r w:rsidRPr="00313AAD">
        <w:t>measured?</w:t>
      </w:r>
      <w:bookmarkEnd w:id="41"/>
    </w:p>
    <w:p w:rsidR="00722AE0" w:rsidRPr="00536A47" w:rsidRDefault="00722AE0" w:rsidP="006F1ABE">
      <w:pPr>
        <w:pStyle w:val="Paragraph1"/>
        <w:spacing w:before="120" w:after="40"/>
        <w:rPr>
          <w:rFonts w:asciiTheme="minorHAnsi" w:hAnsiTheme="minorHAnsi" w:cstheme="minorHAnsi"/>
        </w:rPr>
      </w:pPr>
      <w:r w:rsidRPr="00536A47">
        <w:rPr>
          <w:rFonts w:asciiTheme="minorHAnsi" w:hAnsiTheme="minorHAnsi" w:cstheme="minorHAnsi"/>
        </w:rPr>
        <w:t>The two most common types of monitoring used in Australian workplaces are:</w:t>
      </w:r>
    </w:p>
    <w:p w:rsidR="00722AE0" w:rsidRPr="00536A47" w:rsidRDefault="00722AE0" w:rsidP="006F1ABE">
      <w:pPr>
        <w:pStyle w:val="ListBullet"/>
        <w:spacing w:before="40" w:after="40"/>
        <w:ind w:left="714" w:hanging="357"/>
        <w:rPr>
          <w:rFonts w:cstheme="minorHAnsi"/>
        </w:rPr>
      </w:pPr>
      <w:r w:rsidRPr="00536A47">
        <w:rPr>
          <w:rFonts w:cstheme="minorHAnsi"/>
        </w:rPr>
        <w:t>biological monitoring of workers</w:t>
      </w:r>
      <w:r w:rsidR="00FB1829">
        <w:rPr>
          <w:rFonts w:cstheme="minorHAnsi"/>
        </w:rPr>
        <w:t>’</w:t>
      </w:r>
      <w:r w:rsidRPr="00536A47">
        <w:rPr>
          <w:rFonts w:cstheme="minorHAnsi"/>
        </w:rPr>
        <w:t xml:space="preserve"> blood lead levels, and</w:t>
      </w:r>
    </w:p>
    <w:p w:rsidR="00722AE0" w:rsidRDefault="00FB1829" w:rsidP="006F1ABE">
      <w:pPr>
        <w:pStyle w:val="ListBullet"/>
        <w:spacing w:before="40" w:after="40"/>
        <w:ind w:left="714" w:hanging="357"/>
      </w:pPr>
      <w:r>
        <w:t xml:space="preserve">workplace </w:t>
      </w:r>
      <w:r w:rsidR="00722AE0" w:rsidRPr="00536A47">
        <w:t>air monitoring for</w:t>
      </w:r>
      <w:r w:rsidR="00744A82" w:rsidRPr="00744A82">
        <w:t xml:space="preserve"> </w:t>
      </w:r>
      <w:r w:rsidR="00744A82">
        <w:rPr>
          <w:rFonts w:cstheme="minorHAnsi"/>
        </w:rPr>
        <w:t>dusts and</w:t>
      </w:r>
      <w:r w:rsidR="00744A82" w:rsidRPr="00744A82">
        <w:rPr>
          <w:rFonts w:cstheme="minorHAnsi"/>
        </w:rPr>
        <w:t xml:space="preserve"> fumes</w:t>
      </w:r>
      <w:r w:rsidR="00744A82">
        <w:rPr>
          <w:rFonts w:cstheme="minorHAnsi"/>
        </w:rPr>
        <w:t xml:space="preserve"> of</w:t>
      </w:r>
      <w:r w:rsidR="00722AE0" w:rsidRPr="00536A47">
        <w:t xml:space="preserve"> </w:t>
      </w:r>
      <w:r>
        <w:t xml:space="preserve">inorganic </w:t>
      </w:r>
      <w:r w:rsidR="00722AE0" w:rsidRPr="00536A47">
        <w:t>lead.</w:t>
      </w:r>
    </w:p>
    <w:p w:rsidR="008730AB" w:rsidRPr="008730AB" w:rsidRDefault="008730AB" w:rsidP="008730AB">
      <w:pPr>
        <w:pStyle w:val="Paragraph1"/>
        <w:spacing w:before="120" w:after="120"/>
        <w:rPr>
          <w:rFonts w:asciiTheme="minorHAnsi" w:hAnsiTheme="minorHAnsi" w:cstheme="minorHAnsi"/>
        </w:rPr>
      </w:pPr>
      <w:r>
        <w:rPr>
          <w:rFonts w:asciiTheme="minorHAnsi" w:hAnsiTheme="minorHAnsi" w:cstheme="minorHAnsi"/>
        </w:rPr>
        <w:t xml:space="preserve">It has been highlighted through the consultation process that surface wipe analysis is also used by industry to measure and </w:t>
      </w:r>
      <w:r w:rsidR="00310E5B">
        <w:rPr>
          <w:rFonts w:asciiTheme="minorHAnsi" w:hAnsiTheme="minorHAnsi" w:cstheme="minorHAnsi"/>
        </w:rPr>
        <w:t>mitigate lead</w:t>
      </w:r>
      <w:r>
        <w:rPr>
          <w:rFonts w:asciiTheme="minorHAnsi" w:hAnsiTheme="minorHAnsi" w:cstheme="minorHAnsi"/>
        </w:rPr>
        <w:t xml:space="preserve"> exposure </w:t>
      </w:r>
      <w:r>
        <w:rPr>
          <w:rFonts w:asciiTheme="minorHAnsi" w:hAnsiTheme="minorHAnsi" w:cstheme="minorHAnsi"/>
          <w:i/>
        </w:rPr>
        <w:t xml:space="preserve">via </w:t>
      </w:r>
      <w:r>
        <w:rPr>
          <w:rFonts w:asciiTheme="minorHAnsi" w:hAnsiTheme="minorHAnsi" w:cstheme="minorHAnsi"/>
        </w:rPr>
        <w:t>hand-</w:t>
      </w:r>
      <w:r w:rsidR="00FB1829">
        <w:rPr>
          <w:rFonts w:asciiTheme="minorHAnsi" w:hAnsiTheme="minorHAnsi" w:cstheme="minorHAnsi"/>
        </w:rPr>
        <w:t>to-</w:t>
      </w:r>
      <w:r>
        <w:rPr>
          <w:rFonts w:asciiTheme="minorHAnsi" w:hAnsiTheme="minorHAnsi" w:cstheme="minorHAnsi"/>
        </w:rPr>
        <w:t xml:space="preserve">mouth ingestion. </w:t>
      </w:r>
    </w:p>
    <w:p w:rsidR="00722AE0" w:rsidRPr="00313AAD" w:rsidRDefault="00722AE0" w:rsidP="00263482">
      <w:pPr>
        <w:pStyle w:val="Heading2"/>
        <w:ind w:left="426"/>
      </w:pPr>
      <w:bookmarkStart w:id="42" w:name="_Ref433619548"/>
      <w:bookmarkStart w:id="43" w:name="_Ref433714951"/>
      <w:bookmarkStart w:id="44" w:name="_Toc459276894"/>
      <w:r w:rsidRPr="00313AAD">
        <w:t xml:space="preserve">Work </w:t>
      </w:r>
      <w:r w:rsidR="007E3AFE" w:rsidRPr="00313AAD">
        <w:t>H</w:t>
      </w:r>
      <w:r w:rsidRPr="00313AAD">
        <w:t xml:space="preserve">ealth and </w:t>
      </w:r>
      <w:r w:rsidR="007E3AFE" w:rsidRPr="00313AAD">
        <w:t>S</w:t>
      </w:r>
      <w:r w:rsidRPr="00313AAD">
        <w:t xml:space="preserve">afety </w:t>
      </w:r>
      <w:r w:rsidR="00277812" w:rsidRPr="00313AAD">
        <w:t xml:space="preserve">legislative </w:t>
      </w:r>
      <w:r w:rsidRPr="00313AAD">
        <w:t>requirements</w:t>
      </w:r>
      <w:bookmarkEnd w:id="42"/>
      <w:bookmarkEnd w:id="43"/>
      <w:bookmarkEnd w:id="44"/>
    </w:p>
    <w:p w:rsidR="00FB1829" w:rsidRDefault="00722AE0" w:rsidP="00277812">
      <w:pPr>
        <w:pStyle w:val="Paragraph1"/>
        <w:spacing w:before="120" w:after="120"/>
        <w:rPr>
          <w:rFonts w:asciiTheme="minorHAnsi" w:hAnsiTheme="minorHAnsi" w:cstheme="minorHAnsi"/>
        </w:rPr>
      </w:pPr>
      <w:r w:rsidRPr="00536A47">
        <w:rPr>
          <w:rFonts w:asciiTheme="minorHAnsi" w:hAnsiTheme="minorHAnsi" w:cstheme="minorHAnsi"/>
        </w:rPr>
        <w:t>WHS l</w:t>
      </w:r>
      <w:r w:rsidR="00277812">
        <w:rPr>
          <w:rFonts w:asciiTheme="minorHAnsi" w:hAnsiTheme="minorHAnsi" w:cstheme="minorHAnsi"/>
        </w:rPr>
        <w:t>egislation</w:t>
      </w:r>
      <w:r w:rsidRPr="00536A47">
        <w:rPr>
          <w:rFonts w:asciiTheme="minorHAnsi" w:hAnsiTheme="minorHAnsi" w:cstheme="minorHAnsi"/>
        </w:rPr>
        <w:t xml:space="preserve"> require</w:t>
      </w:r>
      <w:r w:rsidR="00277812">
        <w:rPr>
          <w:rFonts w:asciiTheme="minorHAnsi" w:hAnsiTheme="minorHAnsi" w:cstheme="minorHAnsi"/>
        </w:rPr>
        <w:t>s</w:t>
      </w:r>
      <w:r w:rsidRPr="00536A47">
        <w:rPr>
          <w:rFonts w:asciiTheme="minorHAnsi" w:hAnsiTheme="minorHAnsi" w:cstheme="minorHAnsi"/>
        </w:rPr>
        <w:t xml:space="preserve"> businesses to do </w:t>
      </w:r>
      <w:r w:rsidRPr="00CB747E">
        <w:rPr>
          <w:rFonts w:asciiTheme="minorHAnsi" w:hAnsiTheme="minorHAnsi" w:cstheme="minorHAnsi"/>
        </w:rPr>
        <w:t>what is</w:t>
      </w:r>
      <w:r w:rsidRPr="007F45BD">
        <w:rPr>
          <w:rFonts w:asciiTheme="minorHAnsi" w:hAnsiTheme="minorHAnsi" w:cstheme="minorHAnsi"/>
          <w:i/>
        </w:rPr>
        <w:t xml:space="preserve"> reasonably practicable</w:t>
      </w:r>
      <w:r w:rsidRPr="00536A47">
        <w:rPr>
          <w:rFonts w:asciiTheme="minorHAnsi" w:hAnsiTheme="minorHAnsi" w:cstheme="minorHAnsi"/>
        </w:rPr>
        <w:t xml:space="preserve"> to ensure the health and safety of their workers.  </w:t>
      </w:r>
    </w:p>
    <w:p w:rsidR="00722AE0" w:rsidRPr="00536A47" w:rsidRDefault="00744A82" w:rsidP="00277812">
      <w:pPr>
        <w:pStyle w:val="Paragraph1"/>
        <w:spacing w:before="120" w:after="120"/>
        <w:rPr>
          <w:rFonts w:asciiTheme="minorHAnsi" w:hAnsiTheme="minorHAnsi" w:cstheme="minorHAnsi"/>
        </w:rPr>
      </w:pPr>
      <w:r>
        <w:rPr>
          <w:rFonts w:asciiTheme="minorHAnsi" w:hAnsiTheme="minorHAnsi" w:cstheme="minorHAnsi"/>
        </w:rPr>
        <w:t>In regards to lead risk work, t</w:t>
      </w:r>
      <w:r w:rsidR="00722AE0" w:rsidRPr="00536A47">
        <w:rPr>
          <w:rFonts w:asciiTheme="minorHAnsi" w:hAnsiTheme="minorHAnsi" w:cstheme="minorHAnsi"/>
        </w:rPr>
        <w:t>his requires businesses to eliminate or minimise risks associated with workers’ exposure to lead, so far as is reasonably practicable.</w:t>
      </w:r>
    </w:p>
    <w:p w:rsidR="00722AE0" w:rsidRPr="00536A47" w:rsidRDefault="00CA6774" w:rsidP="006F1ABE">
      <w:pPr>
        <w:pStyle w:val="Paragraph1"/>
        <w:spacing w:before="0" w:after="40"/>
        <w:rPr>
          <w:rFonts w:asciiTheme="minorHAnsi" w:hAnsiTheme="minorHAnsi" w:cstheme="minorHAnsi"/>
        </w:rPr>
      </w:pPr>
      <w:r>
        <w:rPr>
          <w:rFonts w:asciiTheme="minorHAnsi" w:hAnsiTheme="minorHAnsi" w:cstheme="minorHAnsi"/>
        </w:rPr>
        <w:t>Additionally, regulation</w:t>
      </w:r>
      <w:r w:rsidR="00722AE0" w:rsidRPr="00536A47">
        <w:rPr>
          <w:rFonts w:asciiTheme="minorHAnsi" w:hAnsiTheme="minorHAnsi" w:cstheme="minorHAnsi"/>
        </w:rPr>
        <w:t>s</w:t>
      </w:r>
      <w:r w:rsidR="00744A82">
        <w:rPr>
          <w:rStyle w:val="FootnoteReference"/>
          <w:rFonts w:asciiTheme="minorHAnsi" w:hAnsiTheme="minorHAnsi" w:cstheme="minorHAnsi"/>
        </w:rPr>
        <w:footnoteReference w:id="6"/>
      </w:r>
      <w:r w:rsidR="00722AE0" w:rsidRPr="00536A47">
        <w:rPr>
          <w:rFonts w:asciiTheme="minorHAnsi" w:hAnsiTheme="minorHAnsi" w:cstheme="minorHAnsi"/>
        </w:rPr>
        <w:t xml:space="preserve"> place specific</w:t>
      </w:r>
      <w:r w:rsidR="00FB1829">
        <w:rPr>
          <w:rFonts w:asciiTheme="minorHAnsi" w:hAnsiTheme="minorHAnsi" w:cstheme="minorHAnsi"/>
        </w:rPr>
        <w:t xml:space="preserve"> requirements</w:t>
      </w:r>
      <w:r w:rsidR="00722AE0" w:rsidRPr="00536A47">
        <w:rPr>
          <w:rFonts w:asciiTheme="minorHAnsi" w:hAnsiTheme="minorHAnsi" w:cstheme="minorHAnsi"/>
        </w:rPr>
        <w:t xml:space="preserve"> around the </w:t>
      </w:r>
      <w:r w:rsidR="00FB1829">
        <w:rPr>
          <w:rFonts w:asciiTheme="minorHAnsi" w:hAnsiTheme="minorHAnsi" w:cstheme="minorHAnsi"/>
        </w:rPr>
        <w:t>control</w:t>
      </w:r>
      <w:r w:rsidR="00722AE0" w:rsidRPr="00536A47">
        <w:rPr>
          <w:rFonts w:asciiTheme="minorHAnsi" w:hAnsiTheme="minorHAnsi" w:cstheme="minorHAnsi"/>
        </w:rPr>
        <w:t xml:space="preserve"> of lead</w:t>
      </w:r>
      <w:r w:rsidR="00FB1829">
        <w:rPr>
          <w:rFonts w:asciiTheme="minorHAnsi" w:hAnsiTheme="minorHAnsi" w:cstheme="minorHAnsi"/>
        </w:rPr>
        <w:t xml:space="preserve"> exposure</w:t>
      </w:r>
      <w:r w:rsidR="00722AE0" w:rsidRPr="00536A47">
        <w:rPr>
          <w:rFonts w:asciiTheme="minorHAnsi" w:hAnsiTheme="minorHAnsi" w:cstheme="minorHAnsi"/>
        </w:rPr>
        <w:t xml:space="preserve"> in workplaces</w:t>
      </w:r>
      <w:r w:rsidR="00FB1829">
        <w:rPr>
          <w:rFonts w:asciiTheme="minorHAnsi" w:hAnsiTheme="minorHAnsi" w:cstheme="minorHAnsi"/>
        </w:rPr>
        <w:t xml:space="preserve"> including</w:t>
      </w:r>
      <w:r w:rsidR="00722AE0" w:rsidRPr="00536A47">
        <w:rPr>
          <w:rFonts w:asciiTheme="minorHAnsi" w:hAnsiTheme="minorHAnsi" w:cstheme="minorHAnsi"/>
        </w:rPr>
        <w:t>:</w:t>
      </w:r>
    </w:p>
    <w:p w:rsidR="00FB1829" w:rsidRPr="00536A47" w:rsidRDefault="00FB1829" w:rsidP="00FB1829">
      <w:pPr>
        <w:pStyle w:val="ListBullet"/>
        <w:spacing w:before="40" w:after="40"/>
        <w:ind w:left="714" w:hanging="357"/>
        <w:rPr>
          <w:rFonts w:cstheme="minorHAnsi"/>
        </w:rPr>
      </w:pPr>
      <w:r w:rsidRPr="00536A47">
        <w:rPr>
          <w:rFonts w:cstheme="minorHAnsi"/>
        </w:rPr>
        <w:t>confining lead process areas</w:t>
      </w:r>
    </w:p>
    <w:p w:rsidR="00FB1829" w:rsidRPr="00536A47" w:rsidRDefault="00FB1829" w:rsidP="00FB1829">
      <w:pPr>
        <w:pStyle w:val="ListBullet"/>
        <w:spacing w:before="40" w:after="40"/>
        <w:ind w:left="714" w:hanging="357"/>
        <w:rPr>
          <w:rFonts w:cstheme="minorHAnsi"/>
        </w:rPr>
      </w:pPr>
      <w:r w:rsidRPr="00536A47">
        <w:rPr>
          <w:rFonts w:cstheme="minorHAnsi"/>
        </w:rPr>
        <w:t>restricting activities in lead process areas (e.g. eating, drinking)</w:t>
      </w:r>
    </w:p>
    <w:p w:rsidR="00FB1829" w:rsidRPr="00536A47" w:rsidRDefault="00FB1829" w:rsidP="00FB1829">
      <w:pPr>
        <w:pStyle w:val="ListBullet"/>
        <w:spacing w:before="40" w:after="40"/>
        <w:ind w:left="714" w:hanging="357"/>
        <w:rPr>
          <w:rFonts w:cstheme="minorHAnsi"/>
        </w:rPr>
      </w:pPr>
      <w:r w:rsidRPr="00536A47">
        <w:rPr>
          <w:rFonts w:cstheme="minorHAnsi"/>
        </w:rPr>
        <w:t>provision of information about health risks of ‘lead processes’ to workers</w:t>
      </w:r>
    </w:p>
    <w:p w:rsidR="00FB1829" w:rsidRPr="00536A47" w:rsidRDefault="00FB1829" w:rsidP="00FB1829">
      <w:pPr>
        <w:pStyle w:val="ListBullet"/>
        <w:spacing w:before="40" w:after="40"/>
        <w:ind w:left="714" w:hanging="357"/>
        <w:rPr>
          <w:rFonts w:cstheme="minorHAnsi"/>
        </w:rPr>
      </w:pPr>
      <w:r w:rsidRPr="00536A47">
        <w:rPr>
          <w:rFonts w:cstheme="minorHAnsi"/>
        </w:rPr>
        <w:t>providing amenities (e.g. change rooms and washing facilities)</w:t>
      </w:r>
    </w:p>
    <w:p w:rsidR="00FB1829" w:rsidRPr="00FB1829" w:rsidRDefault="00FB1829" w:rsidP="00FB1829">
      <w:pPr>
        <w:pStyle w:val="ListBullet"/>
        <w:spacing w:before="40" w:after="40"/>
        <w:ind w:left="714" w:hanging="357"/>
        <w:rPr>
          <w:rFonts w:cstheme="minorHAnsi"/>
        </w:rPr>
      </w:pPr>
      <w:r w:rsidRPr="00536A47">
        <w:rPr>
          <w:rFonts w:cstheme="minorHAnsi"/>
        </w:rPr>
        <w:t>laund</w:t>
      </w:r>
      <w:r>
        <w:rPr>
          <w:rFonts w:cstheme="minorHAnsi"/>
        </w:rPr>
        <w:t>ry</w:t>
      </w:r>
      <w:r w:rsidRPr="00536A47">
        <w:rPr>
          <w:rFonts w:cstheme="minorHAnsi"/>
        </w:rPr>
        <w:t xml:space="preserve"> requirements for personal protective equipment contaminated with lead (PPE)</w:t>
      </w:r>
      <w:r>
        <w:rPr>
          <w:rFonts w:cstheme="minorHAnsi"/>
        </w:rPr>
        <w:t>, and</w:t>
      </w:r>
    </w:p>
    <w:p w:rsidR="00722AE0" w:rsidRPr="00536A47" w:rsidRDefault="00722AE0" w:rsidP="006F1ABE">
      <w:pPr>
        <w:pStyle w:val="ListBullet"/>
        <w:spacing w:before="40" w:after="40"/>
        <w:ind w:left="714" w:hanging="357"/>
        <w:rPr>
          <w:rFonts w:cstheme="minorHAnsi"/>
        </w:rPr>
      </w:pPr>
      <w:r w:rsidRPr="00536A47">
        <w:rPr>
          <w:rFonts w:cstheme="minorHAnsi"/>
        </w:rPr>
        <w:t xml:space="preserve">health monitoring </w:t>
      </w:r>
      <w:r w:rsidR="00FB1829">
        <w:rPr>
          <w:rFonts w:cstheme="minorHAnsi"/>
        </w:rPr>
        <w:t xml:space="preserve">of </w:t>
      </w:r>
      <w:r w:rsidRPr="00536A47">
        <w:rPr>
          <w:rFonts w:cstheme="minorHAnsi"/>
        </w:rPr>
        <w:t xml:space="preserve">workers </w:t>
      </w:r>
      <w:r w:rsidR="00FB1829">
        <w:rPr>
          <w:rFonts w:cstheme="minorHAnsi"/>
        </w:rPr>
        <w:t>classified ‘</w:t>
      </w:r>
      <w:r w:rsidRPr="00536A47">
        <w:rPr>
          <w:rFonts w:cstheme="minorHAnsi"/>
        </w:rPr>
        <w:t>at risk</w:t>
      </w:r>
      <w:r w:rsidR="00FB1829">
        <w:rPr>
          <w:rFonts w:cstheme="minorHAnsi"/>
        </w:rPr>
        <w:t>’;</w:t>
      </w:r>
      <w:r w:rsidRPr="00536A47">
        <w:rPr>
          <w:rFonts w:cstheme="minorHAnsi"/>
        </w:rPr>
        <w:t xml:space="preserve"> including </w:t>
      </w:r>
      <w:r w:rsidR="00FB1829">
        <w:rPr>
          <w:rFonts w:cstheme="minorHAnsi"/>
        </w:rPr>
        <w:t>those</w:t>
      </w:r>
      <w:r w:rsidRPr="00536A47">
        <w:rPr>
          <w:rFonts w:cstheme="minorHAnsi"/>
        </w:rPr>
        <w:t xml:space="preserve"> for </w:t>
      </w:r>
      <w:r w:rsidR="00744A82">
        <w:rPr>
          <w:rFonts w:cstheme="minorHAnsi"/>
        </w:rPr>
        <w:t xml:space="preserve">worker </w:t>
      </w:r>
      <w:r w:rsidRPr="00536A47">
        <w:rPr>
          <w:rFonts w:cstheme="minorHAnsi"/>
        </w:rPr>
        <w:t>removal if prescribed blood lead levels are exceeded</w:t>
      </w:r>
      <w:r w:rsidR="00FB1829">
        <w:rPr>
          <w:rFonts w:cstheme="minorHAnsi"/>
        </w:rPr>
        <w:t xml:space="preserve"> (i.e. blood lead removal levels)</w:t>
      </w:r>
    </w:p>
    <w:p w:rsidR="00722AE0" w:rsidRPr="00536A47" w:rsidRDefault="00722AE0" w:rsidP="00722AE0">
      <w:pPr>
        <w:pStyle w:val="Paragraph1"/>
        <w:spacing w:before="0" w:after="120"/>
        <w:rPr>
          <w:rFonts w:asciiTheme="minorHAnsi" w:hAnsiTheme="minorHAnsi" w:cstheme="minorHAnsi"/>
        </w:rPr>
      </w:pPr>
      <w:r w:rsidRPr="00277812">
        <w:t>Other</w:t>
      </w:r>
      <w:r w:rsidR="00320087" w:rsidRPr="00277812">
        <w:t xml:space="preserve"> </w:t>
      </w:r>
      <w:r w:rsidR="00CA6774">
        <w:t>requirements may</w:t>
      </w:r>
      <w:r w:rsidRPr="00277812">
        <w:t xml:space="preserve"> include respirator fit testing</w:t>
      </w:r>
      <w:r w:rsidR="00FB1829">
        <w:t xml:space="preserve"> and clean-shaven policies</w:t>
      </w:r>
      <w:r w:rsidRPr="00277812">
        <w:t>, the management of worker personal hygiene</w:t>
      </w:r>
      <w:r w:rsidRPr="00536A47">
        <w:rPr>
          <w:rFonts w:asciiTheme="minorHAnsi" w:hAnsiTheme="minorHAnsi" w:cstheme="minorHAnsi"/>
        </w:rPr>
        <w:t xml:space="preserve"> factors, regular maintenance and cleaning of workplace clothing and personal protective equipment.</w:t>
      </w:r>
    </w:p>
    <w:p w:rsidR="00722AE0" w:rsidRPr="00313AAD" w:rsidRDefault="00722AE0" w:rsidP="00263482">
      <w:pPr>
        <w:pStyle w:val="Heading2"/>
        <w:ind w:left="426"/>
      </w:pPr>
      <w:bookmarkStart w:id="45" w:name="_Toc459276895"/>
      <w:r w:rsidRPr="00313AAD">
        <w:lastRenderedPageBreak/>
        <w:t>Biological monitoring of blood lead levels</w:t>
      </w:r>
      <w:bookmarkEnd w:id="45"/>
    </w:p>
    <w:p w:rsidR="00F65F34" w:rsidRPr="00C9446F" w:rsidRDefault="00F65F34" w:rsidP="00E53F9A">
      <w:pPr>
        <w:pStyle w:val="Paragraph1"/>
        <w:spacing w:before="0" w:after="120"/>
      </w:pPr>
      <w:r w:rsidRPr="00277812">
        <w:rPr>
          <w:rFonts w:cstheme="minorHAnsi"/>
        </w:rPr>
        <w:t xml:space="preserve">Australian WHS laws require biological monitoring for </w:t>
      </w:r>
      <w:r w:rsidR="008D0344">
        <w:rPr>
          <w:rFonts w:cstheme="minorHAnsi"/>
        </w:rPr>
        <w:t xml:space="preserve">blood </w:t>
      </w:r>
      <w:r w:rsidRPr="00277812">
        <w:rPr>
          <w:rFonts w:cstheme="minorHAnsi"/>
        </w:rPr>
        <w:t>lead</w:t>
      </w:r>
      <w:r w:rsidR="00FB1829">
        <w:rPr>
          <w:rFonts w:cstheme="minorHAnsi"/>
        </w:rPr>
        <w:t xml:space="preserve"> levels</w:t>
      </w:r>
      <w:r w:rsidRPr="00277812">
        <w:rPr>
          <w:rFonts w:cstheme="minorHAnsi"/>
        </w:rPr>
        <w:t xml:space="preserve"> in </w:t>
      </w:r>
      <w:r w:rsidR="00FB1829">
        <w:rPr>
          <w:rFonts w:cstheme="minorHAnsi"/>
        </w:rPr>
        <w:t>specific</w:t>
      </w:r>
      <w:r w:rsidRPr="00277812">
        <w:rPr>
          <w:rFonts w:cstheme="minorHAnsi"/>
        </w:rPr>
        <w:t xml:space="preserve"> circumstances.</w:t>
      </w:r>
      <w:r w:rsidR="00E53F9A">
        <w:rPr>
          <w:rFonts w:cstheme="minorHAnsi"/>
        </w:rPr>
        <w:t xml:space="preserve"> </w:t>
      </w:r>
      <w:r w:rsidR="00E53F9A" w:rsidRPr="00536A47">
        <w:rPr>
          <w:rFonts w:asciiTheme="minorHAnsi" w:hAnsiTheme="minorHAnsi" w:cstheme="minorHAnsi"/>
        </w:rPr>
        <w:t xml:space="preserve">The frequency of testing increases as blood lead level </w:t>
      </w:r>
      <w:r w:rsidR="00E53F9A">
        <w:rPr>
          <w:rFonts w:asciiTheme="minorHAnsi" w:hAnsiTheme="minorHAnsi" w:cstheme="minorHAnsi"/>
        </w:rPr>
        <w:t>increase</w:t>
      </w:r>
      <w:r w:rsidR="008D0344">
        <w:rPr>
          <w:rFonts w:asciiTheme="minorHAnsi" w:hAnsiTheme="minorHAnsi" w:cstheme="minorHAnsi"/>
        </w:rPr>
        <w:t>s</w:t>
      </w:r>
      <w:r w:rsidR="00E53F9A" w:rsidRPr="00536A47">
        <w:rPr>
          <w:rFonts w:asciiTheme="minorHAnsi" w:hAnsiTheme="minorHAnsi" w:cstheme="minorHAnsi"/>
        </w:rPr>
        <w:t xml:space="preserve">, </w:t>
      </w:r>
      <w:r w:rsidR="008D0344">
        <w:rPr>
          <w:rFonts w:asciiTheme="minorHAnsi" w:hAnsiTheme="minorHAnsi" w:cstheme="minorHAnsi"/>
        </w:rPr>
        <w:t xml:space="preserve">ranging </w:t>
      </w:r>
      <w:r w:rsidR="00E53F9A" w:rsidRPr="00536A47">
        <w:rPr>
          <w:rFonts w:asciiTheme="minorHAnsi" w:hAnsiTheme="minorHAnsi" w:cstheme="minorHAnsi"/>
        </w:rPr>
        <w:t xml:space="preserve">from every six months to every six weeks. </w:t>
      </w:r>
      <w:r w:rsidRPr="00277812">
        <w:rPr>
          <w:rFonts w:cstheme="minorHAnsi"/>
        </w:rPr>
        <w:t>An overview</w:t>
      </w:r>
      <w:r w:rsidR="00E53F9A">
        <w:t xml:space="preserve"> of these requirements is</w:t>
      </w:r>
      <w:r w:rsidRPr="00C9446F">
        <w:t xml:space="preserve"> provided in </w:t>
      </w:r>
      <w:r w:rsidR="00C32273">
        <w:fldChar w:fldCharType="begin"/>
      </w:r>
      <w:r w:rsidR="00FB1829">
        <w:instrText xml:space="preserve"> REF _Ref454787086 \h </w:instrText>
      </w:r>
      <w:r w:rsidR="00C32273">
        <w:fldChar w:fldCharType="separate"/>
      </w:r>
      <w:r w:rsidR="00052CE1" w:rsidRPr="00277812">
        <w:t xml:space="preserve">Table </w:t>
      </w:r>
      <w:r w:rsidR="00052CE1">
        <w:rPr>
          <w:noProof/>
        </w:rPr>
        <w:t>1</w:t>
      </w:r>
      <w:r w:rsidR="00C32273">
        <w:fldChar w:fldCharType="end"/>
      </w:r>
      <w:r w:rsidRPr="00C9446F">
        <w:t xml:space="preserve"> and </w:t>
      </w:r>
      <w:r w:rsidR="00C32273">
        <w:fldChar w:fldCharType="begin"/>
      </w:r>
      <w:r w:rsidR="00FB1829">
        <w:instrText xml:space="preserve"> REF _Ref454798936 \h </w:instrText>
      </w:r>
      <w:r w:rsidR="00C32273">
        <w:fldChar w:fldCharType="separate"/>
      </w:r>
      <w:r w:rsidR="00052CE1">
        <w:t xml:space="preserve">Table </w:t>
      </w:r>
      <w:r w:rsidR="00052CE1">
        <w:rPr>
          <w:noProof/>
        </w:rPr>
        <w:t>2</w:t>
      </w:r>
      <w:r w:rsidR="00C32273">
        <w:fldChar w:fldCharType="end"/>
      </w:r>
      <w:r w:rsidRPr="00C9446F">
        <w:t xml:space="preserve"> below. </w:t>
      </w:r>
    </w:p>
    <w:p w:rsidR="00277812" w:rsidRPr="00B13500" w:rsidRDefault="00277812" w:rsidP="00A758EB">
      <w:pPr>
        <w:pStyle w:val="TableHeadingText"/>
        <w:rPr>
          <w:b w:val="0"/>
        </w:rPr>
      </w:pPr>
      <w:bookmarkStart w:id="46" w:name="_Ref454787086"/>
      <w:r w:rsidRPr="00277812">
        <w:t xml:space="preserve">Table </w:t>
      </w:r>
      <w:r w:rsidR="00C32273">
        <w:fldChar w:fldCharType="begin"/>
      </w:r>
      <w:r w:rsidR="00C834BC">
        <w:instrText xml:space="preserve"> SEQ Table \* ARABIC </w:instrText>
      </w:r>
      <w:r w:rsidR="00C32273">
        <w:fldChar w:fldCharType="separate"/>
      </w:r>
      <w:r w:rsidR="00052CE1">
        <w:rPr>
          <w:noProof/>
        </w:rPr>
        <w:t>1</w:t>
      </w:r>
      <w:r w:rsidR="00C32273">
        <w:rPr>
          <w:noProof/>
        </w:rPr>
        <w:fldChar w:fldCharType="end"/>
      </w:r>
      <w:bookmarkEnd w:id="46"/>
      <w:r w:rsidRPr="00277812">
        <w:t xml:space="preserve">. </w:t>
      </w:r>
      <w:r w:rsidR="006F430F" w:rsidRPr="00B13500">
        <w:rPr>
          <w:b w:val="0"/>
        </w:rPr>
        <w:t>Pre</w:t>
      </w:r>
      <w:r w:rsidRPr="00B13500">
        <w:rPr>
          <w:b w:val="0"/>
        </w:rPr>
        <w:t>scribed blood lead levels that trigger specific requirements under Australian WHS laws (except in the ACT)</w:t>
      </w:r>
    </w:p>
    <w:tbl>
      <w:tblPr>
        <w:tblStyle w:val="SWA"/>
        <w:tblW w:w="5000" w:type="pct"/>
        <w:tblLook w:val="04A0" w:firstRow="1" w:lastRow="0" w:firstColumn="1" w:lastColumn="0" w:noHBand="0" w:noVBand="1"/>
        <w:tblCaption w:val="Table 1"/>
        <w:tblDescription w:val="Table 1. Prescribed blood lead levels that trigger specific requirements under Australian WHS laws (except in the ACT)."/>
      </w:tblPr>
      <w:tblGrid>
        <w:gridCol w:w="1764"/>
        <w:gridCol w:w="3930"/>
        <w:gridCol w:w="3930"/>
      </w:tblGrid>
      <w:tr w:rsidR="00722AE0" w:rsidRPr="000A221E" w:rsidTr="00744A82">
        <w:trPr>
          <w:cnfStyle w:val="100000000000" w:firstRow="1" w:lastRow="0" w:firstColumn="0" w:lastColumn="0" w:oddVBand="0" w:evenVBand="0" w:oddHBand="0" w:evenHBand="0" w:firstRowFirstColumn="0" w:firstRowLastColumn="0" w:lastRowFirstColumn="0" w:lastRowLastColumn="0"/>
        </w:trPr>
        <w:tc>
          <w:tcPr>
            <w:tcW w:w="916" w:type="pct"/>
          </w:tcPr>
          <w:p w:rsidR="00722AE0" w:rsidRPr="000A221E" w:rsidRDefault="00722AE0" w:rsidP="00997B3B">
            <w:pPr>
              <w:pStyle w:val="Paragraph1"/>
              <w:spacing w:before="0"/>
              <w:rPr>
                <w:rFonts w:asciiTheme="minorHAnsi" w:hAnsiTheme="minorHAnsi" w:cstheme="minorHAnsi"/>
                <w:b w:val="0"/>
                <w:sz w:val="20"/>
              </w:rPr>
            </w:pPr>
            <w:r w:rsidRPr="000A221E">
              <w:rPr>
                <w:rFonts w:asciiTheme="minorHAnsi" w:hAnsiTheme="minorHAnsi" w:cstheme="minorHAnsi"/>
                <w:sz w:val="20"/>
              </w:rPr>
              <w:t>Requirement</w:t>
            </w:r>
          </w:p>
        </w:tc>
        <w:tc>
          <w:tcPr>
            <w:tcW w:w="2042" w:type="pct"/>
          </w:tcPr>
          <w:p w:rsidR="00722AE0" w:rsidRPr="000A221E" w:rsidRDefault="00722AE0" w:rsidP="00997B3B">
            <w:pPr>
              <w:pStyle w:val="Paragraph1"/>
              <w:spacing w:before="0"/>
              <w:rPr>
                <w:rFonts w:asciiTheme="minorHAnsi" w:hAnsiTheme="minorHAnsi" w:cstheme="minorHAnsi"/>
                <w:b w:val="0"/>
                <w:sz w:val="20"/>
              </w:rPr>
            </w:pPr>
            <w:r w:rsidRPr="000A221E">
              <w:rPr>
                <w:rFonts w:asciiTheme="minorHAnsi" w:hAnsiTheme="minorHAnsi" w:cstheme="minorHAnsi"/>
                <w:sz w:val="20"/>
              </w:rPr>
              <w:t>Prescribed level</w:t>
            </w:r>
          </w:p>
        </w:tc>
        <w:tc>
          <w:tcPr>
            <w:tcW w:w="2042" w:type="pct"/>
          </w:tcPr>
          <w:p w:rsidR="00722AE0" w:rsidRPr="000A221E" w:rsidRDefault="00722AE0" w:rsidP="00997B3B">
            <w:pPr>
              <w:pStyle w:val="Paragraph1"/>
              <w:spacing w:before="0"/>
              <w:rPr>
                <w:rFonts w:asciiTheme="minorHAnsi" w:hAnsiTheme="minorHAnsi" w:cstheme="minorHAnsi"/>
                <w:b w:val="0"/>
                <w:sz w:val="20"/>
              </w:rPr>
            </w:pPr>
            <w:r w:rsidRPr="000A221E">
              <w:rPr>
                <w:rFonts w:asciiTheme="minorHAnsi" w:hAnsiTheme="minorHAnsi" w:cstheme="minorHAnsi"/>
                <w:sz w:val="20"/>
              </w:rPr>
              <w:t>Reference</w:t>
            </w:r>
            <w:r w:rsidR="00E87D8E" w:rsidRPr="000A221E">
              <w:rPr>
                <w:rStyle w:val="FootnoteReference"/>
                <w:rFonts w:asciiTheme="minorHAnsi" w:hAnsiTheme="minorHAnsi" w:cstheme="minorHAnsi"/>
                <w:sz w:val="20"/>
              </w:rPr>
              <w:footnoteReference w:id="7"/>
            </w:r>
          </w:p>
        </w:tc>
      </w:tr>
      <w:tr w:rsidR="00722AE0" w:rsidRPr="000A221E" w:rsidTr="00744A82">
        <w:tc>
          <w:tcPr>
            <w:tcW w:w="916" w:type="pct"/>
          </w:tcPr>
          <w:p w:rsidR="00722AE0" w:rsidRPr="000A221E" w:rsidRDefault="00722AE0" w:rsidP="00997B3B">
            <w:pPr>
              <w:pStyle w:val="Paragraph1"/>
              <w:spacing w:before="0"/>
              <w:rPr>
                <w:rFonts w:asciiTheme="minorHAnsi" w:hAnsiTheme="minorHAnsi" w:cstheme="minorHAnsi"/>
                <w:sz w:val="20"/>
              </w:rPr>
            </w:pPr>
            <w:r w:rsidRPr="000A221E">
              <w:rPr>
                <w:rFonts w:asciiTheme="minorHAnsi" w:hAnsiTheme="minorHAnsi" w:cstheme="minorHAnsi"/>
                <w:sz w:val="20"/>
              </w:rPr>
              <w:t>Mandatory health monitoring of lead risk workers</w:t>
            </w:r>
          </w:p>
        </w:tc>
        <w:tc>
          <w:tcPr>
            <w:tcW w:w="2042" w:type="pct"/>
          </w:tcPr>
          <w:p w:rsidR="000A221E" w:rsidRDefault="00722AE0" w:rsidP="00997B3B">
            <w:pPr>
              <w:pStyle w:val="ListParagraph"/>
              <w:numPr>
                <w:ilvl w:val="0"/>
                <w:numId w:val="17"/>
              </w:numPr>
              <w:ind w:left="0" w:firstLine="0"/>
              <w:contextualSpacing w:val="0"/>
              <w:rPr>
                <w:rFonts w:cstheme="minorHAnsi"/>
                <w:sz w:val="20"/>
                <w:szCs w:val="20"/>
              </w:rPr>
            </w:pPr>
            <w:r w:rsidRPr="000A221E">
              <w:rPr>
                <w:rFonts w:cstheme="minorHAnsi"/>
                <w:sz w:val="20"/>
                <w:szCs w:val="20"/>
              </w:rPr>
              <w:t>for a female of reproductive capacity—10</w:t>
            </w:r>
            <w:r w:rsidR="000A221E">
              <w:rPr>
                <w:rFonts w:cstheme="minorHAnsi"/>
                <w:sz w:val="20"/>
                <w:szCs w:val="20"/>
              </w:rPr>
              <w:t xml:space="preserve"> </w:t>
            </w:r>
            <w:r w:rsidRPr="000A221E">
              <w:rPr>
                <w:rFonts w:cstheme="minorHAnsi"/>
                <w:sz w:val="20"/>
                <w:szCs w:val="20"/>
              </w:rPr>
              <w:t>μg/dL (0.48</w:t>
            </w:r>
            <w:r w:rsidR="000A221E">
              <w:rPr>
                <w:rFonts w:cstheme="minorHAnsi"/>
                <w:sz w:val="20"/>
                <w:szCs w:val="20"/>
              </w:rPr>
              <w:t xml:space="preserve"> </w:t>
            </w:r>
            <w:r w:rsidR="00FB1829" w:rsidRPr="000A221E">
              <w:rPr>
                <w:rFonts w:cstheme="minorHAnsi"/>
                <w:sz w:val="20"/>
                <w:szCs w:val="20"/>
              </w:rPr>
              <w:t>μmoI</w:t>
            </w:r>
            <w:r w:rsidRPr="000A221E">
              <w:rPr>
                <w:rFonts w:cstheme="minorHAnsi"/>
                <w:sz w:val="20"/>
                <w:szCs w:val="20"/>
              </w:rPr>
              <w:t xml:space="preserve">/L) </w:t>
            </w:r>
          </w:p>
          <w:p w:rsidR="00722AE0" w:rsidRPr="000A221E" w:rsidRDefault="00722AE0" w:rsidP="00997B3B">
            <w:pPr>
              <w:pStyle w:val="ListParagraph"/>
              <w:ind w:left="0"/>
              <w:contextualSpacing w:val="0"/>
              <w:rPr>
                <w:rFonts w:cstheme="minorHAnsi"/>
                <w:sz w:val="20"/>
                <w:szCs w:val="20"/>
              </w:rPr>
            </w:pPr>
            <w:r w:rsidRPr="000A221E">
              <w:rPr>
                <w:rFonts w:cstheme="minorHAnsi"/>
                <w:sz w:val="20"/>
                <w:szCs w:val="20"/>
              </w:rPr>
              <w:t xml:space="preserve">except </w:t>
            </w:r>
            <w:r w:rsidR="000A221E">
              <w:rPr>
                <w:rFonts w:cstheme="minorHAnsi"/>
                <w:sz w:val="20"/>
                <w:szCs w:val="20"/>
              </w:rPr>
              <w:t>in WA</w:t>
            </w:r>
            <w:r w:rsidR="000A221E" w:rsidRPr="000A221E">
              <w:rPr>
                <w:rFonts w:cstheme="minorHAnsi"/>
                <w:sz w:val="20"/>
                <w:szCs w:val="20"/>
              </w:rPr>
              <w:t>—</w:t>
            </w:r>
            <w:r w:rsidR="000A221E">
              <w:rPr>
                <w:rFonts w:cstheme="minorHAnsi"/>
                <w:sz w:val="20"/>
                <w:szCs w:val="20"/>
              </w:rPr>
              <w:t xml:space="preserve">20 µg/dL (0.97 </w:t>
            </w:r>
            <w:r w:rsidR="000A221E">
              <w:rPr>
                <w:rFonts w:ascii="Arial" w:hAnsi="Arial" w:cs="Arial"/>
                <w:sz w:val="20"/>
                <w:szCs w:val="20"/>
              </w:rPr>
              <w:t>µ</w:t>
            </w:r>
            <w:r w:rsidR="000A221E">
              <w:rPr>
                <w:rFonts w:cstheme="minorHAnsi"/>
                <w:sz w:val="20"/>
                <w:szCs w:val="20"/>
              </w:rPr>
              <w:t>mol/L)</w:t>
            </w:r>
          </w:p>
          <w:p w:rsidR="00722AE0" w:rsidRPr="000A221E" w:rsidRDefault="00722AE0" w:rsidP="00997B3B">
            <w:pPr>
              <w:pStyle w:val="Paragraph1"/>
              <w:numPr>
                <w:ilvl w:val="0"/>
                <w:numId w:val="17"/>
              </w:numPr>
              <w:spacing w:before="0"/>
              <w:ind w:left="0" w:firstLine="0"/>
              <w:rPr>
                <w:rFonts w:asciiTheme="minorHAnsi" w:hAnsiTheme="minorHAnsi" w:cstheme="minorHAnsi"/>
                <w:sz w:val="20"/>
              </w:rPr>
            </w:pPr>
            <w:r w:rsidRPr="000A221E">
              <w:rPr>
                <w:rFonts w:asciiTheme="minorHAnsi" w:hAnsiTheme="minorHAnsi" w:cstheme="minorHAnsi"/>
                <w:sz w:val="20"/>
              </w:rPr>
              <w:t>in any other case—30</w:t>
            </w:r>
            <w:r w:rsidR="000A221E">
              <w:rPr>
                <w:rFonts w:asciiTheme="minorHAnsi" w:hAnsiTheme="minorHAnsi" w:cstheme="minorHAnsi"/>
                <w:sz w:val="20"/>
              </w:rPr>
              <w:t xml:space="preserve"> </w:t>
            </w:r>
            <w:r w:rsidRPr="000A221E">
              <w:rPr>
                <w:rFonts w:asciiTheme="minorHAnsi" w:hAnsiTheme="minorHAnsi" w:cstheme="minorHAnsi"/>
                <w:sz w:val="20"/>
              </w:rPr>
              <w:t>μg/dL (1.45</w:t>
            </w:r>
            <w:r w:rsidR="000A221E">
              <w:rPr>
                <w:rFonts w:asciiTheme="minorHAnsi" w:hAnsiTheme="minorHAnsi" w:cstheme="minorHAnsi"/>
                <w:sz w:val="20"/>
              </w:rPr>
              <w:t> </w:t>
            </w:r>
            <w:r w:rsidR="00FB1829" w:rsidRPr="000A221E">
              <w:rPr>
                <w:rFonts w:asciiTheme="minorHAnsi" w:hAnsiTheme="minorHAnsi" w:cstheme="minorHAnsi"/>
                <w:sz w:val="20"/>
              </w:rPr>
              <w:t>μmoI</w:t>
            </w:r>
            <w:r w:rsidRPr="000A221E">
              <w:rPr>
                <w:rFonts w:asciiTheme="minorHAnsi" w:hAnsiTheme="minorHAnsi" w:cstheme="minorHAnsi"/>
                <w:sz w:val="20"/>
              </w:rPr>
              <w:t>/L)</w:t>
            </w:r>
          </w:p>
        </w:tc>
        <w:tc>
          <w:tcPr>
            <w:tcW w:w="2042" w:type="pct"/>
          </w:tcPr>
          <w:p w:rsidR="00722AE0" w:rsidRPr="000A221E" w:rsidRDefault="00722AE0" w:rsidP="00997B3B">
            <w:pPr>
              <w:pStyle w:val="Paragraph1"/>
              <w:spacing w:before="0"/>
              <w:rPr>
                <w:rFonts w:asciiTheme="minorHAnsi" w:hAnsiTheme="minorHAnsi" w:cstheme="minorHAnsi"/>
                <w:sz w:val="20"/>
              </w:rPr>
            </w:pPr>
            <w:r w:rsidRPr="000A221E">
              <w:rPr>
                <w:rFonts w:asciiTheme="minorHAnsi" w:hAnsiTheme="minorHAnsi" w:cstheme="minorHAnsi"/>
                <w:sz w:val="20"/>
              </w:rPr>
              <w:t>Model WHS Regulations, reg 394</w:t>
            </w:r>
          </w:p>
          <w:p w:rsidR="00722AE0" w:rsidRPr="000A221E" w:rsidRDefault="00722AE0" w:rsidP="00997B3B">
            <w:pPr>
              <w:pStyle w:val="Paragraph1"/>
              <w:spacing w:before="0"/>
              <w:rPr>
                <w:rFonts w:asciiTheme="minorHAnsi" w:hAnsiTheme="minorHAnsi" w:cstheme="minorHAnsi"/>
                <w:sz w:val="20"/>
              </w:rPr>
            </w:pPr>
            <w:r w:rsidRPr="008D0344">
              <w:rPr>
                <w:rFonts w:asciiTheme="minorHAnsi" w:hAnsiTheme="minorHAnsi" w:cstheme="minorHAnsi"/>
                <w:sz w:val="20"/>
              </w:rPr>
              <w:t>Vic:</w:t>
            </w:r>
            <w:r w:rsidRPr="000A221E">
              <w:rPr>
                <w:rFonts w:asciiTheme="minorHAnsi" w:hAnsiTheme="minorHAnsi" w:cstheme="minorHAnsi"/>
                <w:sz w:val="20"/>
              </w:rPr>
              <w:t xml:space="preserve"> Occupational Health and Safety Regulations 2007 (Vic), reg 4.4.17</w:t>
            </w:r>
          </w:p>
          <w:p w:rsidR="00722AE0" w:rsidRPr="000A221E" w:rsidRDefault="00722AE0" w:rsidP="00997B3B">
            <w:pPr>
              <w:pStyle w:val="Paragraph1"/>
              <w:spacing w:before="0"/>
              <w:rPr>
                <w:rFonts w:asciiTheme="minorHAnsi" w:hAnsiTheme="minorHAnsi" w:cstheme="minorHAnsi"/>
                <w:sz w:val="20"/>
              </w:rPr>
            </w:pPr>
            <w:r w:rsidRPr="008D0344">
              <w:rPr>
                <w:rFonts w:asciiTheme="minorHAnsi" w:hAnsiTheme="minorHAnsi" w:cstheme="minorHAnsi"/>
                <w:sz w:val="20"/>
              </w:rPr>
              <w:t>WA:</w:t>
            </w:r>
            <w:r w:rsidRPr="000A221E">
              <w:rPr>
                <w:rFonts w:asciiTheme="minorHAnsi" w:hAnsiTheme="minorHAnsi" w:cstheme="minorHAnsi"/>
                <w:sz w:val="20"/>
              </w:rPr>
              <w:t xml:space="preserve"> Occupational Safety and Health Regulations 1996 (WA), reg 5.53</w:t>
            </w:r>
          </w:p>
        </w:tc>
      </w:tr>
      <w:tr w:rsidR="000A221E" w:rsidRPr="000A221E" w:rsidTr="000A221E">
        <w:tc>
          <w:tcPr>
            <w:tcW w:w="916" w:type="pct"/>
            <w:vMerge w:val="restart"/>
          </w:tcPr>
          <w:p w:rsidR="000A221E" w:rsidRPr="000A221E" w:rsidRDefault="000A221E" w:rsidP="00997B3B">
            <w:pPr>
              <w:pStyle w:val="Paragraph1"/>
              <w:spacing w:before="0"/>
              <w:rPr>
                <w:rFonts w:asciiTheme="minorHAnsi" w:hAnsiTheme="minorHAnsi" w:cstheme="minorHAnsi"/>
                <w:sz w:val="20"/>
              </w:rPr>
            </w:pPr>
            <w:r w:rsidRPr="000A221E">
              <w:rPr>
                <w:rFonts w:asciiTheme="minorHAnsi" w:hAnsiTheme="minorHAnsi" w:cstheme="minorHAnsi"/>
                <w:sz w:val="20"/>
              </w:rPr>
              <w:t>Removal from lead risk work</w:t>
            </w:r>
            <w:r w:rsidR="00FB1829">
              <w:rPr>
                <w:rFonts w:asciiTheme="minorHAnsi" w:hAnsiTheme="minorHAnsi" w:cstheme="minorHAnsi"/>
                <w:sz w:val="20"/>
              </w:rPr>
              <w:br/>
              <w:t>(blood lead removal level)</w:t>
            </w:r>
          </w:p>
        </w:tc>
        <w:tc>
          <w:tcPr>
            <w:tcW w:w="2042" w:type="pct"/>
          </w:tcPr>
          <w:p w:rsidR="000A221E" w:rsidRPr="000A221E" w:rsidRDefault="000A221E" w:rsidP="00997B3B">
            <w:pPr>
              <w:pStyle w:val="ListBullet"/>
              <w:numPr>
                <w:ilvl w:val="0"/>
                <w:numId w:val="18"/>
              </w:numPr>
              <w:ind w:left="0" w:firstLine="0"/>
              <w:rPr>
                <w:rFonts w:cstheme="minorHAnsi"/>
                <w:sz w:val="20"/>
                <w:szCs w:val="20"/>
              </w:rPr>
            </w:pPr>
            <w:r w:rsidRPr="000A221E">
              <w:rPr>
                <w:rFonts w:cstheme="minorHAnsi"/>
                <w:sz w:val="20"/>
                <w:szCs w:val="20"/>
              </w:rPr>
              <w:t>for females not of reproductive capacity and males—50</w:t>
            </w:r>
            <w:r>
              <w:rPr>
                <w:rFonts w:cstheme="minorHAnsi"/>
                <w:sz w:val="20"/>
                <w:szCs w:val="20"/>
              </w:rPr>
              <w:t xml:space="preserve"> </w:t>
            </w:r>
            <w:r w:rsidRPr="000A221E">
              <w:rPr>
                <w:rFonts w:cstheme="minorHAnsi"/>
                <w:sz w:val="20"/>
                <w:szCs w:val="20"/>
              </w:rPr>
              <w:t>μg/dL (2.42</w:t>
            </w:r>
            <w:r w:rsidR="00FB1829">
              <w:rPr>
                <w:rFonts w:cstheme="minorHAnsi"/>
                <w:sz w:val="20"/>
                <w:szCs w:val="20"/>
              </w:rPr>
              <w:t> </w:t>
            </w:r>
            <w:r w:rsidR="00FB1829" w:rsidRPr="000A221E">
              <w:rPr>
                <w:rFonts w:cstheme="minorHAnsi"/>
                <w:sz w:val="20"/>
                <w:szCs w:val="20"/>
              </w:rPr>
              <w:t>μmoI</w:t>
            </w:r>
            <w:r w:rsidRPr="000A221E">
              <w:rPr>
                <w:rFonts w:cstheme="minorHAnsi"/>
                <w:sz w:val="20"/>
                <w:szCs w:val="20"/>
              </w:rPr>
              <w:t>/L)</w:t>
            </w:r>
          </w:p>
          <w:p w:rsidR="000A221E" w:rsidRPr="000A221E" w:rsidRDefault="000A221E" w:rsidP="00997B3B">
            <w:pPr>
              <w:pStyle w:val="ListBullet"/>
              <w:numPr>
                <w:ilvl w:val="0"/>
                <w:numId w:val="18"/>
              </w:numPr>
              <w:ind w:left="0" w:firstLine="0"/>
              <w:rPr>
                <w:rFonts w:cstheme="minorHAnsi"/>
                <w:sz w:val="20"/>
                <w:szCs w:val="20"/>
              </w:rPr>
            </w:pPr>
            <w:r w:rsidRPr="000A221E">
              <w:rPr>
                <w:rFonts w:cstheme="minorHAnsi"/>
                <w:sz w:val="20"/>
                <w:szCs w:val="20"/>
              </w:rPr>
              <w:t>for females of reproductive capacity—20</w:t>
            </w:r>
            <w:r>
              <w:rPr>
                <w:rFonts w:cstheme="minorHAnsi"/>
                <w:sz w:val="20"/>
                <w:szCs w:val="20"/>
              </w:rPr>
              <w:t xml:space="preserve"> </w:t>
            </w:r>
            <w:r w:rsidRPr="000A221E">
              <w:rPr>
                <w:rFonts w:cstheme="minorHAnsi"/>
                <w:sz w:val="20"/>
                <w:szCs w:val="20"/>
              </w:rPr>
              <w:t>μg/dL (0.97</w:t>
            </w:r>
            <w:r>
              <w:rPr>
                <w:rFonts w:cstheme="minorHAnsi"/>
                <w:sz w:val="20"/>
                <w:szCs w:val="20"/>
              </w:rPr>
              <w:t xml:space="preserve"> </w:t>
            </w:r>
            <w:r w:rsidR="00FB1829" w:rsidRPr="000A221E">
              <w:rPr>
                <w:rFonts w:cstheme="minorHAnsi"/>
                <w:sz w:val="20"/>
                <w:szCs w:val="20"/>
              </w:rPr>
              <w:t>μmoI</w:t>
            </w:r>
            <w:r w:rsidRPr="000A221E">
              <w:rPr>
                <w:rFonts w:cstheme="minorHAnsi"/>
                <w:sz w:val="20"/>
                <w:szCs w:val="20"/>
              </w:rPr>
              <w:t>/L)</w:t>
            </w:r>
          </w:p>
          <w:p w:rsidR="000A221E" w:rsidRPr="000A221E" w:rsidRDefault="000A221E" w:rsidP="00997B3B">
            <w:pPr>
              <w:pStyle w:val="ListBullet"/>
              <w:numPr>
                <w:ilvl w:val="0"/>
                <w:numId w:val="18"/>
              </w:numPr>
              <w:ind w:left="0" w:firstLine="0"/>
              <w:rPr>
                <w:rFonts w:cstheme="minorHAnsi"/>
                <w:sz w:val="20"/>
                <w:szCs w:val="20"/>
              </w:rPr>
            </w:pPr>
            <w:r w:rsidRPr="000A221E">
              <w:rPr>
                <w:rFonts w:cstheme="minorHAnsi"/>
                <w:sz w:val="20"/>
                <w:szCs w:val="20"/>
              </w:rPr>
              <w:t>for females who are pregnant breastfeeding—15</w:t>
            </w:r>
            <w:r>
              <w:rPr>
                <w:rFonts w:cstheme="minorHAnsi"/>
                <w:sz w:val="20"/>
                <w:szCs w:val="20"/>
              </w:rPr>
              <w:t xml:space="preserve"> </w:t>
            </w:r>
            <w:r w:rsidRPr="000A221E">
              <w:rPr>
                <w:rFonts w:cstheme="minorHAnsi"/>
                <w:sz w:val="20"/>
                <w:szCs w:val="20"/>
              </w:rPr>
              <w:t>μg/dL (0.72</w:t>
            </w:r>
            <w:r w:rsidR="00FB1829">
              <w:rPr>
                <w:rFonts w:cstheme="minorHAnsi"/>
                <w:sz w:val="20"/>
                <w:szCs w:val="20"/>
              </w:rPr>
              <w:t> </w:t>
            </w:r>
            <w:r w:rsidR="00FB1829" w:rsidRPr="000A221E">
              <w:rPr>
                <w:rFonts w:cstheme="minorHAnsi"/>
                <w:sz w:val="20"/>
                <w:szCs w:val="20"/>
              </w:rPr>
              <w:t>μmoI</w:t>
            </w:r>
            <w:r w:rsidRPr="000A221E">
              <w:rPr>
                <w:rFonts w:cstheme="minorHAnsi"/>
                <w:sz w:val="20"/>
                <w:szCs w:val="20"/>
              </w:rPr>
              <w:t>/L)</w:t>
            </w:r>
          </w:p>
        </w:tc>
        <w:tc>
          <w:tcPr>
            <w:tcW w:w="2042" w:type="pct"/>
            <w:vMerge w:val="restart"/>
          </w:tcPr>
          <w:p w:rsidR="000A221E" w:rsidRPr="000A221E" w:rsidRDefault="000A221E" w:rsidP="00997B3B">
            <w:pPr>
              <w:pStyle w:val="Paragraph1"/>
              <w:spacing w:before="0"/>
              <w:rPr>
                <w:rFonts w:asciiTheme="minorHAnsi" w:hAnsiTheme="minorHAnsi" w:cstheme="minorHAnsi"/>
                <w:sz w:val="20"/>
              </w:rPr>
            </w:pPr>
            <w:r w:rsidRPr="000A221E">
              <w:rPr>
                <w:rFonts w:asciiTheme="minorHAnsi" w:hAnsiTheme="minorHAnsi" w:cstheme="minorHAnsi"/>
                <w:sz w:val="20"/>
              </w:rPr>
              <w:t>Model WHS Regulations, reg 415</w:t>
            </w:r>
          </w:p>
          <w:p w:rsidR="000A221E" w:rsidRPr="000A221E" w:rsidRDefault="000A221E" w:rsidP="00997B3B">
            <w:pPr>
              <w:pStyle w:val="Paragraph1"/>
              <w:spacing w:before="0"/>
              <w:rPr>
                <w:rFonts w:asciiTheme="minorHAnsi" w:hAnsiTheme="minorHAnsi" w:cstheme="minorHAnsi"/>
                <w:sz w:val="20"/>
              </w:rPr>
            </w:pPr>
            <w:r w:rsidRPr="008D0344">
              <w:rPr>
                <w:rFonts w:asciiTheme="minorHAnsi" w:hAnsiTheme="minorHAnsi" w:cstheme="minorHAnsi"/>
                <w:sz w:val="20"/>
              </w:rPr>
              <w:t>Vic:</w:t>
            </w:r>
            <w:r w:rsidRPr="000A221E">
              <w:rPr>
                <w:rFonts w:asciiTheme="minorHAnsi" w:hAnsiTheme="minorHAnsi" w:cstheme="minorHAnsi"/>
                <w:sz w:val="20"/>
              </w:rPr>
              <w:t xml:space="preserve"> Occupational Health and Safety Regulations 2007 (Vic), reg 4.4.23</w:t>
            </w:r>
          </w:p>
          <w:p w:rsidR="000A221E" w:rsidRPr="000A221E" w:rsidRDefault="000A221E" w:rsidP="00997B3B">
            <w:pPr>
              <w:pStyle w:val="Paragraph1"/>
              <w:spacing w:before="0"/>
              <w:rPr>
                <w:rFonts w:asciiTheme="minorHAnsi" w:hAnsiTheme="minorHAnsi" w:cstheme="minorHAnsi"/>
                <w:sz w:val="20"/>
              </w:rPr>
            </w:pPr>
            <w:r w:rsidRPr="008D0344">
              <w:rPr>
                <w:rFonts w:asciiTheme="minorHAnsi" w:hAnsiTheme="minorHAnsi" w:cstheme="minorHAnsi"/>
                <w:sz w:val="20"/>
              </w:rPr>
              <w:t>WA</w:t>
            </w:r>
            <w:r w:rsidRPr="000A221E">
              <w:rPr>
                <w:rFonts w:asciiTheme="minorHAnsi" w:hAnsiTheme="minorHAnsi" w:cstheme="minorHAnsi"/>
                <w:sz w:val="20"/>
              </w:rPr>
              <w:t>: Occupational Safety and Health Regulations 1996 (WA), reg 5.63</w:t>
            </w:r>
          </w:p>
        </w:tc>
      </w:tr>
      <w:tr w:rsidR="000A221E" w:rsidRPr="000A221E" w:rsidTr="000A221E">
        <w:tc>
          <w:tcPr>
            <w:tcW w:w="916" w:type="pct"/>
            <w:vMerge/>
          </w:tcPr>
          <w:p w:rsidR="000A221E" w:rsidRPr="000A221E" w:rsidRDefault="000A221E" w:rsidP="00997B3B">
            <w:pPr>
              <w:pStyle w:val="Paragraph1"/>
              <w:spacing w:before="0"/>
              <w:rPr>
                <w:rFonts w:asciiTheme="minorHAnsi" w:hAnsiTheme="minorHAnsi" w:cstheme="minorHAnsi"/>
                <w:sz w:val="20"/>
              </w:rPr>
            </w:pPr>
          </w:p>
        </w:tc>
        <w:tc>
          <w:tcPr>
            <w:tcW w:w="2042" w:type="pct"/>
          </w:tcPr>
          <w:p w:rsidR="000A221E" w:rsidRPr="000A221E" w:rsidRDefault="000A221E" w:rsidP="00997B3B">
            <w:pPr>
              <w:rPr>
                <w:rFonts w:cstheme="minorHAnsi"/>
                <w:sz w:val="20"/>
                <w:szCs w:val="20"/>
              </w:rPr>
            </w:pPr>
            <w:r w:rsidRPr="008D0344">
              <w:rPr>
                <w:rFonts w:cstheme="minorHAnsi"/>
                <w:i/>
                <w:sz w:val="20"/>
                <w:szCs w:val="20"/>
              </w:rPr>
              <w:t>In WA:</w:t>
            </w:r>
            <w:r w:rsidRPr="000A221E">
              <w:rPr>
                <w:rFonts w:cstheme="minorHAnsi"/>
                <w:b/>
                <w:sz w:val="20"/>
                <w:szCs w:val="20"/>
              </w:rPr>
              <w:t xml:space="preserve"> </w:t>
            </w:r>
            <w:r w:rsidRPr="000A221E">
              <w:rPr>
                <w:rFonts w:cstheme="minorHAnsi"/>
                <w:sz w:val="20"/>
                <w:szCs w:val="20"/>
              </w:rPr>
              <w:t>Employers must remove the employee from the work if pregnant or breast-feeding (that is, immediately upon notification, which is mandatory in WA).</w:t>
            </w:r>
          </w:p>
          <w:p w:rsidR="000A221E" w:rsidRPr="000A221E" w:rsidRDefault="000A221E" w:rsidP="00997B3B">
            <w:pPr>
              <w:rPr>
                <w:rFonts w:cstheme="minorHAnsi"/>
                <w:b/>
                <w:sz w:val="20"/>
                <w:szCs w:val="20"/>
              </w:rPr>
            </w:pPr>
            <w:r w:rsidRPr="000A221E">
              <w:rPr>
                <w:rFonts w:cstheme="minorHAnsi"/>
                <w:sz w:val="20"/>
                <w:szCs w:val="20"/>
              </w:rPr>
              <w:t>Workers must also be removed if they have had an excessive exposure to lead or are experiencing adverse health effects related to lead exposure</w:t>
            </w:r>
          </w:p>
        </w:tc>
        <w:tc>
          <w:tcPr>
            <w:tcW w:w="2042" w:type="pct"/>
            <w:vMerge/>
          </w:tcPr>
          <w:p w:rsidR="000A221E" w:rsidRPr="000A221E" w:rsidRDefault="000A221E" w:rsidP="00997B3B">
            <w:pPr>
              <w:pStyle w:val="Paragraph1"/>
              <w:spacing w:before="0"/>
              <w:rPr>
                <w:rFonts w:asciiTheme="minorHAnsi" w:hAnsiTheme="minorHAnsi" w:cstheme="minorHAnsi"/>
                <w:sz w:val="20"/>
              </w:rPr>
            </w:pPr>
          </w:p>
        </w:tc>
      </w:tr>
      <w:tr w:rsidR="000A221E" w:rsidRPr="000A221E" w:rsidTr="00E53F9A">
        <w:tc>
          <w:tcPr>
            <w:tcW w:w="916" w:type="pct"/>
            <w:vMerge w:val="restart"/>
          </w:tcPr>
          <w:p w:rsidR="000A221E" w:rsidRPr="000A221E" w:rsidRDefault="000A221E" w:rsidP="00997B3B">
            <w:pPr>
              <w:pStyle w:val="Paragraph1"/>
              <w:spacing w:before="0"/>
              <w:rPr>
                <w:rFonts w:asciiTheme="minorHAnsi" w:hAnsiTheme="minorHAnsi" w:cstheme="minorHAnsi"/>
                <w:sz w:val="20"/>
              </w:rPr>
            </w:pPr>
            <w:r w:rsidRPr="000A221E">
              <w:rPr>
                <w:rFonts w:asciiTheme="minorHAnsi" w:hAnsiTheme="minorHAnsi" w:cstheme="minorHAnsi"/>
                <w:sz w:val="20"/>
              </w:rPr>
              <w:t>Return to lead risk work</w:t>
            </w:r>
          </w:p>
        </w:tc>
        <w:tc>
          <w:tcPr>
            <w:tcW w:w="2042" w:type="pct"/>
          </w:tcPr>
          <w:p w:rsidR="000A221E" w:rsidRPr="008D0344" w:rsidRDefault="000A221E" w:rsidP="00997B3B">
            <w:pPr>
              <w:rPr>
                <w:rFonts w:cstheme="minorHAnsi"/>
                <w:i/>
                <w:sz w:val="20"/>
                <w:szCs w:val="20"/>
              </w:rPr>
            </w:pPr>
            <w:r w:rsidRPr="008D0344">
              <w:rPr>
                <w:rFonts w:cstheme="minorHAnsi"/>
                <w:i/>
                <w:sz w:val="20"/>
                <w:szCs w:val="20"/>
              </w:rPr>
              <w:t>In all jurisdictions except WA:</w:t>
            </w:r>
          </w:p>
          <w:p w:rsidR="000A221E" w:rsidRPr="000A221E" w:rsidRDefault="000A221E" w:rsidP="00997B3B">
            <w:pPr>
              <w:pStyle w:val="ListBullet"/>
              <w:numPr>
                <w:ilvl w:val="0"/>
                <w:numId w:val="18"/>
              </w:numPr>
              <w:ind w:left="0" w:firstLine="0"/>
              <w:rPr>
                <w:rFonts w:cstheme="minorHAnsi"/>
                <w:sz w:val="20"/>
                <w:szCs w:val="20"/>
              </w:rPr>
            </w:pPr>
            <w:r w:rsidRPr="000A221E">
              <w:rPr>
                <w:rFonts w:cstheme="minorHAnsi"/>
                <w:sz w:val="20"/>
                <w:szCs w:val="20"/>
              </w:rPr>
              <w:t>females not of reproductive capacity and males—40</w:t>
            </w:r>
            <w:r>
              <w:rPr>
                <w:rFonts w:cstheme="minorHAnsi"/>
                <w:sz w:val="20"/>
                <w:szCs w:val="20"/>
              </w:rPr>
              <w:t xml:space="preserve"> </w:t>
            </w:r>
            <w:r w:rsidRPr="000A221E">
              <w:rPr>
                <w:rFonts w:cstheme="minorHAnsi"/>
                <w:sz w:val="20"/>
                <w:szCs w:val="20"/>
              </w:rPr>
              <w:t>μg/dL (1.93</w:t>
            </w:r>
            <w:r>
              <w:rPr>
                <w:rFonts w:cstheme="minorHAnsi"/>
                <w:sz w:val="20"/>
                <w:szCs w:val="20"/>
              </w:rPr>
              <w:t xml:space="preserve"> </w:t>
            </w:r>
            <w:r w:rsidR="00FB1829" w:rsidRPr="000A221E">
              <w:rPr>
                <w:rFonts w:cstheme="minorHAnsi"/>
                <w:sz w:val="20"/>
                <w:szCs w:val="20"/>
              </w:rPr>
              <w:t>μmoI</w:t>
            </w:r>
            <w:r w:rsidRPr="000A221E">
              <w:rPr>
                <w:rFonts w:cstheme="minorHAnsi"/>
                <w:sz w:val="20"/>
                <w:szCs w:val="20"/>
              </w:rPr>
              <w:t>/L)</w:t>
            </w:r>
          </w:p>
          <w:p w:rsidR="000A221E" w:rsidRPr="000A221E" w:rsidRDefault="000A221E" w:rsidP="00997B3B">
            <w:pPr>
              <w:pStyle w:val="ListBullet"/>
              <w:numPr>
                <w:ilvl w:val="0"/>
                <w:numId w:val="18"/>
              </w:numPr>
              <w:ind w:left="0" w:firstLine="0"/>
              <w:rPr>
                <w:rFonts w:cstheme="minorHAnsi"/>
                <w:sz w:val="20"/>
                <w:szCs w:val="20"/>
              </w:rPr>
            </w:pPr>
            <w:r w:rsidRPr="000A221E">
              <w:rPr>
                <w:rFonts w:cstheme="minorHAnsi"/>
                <w:sz w:val="20"/>
                <w:szCs w:val="20"/>
              </w:rPr>
              <w:t>for females of reproductive capacity—10</w:t>
            </w:r>
            <w:r>
              <w:rPr>
                <w:rFonts w:cstheme="minorHAnsi"/>
                <w:sz w:val="20"/>
                <w:szCs w:val="20"/>
              </w:rPr>
              <w:t xml:space="preserve"> </w:t>
            </w:r>
            <w:r w:rsidRPr="000A221E">
              <w:rPr>
                <w:rFonts w:cstheme="minorHAnsi"/>
                <w:sz w:val="20"/>
                <w:szCs w:val="20"/>
              </w:rPr>
              <w:t>μg/dL (0.48</w:t>
            </w:r>
            <w:r>
              <w:rPr>
                <w:rFonts w:cstheme="minorHAnsi"/>
                <w:sz w:val="20"/>
                <w:szCs w:val="20"/>
              </w:rPr>
              <w:t xml:space="preserve"> </w:t>
            </w:r>
            <w:r w:rsidR="00FB1829" w:rsidRPr="000A221E">
              <w:rPr>
                <w:rFonts w:cstheme="minorHAnsi"/>
                <w:sz w:val="20"/>
                <w:szCs w:val="20"/>
              </w:rPr>
              <w:t>μmoI</w:t>
            </w:r>
            <w:r w:rsidRPr="000A221E">
              <w:rPr>
                <w:rFonts w:cstheme="minorHAnsi"/>
                <w:sz w:val="20"/>
                <w:szCs w:val="20"/>
              </w:rPr>
              <w:t>/L)</w:t>
            </w:r>
          </w:p>
        </w:tc>
        <w:tc>
          <w:tcPr>
            <w:tcW w:w="2042" w:type="pct"/>
            <w:vMerge w:val="restart"/>
          </w:tcPr>
          <w:p w:rsidR="000A221E" w:rsidRPr="000A221E" w:rsidRDefault="000A221E" w:rsidP="00997B3B">
            <w:pPr>
              <w:pStyle w:val="Paragraph1"/>
              <w:spacing w:before="0"/>
              <w:rPr>
                <w:rFonts w:asciiTheme="minorHAnsi" w:hAnsiTheme="minorHAnsi" w:cstheme="minorHAnsi"/>
                <w:sz w:val="20"/>
              </w:rPr>
            </w:pPr>
            <w:r w:rsidRPr="000A221E">
              <w:rPr>
                <w:rFonts w:asciiTheme="minorHAnsi" w:hAnsiTheme="minorHAnsi" w:cstheme="minorHAnsi"/>
                <w:sz w:val="20"/>
              </w:rPr>
              <w:t>Model WHS Regulations, reg 417</w:t>
            </w:r>
          </w:p>
          <w:p w:rsidR="000A221E" w:rsidRPr="000A221E" w:rsidRDefault="000A221E" w:rsidP="00997B3B">
            <w:pPr>
              <w:pStyle w:val="Paragraph1"/>
              <w:spacing w:before="0"/>
              <w:rPr>
                <w:rFonts w:asciiTheme="minorHAnsi" w:hAnsiTheme="minorHAnsi" w:cstheme="minorHAnsi"/>
                <w:sz w:val="20"/>
              </w:rPr>
            </w:pPr>
            <w:r w:rsidRPr="008D0344">
              <w:rPr>
                <w:rFonts w:asciiTheme="minorHAnsi" w:hAnsiTheme="minorHAnsi" w:cstheme="minorHAnsi"/>
                <w:sz w:val="20"/>
              </w:rPr>
              <w:t>Vic</w:t>
            </w:r>
            <w:r w:rsidRPr="000A221E">
              <w:rPr>
                <w:rFonts w:asciiTheme="minorHAnsi" w:hAnsiTheme="minorHAnsi" w:cstheme="minorHAnsi"/>
                <w:sz w:val="20"/>
              </w:rPr>
              <w:t>: Occupational Health and Safety Regulations 2007 (Vic), reg 4.4.25</w:t>
            </w:r>
          </w:p>
          <w:p w:rsidR="000A221E" w:rsidRPr="000A221E" w:rsidRDefault="000A221E" w:rsidP="00997B3B">
            <w:pPr>
              <w:pStyle w:val="Paragraph1"/>
              <w:spacing w:before="0"/>
              <w:rPr>
                <w:rFonts w:asciiTheme="minorHAnsi" w:hAnsiTheme="minorHAnsi" w:cstheme="minorHAnsi"/>
                <w:sz w:val="20"/>
              </w:rPr>
            </w:pPr>
            <w:r w:rsidRPr="008D0344">
              <w:rPr>
                <w:rFonts w:asciiTheme="minorHAnsi" w:hAnsiTheme="minorHAnsi" w:cstheme="minorHAnsi"/>
                <w:sz w:val="20"/>
              </w:rPr>
              <w:t>WA</w:t>
            </w:r>
            <w:r w:rsidRPr="000A221E">
              <w:rPr>
                <w:rFonts w:asciiTheme="minorHAnsi" w:hAnsiTheme="minorHAnsi" w:cstheme="minorHAnsi"/>
                <w:sz w:val="20"/>
              </w:rPr>
              <w:t>: Occupational Safety and Health Regulations 1996 (WA), reg 5.64</w:t>
            </w:r>
          </w:p>
        </w:tc>
      </w:tr>
      <w:tr w:rsidR="000A221E" w:rsidRPr="000A221E" w:rsidTr="00E53F9A">
        <w:tc>
          <w:tcPr>
            <w:tcW w:w="916" w:type="pct"/>
            <w:vMerge/>
          </w:tcPr>
          <w:p w:rsidR="000A221E" w:rsidRPr="000A221E" w:rsidRDefault="000A221E" w:rsidP="00997B3B">
            <w:pPr>
              <w:pStyle w:val="Paragraph1"/>
              <w:spacing w:before="0"/>
              <w:rPr>
                <w:rFonts w:asciiTheme="minorHAnsi" w:hAnsiTheme="minorHAnsi" w:cstheme="minorHAnsi"/>
                <w:sz w:val="20"/>
              </w:rPr>
            </w:pPr>
          </w:p>
        </w:tc>
        <w:tc>
          <w:tcPr>
            <w:tcW w:w="2042" w:type="pct"/>
          </w:tcPr>
          <w:p w:rsidR="000A221E" w:rsidRPr="000A221E" w:rsidRDefault="000A221E" w:rsidP="00997B3B">
            <w:pPr>
              <w:rPr>
                <w:rFonts w:cstheme="minorHAnsi"/>
                <w:b/>
                <w:sz w:val="20"/>
                <w:szCs w:val="20"/>
              </w:rPr>
            </w:pPr>
            <w:r w:rsidRPr="008D0344">
              <w:rPr>
                <w:rFonts w:cstheme="minorHAnsi"/>
                <w:i/>
                <w:sz w:val="20"/>
                <w:szCs w:val="20"/>
              </w:rPr>
              <w:t>In WA:</w:t>
            </w:r>
            <w:r w:rsidRPr="000A221E">
              <w:rPr>
                <w:rFonts w:cstheme="minorHAnsi"/>
                <w:b/>
                <w:sz w:val="20"/>
                <w:szCs w:val="20"/>
              </w:rPr>
              <w:t xml:space="preserve"> </w:t>
            </w:r>
            <w:r w:rsidRPr="000A221E">
              <w:rPr>
                <w:rFonts w:cstheme="minorHAnsi"/>
                <w:sz w:val="20"/>
                <w:szCs w:val="20"/>
              </w:rPr>
              <w:t>Upon certification by an appointed medical practitioner.</w:t>
            </w:r>
          </w:p>
        </w:tc>
        <w:tc>
          <w:tcPr>
            <w:tcW w:w="2042" w:type="pct"/>
            <w:vMerge/>
          </w:tcPr>
          <w:p w:rsidR="000A221E" w:rsidRPr="000A221E" w:rsidRDefault="000A221E" w:rsidP="00997B3B">
            <w:pPr>
              <w:pStyle w:val="Paragraph1"/>
              <w:spacing w:before="0"/>
              <w:rPr>
                <w:rFonts w:asciiTheme="minorHAnsi" w:hAnsiTheme="minorHAnsi" w:cstheme="minorHAnsi"/>
                <w:sz w:val="20"/>
              </w:rPr>
            </w:pPr>
          </w:p>
        </w:tc>
      </w:tr>
    </w:tbl>
    <w:p w:rsidR="00FB1829" w:rsidRDefault="00FB1829" w:rsidP="00A758EB">
      <w:pPr>
        <w:pStyle w:val="TableHeadingText"/>
      </w:pPr>
      <w:bookmarkStart w:id="47" w:name="_Ref454798936"/>
      <w:r>
        <w:t xml:space="preserve">Table </w:t>
      </w:r>
      <w:r w:rsidR="00C32273">
        <w:fldChar w:fldCharType="begin"/>
      </w:r>
      <w:r w:rsidR="00C834BC">
        <w:instrText xml:space="preserve"> SEQ Table \* ARABIC </w:instrText>
      </w:r>
      <w:r w:rsidR="00C32273">
        <w:fldChar w:fldCharType="separate"/>
      </w:r>
      <w:r w:rsidR="00052CE1">
        <w:rPr>
          <w:noProof/>
        </w:rPr>
        <w:t>2</w:t>
      </w:r>
      <w:r w:rsidR="00C32273">
        <w:rPr>
          <w:noProof/>
        </w:rPr>
        <w:fldChar w:fldCharType="end"/>
      </w:r>
      <w:bookmarkEnd w:id="47"/>
      <w:r>
        <w:t xml:space="preserve">. </w:t>
      </w:r>
      <w:r w:rsidRPr="00263C91">
        <w:rPr>
          <w:b w:val="0"/>
        </w:rPr>
        <w:t>Minimum frequency of testing for workers involved in ‘lead risk work’ as mandated under WHS laws (except in the ACT)</w:t>
      </w:r>
    </w:p>
    <w:tbl>
      <w:tblPr>
        <w:tblStyle w:val="SWA"/>
        <w:tblW w:w="5000" w:type="pct"/>
        <w:tblLook w:val="04A0" w:firstRow="1" w:lastRow="0" w:firstColumn="1" w:lastColumn="0" w:noHBand="0" w:noVBand="1"/>
        <w:tblCaption w:val="Table 2"/>
        <w:tblDescription w:val="Table 2. Minimum frequency of testing for workers involved in ‘lead risk work’ as mandated under WHS laws (except in the ACT)."/>
      </w:tblPr>
      <w:tblGrid>
        <w:gridCol w:w="1760"/>
        <w:gridCol w:w="2575"/>
        <w:gridCol w:w="2577"/>
        <w:gridCol w:w="2712"/>
      </w:tblGrid>
      <w:tr w:rsidR="00E53F9A" w:rsidRPr="000A221E" w:rsidTr="00E2314D">
        <w:trPr>
          <w:cnfStyle w:val="100000000000" w:firstRow="1" w:lastRow="0" w:firstColumn="0" w:lastColumn="0" w:oddVBand="0" w:evenVBand="0" w:oddHBand="0" w:evenHBand="0" w:firstRowFirstColumn="0" w:firstRowLastColumn="0" w:lastRowFirstColumn="0" w:lastRowLastColumn="0"/>
        </w:trPr>
        <w:tc>
          <w:tcPr>
            <w:tcW w:w="914" w:type="pct"/>
            <w:vMerge w:val="restart"/>
            <w:vAlign w:val="center"/>
          </w:tcPr>
          <w:p w:rsidR="00E53F9A" w:rsidRPr="000A221E" w:rsidRDefault="00E53F9A" w:rsidP="00997B3B">
            <w:pPr>
              <w:pStyle w:val="Paragraph1"/>
              <w:keepNext/>
              <w:spacing w:before="0"/>
              <w:rPr>
                <w:rFonts w:asciiTheme="minorHAnsi" w:hAnsiTheme="minorHAnsi" w:cstheme="minorHAnsi"/>
                <w:sz w:val="20"/>
              </w:rPr>
            </w:pPr>
            <w:r w:rsidRPr="000A221E">
              <w:rPr>
                <w:rFonts w:asciiTheme="minorHAnsi" w:hAnsiTheme="minorHAnsi" w:cstheme="minorHAnsi"/>
                <w:sz w:val="20"/>
              </w:rPr>
              <w:t>Requirement</w:t>
            </w:r>
          </w:p>
        </w:tc>
        <w:tc>
          <w:tcPr>
            <w:tcW w:w="2677" w:type="pct"/>
            <w:gridSpan w:val="2"/>
            <w:vAlign w:val="center"/>
          </w:tcPr>
          <w:p w:rsidR="00E53F9A" w:rsidRPr="000A221E" w:rsidRDefault="00E53F9A" w:rsidP="00997B3B">
            <w:pPr>
              <w:pStyle w:val="Paragraph1"/>
              <w:keepNext/>
              <w:spacing w:before="0"/>
              <w:jc w:val="center"/>
              <w:rPr>
                <w:rFonts w:asciiTheme="minorHAnsi" w:hAnsiTheme="minorHAnsi" w:cstheme="minorHAnsi"/>
                <w:sz w:val="20"/>
              </w:rPr>
            </w:pPr>
            <w:r w:rsidRPr="000A221E">
              <w:rPr>
                <w:rFonts w:asciiTheme="minorHAnsi" w:hAnsiTheme="minorHAnsi" w:cstheme="minorHAnsi"/>
                <w:sz w:val="20"/>
              </w:rPr>
              <w:t>Prescribed frequency</w:t>
            </w:r>
          </w:p>
        </w:tc>
        <w:tc>
          <w:tcPr>
            <w:tcW w:w="1409" w:type="pct"/>
            <w:vMerge w:val="restart"/>
            <w:vAlign w:val="center"/>
          </w:tcPr>
          <w:p w:rsidR="00E53F9A" w:rsidRPr="000A221E" w:rsidRDefault="00E53F9A" w:rsidP="00997B3B">
            <w:pPr>
              <w:pStyle w:val="Paragraph1"/>
              <w:keepNext/>
              <w:spacing w:before="0"/>
              <w:rPr>
                <w:rFonts w:asciiTheme="minorHAnsi" w:hAnsiTheme="minorHAnsi" w:cstheme="minorHAnsi"/>
                <w:sz w:val="20"/>
              </w:rPr>
            </w:pPr>
            <w:r w:rsidRPr="000A221E">
              <w:rPr>
                <w:rFonts w:asciiTheme="minorHAnsi" w:hAnsiTheme="minorHAnsi" w:cstheme="minorHAnsi"/>
                <w:sz w:val="20"/>
              </w:rPr>
              <w:t>Reference</w:t>
            </w:r>
          </w:p>
        </w:tc>
      </w:tr>
      <w:tr w:rsidR="00E53F9A" w:rsidRPr="000A221E" w:rsidTr="008D0344">
        <w:tc>
          <w:tcPr>
            <w:tcW w:w="914" w:type="pct"/>
            <w:vMerge/>
            <w:vAlign w:val="center"/>
          </w:tcPr>
          <w:p w:rsidR="00E53F9A" w:rsidRPr="000A221E" w:rsidRDefault="00E53F9A" w:rsidP="00997B3B">
            <w:pPr>
              <w:pStyle w:val="Paragraph1"/>
              <w:keepNext/>
              <w:spacing w:before="0"/>
              <w:rPr>
                <w:rFonts w:asciiTheme="minorHAnsi" w:hAnsiTheme="minorHAnsi" w:cstheme="minorHAnsi"/>
                <w:sz w:val="20"/>
              </w:rPr>
            </w:pPr>
          </w:p>
        </w:tc>
        <w:tc>
          <w:tcPr>
            <w:tcW w:w="1338" w:type="pct"/>
            <w:shd w:val="clear" w:color="auto" w:fill="D9D9D9" w:themeFill="background1" w:themeFillShade="D9"/>
            <w:vAlign w:val="center"/>
          </w:tcPr>
          <w:p w:rsidR="00E53F9A" w:rsidRPr="008D0344" w:rsidRDefault="00E53F9A" w:rsidP="00997B3B">
            <w:pPr>
              <w:pStyle w:val="Paragraph1"/>
              <w:keepNext/>
              <w:spacing w:before="0"/>
              <w:rPr>
                <w:rFonts w:asciiTheme="minorHAnsi" w:hAnsiTheme="minorHAnsi" w:cstheme="minorHAnsi"/>
                <w:b/>
                <w:sz w:val="20"/>
              </w:rPr>
            </w:pPr>
            <w:r w:rsidRPr="008D0344">
              <w:rPr>
                <w:rFonts w:asciiTheme="minorHAnsi" w:hAnsiTheme="minorHAnsi" w:cstheme="minorHAnsi"/>
                <w:b/>
                <w:sz w:val="20"/>
              </w:rPr>
              <w:t>Initial</w:t>
            </w:r>
          </w:p>
        </w:tc>
        <w:tc>
          <w:tcPr>
            <w:tcW w:w="1339" w:type="pct"/>
            <w:shd w:val="clear" w:color="auto" w:fill="D9D9D9" w:themeFill="background1" w:themeFillShade="D9"/>
            <w:vAlign w:val="center"/>
          </w:tcPr>
          <w:p w:rsidR="00E53F9A" w:rsidRPr="008D0344" w:rsidRDefault="00E53F9A" w:rsidP="00997B3B">
            <w:pPr>
              <w:pStyle w:val="Paragraph1"/>
              <w:keepNext/>
              <w:spacing w:before="0"/>
              <w:rPr>
                <w:rFonts w:asciiTheme="minorHAnsi" w:hAnsiTheme="minorHAnsi" w:cstheme="minorHAnsi"/>
                <w:b/>
                <w:sz w:val="20"/>
              </w:rPr>
            </w:pPr>
            <w:r w:rsidRPr="008D0344">
              <w:rPr>
                <w:rFonts w:asciiTheme="minorHAnsi" w:hAnsiTheme="minorHAnsi" w:cstheme="minorHAnsi"/>
                <w:b/>
                <w:sz w:val="20"/>
              </w:rPr>
              <w:t>Thereafter</w:t>
            </w:r>
          </w:p>
        </w:tc>
        <w:tc>
          <w:tcPr>
            <w:tcW w:w="1409" w:type="pct"/>
            <w:vMerge/>
            <w:vAlign w:val="center"/>
          </w:tcPr>
          <w:p w:rsidR="00E53F9A" w:rsidRPr="000A221E" w:rsidRDefault="00E53F9A" w:rsidP="00997B3B">
            <w:pPr>
              <w:pStyle w:val="Paragraph1"/>
              <w:keepNext/>
              <w:spacing w:before="0"/>
              <w:rPr>
                <w:rFonts w:asciiTheme="minorHAnsi" w:hAnsiTheme="minorHAnsi" w:cstheme="minorHAnsi"/>
                <w:sz w:val="20"/>
              </w:rPr>
            </w:pPr>
          </w:p>
        </w:tc>
      </w:tr>
      <w:tr w:rsidR="00722AE0" w:rsidRPr="000A221E" w:rsidTr="00E2314D">
        <w:tc>
          <w:tcPr>
            <w:tcW w:w="914" w:type="pct"/>
            <w:vMerge w:val="restart"/>
          </w:tcPr>
          <w:p w:rsidR="00722AE0" w:rsidRPr="000A221E" w:rsidRDefault="00722AE0" w:rsidP="00997B3B">
            <w:pPr>
              <w:pStyle w:val="Paragraph1"/>
              <w:keepNext/>
              <w:spacing w:before="0"/>
              <w:rPr>
                <w:rFonts w:asciiTheme="minorHAnsi" w:hAnsiTheme="minorHAnsi" w:cstheme="minorHAnsi"/>
                <w:sz w:val="20"/>
              </w:rPr>
            </w:pPr>
            <w:r w:rsidRPr="000A221E">
              <w:rPr>
                <w:rFonts w:asciiTheme="minorHAnsi" w:hAnsiTheme="minorHAnsi" w:cstheme="minorHAnsi"/>
                <w:sz w:val="20"/>
              </w:rPr>
              <w:t xml:space="preserve">Frequency of biological monitoring </w:t>
            </w:r>
          </w:p>
        </w:tc>
        <w:tc>
          <w:tcPr>
            <w:tcW w:w="1338" w:type="pct"/>
          </w:tcPr>
          <w:p w:rsidR="00722AE0" w:rsidRPr="008D0344" w:rsidRDefault="00722AE0" w:rsidP="00997B3B">
            <w:pPr>
              <w:pStyle w:val="Paragraph1"/>
              <w:keepNext/>
              <w:spacing w:before="0"/>
              <w:rPr>
                <w:rFonts w:asciiTheme="minorHAnsi" w:hAnsiTheme="minorHAnsi" w:cstheme="minorHAnsi"/>
                <w:i/>
                <w:sz w:val="20"/>
              </w:rPr>
            </w:pPr>
            <w:r w:rsidRPr="008D0344">
              <w:rPr>
                <w:rFonts w:asciiTheme="minorHAnsi" w:hAnsiTheme="minorHAnsi" w:cstheme="minorHAnsi"/>
                <w:i/>
                <w:sz w:val="20"/>
              </w:rPr>
              <w:t>In all jurisdictions except WA:</w:t>
            </w:r>
          </w:p>
          <w:p w:rsidR="00722AE0" w:rsidRPr="000A221E" w:rsidRDefault="00722AE0" w:rsidP="00997B3B">
            <w:pPr>
              <w:pStyle w:val="Paragraph1"/>
              <w:keepNext/>
              <w:spacing w:before="0"/>
              <w:rPr>
                <w:rFonts w:asciiTheme="minorHAnsi" w:hAnsiTheme="minorHAnsi" w:cstheme="minorHAnsi"/>
                <w:sz w:val="20"/>
              </w:rPr>
            </w:pPr>
            <w:r w:rsidRPr="000A221E">
              <w:rPr>
                <w:rFonts w:asciiTheme="minorHAnsi" w:hAnsiTheme="minorHAnsi" w:cstheme="minorHAnsi"/>
                <w:sz w:val="20"/>
              </w:rPr>
              <w:t>Before the worker first commences lead risk work</w:t>
            </w:r>
          </w:p>
          <w:p w:rsidR="00722AE0" w:rsidRPr="000A221E" w:rsidRDefault="00722AE0" w:rsidP="00997B3B">
            <w:pPr>
              <w:pStyle w:val="Paragraph1"/>
              <w:keepNext/>
              <w:spacing w:before="0"/>
              <w:rPr>
                <w:rFonts w:asciiTheme="minorHAnsi" w:hAnsiTheme="minorHAnsi" w:cstheme="minorHAnsi"/>
                <w:sz w:val="20"/>
              </w:rPr>
            </w:pPr>
            <w:r w:rsidRPr="000A221E">
              <w:rPr>
                <w:rFonts w:asciiTheme="minorHAnsi" w:hAnsiTheme="minorHAnsi" w:cstheme="minorHAnsi"/>
                <w:sz w:val="20"/>
              </w:rPr>
              <w:t>One month after commencing lead risk work</w:t>
            </w:r>
          </w:p>
        </w:tc>
        <w:tc>
          <w:tcPr>
            <w:tcW w:w="1339" w:type="pct"/>
          </w:tcPr>
          <w:p w:rsidR="00722AE0" w:rsidRPr="008D0344" w:rsidRDefault="00722AE0" w:rsidP="00997B3B">
            <w:pPr>
              <w:pStyle w:val="Paragraph1"/>
              <w:keepNext/>
              <w:spacing w:before="0"/>
              <w:rPr>
                <w:rFonts w:asciiTheme="minorHAnsi" w:hAnsiTheme="minorHAnsi" w:cstheme="minorHAnsi"/>
                <w:i/>
                <w:sz w:val="20"/>
              </w:rPr>
            </w:pPr>
            <w:r w:rsidRPr="008D0344">
              <w:rPr>
                <w:rFonts w:asciiTheme="minorHAnsi" w:hAnsiTheme="minorHAnsi" w:cstheme="minorHAnsi"/>
                <w:i/>
                <w:sz w:val="20"/>
              </w:rPr>
              <w:t>In all jurisdictions except WA:</w:t>
            </w:r>
          </w:p>
          <w:p w:rsidR="00722AE0" w:rsidRPr="000A221E" w:rsidRDefault="00722AE0" w:rsidP="00997B3B">
            <w:pPr>
              <w:pStyle w:val="Paragraph1"/>
              <w:keepNext/>
              <w:spacing w:before="0"/>
              <w:rPr>
                <w:rFonts w:asciiTheme="minorHAnsi" w:hAnsiTheme="minorHAnsi" w:cstheme="minorHAnsi"/>
                <w:sz w:val="20"/>
              </w:rPr>
            </w:pPr>
            <w:r w:rsidRPr="000A221E">
              <w:rPr>
                <w:rFonts w:asciiTheme="minorHAnsi" w:hAnsiTheme="minorHAnsi" w:cstheme="minorHAnsi"/>
                <w:sz w:val="20"/>
              </w:rPr>
              <w:t>Depending on blood lead level</w:t>
            </w:r>
            <w:r w:rsidR="00E53F9A">
              <w:rPr>
                <w:rFonts w:asciiTheme="minorHAnsi" w:hAnsiTheme="minorHAnsi" w:cstheme="minorHAnsi"/>
                <w:sz w:val="20"/>
              </w:rPr>
              <w:t xml:space="preserve">, gender and reproductive capacity: </w:t>
            </w:r>
            <w:r w:rsidRPr="000A221E">
              <w:rPr>
                <w:rFonts w:asciiTheme="minorHAnsi" w:hAnsiTheme="minorHAnsi" w:cstheme="minorHAnsi"/>
                <w:sz w:val="20"/>
              </w:rPr>
              <w:t>every 6 months, 3 months or 6 weeks</w:t>
            </w:r>
          </w:p>
        </w:tc>
        <w:tc>
          <w:tcPr>
            <w:tcW w:w="1409" w:type="pct"/>
            <w:vMerge w:val="restart"/>
          </w:tcPr>
          <w:p w:rsidR="00722AE0" w:rsidRPr="000A221E" w:rsidRDefault="00722AE0" w:rsidP="00997B3B">
            <w:pPr>
              <w:pStyle w:val="Paragraph1"/>
              <w:keepNext/>
              <w:spacing w:before="0"/>
              <w:rPr>
                <w:rFonts w:asciiTheme="minorHAnsi" w:hAnsiTheme="minorHAnsi" w:cstheme="minorHAnsi"/>
                <w:sz w:val="20"/>
              </w:rPr>
            </w:pPr>
            <w:r w:rsidRPr="000A221E">
              <w:rPr>
                <w:rFonts w:asciiTheme="minorHAnsi" w:hAnsiTheme="minorHAnsi" w:cstheme="minorHAnsi"/>
                <w:sz w:val="20"/>
              </w:rPr>
              <w:t>Model WHS Regulations, reg 407</w:t>
            </w:r>
          </w:p>
          <w:p w:rsidR="00722AE0" w:rsidRPr="000A221E" w:rsidRDefault="00722AE0" w:rsidP="00997B3B">
            <w:pPr>
              <w:pStyle w:val="Paragraph1"/>
              <w:keepNext/>
              <w:spacing w:before="0"/>
              <w:rPr>
                <w:rFonts w:asciiTheme="minorHAnsi" w:hAnsiTheme="minorHAnsi" w:cstheme="minorHAnsi"/>
                <w:sz w:val="20"/>
              </w:rPr>
            </w:pPr>
            <w:r w:rsidRPr="008D0344">
              <w:rPr>
                <w:rFonts w:asciiTheme="minorHAnsi" w:hAnsiTheme="minorHAnsi" w:cstheme="minorHAnsi"/>
                <w:sz w:val="20"/>
              </w:rPr>
              <w:t>Vic:</w:t>
            </w:r>
            <w:r w:rsidRPr="000A221E">
              <w:rPr>
                <w:rFonts w:asciiTheme="minorHAnsi" w:hAnsiTheme="minorHAnsi" w:cstheme="minorHAnsi"/>
                <w:sz w:val="20"/>
              </w:rPr>
              <w:t xml:space="preserve"> Occupational Health and Safety Regulations 2007 (Vic), reg 4.4.22</w:t>
            </w:r>
          </w:p>
          <w:p w:rsidR="00722AE0" w:rsidRPr="000A221E" w:rsidRDefault="00722AE0" w:rsidP="00997B3B">
            <w:pPr>
              <w:pStyle w:val="Paragraph1"/>
              <w:keepNext/>
              <w:spacing w:before="0"/>
              <w:rPr>
                <w:rFonts w:asciiTheme="minorHAnsi" w:hAnsiTheme="minorHAnsi" w:cstheme="minorHAnsi"/>
                <w:sz w:val="20"/>
              </w:rPr>
            </w:pPr>
            <w:r w:rsidRPr="008D0344">
              <w:rPr>
                <w:rFonts w:asciiTheme="minorHAnsi" w:hAnsiTheme="minorHAnsi" w:cstheme="minorHAnsi"/>
                <w:sz w:val="20"/>
              </w:rPr>
              <w:t>WA:</w:t>
            </w:r>
            <w:r w:rsidRPr="000A221E">
              <w:rPr>
                <w:rFonts w:asciiTheme="minorHAnsi" w:hAnsiTheme="minorHAnsi" w:cstheme="minorHAnsi"/>
                <w:sz w:val="20"/>
              </w:rPr>
              <w:t xml:space="preserve"> Occupational Safety and Health Regulations 1996 (WA), reg 5.59</w:t>
            </w:r>
          </w:p>
        </w:tc>
      </w:tr>
      <w:tr w:rsidR="00722AE0" w:rsidRPr="000A221E" w:rsidTr="00E2314D">
        <w:tc>
          <w:tcPr>
            <w:tcW w:w="914" w:type="pct"/>
            <w:vMerge/>
          </w:tcPr>
          <w:p w:rsidR="00722AE0" w:rsidRPr="000A221E" w:rsidRDefault="00722AE0" w:rsidP="00997B3B">
            <w:pPr>
              <w:pStyle w:val="Paragraph1"/>
              <w:spacing w:before="0"/>
              <w:rPr>
                <w:rFonts w:asciiTheme="minorHAnsi" w:hAnsiTheme="minorHAnsi" w:cstheme="minorHAnsi"/>
                <w:sz w:val="20"/>
              </w:rPr>
            </w:pPr>
          </w:p>
        </w:tc>
        <w:tc>
          <w:tcPr>
            <w:tcW w:w="1338" w:type="pct"/>
          </w:tcPr>
          <w:p w:rsidR="00722AE0" w:rsidRPr="008D0344" w:rsidRDefault="00722AE0" w:rsidP="00997B3B">
            <w:pPr>
              <w:pStyle w:val="Paragraph1"/>
              <w:keepNext/>
              <w:spacing w:before="0"/>
              <w:rPr>
                <w:rFonts w:asciiTheme="minorHAnsi" w:hAnsiTheme="minorHAnsi" w:cstheme="minorHAnsi"/>
                <w:i/>
                <w:sz w:val="20"/>
              </w:rPr>
            </w:pPr>
            <w:r w:rsidRPr="008D0344">
              <w:rPr>
                <w:rFonts w:asciiTheme="minorHAnsi" w:hAnsiTheme="minorHAnsi" w:cstheme="minorHAnsi"/>
                <w:i/>
                <w:sz w:val="20"/>
              </w:rPr>
              <w:t>In WA:</w:t>
            </w:r>
          </w:p>
          <w:p w:rsidR="00722AE0" w:rsidRPr="000A221E" w:rsidRDefault="00722AE0" w:rsidP="00997B3B">
            <w:pPr>
              <w:pStyle w:val="Paragraph1"/>
              <w:keepNext/>
              <w:spacing w:before="0"/>
              <w:rPr>
                <w:rFonts w:asciiTheme="minorHAnsi" w:hAnsiTheme="minorHAnsi" w:cstheme="minorHAnsi"/>
                <w:sz w:val="20"/>
              </w:rPr>
            </w:pPr>
            <w:r w:rsidRPr="000A221E">
              <w:rPr>
                <w:rFonts w:asciiTheme="minorHAnsi" w:hAnsiTheme="minorHAnsi" w:cstheme="minorHAnsi"/>
                <w:sz w:val="20"/>
              </w:rPr>
              <w:t>Within the first month of commencing job</w:t>
            </w:r>
          </w:p>
          <w:p w:rsidR="00722AE0" w:rsidRPr="000A221E" w:rsidRDefault="008C3259" w:rsidP="00997B3B">
            <w:pPr>
              <w:pStyle w:val="Paragraph1"/>
              <w:keepNext/>
              <w:spacing w:before="0"/>
              <w:rPr>
                <w:rFonts w:asciiTheme="minorHAnsi" w:hAnsiTheme="minorHAnsi" w:cstheme="minorHAnsi"/>
                <w:b/>
                <w:sz w:val="20"/>
              </w:rPr>
            </w:pPr>
            <w:r w:rsidRPr="000A221E">
              <w:rPr>
                <w:rFonts w:asciiTheme="minorHAnsi" w:hAnsiTheme="minorHAnsi" w:cstheme="minorHAnsi"/>
                <w:sz w:val="20"/>
              </w:rPr>
              <w:t>T</w:t>
            </w:r>
            <w:r w:rsidR="00722AE0" w:rsidRPr="000A221E">
              <w:rPr>
                <w:rFonts w:asciiTheme="minorHAnsi" w:hAnsiTheme="minorHAnsi" w:cstheme="minorHAnsi"/>
                <w:sz w:val="20"/>
              </w:rPr>
              <w:t>hen</w:t>
            </w:r>
            <w:r>
              <w:rPr>
                <w:rFonts w:asciiTheme="minorHAnsi" w:hAnsiTheme="minorHAnsi" w:cstheme="minorHAnsi"/>
                <w:sz w:val="20"/>
              </w:rPr>
              <w:t xml:space="preserve"> 2 and </w:t>
            </w:r>
            <w:r w:rsidR="00722AE0" w:rsidRPr="000A221E">
              <w:rPr>
                <w:rFonts w:asciiTheme="minorHAnsi" w:hAnsiTheme="minorHAnsi" w:cstheme="minorHAnsi"/>
                <w:sz w:val="20"/>
              </w:rPr>
              <w:t xml:space="preserve"> 6 months after initial monitoring</w:t>
            </w:r>
          </w:p>
        </w:tc>
        <w:tc>
          <w:tcPr>
            <w:tcW w:w="1339" w:type="pct"/>
          </w:tcPr>
          <w:p w:rsidR="00722AE0" w:rsidRPr="008D0344" w:rsidRDefault="00722AE0" w:rsidP="00997B3B">
            <w:pPr>
              <w:pStyle w:val="Paragraph1"/>
              <w:keepNext/>
              <w:spacing w:before="0"/>
              <w:rPr>
                <w:rFonts w:asciiTheme="minorHAnsi" w:hAnsiTheme="minorHAnsi" w:cstheme="minorHAnsi"/>
                <w:i/>
                <w:sz w:val="20"/>
              </w:rPr>
            </w:pPr>
            <w:r w:rsidRPr="008D0344">
              <w:rPr>
                <w:rFonts w:asciiTheme="minorHAnsi" w:hAnsiTheme="minorHAnsi" w:cstheme="minorHAnsi"/>
                <w:i/>
                <w:sz w:val="20"/>
              </w:rPr>
              <w:t>In WA:</w:t>
            </w:r>
          </w:p>
          <w:p w:rsidR="00722AE0" w:rsidRPr="000A221E" w:rsidRDefault="00722AE0" w:rsidP="00997B3B">
            <w:pPr>
              <w:pStyle w:val="Paragraph1"/>
              <w:keepNext/>
              <w:spacing w:before="0"/>
              <w:rPr>
                <w:rFonts w:asciiTheme="minorHAnsi" w:hAnsiTheme="minorHAnsi" w:cstheme="minorHAnsi"/>
                <w:b/>
                <w:sz w:val="20"/>
              </w:rPr>
            </w:pPr>
            <w:r w:rsidRPr="000A221E">
              <w:rPr>
                <w:rFonts w:asciiTheme="minorHAnsi" w:hAnsiTheme="minorHAnsi" w:cstheme="minorHAnsi"/>
                <w:sz w:val="20"/>
              </w:rPr>
              <w:t>At subsequent times as determined by appointed medical practitioner</w:t>
            </w:r>
          </w:p>
        </w:tc>
        <w:tc>
          <w:tcPr>
            <w:tcW w:w="1409" w:type="pct"/>
            <w:vMerge/>
          </w:tcPr>
          <w:p w:rsidR="00722AE0" w:rsidRPr="000A221E" w:rsidRDefault="00722AE0" w:rsidP="00997B3B">
            <w:pPr>
              <w:pStyle w:val="Paragraph1"/>
              <w:spacing w:before="0"/>
              <w:rPr>
                <w:rFonts w:asciiTheme="minorHAnsi" w:hAnsiTheme="minorHAnsi" w:cstheme="minorHAnsi"/>
                <w:sz w:val="20"/>
              </w:rPr>
            </w:pPr>
          </w:p>
        </w:tc>
      </w:tr>
    </w:tbl>
    <w:p w:rsidR="00607640" w:rsidRPr="00607640" w:rsidRDefault="00607640" w:rsidP="00C02492">
      <w:pPr>
        <w:pStyle w:val="Paragraph1"/>
        <w:spacing w:before="0" w:after="120"/>
        <w:rPr>
          <w:rFonts w:asciiTheme="minorHAnsi" w:hAnsiTheme="minorHAnsi" w:cstheme="minorHAnsi"/>
          <w:sz w:val="16"/>
          <w:szCs w:val="16"/>
        </w:rPr>
      </w:pPr>
    </w:p>
    <w:p w:rsidR="00722AE0" w:rsidRPr="00313AAD" w:rsidRDefault="00722AE0" w:rsidP="00263482">
      <w:pPr>
        <w:pStyle w:val="Heading2"/>
        <w:ind w:left="426"/>
      </w:pPr>
      <w:bookmarkStart w:id="48" w:name="_Toc459276896"/>
      <w:r w:rsidRPr="00313AAD">
        <w:lastRenderedPageBreak/>
        <w:t>Air monitoring in the workpla</w:t>
      </w:r>
      <w:r w:rsidR="00706A50" w:rsidRPr="00313AAD">
        <w:t>ce: workplace exposure standard</w:t>
      </w:r>
      <w:r w:rsidRPr="00313AAD">
        <w:t xml:space="preserve"> for </w:t>
      </w:r>
      <w:r w:rsidR="00393C03" w:rsidRPr="00313AAD">
        <w:t xml:space="preserve">dusts and fumes of inorganic </w:t>
      </w:r>
      <w:r w:rsidRPr="00313AAD">
        <w:t>lead</w:t>
      </w:r>
      <w:bookmarkEnd w:id="48"/>
    </w:p>
    <w:p w:rsidR="00EF1C6D" w:rsidRDefault="00EF1C6D" w:rsidP="00EF1C6D">
      <w:r>
        <w:t xml:space="preserve">In Australia, </w:t>
      </w:r>
      <w:r w:rsidR="00B61C3C">
        <w:t xml:space="preserve">workplace </w:t>
      </w:r>
      <w:r>
        <w:t>exposure standards</w:t>
      </w:r>
      <w:r w:rsidR="003D331D">
        <w:rPr>
          <w:rStyle w:val="FootnoteReference"/>
        </w:rPr>
        <w:footnoteReference w:id="8"/>
      </w:r>
      <w:r>
        <w:t xml:space="preserve"> are mandatory in all jurisdictions. They are legally enforceable and not qualified by what is ‘</w:t>
      </w:r>
      <w:r w:rsidRPr="00396904">
        <w:rPr>
          <w:i/>
        </w:rPr>
        <w:t>reasonably practicable’</w:t>
      </w:r>
      <w:r>
        <w:rPr>
          <w:rStyle w:val="FootnoteReference"/>
          <w:i/>
        </w:rPr>
        <w:footnoteReference w:id="9"/>
      </w:r>
      <w:r>
        <w:t xml:space="preserve">. To comply with WHS Regulations, businesses must not exceed the published standard of 0.15 </w:t>
      </w:r>
      <w:r w:rsidRPr="00A9299C">
        <w:t>mg/m</w:t>
      </w:r>
      <w:r w:rsidRPr="00A9299C">
        <w:rPr>
          <w:vertAlign w:val="superscript"/>
        </w:rPr>
        <w:t>3</w:t>
      </w:r>
      <w:r>
        <w:t xml:space="preserve"> for dusts and fumes of inorganic lead.</w:t>
      </w:r>
    </w:p>
    <w:p w:rsidR="00EF1C6D" w:rsidRDefault="00EF1C6D" w:rsidP="00EF1C6D">
      <w:r>
        <w:t xml:space="preserve">Workplace Exposure Standards (WES) are not intended to be used as an alternative to controlling exposure through workplace controls. Air monitoring is a tool to be used as a part of an overall lead exposure control </w:t>
      </w:r>
      <w:r w:rsidR="003D331D">
        <w:t>strategy</w:t>
      </w:r>
      <w:r>
        <w:t xml:space="preserve"> and should not be used in isolation. Air monitoring is an indirect method for determining exposure to lead as it only reflects the amount of lead that is </w:t>
      </w:r>
      <w:r w:rsidR="003D331D">
        <w:t xml:space="preserve">available </w:t>
      </w:r>
      <w:r>
        <w:t xml:space="preserve">to inhale within the workers’ breathing space and does not represent actual exposure </w:t>
      </w:r>
      <w:r w:rsidR="003D331D">
        <w:t>or</w:t>
      </w:r>
      <w:r>
        <w:t xml:space="preserve"> body burden (lead concentration within the body)</w:t>
      </w:r>
      <w:r w:rsidR="003D331D">
        <w:t>,</w:t>
      </w:r>
      <w:r>
        <w:t xml:space="preserve"> nor does it take into account the amount of lead that may be accessible for ingestion.</w:t>
      </w:r>
    </w:p>
    <w:p w:rsidR="00722AE0" w:rsidRPr="00313AAD" w:rsidRDefault="00722AE0" w:rsidP="00263482">
      <w:pPr>
        <w:pStyle w:val="Heading2"/>
        <w:ind w:left="426"/>
      </w:pPr>
      <w:bookmarkStart w:id="49" w:name="_Toc459276897"/>
      <w:r w:rsidRPr="00313AAD">
        <w:t>Mandatory notifications</w:t>
      </w:r>
      <w:bookmarkEnd w:id="49"/>
    </w:p>
    <w:p w:rsidR="00722AE0" w:rsidRPr="006F430F" w:rsidRDefault="00E92F23" w:rsidP="006F430F">
      <w:pPr>
        <w:pStyle w:val="Paragraph1"/>
        <w:spacing w:before="120" w:after="120"/>
        <w:rPr>
          <w:rFonts w:asciiTheme="minorHAnsi" w:hAnsiTheme="minorHAnsi" w:cstheme="minorHAnsi"/>
        </w:rPr>
      </w:pPr>
      <w:r>
        <w:rPr>
          <w:rFonts w:asciiTheme="minorHAnsi" w:hAnsiTheme="minorHAnsi" w:cstheme="minorHAnsi"/>
        </w:rPr>
        <w:t xml:space="preserve">Businesses must notify the WHS regulator of </w:t>
      </w:r>
      <w:r w:rsidR="00542710">
        <w:rPr>
          <w:rFonts w:asciiTheme="minorHAnsi" w:hAnsiTheme="minorHAnsi" w:cstheme="minorHAnsi"/>
        </w:rPr>
        <w:t>lead risk</w:t>
      </w:r>
      <w:r>
        <w:rPr>
          <w:rFonts w:asciiTheme="minorHAnsi" w:hAnsiTheme="minorHAnsi" w:cstheme="minorHAnsi"/>
        </w:rPr>
        <w:t xml:space="preserve"> work and </w:t>
      </w:r>
      <w:r w:rsidR="00722AE0" w:rsidRPr="006F430F">
        <w:rPr>
          <w:rFonts w:asciiTheme="minorHAnsi" w:hAnsiTheme="minorHAnsi" w:cstheme="minorHAnsi"/>
        </w:rPr>
        <w:t>if a worker</w:t>
      </w:r>
      <w:r w:rsidR="00EF1C6D">
        <w:rPr>
          <w:rFonts w:asciiTheme="minorHAnsi" w:hAnsiTheme="minorHAnsi" w:cstheme="minorHAnsi"/>
        </w:rPr>
        <w:t xml:space="preserve"> is removed</w:t>
      </w:r>
      <w:r w:rsidR="00722AE0" w:rsidRPr="006F430F">
        <w:rPr>
          <w:rFonts w:asciiTheme="minorHAnsi" w:hAnsiTheme="minorHAnsi" w:cstheme="minorHAnsi"/>
        </w:rPr>
        <w:t xml:space="preserve"> because </w:t>
      </w:r>
      <w:r w:rsidR="00EC5D49">
        <w:rPr>
          <w:rFonts w:asciiTheme="minorHAnsi" w:hAnsiTheme="minorHAnsi" w:cstheme="minorHAnsi"/>
        </w:rPr>
        <w:t xml:space="preserve">they have exceeded the </w:t>
      </w:r>
      <w:r w:rsidR="00722AE0" w:rsidRPr="006F430F">
        <w:rPr>
          <w:rFonts w:asciiTheme="minorHAnsi" w:hAnsiTheme="minorHAnsi" w:cstheme="minorHAnsi"/>
        </w:rPr>
        <w:t>blood lead</w:t>
      </w:r>
      <w:r w:rsidR="00EC5D49">
        <w:rPr>
          <w:rFonts w:asciiTheme="minorHAnsi" w:hAnsiTheme="minorHAnsi" w:cstheme="minorHAnsi"/>
        </w:rPr>
        <w:t xml:space="preserve"> removal</w:t>
      </w:r>
      <w:r w:rsidR="00722AE0" w:rsidRPr="006F430F">
        <w:rPr>
          <w:rFonts w:asciiTheme="minorHAnsi" w:hAnsiTheme="minorHAnsi" w:cstheme="minorHAnsi"/>
        </w:rPr>
        <w:t xml:space="preserve"> level.</w:t>
      </w:r>
    </w:p>
    <w:p w:rsidR="00722AE0" w:rsidRPr="006F430F" w:rsidRDefault="00EC5D49" w:rsidP="006F430F">
      <w:pPr>
        <w:pStyle w:val="Paragraph1"/>
        <w:spacing w:before="120" w:after="240"/>
        <w:rPr>
          <w:rFonts w:asciiTheme="minorHAnsi" w:hAnsiTheme="minorHAnsi" w:cstheme="minorHAnsi"/>
        </w:rPr>
      </w:pPr>
      <w:r>
        <w:rPr>
          <w:rFonts w:asciiTheme="minorHAnsi" w:hAnsiTheme="minorHAnsi" w:cstheme="minorHAnsi"/>
        </w:rPr>
        <w:t>In some jurisdictions Public H</w:t>
      </w:r>
      <w:r w:rsidR="00722AE0" w:rsidRPr="006F430F">
        <w:rPr>
          <w:rFonts w:asciiTheme="minorHAnsi" w:hAnsiTheme="minorHAnsi" w:cstheme="minorHAnsi"/>
        </w:rPr>
        <w:t>ealth laws</w:t>
      </w:r>
      <w:r w:rsidR="00722AE0" w:rsidRPr="00B625E3">
        <w:rPr>
          <w:rFonts w:asciiTheme="minorHAnsi" w:hAnsiTheme="minorHAnsi" w:cstheme="minorHAnsi"/>
          <w:vertAlign w:val="superscript"/>
        </w:rPr>
        <w:t xml:space="preserve"> </w:t>
      </w:r>
      <w:r w:rsidR="00722AE0" w:rsidRPr="006F430F">
        <w:rPr>
          <w:rFonts w:asciiTheme="minorHAnsi" w:hAnsiTheme="minorHAnsi" w:cstheme="minorHAnsi"/>
        </w:rPr>
        <w:t xml:space="preserve">require </w:t>
      </w:r>
      <w:r>
        <w:rPr>
          <w:rFonts w:asciiTheme="minorHAnsi" w:hAnsiTheme="minorHAnsi" w:cstheme="minorHAnsi"/>
        </w:rPr>
        <w:t>pathology</w:t>
      </w:r>
      <w:r w:rsidR="00722AE0" w:rsidRPr="006F430F">
        <w:rPr>
          <w:rFonts w:asciiTheme="minorHAnsi" w:hAnsiTheme="minorHAnsi" w:cstheme="minorHAnsi"/>
        </w:rPr>
        <w:t xml:space="preserve"> laboratories and medical pract</w:t>
      </w:r>
      <w:r w:rsidR="00B625E3">
        <w:rPr>
          <w:rFonts w:asciiTheme="minorHAnsi" w:hAnsiTheme="minorHAnsi" w:cstheme="minorHAnsi"/>
        </w:rPr>
        <w:t>itioners to notify their jurisdictional H</w:t>
      </w:r>
      <w:r w:rsidR="00722AE0" w:rsidRPr="006F430F">
        <w:rPr>
          <w:rFonts w:asciiTheme="minorHAnsi" w:hAnsiTheme="minorHAnsi" w:cstheme="minorHAnsi"/>
        </w:rPr>
        <w:t>e</w:t>
      </w:r>
      <w:r w:rsidR="00B625E3">
        <w:rPr>
          <w:rFonts w:asciiTheme="minorHAnsi" w:hAnsiTheme="minorHAnsi" w:cstheme="minorHAnsi"/>
        </w:rPr>
        <w:t>alth D</w:t>
      </w:r>
      <w:r w:rsidR="00722AE0" w:rsidRPr="006F430F">
        <w:rPr>
          <w:rFonts w:asciiTheme="minorHAnsi" w:hAnsiTheme="minorHAnsi" w:cstheme="minorHAnsi"/>
        </w:rPr>
        <w:t>epartment of any blood</w:t>
      </w:r>
      <w:r w:rsidR="00B625E3">
        <w:rPr>
          <w:rFonts w:asciiTheme="minorHAnsi" w:hAnsiTheme="minorHAnsi" w:cstheme="minorHAnsi"/>
        </w:rPr>
        <w:t xml:space="preserve"> lead</w:t>
      </w:r>
      <w:r w:rsidR="00722AE0" w:rsidRPr="006F430F">
        <w:rPr>
          <w:rFonts w:asciiTheme="minorHAnsi" w:hAnsiTheme="minorHAnsi" w:cstheme="minorHAnsi"/>
        </w:rPr>
        <w:t xml:space="preserve"> test results </w:t>
      </w:r>
      <w:r w:rsidR="00B625E3">
        <w:rPr>
          <w:rFonts w:asciiTheme="minorHAnsi" w:hAnsiTheme="minorHAnsi" w:cstheme="minorHAnsi"/>
        </w:rPr>
        <w:t>&gt;</w:t>
      </w:r>
      <w:r w:rsidR="00722AE0" w:rsidRPr="006F430F">
        <w:rPr>
          <w:rFonts w:asciiTheme="minorHAnsi" w:hAnsiTheme="minorHAnsi" w:cstheme="minorHAnsi"/>
        </w:rPr>
        <w:t xml:space="preserve"> 10 μg/dL. These notifications generally include basic </w:t>
      </w:r>
      <w:r w:rsidR="00B625E3">
        <w:rPr>
          <w:rFonts w:asciiTheme="minorHAnsi" w:hAnsiTheme="minorHAnsi" w:cstheme="minorHAnsi"/>
        </w:rPr>
        <w:t>patient identifiers including</w:t>
      </w:r>
      <w:r w:rsidR="00722AE0" w:rsidRPr="006F430F">
        <w:rPr>
          <w:rFonts w:asciiTheme="minorHAnsi" w:hAnsiTheme="minorHAnsi" w:cstheme="minorHAnsi"/>
        </w:rPr>
        <w:t xml:space="preserve"> age, gender and whether the exposure occurred during the course of work.</w:t>
      </w:r>
    </w:p>
    <w:p w:rsidR="00722AE0" w:rsidRPr="00313AAD" w:rsidRDefault="00722AE0" w:rsidP="00263482">
      <w:pPr>
        <w:pStyle w:val="Heading2"/>
        <w:ind w:left="426"/>
      </w:pPr>
      <w:bookmarkStart w:id="50" w:name="_Toc459276898"/>
      <w:r w:rsidRPr="00313AAD">
        <w:t xml:space="preserve">Jurisdictional </w:t>
      </w:r>
      <w:r w:rsidR="00320087" w:rsidRPr="00313AAD">
        <w:t>differences</w:t>
      </w:r>
      <w:bookmarkEnd w:id="50"/>
    </w:p>
    <w:p w:rsidR="00722AE0" w:rsidRDefault="00722AE0" w:rsidP="006F430F">
      <w:pPr>
        <w:pStyle w:val="Paragraph1"/>
        <w:spacing w:before="120" w:after="120"/>
        <w:rPr>
          <w:rFonts w:asciiTheme="minorHAnsi" w:hAnsiTheme="minorHAnsi" w:cstheme="minorHAnsi"/>
        </w:rPr>
      </w:pPr>
      <w:r w:rsidRPr="006F430F">
        <w:rPr>
          <w:rFonts w:asciiTheme="minorHAnsi" w:hAnsiTheme="minorHAnsi" w:cstheme="minorHAnsi"/>
        </w:rPr>
        <w:t xml:space="preserve">Blood lead removal levels, the workplace exposure standard for lead and related </w:t>
      </w:r>
      <w:r w:rsidR="00F34583">
        <w:rPr>
          <w:rFonts w:asciiTheme="minorHAnsi" w:hAnsiTheme="minorHAnsi" w:cstheme="minorHAnsi"/>
        </w:rPr>
        <w:t xml:space="preserve">control of lead exposure </w:t>
      </w:r>
      <w:r w:rsidRPr="006F430F">
        <w:rPr>
          <w:rFonts w:asciiTheme="minorHAnsi" w:hAnsiTheme="minorHAnsi" w:cstheme="minorHAnsi"/>
        </w:rPr>
        <w:t>requirements are mandatory under model WHS laws.</w:t>
      </w:r>
      <w:r w:rsidR="00EF1C6D">
        <w:rPr>
          <w:rFonts w:asciiTheme="minorHAnsi" w:hAnsiTheme="minorHAnsi" w:cstheme="minorHAnsi"/>
        </w:rPr>
        <w:t xml:space="preserve"> </w:t>
      </w:r>
      <w:r w:rsidRPr="006F430F">
        <w:rPr>
          <w:rFonts w:asciiTheme="minorHAnsi" w:hAnsiTheme="minorHAnsi" w:cstheme="minorHAnsi"/>
        </w:rPr>
        <w:t xml:space="preserve">Requirements are generally the same in all jurisdictions, subject to the differences </w:t>
      </w:r>
      <w:r w:rsidR="00320087" w:rsidRPr="006F430F">
        <w:rPr>
          <w:rFonts w:asciiTheme="minorHAnsi" w:hAnsiTheme="minorHAnsi" w:cstheme="minorHAnsi"/>
        </w:rPr>
        <w:t xml:space="preserve">outlined in </w:t>
      </w:r>
      <w:r w:rsidR="00C32273">
        <w:rPr>
          <w:rFonts w:asciiTheme="minorHAnsi" w:hAnsiTheme="minorHAnsi" w:cstheme="minorHAnsi"/>
        </w:rPr>
        <w:fldChar w:fldCharType="begin"/>
      </w:r>
      <w:r w:rsidR="00EF1C6D">
        <w:rPr>
          <w:rFonts w:asciiTheme="minorHAnsi" w:hAnsiTheme="minorHAnsi" w:cstheme="minorHAnsi"/>
        </w:rPr>
        <w:instrText xml:space="preserve"> REF _Ref454787086 \h </w:instrText>
      </w:r>
      <w:r w:rsidR="00C32273">
        <w:rPr>
          <w:rFonts w:asciiTheme="minorHAnsi" w:hAnsiTheme="minorHAnsi" w:cstheme="minorHAnsi"/>
        </w:rPr>
      </w:r>
      <w:r w:rsidR="00C32273">
        <w:rPr>
          <w:rFonts w:asciiTheme="minorHAnsi" w:hAnsiTheme="minorHAnsi" w:cstheme="minorHAnsi"/>
        </w:rPr>
        <w:fldChar w:fldCharType="separate"/>
      </w:r>
      <w:r w:rsidR="00052CE1" w:rsidRPr="00277812">
        <w:t xml:space="preserve">Table </w:t>
      </w:r>
      <w:r w:rsidR="00052CE1">
        <w:rPr>
          <w:noProof/>
        </w:rPr>
        <w:t>1</w:t>
      </w:r>
      <w:r w:rsidR="00C32273">
        <w:rPr>
          <w:rFonts w:asciiTheme="minorHAnsi" w:hAnsiTheme="minorHAnsi" w:cstheme="minorHAnsi"/>
        </w:rPr>
        <w:fldChar w:fldCharType="end"/>
      </w:r>
      <w:r w:rsidR="00AB306F" w:rsidRPr="006F430F">
        <w:rPr>
          <w:rFonts w:asciiTheme="minorHAnsi" w:hAnsiTheme="minorHAnsi" w:cstheme="minorHAnsi"/>
        </w:rPr>
        <w:t xml:space="preserve"> and </w:t>
      </w:r>
      <w:r w:rsidR="00C32273">
        <w:rPr>
          <w:rFonts w:asciiTheme="minorHAnsi" w:hAnsiTheme="minorHAnsi" w:cstheme="minorHAnsi"/>
        </w:rPr>
        <w:fldChar w:fldCharType="begin"/>
      </w:r>
      <w:r w:rsidR="00EF1C6D">
        <w:rPr>
          <w:rFonts w:asciiTheme="minorHAnsi" w:hAnsiTheme="minorHAnsi" w:cstheme="minorHAnsi"/>
        </w:rPr>
        <w:instrText xml:space="preserve"> REF _Ref454798936 \h </w:instrText>
      </w:r>
      <w:r w:rsidR="00C32273">
        <w:rPr>
          <w:rFonts w:asciiTheme="minorHAnsi" w:hAnsiTheme="minorHAnsi" w:cstheme="minorHAnsi"/>
        </w:rPr>
      </w:r>
      <w:r w:rsidR="00C32273">
        <w:rPr>
          <w:rFonts w:asciiTheme="minorHAnsi" w:hAnsiTheme="minorHAnsi" w:cstheme="minorHAnsi"/>
        </w:rPr>
        <w:fldChar w:fldCharType="separate"/>
      </w:r>
      <w:r w:rsidR="00052CE1">
        <w:t xml:space="preserve">Table </w:t>
      </w:r>
      <w:r w:rsidR="00052CE1">
        <w:rPr>
          <w:noProof/>
        </w:rPr>
        <w:t>2</w:t>
      </w:r>
      <w:r w:rsidR="00C32273">
        <w:rPr>
          <w:rFonts w:asciiTheme="minorHAnsi" w:hAnsiTheme="minorHAnsi" w:cstheme="minorHAnsi"/>
        </w:rPr>
        <w:fldChar w:fldCharType="end"/>
      </w:r>
      <w:r w:rsidRPr="006F430F">
        <w:rPr>
          <w:rFonts w:asciiTheme="minorHAnsi" w:hAnsiTheme="minorHAnsi" w:cstheme="minorHAnsi"/>
        </w:rPr>
        <w:t>.</w:t>
      </w:r>
    </w:p>
    <w:p w:rsidR="005B33AA" w:rsidRDefault="005B33AA" w:rsidP="006F430F">
      <w:pPr>
        <w:pStyle w:val="Paragraph1"/>
        <w:spacing w:before="120" w:after="120"/>
        <w:rPr>
          <w:rFonts w:asciiTheme="minorHAnsi" w:hAnsiTheme="minorHAnsi" w:cstheme="minorHAnsi"/>
        </w:rPr>
      </w:pPr>
      <w:r>
        <w:rPr>
          <w:rFonts w:asciiTheme="minorHAnsi" w:hAnsiTheme="minorHAnsi" w:cstheme="minorHAnsi"/>
        </w:rPr>
        <w:t>In Australia there are some jurisdictions that have not adopted harmonised regulations for lead.</w:t>
      </w:r>
    </w:p>
    <w:p w:rsidR="005D029A" w:rsidRPr="006F430F" w:rsidRDefault="005D029A" w:rsidP="006F430F">
      <w:pPr>
        <w:pStyle w:val="Paragraph1"/>
        <w:spacing w:before="120" w:after="120"/>
        <w:rPr>
          <w:rFonts w:asciiTheme="minorHAnsi" w:hAnsiTheme="minorHAnsi" w:cstheme="minorHAnsi"/>
        </w:rPr>
      </w:pPr>
      <w:r>
        <w:rPr>
          <w:rFonts w:asciiTheme="minorHAnsi" w:hAnsiTheme="minorHAnsi" w:cstheme="minorHAnsi"/>
        </w:rPr>
        <w:t xml:space="preserve">The </w:t>
      </w:r>
      <w:r w:rsidR="003B7604">
        <w:rPr>
          <w:rFonts w:asciiTheme="minorHAnsi" w:hAnsiTheme="minorHAnsi" w:cstheme="minorHAnsi"/>
        </w:rPr>
        <w:t xml:space="preserve">Australian Capital Territory </w:t>
      </w:r>
      <w:r w:rsidR="008A6737">
        <w:rPr>
          <w:rFonts w:asciiTheme="minorHAnsi" w:hAnsiTheme="minorHAnsi" w:cstheme="minorHAnsi"/>
        </w:rPr>
        <w:t>has</w:t>
      </w:r>
      <w:r>
        <w:rPr>
          <w:rFonts w:asciiTheme="minorHAnsi" w:hAnsiTheme="minorHAnsi" w:cstheme="minorHAnsi"/>
        </w:rPr>
        <w:t xml:space="preserve"> not adopt</w:t>
      </w:r>
      <w:r w:rsidR="008A6737">
        <w:rPr>
          <w:rFonts w:asciiTheme="minorHAnsi" w:hAnsiTheme="minorHAnsi" w:cstheme="minorHAnsi"/>
        </w:rPr>
        <w:t>ed</w:t>
      </w:r>
      <w:r>
        <w:rPr>
          <w:rFonts w:asciiTheme="minorHAnsi" w:hAnsiTheme="minorHAnsi" w:cstheme="minorHAnsi"/>
        </w:rPr>
        <w:t xml:space="preserve"> the lead work provisions of the model WHS Regulations</w:t>
      </w:r>
      <w:r w:rsidR="003B7604">
        <w:rPr>
          <w:rFonts w:asciiTheme="minorHAnsi" w:hAnsiTheme="minorHAnsi" w:cstheme="minorHAnsi"/>
        </w:rPr>
        <w:t xml:space="preserve"> as it has little or no lead risk work.</w:t>
      </w:r>
    </w:p>
    <w:p w:rsidR="00186120"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 xml:space="preserve">In 2012 a Western Australian (WA) RIS process </w:t>
      </w:r>
      <w:r w:rsidR="00EF1C6D">
        <w:rPr>
          <w:rFonts w:asciiTheme="minorHAnsi" w:hAnsiTheme="minorHAnsi" w:cstheme="minorHAnsi"/>
        </w:rPr>
        <w:t>for</w:t>
      </w:r>
      <w:r w:rsidRPr="00536A47">
        <w:rPr>
          <w:rFonts w:asciiTheme="minorHAnsi" w:hAnsiTheme="minorHAnsi" w:cstheme="minorHAnsi"/>
        </w:rPr>
        <w:t xml:space="preserve"> </w:t>
      </w:r>
      <w:r w:rsidR="00EC5D49">
        <w:rPr>
          <w:rFonts w:asciiTheme="minorHAnsi" w:hAnsiTheme="minorHAnsi" w:cstheme="minorHAnsi"/>
        </w:rPr>
        <w:t xml:space="preserve">adoption of </w:t>
      </w:r>
      <w:r w:rsidRPr="00536A47">
        <w:rPr>
          <w:rFonts w:asciiTheme="minorHAnsi" w:hAnsiTheme="minorHAnsi" w:cstheme="minorHAnsi"/>
        </w:rPr>
        <w:t>the model WHS Regulations was undertaken</w:t>
      </w:r>
      <w:r w:rsidR="00D47E99" w:rsidRPr="00536A47">
        <w:rPr>
          <w:rFonts w:asciiTheme="minorHAnsi" w:hAnsiTheme="minorHAnsi" w:cstheme="minorHAnsi"/>
        </w:rPr>
        <w:t xml:space="preserve"> </w:t>
      </w:r>
      <w:r w:rsidR="00F34583">
        <w:rPr>
          <w:rFonts w:asciiTheme="minorHAnsi" w:hAnsiTheme="minorHAnsi" w:cstheme="minorHAnsi"/>
        </w:rPr>
        <w:t>(Marsden Jacob Associates 2012)</w:t>
      </w:r>
      <w:r w:rsidRPr="00536A47">
        <w:rPr>
          <w:rFonts w:asciiTheme="minorHAnsi" w:hAnsiTheme="minorHAnsi" w:cstheme="minorHAnsi"/>
        </w:rPr>
        <w:t xml:space="preserve">. The final Decision RIS concluded the adoption of the model WHS </w:t>
      </w:r>
      <w:r w:rsidR="005D029A">
        <w:rPr>
          <w:rFonts w:asciiTheme="minorHAnsi" w:hAnsiTheme="minorHAnsi" w:cstheme="minorHAnsi"/>
        </w:rPr>
        <w:t xml:space="preserve">Regulations relating to </w:t>
      </w:r>
      <w:r w:rsidRPr="00536A47">
        <w:rPr>
          <w:rFonts w:asciiTheme="minorHAnsi" w:hAnsiTheme="minorHAnsi" w:cstheme="minorHAnsi"/>
        </w:rPr>
        <w:t xml:space="preserve">lead would </w:t>
      </w:r>
      <w:r w:rsidRPr="006F430F">
        <w:rPr>
          <w:rFonts w:asciiTheme="minorHAnsi" w:hAnsiTheme="minorHAnsi" w:cstheme="minorHAnsi"/>
        </w:rPr>
        <w:t>not</w:t>
      </w:r>
      <w:r w:rsidRPr="00536A47">
        <w:rPr>
          <w:rFonts w:asciiTheme="minorHAnsi" w:hAnsiTheme="minorHAnsi" w:cstheme="minorHAnsi"/>
        </w:rPr>
        <w:t xml:space="preserve"> have material impact on </w:t>
      </w:r>
      <w:r w:rsidR="00EC5D49">
        <w:rPr>
          <w:rFonts w:asciiTheme="minorHAnsi" w:hAnsiTheme="minorHAnsi" w:cstheme="minorHAnsi"/>
        </w:rPr>
        <w:t>WA</w:t>
      </w:r>
      <w:r w:rsidRPr="00536A47">
        <w:rPr>
          <w:rFonts w:asciiTheme="minorHAnsi" w:hAnsiTheme="minorHAnsi" w:cstheme="minorHAnsi"/>
        </w:rPr>
        <w:t xml:space="preserve"> workplaces</w:t>
      </w:r>
      <w:r w:rsidR="00186120">
        <w:rPr>
          <w:rFonts w:asciiTheme="minorHAnsi" w:hAnsiTheme="minorHAnsi" w:cstheme="minorHAnsi"/>
        </w:rPr>
        <w:t>, that there were no major transitional issues</w:t>
      </w:r>
      <w:r w:rsidRPr="00536A47">
        <w:rPr>
          <w:rFonts w:asciiTheme="minorHAnsi" w:hAnsiTheme="minorHAnsi" w:cstheme="minorHAnsi"/>
        </w:rPr>
        <w:t xml:space="preserve"> and </w:t>
      </w:r>
      <w:r w:rsidR="00B625E3">
        <w:rPr>
          <w:rFonts w:asciiTheme="minorHAnsi" w:hAnsiTheme="minorHAnsi" w:cstheme="minorHAnsi"/>
        </w:rPr>
        <w:t xml:space="preserve">therefore </w:t>
      </w:r>
      <w:r w:rsidRPr="00536A47">
        <w:rPr>
          <w:rFonts w:asciiTheme="minorHAnsi" w:hAnsiTheme="minorHAnsi" w:cstheme="minorHAnsi"/>
        </w:rPr>
        <w:t xml:space="preserve">recommended adoption. </w:t>
      </w:r>
    </w:p>
    <w:p w:rsidR="00F34583" w:rsidRPr="00536A47" w:rsidRDefault="00DF660E" w:rsidP="00722AE0">
      <w:pPr>
        <w:pStyle w:val="Paragraph1"/>
        <w:spacing w:before="120" w:after="120"/>
        <w:rPr>
          <w:rFonts w:asciiTheme="minorHAnsi" w:hAnsiTheme="minorHAnsi" w:cstheme="minorHAnsi"/>
        </w:rPr>
      </w:pPr>
      <w:r>
        <w:rPr>
          <w:rFonts w:asciiTheme="minorHAnsi" w:hAnsiTheme="minorHAnsi" w:cstheme="minorHAnsi"/>
        </w:rPr>
        <w:t xml:space="preserve">The Victorian Government also undertook a </w:t>
      </w:r>
      <w:r w:rsidR="005D029A">
        <w:rPr>
          <w:rFonts w:asciiTheme="minorHAnsi" w:hAnsiTheme="minorHAnsi" w:cstheme="minorHAnsi"/>
        </w:rPr>
        <w:t>RIS</w:t>
      </w:r>
      <w:r>
        <w:rPr>
          <w:rFonts w:asciiTheme="minorHAnsi" w:hAnsiTheme="minorHAnsi" w:cstheme="minorHAnsi"/>
        </w:rPr>
        <w:t xml:space="preserve"> for the adoption of the model </w:t>
      </w:r>
      <w:r w:rsidR="005D029A">
        <w:rPr>
          <w:rFonts w:asciiTheme="minorHAnsi" w:hAnsiTheme="minorHAnsi" w:cstheme="minorHAnsi"/>
        </w:rPr>
        <w:t>WHS l</w:t>
      </w:r>
      <w:r>
        <w:rPr>
          <w:rFonts w:asciiTheme="minorHAnsi" w:hAnsiTheme="minorHAnsi" w:cstheme="minorHAnsi"/>
        </w:rPr>
        <w:t>aws (P</w:t>
      </w:r>
      <w:r w:rsidR="00C26283">
        <w:rPr>
          <w:rFonts w:asciiTheme="minorHAnsi" w:hAnsiTheme="minorHAnsi" w:cstheme="minorHAnsi"/>
        </w:rPr>
        <w:t>w</w:t>
      </w:r>
      <w:r>
        <w:rPr>
          <w:rFonts w:asciiTheme="minorHAnsi" w:hAnsiTheme="minorHAnsi" w:cstheme="minorHAnsi"/>
        </w:rPr>
        <w:t>C 2012)</w:t>
      </w:r>
      <w:r w:rsidR="00C26283">
        <w:rPr>
          <w:rFonts w:asciiTheme="minorHAnsi" w:hAnsiTheme="minorHAnsi" w:cstheme="minorHAnsi"/>
        </w:rPr>
        <w:t xml:space="preserve"> which did not report significant dif</w:t>
      </w:r>
      <w:r w:rsidR="00D13871">
        <w:rPr>
          <w:rFonts w:asciiTheme="minorHAnsi" w:hAnsiTheme="minorHAnsi" w:cstheme="minorHAnsi"/>
        </w:rPr>
        <w:t>ferences between the model WHS R</w:t>
      </w:r>
      <w:r w:rsidR="00C26283">
        <w:rPr>
          <w:rFonts w:asciiTheme="minorHAnsi" w:hAnsiTheme="minorHAnsi" w:cstheme="minorHAnsi"/>
        </w:rPr>
        <w:t>e</w:t>
      </w:r>
      <w:r w:rsidR="00CA6774">
        <w:rPr>
          <w:rFonts w:asciiTheme="minorHAnsi" w:hAnsiTheme="minorHAnsi" w:cstheme="minorHAnsi"/>
        </w:rPr>
        <w:t>gulation</w:t>
      </w:r>
      <w:r w:rsidR="00C26283">
        <w:rPr>
          <w:rFonts w:asciiTheme="minorHAnsi" w:hAnsiTheme="minorHAnsi" w:cstheme="minorHAnsi"/>
        </w:rPr>
        <w:t xml:space="preserve">s for lead and the </w:t>
      </w:r>
      <w:r w:rsidR="003B7604">
        <w:rPr>
          <w:rFonts w:asciiTheme="minorHAnsi" w:hAnsiTheme="minorHAnsi" w:cstheme="minorHAnsi"/>
        </w:rPr>
        <w:t>Victorian requirements. However</w:t>
      </w:r>
      <w:r w:rsidR="00C26283">
        <w:rPr>
          <w:rFonts w:asciiTheme="minorHAnsi" w:hAnsiTheme="minorHAnsi" w:cstheme="minorHAnsi"/>
        </w:rPr>
        <w:t xml:space="preserve">, </w:t>
      </w:r>
      <w:r w:rsidR="005D029A">
        <w:rPr>
          <w:rFonts w:asciiTheme="minorHAnsi" w:hAnsiTheme="minorHAnsi" w:cstheme="minorHAnsi"/>
        </w:rPr>
        <w:t xml:space="preserve">adoption of </w:t>
      </w:r>
      <w:r w:rsidR="00C26283">
        <w:rPr>
          <w:rFonts w:asciiTheme="minorHAnsi" w:hAnsiTheme="minorHAnsi" w:cstheme="minorHAnsi"/>
        </w:rPr>
        <w:t xml:space="preserve">the model WHS Regulations </w:t>
      </w:r>
      <w:r w:rsidR="005D029A">
        <w:rPr>
          <w:rFonts w:asciiTheme="minorHAnsi" w:hAnsiTheme="minorHAnsi" w:cstheme="minorHAnsi"/>
        </w:rPr>
        <w:t xml:space="preserve">was </w:t>
      </w:r>
      <w:r w:rsidR="00C26283">
        <w:rPr>
          <w:rFonts w:asciiTheme="minorHAnsi" w:hAnsiTheme="minorHAnsi" w:cstheme="minorHAnsi"/>
        </w:rPr>
        <w:t>not supported by Victoria.</w:t>
      </w:r>
    </w:p>
    <w:p w:rsidR="00C9446F" w:rsidRPr="00313AAD" w:rsidRDefault="00722AE0" w:rsidP="00263482">
      <w:pPr>
        <w:pStyle w:val="Heading2"/>
        <w:ind w:left="426"/>
      </w:pPr>
      <w:bookmarkStart w:id="51" w:name="_Toc459276899"/>
      <w:r w:rsidRPr="00313AAD">
        <w:t>International standards</w:t>
      </w:r>
      <w:bookmarkEnd w:id="51"/>
    </w:p>
    <w:p w:rsidR="00722AE0" w:rsidRPr="00E77182" w:rsidRDefault="00722AE0" w:rsidP="00E77182">
      <w:pPr>
        <w:pStyle w:val="Heading3"/>
        <w:rPr>
          <w:rStyle w:val="Strong"/>
          <w:b/>
          <w:bCs w:val="0"/>
        </w:rPr>
      </w:pPr>
      <w:r w:rsidRPr="00E77182">
        <w:rPr>
          <w:rStyle w:val="Strong"/>
          <w:b/>
          <w:bCs w:val="0"/>
        </w:rPr>
        <w:t>Blood lead removal levels</w:t>
      </w:r>
    </w:p>
    <w:p w:rsidR="003B7604" w:rsidRDefault="00617F2B" w:rsidP="00E92F23">
      <w:pPr>
        <w:pStyle w:val="Paragraph1"/>
        <w:spacing w:before="120" w:after="120"/>
        <w:rPr>
          <w:rFonts w:asciiTheme="minorHAnsi" w:hAnsiTheme="minorHAnsi" w:cstheme="minorHAnsi"/>
        </w:rPr>
      </w:pPr>
      <w:r w:rsidRPr="006F430F">
        <w:rPr>
          <w:rFonts w:asciiTheme="minorHAnsi" w:hAnsiTheme="minorHAnsi" w:cstheme="minorHAnsi"/>
        </w:rPr>
        <w:t>Safe Work Australia</w:t>
      </w:r>
      <w:r w:rsidR="00433298" w:rsidRPr="006F430F">
        <w:rPr>
          <w:rFonts w:asciiTheme="minorHAnsi" w:hAnsiTheme="minorHAnsi" w:cstheme="minorHAnsi"/>
        </w:rPr>
        <w:t xml:space="preserve"> </w:t>
      </w:r>
      <w:r w:rsidR="00722AE0" w:rsidRPr="006F430F">
        <w:rPr>
          <w:rFonts w:asciiTheme="minorHAnsi" w:hAnsiTheme="minorHAnsi" w:cstheme="minorHAnsi"/>
        </w:rPr>
        <w:t>has reviewed leading international standards for blood lead removal levels</w:t>
      </w:r>
      <w:r w:rsidR="00320087" w:rsidRPr="006F430F">
        <w:rPr>
          <w:rFonts w:asciiTheme="minorHAnsi" w:hAnsiTheme="minorHAnsi" w:cstheme="minorHAnsi"/>
        </w:rPr>
        <w:t xml:space="preserve"> (</w:t>
      </w:r>
      <w:r w:rsidR="00722AE0" w:rsidRPr="006F430F">
        <w:rPr>
          <w:rFonts w:asciiTheme="minorHAnsi" w:hAnsiTheme="minorHAnsi" w:cstheme="minorHAnsi"/>
        </w:rPr>
        <w:t xml:space="preserve">See </w:t>
      </w:r>
      <w:r w:rsidR="00BC0E23">
        <w:rPr>
          <w:rFonts w:asciiTheme="minorHAnsi" w:hAnsiTheme="minorHAnsi" w:cstheme="minorHAnsi"/>
        </w:rPr>
        <w:fldChar w:fldCharType="begin"/>
      </w:r>
      <w:r w:rsidR="00BC0E23">
        <w:rPr>
          <w:rFonts w:asciiTheme="minorHAnsi" w:hAnsiTheme="minorHAnsi" w:cstheme="minorHAnsi"/>
        </w:rPr>
        <w:instrText xml:space="preserve"> REF _Ref454801607 \h </w:instrText>
      </w:r>
      <w:r w:rsidR="00BC0E23">
        <w:rPr>
          <w:rFonts w:asciiTheme="minorHAnsi" w:hAnsiTheme="minorHAnsi" w:cstheme="minorHAnsi"/>
        </w:rPr>
      </w:r>
      <w:r w:rsidR="00BC0E23">
        <w:rPr>
          <w:rFonts w:asciiTheme="minorHAnsi" w:hAnsiTheme="minorHAnsi" w:cstheme="minorHAnsi"/>
        </w:rPr>
        <w:fldChar w:fldCharType="separate"/>
      </w:r>
      <w:r w:rsidR="00052CE1" w:rsidRPr="003B7604">
        <w:t xml:space="preserve">Figure </w:t>
      </w:r>
      <w:r w:rsidR="00052CE1">
        <w:rPr>
          <w:noProof/>
        </w:rPr>
        <w:t>1</w:t>
      </w:r>
      <w:r w:rsidR="00BC0E23">
        <w:rPr>
          <w:rFonts w:asciiTheme="minorHAnsi" w:hAnsiTheme="minorHAnsi" w:cstheme="minorHAnsi"/>
        </w:rPr>
        <w:fldChar w:fldCharType="end"/>
      </w:r>
      <w:r w:rsidR="00320087" w:rsidRPr="006F430F">
        <w:rPr>
          <w:rFonts w:asciiTheme="minorHAnsi" w:hAnsiTheme="minorHAnsi" w:cstheme="minorHAnsi"/>
        </w:rPr>
        <w:t>)</w:t>
      </w:r>
      <w:r w:rsidR="00722AE0" w:rsidRPr="006F430F">
        <w:rPr>
          <w:rFonts w:asciiTheme="minorHAnsi" w:hAnsiTheme="minorHAnsi" w:cstheme="minorHAnsi"/>
        </w:rPr>
        <w:t>.</w:t>
      </w:r>
      <w:r w:rsidR="00E92F23">
        <w:rPr>
          <w:rFonts w:asciiTheme="minorHAnsi" w:hAnsiTheme="minorHAnsi" w:cstheme="minorHAnsi"/>
        </w:rPr>
        <w:t xml:space="preserve"> </w:t>
      </w:r>
      <w:r w:rsidR="003B7604">
        <w:rPr>
          <w:rFonts w:asciiTheme="minorHAnsi" w:hAnsiTheme="minorHAnsi" w:cstheme="minorHAnsi"/>
        </w:rPr>
        <w:t>Internationally:</w:t>
      </w:r>
    </w:p>
    <w:p w:rsidR="00E92F23" w:rsidRDefault="003B7604" w:rsidP="00186120">
      <w:pPr>
        <w:pStyle w:val="ListBullet"/>
        <w:spacing w:before="40" w:after="40"/>
        <w:ind w:left="714" w:hanging="357"/>
        <w:rPr>
          <w:rFonts w:cstheme="minorHAnsi"/>
        </w:rPr>
      </w:pPr>
      <w:r>
        <w:rPr>
          <w:rFonts w:cstheme="minorHAnsi"/>
        </w:rPr>
        <w:lastRenderedPageBreak/>
        <w:t>b</w:t>
      </w:r>
      <w:r w:rsidR="00E92F23">
        <w:rPr>
          <w:rFonts w:cstheme="minorHAnsi"/>
        </w:rPr>
        <w:t>lood lead removal levels</w:t>
      </w:r>
      <w:r w:rsidR="00E92F23" w:rsidRPr="006F430F">
        <w:rPr>
          <w:rFonts w:cstheme="minorHAnsi"/>
        </w:rPr>
        <w:t xml:space="preserve"> may be mandatory or advisory </w:t>
      </w:r>
      <w:r w:rsidR="00E92F23">
        <w:rPr>
          <w:rFonts w:cstheme="minorHAnsi"/>
        </w:rPr>
        <w:t>in nature</w:t>
      </w:r>
    </w:p>
    <w:p w:rsidR="00822BD6" w:rsidRDefault="003B7604" w:rsidP="00186120">
      <w:pPr>
        <w:pStyle w:val="ListBullet"/>
        <w:spacing w:before="40" w:after="40"/>
        <w:ind w:left="714" w:hanging="357"/>
        <w:rPr>
          <w:rFonts w:cstheme="minorHAnsi"/>
        </w:rPr>
      </w:pPr>
      <w:r>
        <w:rPr>
          <w:rFonts w:cstheme="minorHAnsi"/>
        </w:rPr>
        <w:t>r</w:t>
      </w:r>
      <w:r w:rsidR="00722AE0" w:rsidRPr="006F430F">
        <w:rPr>
          <w:rFonts w:cstheme="minorHAnsi"/>
        </w:rPr>
        <w:t>ecently established or revised blood lead removal levels are generally</w:t>
      </w:r>
      <w:r w:rsidR="00E92F23">
        <w:rPr>
          <w:rFonts w:cstheme="minorHAnsi"/>
        </w:rPr>
        <w:t xml:space="preserve"> less than</w:t>
      </w:r>
      <w:r>
        <w:rPr>
          <w:rFonts w:cstheme="minorHAnsi"/>
        </w:rPr>
        <w:t xml:space="preserve"> 50 μg/dL</w:t>
      </w:r>
    </w:p>
    <w:p w:rsidR="003B7604" w:rsidRDefault="003B7604" w:rsidP="00186120">
      <w:pPr>
        <w:pStyle w:val="ListBullet"/>
        <w:spacing w:before="40" w:after="40"/>
        <w:ind w:left="714" w:hanging="357"/>
        <w:rPr>
          <w:rFonts w:cstheme="minorHAnsi"/>
        </w:rPr>
      </w:pPr>
      <w:r w:rsidRPr="003B7604">
        <w:rPr>
          <w:rFonts w:cstheme="minorHAnsi"/>
        </w:rPr>
        <w:t>c</w:t>
      </w:r>
      <w:r w:rsidR="00722AE0" w:rsidRPr="003B7604">
        <w:rPr>
          <w:rFonts w:cstheme="minorHAnsi"/>
        </w:rPr>
        <w:t>ount</w:t>
      </w:r>
      <w:r w:rsidR="00F34583" w:rsidRPr="003B7604">
        <w:rPr>
          <w:rFonts w:cstheme="minorHAnsi"/>
        </w:rPr>
        <w:t>ries with levels above 50 μg/dL</w:t>
      </w:r>
      <w:r w:rsidR="00722AE0" w:rsidRPr="003B7604">
        <w:rPr>
          <w:rFonts w:cstheme="minorHAnsi"/>
        </w:rPr>
        <w:t xml:space="preserve"> generally do not have a large lead processing industry</w:t>
      </w:r>
    </w:p>
    <w:p w:rsidR="003B7604" w:rsidRDefault="003B7604" w:rsidP="00186120">
      <w:pPr>
        <w:pStyle w:val="ListBullet"/>
        <w:spacing w:before="40" w:after="40"/>
        <w:ind w:left="714" w:hanging="357"/>
        <w:rPr>
          <w:rFonts w:cstheme="minorHAnsi"/>
        </w:rPr>
      </w:pPr>
      <w:r>
        <w:rPr>
          <w:rFonts w:cstheme="minorHAnsi"/>
        </w:rPr>
        <w:t>s</w:t>
      </w:r>
      <w:r w:rsidR="00722AE0" w:rsidRPr="003B7604">
        <w:rPr>
          <w:rFonts w:cstheme="minorHAnsi"/>
        </w:rPr>
        <w:t>ome countries set</w:t>
      </w:r>
      <w:r w:rsidR="00822BD6" w:rsidRPr="003B7604">
        <w:rPr>
          <w:rFonts w:cstheme="minorHAnsi"/>
        </w:rPr>
        <w:t xml:space="preserve"> a health based</w:t>
      </w:r>
      <w:r w:rsidR="00722AE0" w:rsidRPr="003B7604">
        <w:rPr>
          <w:rFonts w:cstheme="minorHAnsi"/>
        </w:rPr>
        <w:t xml:space="preserve"> blood lead </w:t>
      </w:r>
      <w:r w:rsidR="00433298" w:rsidRPr="003B7604">
        <w:rPr>
          <w:rFonts w:cstheme="minorHAnsi"/>
        </w:rPr>
        <w:t xml:space="preserve">removal </w:t>
      </w:r>
      <w:r w:rsidR="00722AE0" w:rsidRPr="003B7604">
        <w:rPr>
          <w:rFonts w:cstheme="minorHAnsi"/>
        </w:rPr>
        <w:t xml:space="preserve">level of 30 μg/dL </w:t>
      </w:r>
      <w:r w:rsidR="00822BD6" w:rsidRPr="003B7604">
        <w:rPr>
          <w:rFonts w:cstheme="minorHAnsi"/>
        </w:rPr>
        <w:t>f</w:t>
      </w:r>
      <w:r w:rsidR="00722AE0" w:rsidRPr="003B7604">
        <w:rPr>
          <w:rFonts w:cstheme="minorHAnsi"/>
        </w:rPr>
        <w:t xml:space="preserve">or </w:t>
      </w:r>
      <w:r w:rsidR="00F34583" w:rsidRPr="003B7604">
        <w:rPr>
          <w:rFonts w:cstheme="minorHAnsi"/>
        </w:rPr>
        <w:t xml:space="preserve">males and </w:t>
      </w:r>
      <w:r w:rsidR="00722AE0" w:rsidRPr="003B7604">
        <w:rPr>
          <w:rFonts w:cstheme="minorHAnsi"/>
        </w:rPr>
        <w:t>femal</w:t>
      </w:r>
      <w:r w:rsidR="00F34583" w:rsidRPr="003B7604">
        <w:rPr>
          <w:rFonts w:cstheme="minorHAnsi"/>
        </w:rPr>
        <w:t>es not of reproductive capacity</w:t>
      </w:r>
      <w:r>
        <w:rPr>
          <w:rFonts w:cstheme="minorHAnsi"/>
        </w:rPr>
        <w:t>, and</w:t>
      </w:r>
    </w:p>
    <w:p w:rsidR="00722AE0" w:rsidRDefault="003B7604" w:rsidP="00186120">
      <w:pPr>
        <w:pStyle w:val="ListBullet"/>
        <w:spacing w:before="40" w:after="40"/>
        <w:ind w:left="714" w:hanging="357"/>
        <w:rPr>
          <w:rFonts w:cstheme="minorHAnsi"/>
        </w:rPr>
      </w:pPr>
      <w:r>
        <w:rPr>
          <w:rFonts w:cstheme="minorHAnsi"/>
        </w:rPr>
        <w:t>m</w:t>
      </w:r>
      <w:r w:rsidR="00722AE0" w:rsidRPr="003B7604">
        <w:rPr>
          <w:rFonts w:cstheme="minorHAnsi"/>
        </w:rPr>
        <w:t xml:space="preserve">any </w:t>
      </w:r>
      <w:r w:rsidR="00822BD6" w:rsidRPr="003B7604">
        <w:rPr>
          <w:rFonts w:cstheme="minorHAnsi"/>
        </w:rPr>
        <w:t xml:space="preserve">international </w:t>
      </w:r>
      <w:r w:rsidR="00722AE0" w:rsidRPr="003B7604">
        <w:rPr>
          <w:rFonts w:cstheme="minorHAnsi"/>
        </w:rPr>
        <w:t xml:space="preserve">publications recommend lower blood lead removal levels of </w:t>
      </w:r>
      <w:r>
        <w:rPr>
          <w:rFonts w:cstheme="minorHAnsi"/>
        </w:rPr>
        <w:br/>
      </w:r>
      <w:r w:rsidR="00722AE0" w:rsidRPr="003B7604">
        <w:rPr>
          <w:rFonts w:cstheme="minorHAnsi"/>
        </w:rPr>
        <w:t>7-25</w:t>
      </w:r>
      <w:r>
        <w:rPr>
          <w:rFonts w:cstheme="minorHAnsi"/>
        </w:rPr>
        <w:t> </w:t>
      </w:r>
      <w:r w:rsidR="00722AE0" w:rsidRPr="003B7604">
        <w:rPr>
          <w:rFonts w:cstheme="minorHAnsi"/>
        </w:rPr>
        <w:t>μg/dL for f</w:t>
      </w:r>
      <w:r>
        <w:rPr>
          <w:rFonts w:cstheme="minorHAnsi"/>
        </w:rPr>
        <w:t>emales of reproductive capacity</w:t>
      </w:r>
      <w:r w:rsidR="00722AE0" w:rsidRPr="003B7604">
        <w:rPr>
          <w:rFonts w:cstheme="minorHAnsi"/>
        </w:rPr>
        <w:t xml:space="preserve"> or females who are pregnant</w:t>
      </w:r>
      <w:r w:rsidR="005D6180">
        <w:rPr>
          <w:rFonts w:cstheme="minorHAnsi"/>
        </w:rPr>
        <w:t xml:space="preserve"> or breastfeeding</w:t>
      </w:r>
      <w:r w:rsidR="00722AE0" w:rsidRPr="003B7604">
        <w:rPr>
          <w:rFonts w:cstheme="minorHAnsi"/>
        </w:rPr>
        <w:t>.</w:t>
      </w:r>
    </w:p>
    <w:p w:rsidR="003B7604" w:rsidRDefault="00C32273" w:rsidP="00EF1C6D">
      <w:pPr>
        <w:pStyle w:val="Paragraph1"/>
        <w:spacing w:before="120" w:after="120"/>
        <w:rPr>
          <w:rFonts w:asciiTheme="minorHAnsi" w:hAnsiTheme="minorHAnsi" w:cstheme="minorHAnsi"/>
        </w:rPr>
      </w:pPr>
      <w:r>
        <w:rPr>
          <w:rFonts w:asciiTheme="minorHAnsi" w:hAnsiTheme="minorHAnsi" w:cstheme="minorHAnsi"/>
        </w:rPr>
        <w:fldChar w:fldCharType="begin"/>
      </w:r>
      <w:r w:rsidR="003B7604">
        <w:rPr>
          <w:rFonts w:asciiTheme="minorHAnsi" w:hAnsiTheme="minorHAnsi" w:cstheme="minorHAnsi"/>
        </w:rPr>
        <w:instrText xml:space="preserve"> REF _Ref454801607 \h </w:instrText>
      </w:r>
      <w:r>
        <w:rPr>
          <w:rFonts w:asciiTheme="minorHAnsi" w:hAnsiTheme="minorHAnsi" w:cstheme="minorHAnsi"/>
        </w:rPr>
      </w:r>
      <w:r>
        <w:rPr>
          <w:rFonts w:asciiTheme="minorHAnsi" w:hAnsiTheme="minorHAnsi" w:cstheme="minorHAnsi"/>
        </w:rPr>
        <w:fldChar w:fldCharType="separate"/>
      </w:r>
      <w:r w:rsidR="00052CE1" w:rsidRPr="003B7604">
        <w:t xml:space="preserve">Figure </w:t>
      </w:r>
      <w:r w:rsidR="00052CE1">
        <w:rPr>
          <w:noProof/>
        </w:rPr>
        <w:t>1</w:t>
      </w:r>
      <w:r>
        <w:rPr>
          <w:rFonts w:asciiTheme="minorHAnsi" w:hAnsiTheme="minorHAnsi" w:cstheme="minorHAnsi"/>
        </w:rPr>
        <w:fldChar w:fldCharType="end"/>
      </w:r>
      <w:r w:rsidR="003B7604">
        <w:rPr>
          <w:rFonts w:asciiTheme="minorHAnsi" w:hAnsiTheme="minorHAnsi" w:cstheme="minorHAnsi"/>
        </w:rPr>
        <w:t xml:space="preserve"> below shows how Australia compares internationally for blood lead removal levels.</w:t>
      </w:r>
    </w:p>
    <w:p w:rsidR="008A6737" w:rsidRPr="0031462E" w:rsidRDefault="008A6737" w:rsidP="0031462E">
      <w:pPr>
        <w:pStyle w:val="Heading3"/>
        <w:rPr>
          <w:rStyle w:val="Strong"/>
          <w:b/>
          <w:bCs w:val="0"/>
        </w:rPr>
      </w:pPr>
      <w:r w:rsidRPr="0031462E">
        <w:rPr>
          <w:rStyle w:val="Strong"/>
          <w:b/>
          <w:bCs w:val="0"/>
        </w:rPr>
        <w:t>Workplace exposure standard for dusts and fumes of inorganic lead</w:t>
      </w:r>
    </w:p>
    <w:p w:rsidR="008A6737" w:rsidRDefault="008A6737" w:rsidP="008A6737">
      <w:r w:rsidRPr="00C9446F">
        <w:t xml:space="preserve">Safe Work Australia identified a range of leading international workplace exposure standards for lead (See </w:t>
      </w:r>
      <w:r w:rsidR="00BC0E23">
        <w:fldChar w:fldCharType="begin"/>
      </w:r>
      <w:r w:rsidR="00BC0E23">
        <w:instrText xml:space="preserve"> REF _Ref456082602 \h </w:instrText>
      </w:r>
      <w:r w:rsidR="00BC0E23">
        <w:fldChar w:fldCharType="separate"/>
      </w:r>
      <w:r w:rsidR="00052CE1" w:rsidRPr="00EF1C6D">
        <w:t xml:space="preserve">Figure </w:t>
      </w:r>
      <w:r w:rsidR="00052CE1">
        <w:rPr>
          <w:noProof/>
        </w:rPr>
        <w:t>2</w:t>
      </w:r>
      <w:r w:rsidR="00BC0E23">
        <w:fldChar w:fldCharType="end"/>
      </w:r>
      <w:r w:rsidRPr="00C9446F">
        <w:t>)</w:t>
      </w:r>
      <w:r>
        <w:t>. Internationally, the</w:t>
      </w:r>
      <w:r w:rsidRPr="0005799A">
        <w:t xml:space="preserve"> standard for lead </w:t>
      </w:r>
      <w:r>
        <w:t xml:space="preserve">ranges </w:t>
      </w:r>
      <w:r w:rsidRPr="0005799A">
        <w:t>between 0.0</w:t>
      </w:r>
      <w:r>
        <w:t>4</w:t>
      </w:r>
      <w:r w:rsidRPr="0005799A">
        <w:t xml:space="preserve"> to 0.15</w:t>
      </w:r>
      <w:r>
        <w:t> </w:t>
      </w:r>
      <w:r w:rsidRPr="0005799A">
        <w:t>mg/m</w:t>
      </w:r>
      <w:r w:rsidRPr="00536A47">
        <w:rPr>
          <w:rFonts w:cstheme="minorHAnsi"/>
          <w:vertAlign w:val="superscript"/>
        </w:rPr>
        <w:t>3</w:t>
      </w:r>
      <w:r w:rsidRPr="0005799A">
        <w:t xml:space="preserve">. </w:t>
      </w:r>
      <w:r>
        <w:t xml:space="preserve">By comparison, Australia’s WES for lead is among the countries with the highest level. </w:t>
      </w:r>
    </w:p>
    <w:p w:rsidR="005B33AA" w:rsidRPr="0005799A" w:rsidRDefault="005B33AA" w:rsidP="008A6737">
      <w:r>
        <w:t>Generally, international publications set the standard for airborne lead contaminants based on the expected blood lead level if inhalation was the primary source of exposure. It is also noted that the blood lead level is considered a more accurate representation of recent lead exposure.</w:t>
      </w:r>
    </w:p>
    <w:p w:rsidR="00EF1C6D" w:rsidRPr="003B7604" w:rsidRDefault="00EF1C6D" w:rsidP="00EF1C6D">
      <w:pPr>
        <w:pStyle w:val="Paragraph1"/>
        <w:spacing w:before="0"/>
        <w:rPr>
          <w:rFonts w:asciiTheme="minorHAnsi" w:hAnsiTheme="minorHAnsi" w:cstheme="minorHAnsi"/>
        </w:rPr>
      </w:pPr>
    </w:p>
    <w:p w:rsidR="003B7604" w:rsidRDefault="00E92F23" w:rsidP="003B7604">
      <w:pPr>
        <w:pStyle w:val="TableTitle"/>
      </w:pPr>
      <w:r>
        <w:rPr>
          <w:noProof/>
          <w:lang w:eastAsia="en-AU"/>
        </w:rPr>
        <w:drawing>
          <wp:inline distT="0" distB="0" distL="0" distR="0" wp14:anchorId="73F90678" wp14:editId="337A2DFE">
            <wp:extent cx="5943600" cy="3458845"/>
            <wp:effectExtent l="0" t="0" r="19050" b="27305"/>
            <wp:docPr id="1" name="Chart 1" descr="Figure 1. International benchmark – recommended blood lead removal levels for females not of reproductive capacity and males (adapted from SWA 2014b). Figure 1 shows that Australia has a higher recommended blood lead level than a number of countries, including Germany, France and Japan. It is the same as Canada and lower than than the UK and South Africa. "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2F23" w:rsidRDefault="003B7604" w:rsidP="003B7604">
      <w:pPr>
        <w:pStyle w:val="Caption"/>
        <w:rPr>
          <w:color w:val="auto"/>
        </w:rPr>
      </w:pPr>
      <w:bookmarkStart w:id="52" w:name="_Ref454801607"/>
      <w:r w:rsidRPr="003B7604">
        <w:rPr>
          <w:color w:val="auto"/>
        </w:rPr>
        <w:t xml:space="preserve">Figure </w:t>
      </w:r>
      <w:r w:rsidR="00C32273" w:rsidRPr="003B7604">
        <w:rPr>
          <w:color w:val="auto"/>
        </w:rPr>
        <w:fldChar w:fldCharType="begin"/>
      </w:r>
      <w:r w:rsidRPr="003B7604">
        <w:rPr>
          <w:color w:val="auto"/>
        </w:rPr>
        <w:instrText xml:space="preserve"> SEQ Figure \* ARABIC </w:instrText>
      </w:r>
      <w:r w:rsidR="00C32273" w:rsidRPr="003B7604">
        <w:rPr>
          <w:color w:val="auto"/>
        </w:rPr>
        <w:fldChar w:fldCharType="separate"/>
      </w:r>
      <w:r w:rsidR="00052CE1">
        <w:rPr>
          <w:noProof/>
          <w:color w:val="auto"/>
        </w:rPr>
        <w:t>1</w:t>
      </w:r>
      <w:r w:rsidR="00C32273" w:rsidRPr="003B7604">
        <w:rPr>
          <w:color w:val="auto"/>
        </w:rPr>
        <w:fldChar w:fldCharType="end"/>
      </w:r>
      <w:bookmarkEnd w:id="52"/>
      <w:r w:rsidRPr="003B7604">
        <w:rPr>
          <w:color w:val="auto"/>
        </w:rPr>
        <w:t xml:space="preserve">. </w:t>
      </w:r>
      <w:r w:rsidRPr="00161FBE">
        <w:rPr>
          <w:b w:val="0"/>
          <w:color w:val="auto"/>
        </w:rPr>
        <w:t>International benchmark – recommended blood lead removal levels for females not of reproductive capacity and males (adapted from SWA 2014</w:t>
      </w:r>
      <w:r w:rsidR="003A0AAE" w:rsidRPr="00161FBE">
        <w:rPr>
          <w:b w:val="0"/>
          <w:color w:val="auto"/>
        </w:rPr>
        <w:t>b</w:t>
      </w:r>
      <w:r w:rsidRPr="00161FBE">
        <w:rPr>
          <w:b w:val="0"/>
          <w:color w:val="auto"/>
        </w:rPr>
        <w:t>)</w:t>
      </w:r>
    </w:p>
    <w:p w:rsidR="008A6737" w:rsidRPr="008A6737" w:rsidRDefault="008A6737" w:rsidP="008A6737"/>
    <w:p w:rsidR="00EF1C6D" w:rsidRDefault="00E92F23" w:rsidP="00EF1C6D">
      <w:pPr>
        <w:keepNext/>
      </w:pPr>
      <w:r>
        <w:rPr>
          <w:noProof/>
          <w:lang w:eastAsia="en-AU"/>
        </w:rPr>
        <w:lastRenderedPageBreak/>
        <w:drawing>
          <wp:inline distT="0" distB="0" distL="0" distR="0" wp14:anchorId="7143419C" wp14:editId="3C3903CB">
            <wp:extent cx="5943600" cy="3037205"/>
            <wp:effectExtent l="0" t="0" r="19050" b="10795"/>
            <wp:docPr id="2" name="Chart 2" descr="Figure 2. International benchmark – workplace exposure standards for lead (adapted from SWA 2014b). The figure shows that Australia's workplace exposure standard for lead is the highest of all the compared countries at 0.15 milligrams per metres cubed. "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92F23" w:rsidRPr="00EF1C6D" w:rsidRDefault="00EF1C6D" w:rsidP="00EF1C6D">
      <w:pPr>
        <w:pStyle w:val="Caption"/>
        <w:rPr>
          <w:color w:val="auto"/>
        </w:rPr>
      </w:pPr>
      <w:bookmarkStart w:id="53" w:name="_Ref456082602"/>
      <w:r w:rsidRPr="00EF1C6D">
        <w:rPr>
          <w:color w:val="auto"/>
        </w:rPr>
        <w:t xml:space="preserve">Figure </w:t>
      </w:r>
      <w:r w:rsidR="00C32273" w:rsidRPr="00EF1C6D">
        <w:rPr>
          <w:color w:val="auto"/>
        </w:rPr>
        <w:fldChar w:fldCharType="begin"/>
      </w:r>
      <w:r w:rsidRPr="00EF1C6D">
        <w:rPr>
          <w:color w:val="auto"/>
        </w:rPr>
        <w:instrText xml:space="preserve"> SEQ Figure \* ARABIC </w:instrText>
      </w:r>
      <w:r w:rsidR="00C32273" w:rsidRPr="00EF1C6D">
        <w:rPr>
          <w:color w:val="auto"/>
        </w:rPr>
        <w:fldChar w:fldCharType="separate"/>
      </w:r>
      <w:r w:rsidR="00052CE1">
        <w:rPr>
          <w:noProof/>
          <w:color w:val="auto"/>
        </w:rPr>
        <w:t>2</w:t>
      </w:r>
      <w:r w:rsidR="00C32273" w:rsidRPr="00EF1C6D">
        <w:rPr>
          <w:color w:val="auto"/>
        </w:rPr>
        <w:fldChar w:fldCharType="end"/>
      </w:r>
      <w:bookmarkEnd w:id="53"/>
      <w:r w:rsidRPr="00EF1C6D">
        <w:rPr>
          <w:color w:val="auto"/>
        </w:rPr>
        <w:t xml:space="preserve">. </w:t>
      </w:r>
      <w:r w:rsidRPr="00161FBE">
        <w:rPr>
          <w:b w:val="0"/>
          <w:color w:val="auto"/>
        </w:rPr>
        <w:t>International benchmark – workplace exposure standards for lead (adapted from SWA 2014</w:t>
      </w:r>
      <w:r w:rsidR="003A0AAE" w:rsidRPr="00161FBE">
        <w:rPr>
          <w:b w:val="0"/>
          <w:color w:val="auto"/>
        </w:rPr>
        <w:t>b</w:t>
      </w:r>
      <w:r w:rsidRPr="00161FBE">
        <w:rPr>
          <w:b w:val="0"/>
          <w:color w:val="auto"/>
        </w:rPr>
        <w:t>)</w:t>
      </w:r>
    </w:p>
    <w:p w:rsidR="00607640" w:rsidRDefault="00607640" w:rsidP="006F430F">
      <w:pPr>
        <w:pStyle w:val="TableTitle"/>
        <w:rPr>
          <w:rFonts w:cstheme="minorHAnsi"/>
        </w:rPr>
      </w:pPr>
    </w:p>
    <w:p w:rsidR="00607640" w:rsidRDefault="00607640">
      <w:r>
        <w:br w:type="page"/>
      </w:r>
    </w:p>
    <w:p w:rsidR="00722AE0" w:rsidRPr="00536A47" w:rsidRDefault="00722AE0" w:rsidP="00EE21D9">
      <w:pPr>
        <w:pStyle w:val="Heading1-number"/>
        <w:rPr>
          <w:rFonts w:asciiTheme="minorHAnsi" w:hAnsiTheme="minorHAnsi" w:cstheme="minorHAnsi"/>
        </w:rPr>
      </w:pPr>
      <w:bookmarkStart w:id="54" w:name="_Toc459276900"/>
      <w:r w:rsidRPr="00536A47">
        <w:rPr>
          <w:rFonts w:asciiTheme="minorHAnsi" w:hAnsiTheme="minorHAnsi" w:cstheme="minorHAnsi"/>
        </w:rPr>
        <w:lastRenderedPageBreak/>
        <w:t>Statement of the problem</w:t>
      </w:r>
      <w:bookmarkEnd w:id="54"/>
    </w:p>
    <w:p w:rsidR="00722AE0" w:rsidRPr="00536A47"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Current toxicological and epidemiological evidence suggests that current legislated blood lead</w:t>
      </w:r>
      <w:r w:rsidR="00186120">
        <w:rPr>
          <w:rFonts w:asciiTheme="minorHAnsi" w:hAnsiTheme="minorHAnsi" w:cstheme="minorHAnsi"/>
        </w:rPr>
        <w:t xml:space="preserve"> removal</w:t>
      </w:r>
      <w:r w:rsidRPr="00536A47">
        <w:rPr>
          <w:rFonts w:asciiTheme="minorHAnsi" w:hAnsiTheme="minorHAnsi" w:cstheme="minorHAnsi"/>
        </w:rPr>
        <w:t xml:space="preserve"> levels and workplace exposure standard do not adequately protect worker health.</w:t>
      </w:r>
    </w:p>
    <w:p w:rsidR="00722AE0" w:rsidRPr="00313AAD" w:rsidRDefault="00722AE0" w:rsidP="00263482">
      <w:pPr>
        <w:pStyle w:val="Heading2"/>
        <w:ind w:left="426"/>
      </w:pPr>
      <w:bookmarkStart w:id="55" w:name="_Toc436398332"/>
      <w:bookmarkStart w:id="56" w:name="_Toc436403242"/>
      <w:bookmarkStart w:id="57" w:name="_Toc436403522"/>
      <w:bookmarkStart w:id="58" w:name="_Toc436403588"/>
      <w:bookmarkStart w:id="59" w:name="_Toc436404176"/>
      <w:bookmarkStart w:id="60" w:name="_Toc436404372"/>
      <w:bookmarkStart w:id="61" w:name="_Toc436744205"/>
      <w:bookmarkStart w:id="62" w:name="_Toc438048635"/>
      <w:bookmarkStart w:id="63" w:name="_Toc438202916"/>
      <w:bookmarkStart w:id="64" w:name="_Toc438203533"/>
      <w:bookmarkStart w:id="65" w:name="_Toc459276901"/>
      <w:bookmarkEnd w:id="55"/>
      <w:bookmarkEnd w:id="56"/>
      <w:bookmarkEnd w:id="57"/>
      <w:bookmarkEnd w:id="58"/>
      <w:bookmarkEnd w:id="59"/>
      <w:bookmarkEnd w:id="60"/>
      <w:bookmarkEnd w:id="61"/>
      <w:bookmarkEnd w:id="62"/>
      <w:bookmarkEnd w:id="63"/>
      <w:bookmarkEnd w:id="64"/>
      <w:r w:rsidRPr="00313AAD">
        <w:t>Toxicological and epidemiological evidence</w:t>
      </w:r>
      <w:bookmarkEnd w:id="65"/>
    </w:p>
    <w:p w:rsidR="00186120" w:rsidRPr="004C4DEF" w:rsidRDefault="00186120" w:rsidP="004C4DEF">
      <w:pPr>
        <w:rPr>
          <w:b/>
        </w:rPr>
      </w:pPr>
      <w:r w:rsidRPr="004C4DEF">
        <w:rPr>
          <w:b/>
        </w:rPr>
        <w:t>Blood lead removal levels</w:t>
      </w:r>
    </w:p>
    <w:p w:rsidR="00722AE0" w:rsidRPr="00536A47"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Under Australian WHS laws mandatory testing for blood lead levels starts when work carried out in a lead process is likely to cause the blood lead level to exceed:</w:t>
      </w:r>
    </w:p>
    <w:p w:rsidR="00722AE0" w:rsidRPr="00536A47" w:rsidRDefault="00722AE0" w:rsidP="006D6E29">
      <w:pPr>
        <w:pStyle w:val="ListBullet"/>
        <w:rPr>
          <w:rFonts w:cstheme="minorHAnsi"/>
        </w:rPr>
      </w:pPr>
      <w:r w:rsidRPr="00536A47">
        <w:rPr>
          <w:rFonts w:cstheme="minorHAnsi"/>
        </w:rPr>
        <w:t>for a fe</w:t>
      </w:r>
      <w:r w:rsidR="00186120">
        <w:rPr>
          <w:rFonts w:cstheme="minorHAnsi"/>
        </w:rPr>
        <w:t>male of reproductive capacity—</w:t>
      </w:r>
      <w:r w:rsidRPr="00536A47">
        <w:rPr>
          <w:rFonts w:cstheme="minorHAnsi"/>
        </w:rPr>
        <w:t>10</w:t>
      </w:r>
      <w:r w:rsidR="00186120">
        <w:rPr>
          <w:rFonts w:cstheme="minorHAnsi"/>
        </w:rPr>
        <w:t xml:space="preserve"> </w:t>
      </w:r>
      <w:r w:rsidRPr="00536A47">
        <w:rPr>
          <w:rFonts w:cstheme="minorHAnsi"/>
        </w:rPr>
        <w:t>μg/dL, or</w:t>
      </w:r>
    </w:p>
    <w:p w:rsidR="00722AE0" w:rsidRPr="00536A47" w:rsidRDefault="00186120" w:rsidP="006D6E29">
      <w:pPr>
        <w:pStyle w:val="ListBullet"/>
        <w:rPr>
          <w:rFonts w:cstheme="minorHAnsi"/>
        </w:rPr>
      </w:pPr>
      <w:r>
        <w:rPr>
          <w:rFonts w:cstheme="minorHAnsi"/>
        </w:rPr>
        <w:t>in any other case—</w:t>
      </w:r>
      <w:r w:rsidR="00722AE0" w:rsidRPr="00536A47">
        <w:rPr>
          <w:rFonts w:cstheme="minorHAnsi"/>
        </w:rPr>
        <w:t>30</w:t>
      </w:r>
      <w:r>
        <w:rPr>
          <w:rFonts w:cstheme="minorHAnsi"/>
        </w:rPr>
        <w:t xml:space="preserve"> </w:t>
      </w:r>
      <w:r w:rsidR="00722AE0" w:rsidRPr="00536A47">
        <w:rPr>
          <w:rFonts w:cstheme="minorHAnsi"/>
        </w:rPr>
        <w:t>μg/dL.</w:t>
      </w:r>
    </w:p>
    <w:p w:rsidR="00722AE0" w:rsidRPr="00536A47" w:rsidRDefault="00722AE0" w:rsidP="00607640">
      <w:pPr>
        <w:pStyle w:val="Paragraph1"/>
        <w:spacing w:after="120"/>
        <w:rPr>
          <w:rFonts w:asciiTheme="minorHAnsi" w:hAnsiTheme="minorHAnsi" w:cstheme="minorHAnsi"/>
        </w:rPr>
      </w:pPr>
      <w:r w:rsidRPr="00536A47">
        <w:rPr>
          <w:rFonts w:asciiTheme="minorHAnsi" w:hAnsiTheme="minorHAnsi" w:cstheme="minorHAnsi"/>
        </w:rPr>
        <w:t xml:space="preserve">In May 2015 the </w:t>
      </w:r>
      <w:r w:rsidR="00186120" w:rsidRPr="00536A47">
        <w:rPr>
          <w:rFonts w:asciiTheme="minorHAnsi" w:hAnsiTheme="minorHAnsi" w:cstheme="minorHAnsi"/>
        </w:rPr>
        <w:t>NHMRC</w:t>
      </w:r>
      <w:r w:rsidRPr="00536A47">
        <w:rPr>
          <w:rFonts w:asciiTheme="minorHAnsi" w:hAnsiTheme="minorHAnsi" w:cstheme="minorHAnsi"/>
        </w:rPr>
        <w:t xml:space="preserve"> released a Statemen</w:t>
      </w:r>
      <w:r w:rsidR="00607640">
        <w:rPr>
          <w:rFonts w:asciiTheme="minorHAnsi" w:hAnsiTheme="minorHAnsi" w:cstheme="minorHAnsi"/>
        </w:rPr>
        <w:t>t (NHMRC 2015a)</w:t>
      </w:r>
      <w:r w:rsidRPr="00536A47">
        <w:rPr>
          <w:rFonts w:asciiTheme="minorHAnsi" w:hAnsiTheme="minorHAnsi" w:cstheme="minorHAnsi"/>
        </w:rPr>
        <w:t xml:space="preserve"> on the evidence of the effects of lead on human health. This Statement update</w:t>
      </w:r>
      <w:r w:rsidR="00607640">
        <w:rPr>
          <w:rFonts w:asciiTheme="minorHAnsi" w:hAnsiTheme="minorHAnsi" w:cstheme="minorHAnsi"/>
        </w:rPr>
        <w:t xml:space="preserve">d the </w:t>
      </w:r>
      <w:r w:rsidR="00186120">
        <w:rPr>
          <w:rFonts w:asciiTheme="minorHAnsi" w:hAnsiTheme="minorHAnsi" w:cstheme="minorHAnsi"/>
        </w:rPr>
        <w:t>NHMRC</w:t>
      </w:r>
      <w:r w:rsidR="00607640">
        <w:rPr>
          <w:rFonts w:asciiTheme="minorHAnsi" w:hAnsiTheme="minorHAnsi" w:cstheme="minorHAnsi"/>
        </w:rPr>
        <w:t xml:space="preserve"> previous work and wa</w:t>
      </w:r>
      <w:r w:rsidRPr="00536A47">
        <w:rPr>
          <w:rFonts w:asciiTheme="minorHAnsi" w:hAnsiTheme="minorHAnsi" w:cstheme="minorHAnsi"/>
        </w:rPr>
        <w:t xml:space="preserve">s based on independent scientific </w:t>
      </w:r>
      <w:r w:rsidR="00186120" w:rsidRPr="00536A47">
        <w:rPr>
          <w:rFonts w:asciiTheme="minorHAnsi" w:hAnsiTheme="minorHAnsi" w:cstheme="minorHAnsi"/>
        </w:rPr>
        <w:t>evidence</w:t>
      </w:r>
      <w:r w:rsidR="00186120">
        <w:rPr>
          <w:rFonts w:asciiTheme="minorHAnsi" w:hAnsiTheme="minorHAnsi" w:cstheme="minorHAnsi"/>
        </w:rPr>
        <w:t>.</w:t>
      </w:r>
      <w:r w:rsidR="00186120" w:rsidRPr="00536A47">
        <w:rPr>
          <w:rFonts w:asciiTheme="minorHAnsi" w:hAnsiTheme="minorHAnsi" w:cstheme="minorHAnsi"/>
        </w:rPr>
        <w:t xml:space="preserve"> The</w:t>
      </w:r>
      <w:r w:rsidRPr="00536A47">
        <w:rPr>
          <w:rFonts w:asciiTheme="minorHAnsi" w:hAnsiTheme="minorHAnsi" w:cstheme="minorHAnsi"/>
        </w:rPr>
        <w:t xml:space="preserve"> Statement advise</w:t>
      </w:r>
      <w:r w:rsidR="00607640">
        <w:rPr>
          <w:rFonts w:asciiTheme="minorHAnsi" w:hAnsiTheme="minorHAnsi" w:cstheme="minorHAnsi"/>
        </w:rPr>
        <w:t>d</w:t>
      </w:r>
      <w:r w:rsidRPr="00536A47">
        <w:rPr>
          <w:rFonts w:asciiTheme="minorHAnsi" w:hAnsiTheme="minorHAnsi" w:cstheme="minorHAnsi"/>
        </w:rPr>
        <w:t>:</w:t>
      </w:r>
    </w:p>
    <w:p w:rsidR="00722AE0" w:rsidRPr="00536A47" w:rsidRDefault="002D5B7C" w:rsidP="002D5B7C">
      <w:pPr>
        <w:pStyle w:val="Paragraph1"/>
        <w:spacing w:before="120"/>
        <w:ind w:left="567" w:right="619"/>
        <w:rPr>
          <w:rFonts w:asciiTheme="minorHAnsi" w:hAnsiTheme="minorHAnsi" w:cstheme="minorHAnsi"/>
          <w:i/>
        </w:rPr>
      </w:pPr>
      <w:r>
        <w:rPr>
          <w:rFonts w:asciiTheme="minorHAnsi" w:hAnsiTheme="minorHAnsi" w:cstheme="minorHAnsi"/>
          <w:i/>
        </w:rPr>
        <w:t>“</w:t>
      </w:r>
      <w:r w:rsidR="00722AE0" w:rsidRPr="00536A47">
        <w:rPr>
          <w:rFonts w:asciiTheme="minorHAnsi" w:hAnsiTheme="minorHAnsi" w:cstheme="minorHAnsi"/>
          <w:i/>
        </w:rPr>
        <w:t>a blood lead level greater than 5 micrograms per decilitre suggests that a person has been, or continues to be, exposed to lead at a level that is above what is considered the average ‘background’ exposure in Australia. If a person has a blood lead level greater than 5 micrograms per decilitre, it is recommended that the source of exposure should be investigated and reduced, particularly if the person is a child or pregnant woman.  Identifying and controlling the source of lead exposure will reduce the risk of harm to the individual and to the community.</w:t>
      </w:r>
      <w:r>
        <w:rPr>
          <w:rFonts w:asciiTheme="minorHAnsi" w:hAnsiTheme="minorHAnsi" w:cstheme="minorHAnsi"/>
          <w:i/>
        </w:rPr>
        <w:t>”</w:t>
      </w:r>
      <w:r w:rsidR="00722AE0" w:rsidRPr="00536A47">
        <w:rPr>
          <w:rFonts w:asciiTheme="minorHAnsi" w:hAnsiTheme="minorHAnsi" w:cstheme="minorHAnsi"/>
          <w:i/>
        </w:rPr>
        <w:t xml:space="preserve"> </w:t>
      </w:r>
    </w:p>
    <w:p w:rsidR="00722AE0" w:rsidRPr="00536A47"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 xml:space="preserve">In 2014, Safe Work Australia commissioned an independent, </w:t>
      </w:r>
      <w:r w:rsidR="00D05C30">
        <w:rPr>
          <w:rFonts w:asciiTheme="minorHAnsi" w:hAnsiTheme="minorHAnsi" w:cstheme="minorHAnsi"/>
        </w:rPr>
        <w:t>evidence-based</w:t>
      </w:r>
      <w:r w:rsidRPr="00536A47">
        <w:rPr>
          <w:rFonts w:asciiTheme="minorHAnsi" w:hAnsiTheme="minorHAnsi" w:cstheme="minorHAnsi"/>
        </w:rPr>
        <w:t xml:space="preserve"> report</w:t>
      </w:r>
      <w:r w:rsidR="00607640">
        <w:rPr>
          <w:rFonts w:asciiTheme="minorHAnsi" w:hAnsiTheme="minorHAnsi" w:cstheme="minorHAnsi"/>
        </w:rPr>
        <w:t xml:space="preserve"> (</w:t>
      </w:r>
      <w:hyperlink r:id="rId19" w:history="1">
        <w:r w:rsidR="00607640" w:rsidRPr="00BC0E23">
          <w:rPr>
            <w:rStyle w:val="Hyperlink"/>
            <w:rFonts w:asciiTheme="minorHAnsi" w:hAnsiTheme="minorHAnsi" w:cstheme="minorHAnsi"/>
          </w:rPr>
          <w:t>SWA 2014</w:t>
        </w:r>
        <w:r w:rsidR="003A0AAE" w:rsidRPr="00BC0E23">
          <w:rPr>
            <w:rStyle w:val="Hyperlink"/>
            <w:rFonts w:asciiTheme="minorHAnsi" w:hAnsiTheme="minorHAnsi" w:cstheme="minorHAnsi"/>
          </w:rPr>
          <w:t>b</w:t>
        </w:r>
      </w:hyperlink>
      <w:r w:rsidR="00607640">
        <w:rPr>
          <w:rFonts w:asciiTheme="minorHAnsi" w:hAnsiTheme="minorHAnsi" w:cstheme="minorHAnsi"/>
        </w:rPr>
        <w:t>)</w:t>
      </w:r>
      <w:r w:rsidR="008A6737">
        <w:rPr>
          <w:rFonts w:asciiTheme="minorHAnsi" w:hAnsiTheme="minorHAnsi" w:cstheme="minorHAnsi"/>
        </w:rPr>
        <w:t xml:space="preserve"> into the health effects of lead</w:t>
      </w:r>
      <w:r w:rsidRPr="00536A47">
        <w:rPr>
          <w:rFonts w:asciiTheme="minorHAnsi" w:hAnsiTheme="minorHAnsi" w:cstheme="minorHAnsi"/>
        </w:rPr>
        <w:t xml:space="preserve">. It identified key epidemiological and toxicological studies relevant to setting blood lead removal levels and </w:t>
      </w:r>
      <w:r w:rsidR="008A6737">
        <w:rPr>
          <w:rFonts w:asciiTheme="minorHAnsi" w:hAnsiTheme="minorHAnsi" w:cstheme="minorHAnsi"/>
        </w:rPr>
        <w:t xml:space="preserve">the </w:t>
      </w:r>
      <w:r w:rsidRPr="00536A47">
        <w:rPr>
          <w:rFonts w:asciiTheme="minorHAnsi" w:hAnsiTheme="minorHAnsi" w:cstheme="minorHAnsi"/>
        </w:rPr>
        <w:t>workplace exposure standard for lead.</w:t>
      </w:r>
    </w:p>
    <w:p w:rsidR="00722AE0" w:rsidRPr="00536A47"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 xml:space="preserve">The </w:t>
      </w:r>
      <w:r w:rsidR="00607640">
        <w:rPr>
          <w:rFonts w:asciiTheme="minorHAnsi" w:hAnsiTheme="minorHAnsi" w:cstheme="minorHAnsi"/>
        </w:rPr>
        <w:t>r</w:t>
      </w:r>
      <w:r w:rsidRPr="00536A47">
        <w:rPr>
          <w:rFonts w:asciiTheme="minorHAnsi" w:hAnsiTheme="minorHAnsi" w:cstheme="minorHAnsi"/>
        </w:rPr>
        <w:t>eport identified health endpoints including detrimental effects on the nervous system, increased blood pressure, heart rate variability, kidney dysfunction, changes in immune system markers, reduced sperm quality and haematological effects.</w:t>
      </w:r>
    </w:p>
    <w:p w:rsidR="00722AE0"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 xml:space="preserve">It concluded </w:t>
      </w:r>
      <w:r w:rsidR="00607640">
        <w:rPr>
          <w:rFonts w:asciiTheme="minorHAnsi" w:hAnsiTheme="minorHAnsi" w:cstheme="minorHAnsi"/>
        </w:rPr>
        <w:t xml:space="preserve">that </w:t>
      </w:r>
      <w:r w:rsidRPr="00536A47">
        <w:rPr>
          <w:rFonts w:asciiTheme="minorHAnsi" w:hAnsiTheme="minorHAnsi" w:cstheme="minorHAnsi"/>
        </w:rPr>
        <w:t>most adverse health endpoints are associated with average blood lead levels of &gt;</w:t>
      </w:r>
      <w:r w:rsidR="00607640">
        <w:rPr>
          <w:rFonts w:asciiTheme="minorHAnsi" w:hAnsiTheme="minorHAnsi" w:cstheme="minorHAnsi"/>
        </w:rPr>
        <w:t xml:space="preserve"> </w:t>
      </w:r>
      <w:r w:rsidRPr="00536A47">
        <w:rPr>
          <w:rFonts w:asciiTheme="minorHAnsi" w:hAnsiTheme="minorHAnsi" w:cstheme="minorHAnsi"/>
        </w:rPr>
        <w:t>20 μg/dL. The associations become more</w:t>
      </w:r>
      <w:r w:rsidR="00EA34A3">
        <w:rPr>
          <w:rFonts w:asciiTheme="minorHAnsi" w:hAnsiTheme="minorHAnsi" w:cstheme="minorHAnsi"/>
        </w:rPr>
        <w:t xml:space="preserve"> evident</w:t>
      </w:r>
      <w:r w:rsidRPr="00536A47">
        <w:rPr>
          <w:rFonts w:asciiTheme="minorHAnsi" w:hAnsiTheme="minorHAnsi" w:cstheme="minorHAnsi"/>
        </w:rPr>
        <w:t xml:space="preserve"> at mean blood lead levels &gt;</w:t>
      </w:r>
      <w:r w:rsidR="00EA34A3">
        <w:rPr>
          <w:rFonts w:asciiTheme="minorHAnsi" w:hAnsiTheme="minorHAnsi" w:cstheme="minorHAnsi"/>
        </w:rPr>
        <w:t xml:space="preserve"> </w:t>
      </w:r>
      <w:r w:rsidRPr="00536A47">
        <w:rPr>
          <w:rFonts w:asciiTheme="minorHAnsi" w:hAnsiTheme="minorHAnsi" w:cstheme="minorHAnsi"/>
        </w:rPr>
        <w:t xml:space="preserve">30 μg/dL. Figure 3 illustrates the blood lead levels at which adverse effects </w:t>
      </w:r>
      <w:r w:rsidR="00EA34A3">
        <w:rPr>
          <w:rFonts w:asciiTheme="minorHAnsi" w:hAnsiTheme="minorHAnsi" w:cstheme="minorHAnsi"/>
        </w:rPr>
        <w:t>are observed</w:t>
      </w:r>
      <w:r w:rsidRPr="00536A47">
        <w:rPr>
          <w:rFonts w:asciiTheme="minorHAnsi" w:hAnsiTheme="minorHAnsi" w:cstheme="minorHAnsi"/>
        </w:rPr>
        <w:t>.</w:t>
      </w:r>
    </w:p>
    <w:p w:rsidR="00EA34A3" w:rsidRPr="00536A47" w:rsidRDefault="00EA34A3" w:rsidP="00EA34A3">
      <w:pPr>
        <w:pStyle w:val="Paragraph1"/>
        <w:spacing w:before="120" w:after="120"/>
        <w:rPr>
          <w:rFonts w:asciiTheme="minorHAnsi" w:hAnsiTheme="minorHAnsi" w:cstheme="minorHAnsi"/>
        </w:rPr>
      </w:pPr>
      <w:r w:rsidRPr="00536A47">
        <w:rPr>
          <w:rFonts w:asciiTheme="minorHAnsi" w:hAnsiTheme="minorHAnsi" w:cstheme="minorHAnsi"/>
        </w:rPr>
        <w:t xml:space="preserve">On the basis of the evidence </w:t>
      </w:r>
      <w:r>
        <w:rPr>
          <w:rFonts w:asciiTheme="minorHAnsi" w:hAnsiTheme="minorHAnsi" w:cstheme="minorHAnsi"/>
        </w:rPr>
        <w:t>it was</w:t>
      </w:r>
      <w:r w:rsidRPr="00536A47">
        <w:rPr>
          <w:rFonts w:asciiTheme="minorHAnsi" w:hAnsiTheme="minorHAnsi" w:cstheme="minorHAnsi"/>
        </w:rPr>
        <w:t xml:space="preserve"> recommended:</w:t>
      </w:r>
    </w:p>
    <w:p w:rsidR="00EA34A3" w:rsidRPr="00536A47" w:rsidRDefault="00EA34A3" w:rsidP="00D70F9D">
      <w:pPr>
        <w:pStyle w:val="ListBullet"/>
        <w:spacing w:before="40" w:after="40"/>
        <w:ind w:hanging="357"/>
        <w:rPr>
          <w:rFonts w:cstheme="minorHAnsi"/>
        </w:rPr>
      </w:pPr>
      <w:r w:rsidRPr="00536A47">
        <w:rPr>
          <w:rFonts w:cstheme="minorHAnsi"/>
        </w:rPr>
        <w:t>For females of non-reproductive capacity and m</w:t>
      </w:r>
      <w:r w:rsidR="00706A50">
        <w:rPr>
          <w:rFonts w:cstheme="minorHAnsi"/>
        </w:rPr>
        <w:t>ales</w:t>
      </w:r>
      <w:r w:rsidRPr="00536A47">
        <w:rPr>
          <w:rFonts w:cstheme="minorHAnsi"/>
        </w:rPr>
        <w:t>:</w:t>
      </w:r>
    </w:p>
    <w:p w:rsidR="00EA34A3" w:rsidRPr="00536A47" w:rsidRDefault="00EA34A3" w:rsidP="00D70F9D">
      <w:pPr>
        <w:pStyle w:val="ListBullet2"/>
        <w:spacing w:before="40" w:after="40"/>
        <w:ind w:left="1276" w:hanging="357"/>
        <w:rPr>
          <w:rFonts w:cstheme="minorHAnsi"/>
        </w:rPr>
      </w:pPr>
      <w:r>
        <w:rPr>
          <w:rFonts w:cstheme="minorHAnsi"/>
        </w:rPr>
        <w:t>a</w:t>
      </w:r>
      <w:r w:rsidRPr="00536A47">
        <w:rPr>
          <w:rFonts w:cstheme="minorHAnsi"/>
        </w:rPr>
        <w:t xml:space="preserve"> blood lead removal level of 20 μg/dL, or</w:t>
      </w:r>
    </w:p>
    <w:p w:rsidR="00EA34A3" w:rsidRPr="00536A47" w:rsidRDefault="00EA34A3" w:rsidP="00D70F9D">
      <w:pPr>
        <w:pStyle w:val="ListBullet2"/>
        <w:spacing w:before="40" w:after="40"/>
        <w:ind w:left="1276" w:hanging="357"/>
        <w:rPr>
          <w:rFonts w:cstheme="minorHAnsi"/>
        </w:rPr>
      </w:pPr>
      <w:r>
        <w:rPr>
          <w:rFonts w:cstheme="minorHAnsi"/>
        </w:rPr>
        <w:t>a</w:t>
      </w:r>
      <w:r w:rsidRPr="00536A47">
        <w:rPr>
          <w:rFonts w:cstheme="minorHAnsi"/>
        </w:rPr>
        <w:t xml:space="preserve"> target blood lead removal level of 20 μg/dL and mandated blood lead removal level of 30 μg/dL.</w:t>
      </w:r>
    </w:p>
    <w:p w:rsidR="00EA34A3" w:rsidRDefault="00EA34A3" w:rsidP="00D70F9D">
      <w:pPr>
        <w:pStyle w:val="ListBullet"/>
        <w:spacing w:before="40" w:after="40"/>
        <w:ind w:hanging="357"/>
        <w:rPr>
          <w:rFonts w:cstheme="minorHAnsi"/>
        </w:rPr>
      </w:pPr>
      <w:r w:rsidRPr="00536A47">
        <w:rPr>
          <w:rFonts w:cstheme="minorHAnsi"/>
        </w:rPr>
        <w:t>For women of reproductive capacity</w:t>
      </w:r>
      <w:r>
        <w:rPr>
          <w:rFonts w:cstheme="minorHAnsi"/>
        </w:rPr>
        <w:t>:</w:t>
      </w:r>
    </w:p>
    <w:p w:rsidR="00EA34A3" w:rsidRPr="00536A47" w:rsidRDefault="00EA34A3" w:rsidP="00D70F9D">
      <w:pPr>
        <w:pStyle w:val="ListBullet2"/>
        <w:spacing w:before="40" w:after="40"/>
        <w:ind w:left="1276" w:hanging="357"/>
        <w:rPr>
          <w:rFonts w:cstheme="minorHAnsi"/>
        </w:rPr>
      </w:pPr>
      <w:r>
        <w:rPr>
          <w:rFonts w:cstheme="minorHAnsi"/>
        </w:rPr>
        <w:t xml:space="preserve"> a </w:t>
      </w:r>
      <w:r w:rsidRPr="00536A47">
        <w:rPr>
          <w:rFonts w:cstheme="minorHAnsi"/>
        </w:rPr>
        <w:t xml:space="preserve">blood lead removal level </w:t>
      </w:r>
      <w:r>
        <w:rPr>
          <w:rFonts w:cstheme="minorHAnsi"/>
        </w:rPr>
        <w:t>of 10 μg/dL.</w:t>
      </w:r>
    </w:p>
    <w:p w:rsidR="00EA34A3" w:rsidRPr="00536A47" w:rsidRDefault="00EA34A3" w:rsidP="00D70F9D">
      <w:pPr>
        <w:pStyle w:val="Paragraph1"/>
        <w:spacing w:before="120" w:after="120"/>
        <w:rPr>
          <w:rFonts w:asciiTheme="minorHAnsi" w:hAnsiTheme="minorHAnsi" w:cstheme="minorHAnsi"/>
        </w:rPr>
      </w:pPr>
      <w:r w:rsidRPr="00536A47">
        <w:rPr>
          <w:rFonts w:asciiTheme="minorHAnsi" w:hAnsiTheme="minorHAnsi" w:cstheme="minorHAnsi"/>
        </w:rPr>
        <w:t xml:space="preserve">In addition to the health outcomes in Figure 3, studies have shown exposing a foetus to </w:t>
      </w:r>
      <w:r>
        <w:rPr>
          <w:rFonts w:asciiTheme="minorHAnsi" w:hAnsiTheme="minorHAnsi" w:cstheme="minorHAnsi"/>
        </w:rPr>
        <w:t>a blood lead level of &lt; </w:t>
      </w:r>
      <w:r w:rsidRPr="00536A47">
        <w:rPr>
          <w:rFonts w:asciiTheme="minorHAnsi" w:hAnsiTheme="minorHAnsi" w:cstheme="minorHAnsi"/>
        </w:rPr>
        <w:t>5</w:t>
      </w:r>
      <w:r>
        <w:rPr>
          <w:rFonts w:asciiTheme="minorHAnsi" w:hAnsiTheme="minorHAnsi" w:cstheme="minorHAnsi"/>
        </w:rPr>
        <w:t xml:space="preserve"> μg/dL </w:t>
      </w:r>
      <w:r w:rsidRPr="00536A47">
        <w:rPr>
          <w:rFonts w:asciiTheme="minorHAnsi" w:hAnsiTheme="minorHAnsi" w:cstheme="minorHAnsi"/>
        </w:rPr>
        <w:t xml:space="preserve">is associated with impairment of learning capacity and neuropsychological development </w:t>
      </w:r>
      <w:r>
        <w:rPr>
          <w:rFonts w:asciiTheme="minorHAnsi" w:hAnsiTheme="minorHAnsi" w:cstheme="minorHAnsi"/>
        </w:rPr>
        <w:t>during childhood. L</w:t>
      </w:r>
      <w:r w:rsidRPr="00536A47">
        <w:rPr>
          <w:rFonts w:asciiTheme="minorHAnsi" w:hAnsiTheme="minorHAnsi" w:cstheme="minorHAnsi"/>
        </w:rPr>
        <w:t>ead is mobilised from the</w:t>
      </w:r>
      <w:r>
        <w:rPr>
          <w:rFonts w:asciiTheme="minorHAnsi" w:hAnsiTheme="minorHAnsi" w:cstheme="minorHAnsi"/>
        </w:rPr>
        <w:t xml:space="preserve"> </w:t>
      </w:r>
      <w:r w:rsidRPr="00536A47">
        <w:rPr>
          <w:rFonts w:asciiTheme="minorHAnsi" w:hAnsiTheme="minorHAnsi" w:cstheme="minorHAnsi"/>
        </w:rPr>
        <w:t>maternal skeleton</w:t>
      </w:r>
      <w:r>
        <w:rPr>
          <w:rFonts w:asciiTheme="minorHAnsi" w:hAnsiTheme="minorHAnsi" w:cstheme="minorHAnsi"/>
        </w:rPr>
        <w:t xml:space="preserve"> during pregnancy</w:t>
      </w:r>
      <w:r w:rsidRPr="00536A47">
        <w:rPr>
          <w:rFonts w:asciiTheme="minorHAnsi" w:hAnsiTheme="minorHAnsi" w:cstheme="minorHAnsi"/>
        </w:rPr>
        <w:t xml:space="preserve">, which </w:t>
      </w:r>
      <w:r>
        <w:rPr>
          <w:rFonts w:asciiTheme="minorHAnsi" w:hAnsiTheme="minorHAnsi" w:cstheme="minorHAnsi"/>
        </w:rPr>
        <w:t xml:space="preserve">in turn </w:t>
      </w:r>
      <w:r w:rsidRPr="00536A47">
        <w:rPr>
          <w:rFonts w:asciiTheme="minorHAnsi" w:hAnsiTheme="minorHAnsi" w:cstheme="minorHAnsi"/>
        </w:rPr>
        <w:t>increases maternal blood lead</w:t>
      </w:r>
      <w:r>
        <w:rPr>
          <w:rFonts w:asciiTheme="minorHAnsi" w:hAnsiTheme="minorHAnsi" w:cstheme="minorHAnsi"/>
        </w:rPr>
        <w:t xml:space="preserve"> levels</w:t>
      </w:r>
      <w:r w:rsidRPr="00536A47">
        <w:rPr>
          <w:rFonts w:asciiTheme="minorHAnsi" w:hAnsiTheme="minorHAnsi" w:cstheme="minorHAnsi"/>
        </w:rPr>
        <w:t xml:space="preserve"> and is transferred to the foetus</w:t>
      </w:r>
      <w:r>
        <w:rPr>
          <w:rFonts w:asciiTheme="minorHAnsi" w:hAnsiTheme="minorHAnsi" w:cstheme="minorHAnsi"/>
        </w:rPr>
        <w:t xml:space="preserve"> in the cord blood </w:t>
      </w:r>
      <w:r w:rsidRPr="00D70F9D">
        <w:rPr>
          <w:rFonts w:asciiTheme="minorHAnsi" w:hAnsiTheme="minorHAnsi" w:cstheme="minorHAnsi"/>
          <w:i/>
        </w:rPr>
        <w:t>via</w:t>
      </w:r>
      <w:r>
        <w:rPr>
          <w:rFonts w:asciiTheme="minorHAnsi" w:hAnsiTheme="minorHAnsi" w:cstheme="minorHAnsi"/>
        </w:rPr>
        <w:t xml:space="preserve"> the placenta</w:t>
      </w:r>
      <w:r w:rsidRPr="00536A47">
        <w:rPr>
          <w:rFonts w:asciiTheme="minorHAnsi" w:hAnsiTheme="minorHAnsi" w:cstheme="minorHAnsi"/>
        </w:rPr>
        <w:t xml:space="preserve">. </w:t>
      </w:r>
      <w:r>
        <w:rPr>
          <w:rFonts w:asciiTheme="minorHAnsi" w:hAnsiTheme="minorHAnsi" w:cstheme="minorHAnsi"/>
        </w:rPr>
        <w:t>At birth t</w:t>
      </w:r>
      <w:r w:rsidRPr="00536A47">
        <w:rPr>
          <w:rFonts w:asciiTheme="minorHAnsi" w:hAnsiTheme="minorHAnsi" w:cstheme="minorHAnsi"/>
        </w:rPr>
        <w:t>he ratio of maternal blood lead to foetal blood</w:t>
      </w:r>
      <w:r w:rsidR="00F6544B">
        <w:rPr>
          <w:rFonts w:asciiTheme="minorHAnsi" w:hAnsiTheme="minorHAnsi" w:cstheme="minorHAnsi"/>
        </w:rPr>
        <w:t xml:space="preserve"> (measured using cord blood)</w:t>
      </w:r>
      <w:r w:rsidR="00076E6A">
        <w:rPr>
          <w:rFonts w:asciiTheme="minorHAnsi" w:hAnsiTheme="minorHAnsi" w:cstheme="minorHAnsi"/>
        </w:rPr>
        <w:t xml:space="preserve"> range</w:t>
      </w:r>
      <w:r w:rsidRPr="00536A47">
        <w:rPr>
          <w:rFonts w:asciiTheme="minorHAnsi" w:hAnsiTheme="minorHAnsi" w:cstheme="minorHAnsi"/>
        </w:rPr>
        <w:t xml:space="preserve">s </w:t>
      </w:r>
      <w:r w:rsidR="00DC55FC">
        <w:rPr>
          <w:rFonts w:asciiTheme="minorHAnsi" w:hAnsiTheme="minorHAnsi" w:cstheme="minorHAnsi"/>
        </w:rPr>
        <w:t>from</w:t>
      </w:r>
      <w:r w:rsidRPr="00536A47">
        <w:rPr>
          <w:rFonts w:asciiTheme="minorHAnsi" w:hAnsiTheme="minorHAnsi" w:cstheme="minorHAnsi"/>
        </w:rPr>
        <w:t xml:space="preserve"> 0.7 to 1</w:t>
      </w:r>
      <w:r w:rsidR="00F6544B">
        <w:rPr>
          <w:rFonts w:asciiTheme="minorHAnsi" w:hAnsiTheme="minorHAnsi" w:cstheme="minorHAnsi"/>
        </w:rPr>
        <w:t xml:space="preserve"> for maternal blood lead levels of 1.7–8.6 μg/dL (US EPA 2013)</w:t>
      </w:r>
      <w:r w:rsidRPr="00536A47">
        <w:rPr>
          <w:rFonts w:asciiTheme="minorHAnsi" w:hAnsiTheme="minorHAnsi" w:cstheme="minorHAnsi"/>
        </w:rPr>
        <w:t>.</w:t>
      </w:r>
    </w:p>
    <w:p w:rsidR="00EA34A3" w:rsidRPr="00536A47" w:rsidRDefault="00EA34A3" w:rsidP="00722AE0">
      <w:pPr>
        <w:pStyle w:val="Paragraph1"/>
        <w:spacing w:before="120" w:after="120"/>
        <w:rPr>
          <w:rFonts w:asciiTheme="minorHAnsi" w:hAnsiTheme="minorHAnsi" w:cstheme="minorHAnsi"/>
        </w:rPr>
      </w:pPr>
    </w:p>
    <w:p w:rsidR="00186120" w:rsidRPr="00186120" w:rsidRDefault="00FC5C25" w:rsidP="00186120">
      <w:pPr>
        <w:pStyle w:val="Paragraph1"/>
        <w:keepNext/>
        <w:spacing w:before="0"/>
        <w:rPr>
          <w:sz w:val="8"/>
        </w:rPr>
      </w:pPr>
      <w:r w:rsidRPr="00536A47">
        <w:rPr>
          <w:rFonts w:asciiTheme="minorHAnsi" w:hAnsiTheme="minorHAnsi" w:cstheme="minorHAnsi"/>
          <w:sz w:val="18"/>
        </w:rPr>
        <w:object w:dxaOrig="9600" w:dyaOrig="11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which illustrates the lowest blood lead level at which the health effects were reported in individuals in various studies.&#10;&#10;Greater than 5 - Auditory function decrements, decreased haemoglobin, ALAD activity, increased hormone in response to stress.&#10;&#10;Greater than 20 - Increased blood pressure and heart rate variability, decreased ALAD activity, subtle changes in immune markers, endocrine function, reduced sperm quality, increased chrom aberration, mincronuclei and SCE&#10;&#10;Greater than 30 - Sligh neurobehavioral symptoms (cognitive deficits, peripheral nueuropath), kidney dysfunction, hypothalamus-pituitary- thyroid / adrenal axes, changes in levels of reproductive hormones.&#10;&#10;Greater than 40 - Changes in thyroid hormone levels, immunosuppression&#10;&#10;Greater than 50 - Kidney lung cancer&#10;&#10;Greater than 60 - Anaemia&#10;&#10;Greater than 80 - Encephalopathy, neuropathy, nephrapathy, abdominal cramps" style="width:477.45pt;height:8in" o:ole="">
            <v:imagedata r:id="rId20" o:title="" gain="52429f" grayscale="t"/>
          </v:shape>
          <o:OLEObject Type="Embed" ProgID="Word.Document.12" ShapeID="_x0000_i1025" DrawAspect="Content" ObjectID="_1547377159" r:id="rId21">
            <o:FieldCodes>\s</o:FieldCodes>
          </o:OLEObject>
        </w:object>
      </w:r>
    </w:p>
    <w:p w:rsidR="00186120" w:rsidRPr="00263C91" w:rsidRDefault="00186120" w:rsidP="00186120">
      <w:pPr>
        <w:pStyle w:val="Caption"/>
        <w:rPr>
          <w:b w:val="0"/>
          <w:color w:val="auto"/>
        </w:rPr>
      </w:pPr>
      <w:r w:rsidRPr="00186120">
        <w:rPr>
          <w:color w:val="auto"/>
        </w:rPr>
        <w:t xml:space="preserve">Figure </w:t>
      </w:r>
      <w:r w:rsidR="00C32273" w:rsidRPr="00186120">
        <w:rPr>
          <w:color w:val="auto"/>
        </w:rPr>
        <w:fldChar w:fldCharType="begin"/>
      </w:r>
      <w:r w:rsidRPr="00186120">
        <w:rPr>
          <w:color w:val="auto"/>
        </w:rPr>
        <w:instrText xml:space="preserve"> SEQ Figure \* ARABIC </w:instrText>
      </w:r>
      <w:r w:rsidR="00C32273" w:rsidRPr="00186120">
        <w:rPr>
          <w:color w:val="auto"/>
        </w:rPr>
        <w:fldChar w:fldCharType="separate"/>
      </w:r>
      <w:r w:rsidR="00052CE1">
        <w:rPr>
          <w:noProof/>
          <w:color w:val="auto"/>
        </w:rPr>
        <w:t>3</w:t>
      </w:r>
      <w:r w:rsidR="00C32273" w:rsidRPr="00186120">
        <w:rPr>
          <w:color w:val="auto"/>
        </w:rPr>
        <w:fldChar w:fldCharType="end"/>
      </w:r>
      <w:r w:rsidRPr="00186120">
        <w:rPr>
          <w:color w:val="auto"/>
        </w:rPr>
        <w:t xml:space="preserve">. </w:t>
      </w:r>
      <w:r w:rsidRPr="00263C91">
        <w:rPr>
          <w:b w:val="0"/>
          <w:color w:val="auto"/>
        </w:rPr>
        <w:t>Blood lead response in adults from occupational epidemiology studies (SWA 2014</w:t>
      </w:r>
      <w:r w:rsidR="003A0AAE" w:rsidRPr="00263C91">
        <w:rPr>
          <w:b w:val="0"/>
          <w:color w:val="auto"/>
        </w:rPr>
        <w:t>b</w:t>
      </w:r>
      <w:r w:rsidRPr="00263C91">
        <w:rPr>
          <w:b w:val="0"/>
          <w:color w:val="auto"/>
        </w:rPr>
        <w:t>)*</w:t>
      </w:r>
    </w:p>
    <w:p w:rsidR="00DC55FC" w:rsidRPr="00186120" w:rsidRDefault="00186120" w:rsidP="00186120">
      <w:pPr>
        <w:pStyle w:val="ListBullet"/>
        <w:numPr>
          <w:ilvl w:val="0"/>
          <w:numId w:val="0"/>
        </w:numPr>
        <w:rPr>
          <w:sz w:val="20"/>
        </w:rPr>
      </w:pPr>
      <w:r w:rsidRPr="002F0C79">
        <w:rPr>
          <w:rFonts w:cstheme="minorHAnsi"/>
          <w:sz w:val="20"/>
          <w:szCs w:val="20"/>
          <w:lang w:eastAsia="en-AU"/>
        </w:rPr>
        <w:t>*</w:t>
      </w:r>
      <w:r w:rsidRPr="002F0C79">
        <w:rPr>
          <w:sz w:val="24"/>
        </w:rPr>
        <w:t xml:space="preserve"> </w:t>
      </w:r>
      <w:r w:rsidR="00722AE0" w:rsidRPr="00186120">
        <w:rPr>
          <w:sz w:val="20"/>
        </w:rPr>
        <w:t xml:space="preserve">Upward arrows indicate the lowest blood lead level at which the health effects were reported in individuals in various studies. Blood lead levels at which people exhibit symptoms vary greatly between individuals. It is possible for people with blood lead levels of 40 </w:t>
      </w:r>
      <w:r w:rsidRPr="00186120">
        <w:rPr>
          <w:rFonts w:cstheme="minorHAnsi"/>
          <w:sz w:val="20"/>
        </w:rPr>
        <w:t>μg</w:t>
      </w:r>
      <w:r>
        <w:rPr>
          <w:sz w:val="20"/>
        </w:rPr>
        <w:t>/dL</w:t>
      </w:r>
      <w:r w:rsidR="00722AE0" w:rsidRPr="00186120">
        <w:rPr>
          <w:sz w:val="20"/>
        </w:rPr>
        <w:t xml:space="preserve"> or more not to exhibit noticeable health effects.</w:t>
      </w:r>
    </w:p>
    <w:p w:rsidR="00DC55FC" w:rsidRDefault="00DC55FC" w:rsidP="00DC55FC">
      <w:pPr>
        <w:rPr>
          <w:rFonts w:eastAsia="Times New Roman"/>
          <w:szCs w:val="20"/>
          <w:lang w:eastAsia="en-AU"/>
        </w:rPr>
      </w:pPr>
      <w:r>
        <w:br w:type="page"/>
      </w:r>
    </w:p>
    <w:p w:rsidR="00722AE0" w:rsidRPr="00536A47" w:rsidRDefault="00BC0E23" w:rsidP="00722AE0">
      <w:pPr>
        <w:pStyle w:val="Paragraph1"/>
        <w:spacing w:before="120" w:after="120"/>
        <w:rPr>
          <w:rFonts w:asciiTheme="minorHAnsi" w:hAnsiTheme="minorHAnsi" w:cstheme="minorHAnsi"/>
        </w:rPr>
      </w:pPr>
      <w:r>
        <w:rPr>
          <w:rFonts w:asciiTheme="minorHAnsi" w:hAnsiTheme="minorHAnsi" w:cstheme="minorHAnsi"/>
        </w:rPr>
        <w:lastRenderedPageBreak/>
        <w:t>T</w:t>
      </w:r>
      <w:r w:rsidR="00722AE0" w:rsidRPr="00536A47">
        <w:rPr>
          <w:rFonts w:asciiTheme="minorHAnsi" w:hAnsiTheme="minorHAnsi" w:cstheme="minorHAnsi"/>
        </w:rPr>
        <w:t xml:space="preserve">he almost direct relationship of maternal blood lead and foetal blood lead </w:t>
      </w:r>
      <w:r w:rsidR="001D625B">
        <w:rPr>
          <w:rFonts w:asciiTheme="minorHAnsi" w:hAnsiTheme="minorHAnsi" w:cstheme="minorHAnsi"/>
        </w:rPr>
        <w:t xml:space="preserve">makes it </w:t>
      </w:r>
      <w:r w:rsidR="00722AE0" w:rsidRPr="00536A47">
        <w:rPr>
          <w:rFonts w:asciiTheme="minorHAnsi" w:hAnsiTheme="minorHAnsi" w:cstheme="minorHAnsi"/>
        </w:rPr>
        <w:t xml:space="preserve">critical that the blood lead levels for females of reproductive capacity be kept as low as possible, and </w:t>
      </w:r>
      <w:r w:rsidR="00DC55FC">
        <w:rPr>
          <w:rFonts w:asciiTheme="minorHAnsi" w:hAnsiTheme="minorHAnsi" w:cstheme="minorHAnsi"/>
        </w:rPr>
        <w:t>therefore the recommended</w:t>
      </w:r>
      <w:r w:rsidR="00722AE0" w:rsidRPr="00536A47">
        <w:rPr>
          <w:rFonts w:asciiTheme="minorHAnsi" w:hAnsiTheme="minorHAnsi" w:cstheme="minorHAnsi"/>
        </w:rPr>
        <w:t xml:space="preserve"> blood lead re</w:t>
      </w:r>
      <w:r w:rsidR="00DC55FC">
        <w:rPr>
          <w:rFonts w:asciiTheme="minorHAnsi" w:hAnsiTheme="minorHAnsi" w:cstheme="minorHAnsi"/>
        </w:rPr>
        <w:t>moval level be no more than 10 µ</w:t>
      </w:r>
      <w:r w:rsidR="00722AE0" w:rsidRPr="00536A47">
        <w:rPr>
          <w:rFonts w:asciiTheme="minorHAnsi" w:hAnsiTheme="minorHAnsi" w:cstheme="minorHAnsi"/>
        </w:rPr>
        <w:t>g/dL</w:t>
      </w:r>
      <w:r w:rsidR="00DC55FC">
        <w:rPr>
          <w:rFonts w:asciiTheme="minorHAnsi" w:hAnsiTheme="minorHAnsi" w:cstheme="minorHAnsi"/>
        </w:rPr>
        <w:t xml:space="preserve"> (SWA 2014</w:t>
      </w:r>
      <w:r w:rsidR="003A0AAE">
        <w:rPr>
          <w:rFonts w:asciiTheme="minorHAnsi" w:hAnsiTheme="minorHAnsi" w:cstheme="minorHAnsi"/>
        </w:rPr>
        <w:t>b</w:t>
      </w:r>
      <w:r w:rsidR="00DC55FC">
        <w:rPr>
          <w:rFonts w:asciiTheme="minorHAnsi" w:hAnsiTheme="minorHAnsi" w:cstheme="minorHAnsi"/>
        </w:rPr>
        <w:t>)</w:t>
      </w:r>
      <w:r w:rsidR="00722AE0" w:rsidRPr="00536A47">
        <w:rPr>
          <w:rFonts w:asciiTheme="minorHAnsi" w:hAnsiTheme="minorHAnsi" w:cstheme="minorHAnsi"/>
        </w:rPr>
        <w:t>.</w:t>
      </w:r>
    </w:p>
    <w:p w:rsidR="00722AE0"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 xml:space="preserve">Lead </w:t>
      </w:r>
      <w:r w:rsidR="00DC55FC">
        <w:rPr>
          <w:rFonts w:asciiTheme="minorHAnsi" w:hAnsiTheme="minorHAnsi" w:cstheme="minorHAnsi"/>
        </w:rPr>
        <w:t xml:space="preserve">is excreted </w:t>
      </w:r>
      <w:r w:rsidR="00DC55FC">
        <w:rPr>
          <w:rFonts w:asciiTheme="minorHAnsi" w:hAnsiTheme="minorHAnsi" w:cstheme="minorHAnsi"/>
          <w:i/>
        </w:rPr>
        <w:t>via</w:t>
      </w:r>
      <w:r w:rsidRPr="00536A47">
        <w:rPr>
          <w:rFonts w:asciiTheme="minorHAnsi" w:hAnsiTheme="minorHAnsi" w:cstheme="minorHAnsi"/>
        </w:rPr>
        <w:t xml:space="preserve"> breast milk at a ratio </w:t>
      </w:r>
      <w:r w:rsidR="006C465F">
        <w:rPr>
          <w:rFonts w:asciiTheme="minorHAnsi" w:hAnsiTheme="minorHAnsi" w:cstheme="minorHAnsi"/>
        </w:rPr>
        <w:t>varying</w:t>
      </w:r>
      <w:r w:rsidRPr="00536A47">
        <w:rPr>
          <w:rFonts w:asciiTheme="minorHAnsi" w:hAnsiTheme="minorHAnsi" w:cstheme="minorHAnsi"/>
        </w:rPr>
        <w:t xml:space="preserve"> between 0.01</w:t>
      </w:r>
      <w:r w:rsidR="006C465F">
        <w:rPr>
          <w:rFonts w:asciiTheme="minorHAnsi" w:hAnsiTheme="minorHAnsi" w:cstheme="minorHAnsi"/>
        </w:rPr>
        <w:t>-</w:t>
      </w:r>
      <w:r w:rsidRPr="00536A47">
        <w:rPr>
          <w:rFonts w:asciiTheme="minorHAnsi" w:hAnsiTheme="minorHAnsi" w:cstheme="minorHAnsi"/>
        </w:rPr>
        <w:t xml:space="preserve"> 0.48 times the maternal blood lead level. </w:t>
      </w:r>
      <w:r w:rsidR="00DC55FC">
        <w:rPr>
          <w:rFonts w:asciiTheme="minorHAnsi" w:hAnsiTheme="minorHAnsi" w:cstheme="minorHAnsi"/>
        </w:rPr>
        <w:t>However, it was concluded that</w:t>
      </w:r>
      <w:r w:rsidRPr="00536A47">
        <w:rPr>
          <w:rFonts w:asciiTheme="minorHAnsi" w:hAnsiTheme="minorHAnsi" w:cstheme="minorHAnsi"/>
        </w:rPr>
        <w:t xml:space="preserve"> it is not possible based on current knowledge to determine whether lead </w:t>
      </w:r>
      <w:r w:rsidR="006C465F">
        <w:rPr>
          <w:rFonts w:asciiTheme="minorHAnsi" w:hAnsiTheme="minorHAnsi" w:cstheme="minorHAnsi"/>
        </w:rPr>
        <w:t xml:space="preserve">levels </w:t>
      </w:r>
      <w:r w:rsidRPr="00536A47">
        <w:rPr>
          <w:rFonts w:asciiTheme="minorHAnsi" w:hAnsiTheme="minorHAnsi" w:cstheme="minorHAnsi"/>
        </w:rPr>
        <w:t>in breast milk poses a risk to children</w:t>
      </w:r>
      <w:r w:rsidR="00DC55FC">
        <w:rPr>
          <w:rFonts w:asciiTheme="minorHAnsi" w:hAnsiTheme="minorHAnsi" w:cstheme="minorHAnsi"/>
        </w:rPr>
        <w:t xml:space="preserve"> (SWA 2014</w:t>
      </w:r>
      <w:r w:rsidR="003A0AAE">
        <w:rPr>
          <w:rFonts w:asciiTheme="minorHAnsi" w:hAnsiTheme="minorHAnsi" w:cstheme="minorHAnsi"/>
        </w:rPr>
        <w:t>b</w:t>
      </w:r>
      <w:r w:rsidR="006C465F">
        <w:rPr>
          <w:rFonts w:asciiTheme="minorHAnsi" w:hAnsiTheme="minorHAnsi" w:cstheme="minorHAnsi"/>
        </w:rPr>
        <w:t>; US EPA 2013</w:t>
      </w:r>
      <w:r w:rsidR="00DC55FC">
        <w:rPr>
          <w:rFonts w:asciiTheme="minorHAnsi" w:hAnsiTheme="minorHAnsi" w:cstheme="minorHAnsi"/>
        </w:rPr>
        <w:t>)</w:t>
      </w:r>
      <w:r w:rsidRPr="00536A47">
        <w:rPr>
          <w:rFonts w:asciiTheme="minorHAnsi" w:hAnsiTheme="minorHAnsi" w:cstheme="minorHAnsi"/>
        </w:rPr>
        <w:t>.</w:t>
      </w:r>
      <w:r w:rsidR="00D70F9D">
        <w:rPr>
          <w:rFonts w:asciiTheme="minorHAnsi" w:hAnsiTheme="minorHAnsi" w:cstheme="minorHAnsi"/>
        </w:rPr>
        <w:t xml:space="preserve"> Due to this unknown, females who are breastfeeding </w:t>
      </w:r>
      <w:r w:rsidR="001D625B">
        <w:rPr>
          <w:rFonts w:asciiTheme="minorHAnsi" w:hAnsiTheme="minorHAnsi" w:cstheme="minorHAnsi"/>
        </w:rPr>
        <w:t xml:space="preserve">are treated the same </w:t>
      </w:r>
      <w:r w:rsidR="00BC0E23">
        <w:rPr>
          <w:rFonts w:asciiTheme="minorHAnsi" w:hAnsiTheme="minorHAnsi" w:cstheme="minorHAnsi"/>
        </w:rPr>
        <w:t>as</w:t>
      </w:r>
      <w:r w:rsidR="00D70F9D">
        <w:rPr>
          <w:rFonts w:asciiTheme="minorHAnsi" w:hAnsiTheme="minorHAnsi" w:cstheme="minorHAnsi"/>
        </w:rPr>
        <w:t xml:space="preserve"> pregnant females to protect against the developmental effects of lead.</w:t>
      </w:r>
    </w:p>
    <w:p w:rsidR="00186120" w:rsidRPr="004C4DEF" w:rsidRDefault="00186120" w:rsidP="00E77182">
      <w:pPr>
        <w:pStyle w:val="Heading3"/>
      </w:pPr>
      <w:r w:rsidRPr="004C4DEF">
        <w:t>Workplace Exposure Standard for dusts and fumes of inorganic lead</w:t>
      </w:r>
    </w:p>
    <w:p w:rsidR="00722AE0" w:rsidRPr="00536A47" w:rsidRDefault="00722AE0" w:rsidP="00722AE0">
      <w:pPr>
        <w:pStyle w:val="Paragraph1"/>
        <w:spacing w:before="120" w:after="120"/>
        <w:rPr>
          <w:rFonts w:asciiTheme="minorHAnsi" w:hAnsiTheme="minorHAnsi" w:cstheme="minorHAnsi"/>
        </w:rPr>
      </w:pPr>
      <w:r w:rsidRPr="00536A47">
        <w:rPr>
          <w:rFonts w:asciiTheme="minorHAnsi" w:hAnsiTheme="minorHAnsi" w:cstheme="minorHAnsi"/>
        </w:rPr>
        <w:t xml:space="preserve">The </w:t>
      </w:r>
      <w:r w:rsidR="00AB5EF3">
        <w:rPr>
          <w:rFonts w:asciiTheme="minorHAnsi" w:hAnsiTheme="minorHAnsi" w:cstheme="minorHAnsi"/>
        </w:rPr>
        <w:t>2014 r</w:t>
      </w:r>
      <w:r w:rsidRPr="00536A47">
        <w:rPr>
          <w:rFonts w:asciiTheme="minorHAnsi" w:hAnsiTheme="minorHAnsi" w:cstheme="minorHAnsi"/>
        </w:rPr>
        <w:t>eport drew on a range of studies to establish a relationship between airborne lead contaminant levels and blood lead levels in exposed workers (Air Slope Factor</w:t>
      </w:r>
      <w:r w:rsidR="005B33AA">
        <w:rPr>
          <w:rStyle w:val="FootnoteReference"/>
          <w:rFonts w:asciiTheme="minorHAnsi" w:hAnsiTheme="minorHAnsi" w:cstheme="minorHAnsi"/>
        </w:rPr>
        <w:footnoteReference w:id="10"/>
      </w:r>
      <w:r w:rsidRPr="00536A47">
        <w:rPr>
          <w:rFonts w:asciiTheme="minorHAnsi" w:hAnsiTheme="minorHAnsi" w:cstheme="minorHAnsi"/>
        </w:rPr>
        <w:t>).</w:t>
      </w:r>
    </w:p>
    <w:p w:rsidR="0029249B" w:rsidRDefault="00722AE0" w:rsidP="0029249B">
      <w:pPr>
        <w:pStyle w:val="Paragraph1"/>
        <w:spacing w:before="120" w:after="120"/>
        <w:rPr>
          <w:rFonts w:asciiTheme="minorHAnsi" w:hAnsiTheme="minorHAnsi" w:cstheme="minorHAnsi"/>
        </w:rPr>
      </w:pPr>
      <w:r w:rsidRPr="00536A47">
        <w:rPr>
          <w:rFonts w:asciiTheme="minorHAnsi" w:hAnsiTheme="minorHAnsi" w:cstheme="minorHAnsi"/>
        </w:rPr>
        <w:t>At the current mandated workp</w:t>
      </w:r>
      <w:r w:rsidR="00F77AD9">
        <w:rPr>
          <w:rFonts w:asciiTheme="minorHAnsi" w:hAnsiTheme="minorHAnsi" w:cstheme="minorHAnsi"/>
        </w:rPr>
        <w:t>lace exposure standard of 0.15 m</w:t>
      </w:r>
      <w:r w:rsidRPr="00536A47">
        <w:rPr>
          <w:rFonts w:asciiTheme="minorHAnsi" w:hAnsiTheme="minorHAnsi" w:cstheme="minorHAnsi"/>
        </w:rPr>
        <w:t>g/m</w:t>
      </w:r>
      <w:r w:rsidRPr="00536A47">
        <w:rPr>
          <w:rFonts w:asciiTheme="minorHAnsi" w:hAnsiTheme="minorHAnsi" w:cstheme="minorHAnsi"/>
          <w:vertAlign w:val="superscript"/>
        </w:rPr>
        <w:t>3</w:t>
      </w:r>
      <w:r w:rsidRPr="00536A47">
        <w:rPr>
          <w:rFonts w:asciiTheme="minorHAnsi" w:hAnsiTheme="minorHAnsi" w:cstheme="minorHAnsi"/>
        </w:rPr>
        <w:t xml:space="preserve">, </w:t>
      </w:r>
      <w:r w:rsidR="00D70F9D">
        <w:rPr>
          <w:rFonts w:asciiTheme="minorHAnsi" w:hAnsiTheme="minorHAnsi" w:cstheme="minorHAnsi"/>
        </w:rPr>
        <w:t>it was</w:t>
      </w:r>
      <w:r w:rsidRPr="00536A47">
        <w:rPr>
          <w:rFonts w:asciiTheme="minorHAnsi" w:hAnsiTheme="minorHAnsi" w:cstheme="minorHAnsi"/>
        </w:rPr>
        <w:t xml:space="preserve"> estimated the average blood lead level a worker population would experience is likely to be 30 μg/dL, with an upper limit of </w:t>
      </w:r>
      <m:oMath>
        <m:r>
          <w:rPr>
            <w:rFonts w:ascii="Cambria Math" w:hAnsi="Cambria Math" w:cstheme="minorHAnsi"/>
          </w:rPr>
          <m:t>~</m:t>
        </m:r>
      </m:oMath>
      <w:r w:rsidRPr="00536A47">
        <w:rPr>
          <w:rFonts w:asciiTheme="minorHAnsi" w:hAnsiTheme="minorHAnsi" w:cstheme="minorHAnsi"/>
        </w:rPr>
        <w:t xml:space="preserve"> 60 μg/dL.</w:t>
      </w:r>
      <w:r w:rsidR="0029249B">
        <w:rPr>
          <w:rFonts w:asciiTheme="minorHAnsi" w:hAnsiTheme="minorHAnsi" w:cstheme="minorHAnsi"/>
        </w:rPr>
        <w:t xml:space="preserve"> Based on the air slope factor modelling</w:t>
      </w:r>
      <w:r w:rsidR="00AD3713">
        <w:rPr>
          <w:rFonts w:asciiTheme="minorHAnsi" w:hAnsiTheme="minorHAnsi" w:cstheme="minorHAnsi"/>
        </w:rPr>
        <w:t>, where inhalation is the primary exposure route,</w:t>
      </w:r>
      <w:r w:rsidR="0029249B">
        <w:rPr>
          <w:rFonts w:asciiTheme="minorHAnsi" w:hAnsiTheme="minorHAnsi" w:cstheme="minorHAnsi"/>
        </w:rPr>
        <w:t xml:space="preserve"> a level of 0.05 </w:t>
      </w:r>
      <w:r w:rsidR="0029249B" w:rsidRPr="00AB5EF3">
        <w:rPr>
          <w:rFonts w:asciiTheme="minorHAnsi" w:hAnsiTheme="minorHAnsi" w:cstheme="minorHAnsi"/>
        </w:rPr>
        <w:t>mg/m</w:t>
      </w:r>
      <w:r w:rsidR="0029249B" w:rsidRPr="00AB5EF3">
        <w:rPr>
          <w:rFonts w:asciiTheme="minorHAnsi" w:hAnsiTheme="minorHAnsi" w:cstheme="minorHAnsi"/>
          <w:vertAlign w:val="superscript"/>
        </w:rPr>
        <w:t>3</w:t>
      </w:r>
      <w:r w:rsidR="0029249B">
        <w:rPr>
          <w:rFonts w:asciiTheme="minorHAnsi" w:hAnsiTheme="minorHAnsi" w:cstheme="minorHAnsi"/>
        </w:rPr>
        <w:t xml:space="preserve"> will correlate to a blood lead level of l</w:t>
      </w:r>
      <w:r w:rsidR="00AD3713">
        <w:rPr>
          <w:rFonts w:asciiTheme="minorHAnsi" w:hAnsiTheme="minorHAnsi" w:cstheme="minorHAnsi"/>
        </w:rPr>
        <w:t>ess than 30</w:t>
      </w:r>
      <w:r w:rsidR="00684513">
        <w:rPr>
          <w:rFonts w:asciiTheme="minorHAnsi" w:hAnsiTheme="minorHAnsi" w:cstheme="minorHAnsi"/>
        </w:rPr>
        <w:t> </w:t>
      </w:r>
      <w:r w:rsidR="00AD3713">
        <w:rPr>
          <w:rFonts w:asciiTheme="minorHAnsi" w:hAnsiTheme="minorHAnsi" w:cstheme="minorHAnsi"/>
        </w:rPr>
        <w:t>μg/dL in most cases.</w:t>
      </w:r>
    </w:p>
    <w:p w:rsidR="00722AE0" w:rsidRDefault="00186120" w:rsidP="00722AE0">
      <w:pPr>
        <w:pStyle w:val="Paragraph1"/>
        <w:spacing w:before="120" w:after="120"/>
        <w:rPr>
          <w:rFonts w:asciiTheme="minorHAnsi" w:hAnsiTheme="minorHAnsi" w:cstheme="minorHAnsi"/>
        </w:rPr>
      </w:pPr>
      <w:r>
        <w:rPr>
          <w:rFonts w:asciiTheme="minorHAnsi" w:hAnsiTheme="minorHAnsi" w:cstheme="minorHAnsi"/>
        </w:rPr>
        <w:t>Based on the results of these calculations t</w:t>
      </w:r>
      <w:r w:rsidR="00722AE0" w:rsidRPr="00536A47">
        <w:rPr>
          <w:rFonts w:asciiTheme="minorHAnsi" w:hAnsiTheme="minorHAnsi" w:cstheme="minorHAnsi"/>
        </w:rPr>
        <w:t xml:space="preserve">he </w:t>
      </w:r>
      <w:r w:rsidR="00AB5EF3">
        <w:rPr>
          <w:rFonts w:asciiTheme="minorHAnsi" w:hAnsiTheme="minorHAnsi" w:cstheme="minorHAnsi"/>
        </w:rPr>
        <w:t>report recommended</w:t>
      </w:r>
      <w:r w:rsidR="00722AE0" w:rsidRPr="00536A47">
        <w:rPr>
          <w:rFonts w:asciiTheme="minorHAnsi" w:hAnsiTheme="minorHAnsi" w:cstheme="minorHAnsi"/>
        </w:rPr>
        <w:t xml:space="preserve"> a revised workplace exposure standard for </w:t>
      </w:r>
      <w:r w:rsidR="00AB5EF3">
        <w:rPr>
          <w:rFonts w:asciiTheme="minorHAnsi" w:hAnsiTheme="minorHAnsi" w:cstheme="minorHAnsi"/>
        </w:rPr>
        <w:t xml:space="preserve">dusts and fumes of inorganic </w:t>
      </w:r>
      <w:r w:rsidR="00F77AD9">
        <w:rPr>
          <w:rFonts w:asciiTheme="minorHAnsi" w:hAnsiTheme="minorHAnsi" w:cstheme="minorHAnsi"/>
        </w:rPr>
        <w:t>lead of 0.05 m</w:t>
      </w:r>
      <w:r w:rsidR="00722AE0" w:rsidRPr="00536A47">
        <w:rPr>
          <w:rFonts w:asciiTheme="minorHAnsi" w:hAnsiTheme="minorHAnsi" w:cstheme="minorHAnsi"/>
        </w:rPr>
        <w:t>g/m</w:t>
      </w:r>
      <w:r w:rsidR="00722AE0" w:rsidRPr="00536A47">
        <w:rPr>
          <w:rFonts w:asciiTheme="minorHAnsi" w:hAnsiTheme="minorHAnsi" w:cstheme="minorHAnsi"/>
          <w:vertAlign w:val="superscript"/>
        </w:rPr>
        <w:t>3</w:t>
      </w:r>
      <w:r w:rsidR="00AB5EF3">
        <w:rPr>
          <w:rFonts w:asciiTheme="minorHAnsi" w:hAnsiTheme="minorHAnsi" w:cstheme="minorHAnsi"/>
        </w:rPr>
        <w:t>;</w:t>
      </w:r>
      <w:r w:rsidR="00722AE0" w:rsidRPr="00536A47">
        <w:rPr>
          <w:rFonts w:asciiTheme="minorHAnsi" w:hAnsiTheme="minorHAnsi" w:cstheme="minorHAnsi"/>
        </w:rPr>
        <w:t xml:space="preserve"> a third of the current Australian workplace exposure standard and consistent with the level recommended by </w:t>
      </w:r>
      <w:r>
        <w:rPr>
          <w:rFonts w:asciiTheme="minorHAnsi" w:hAnsiTheme="minorHAnsi" w:cstheme="minorHAnsi"/>
        </w:rPr>
        <w:t>recently revised international agencies</w:t>
      </w:r>
      <w:r w:rsidR="00722AE0" w:rsidRPr="00536A47">
        <w:rPr>
          <w:rFonts w:asciiTheme="minorHAnsi" w:hAnsiTheme="minorHAnsi" w:cstheme="minorHAnsi"/>
        </w:rPr>
        <w:t>.</w:t>
      </w:r>
      <w:r w:rsidR="00AB5EF3">
        <w:rPr>
          <w:rFonts w:asciiTheme="minorHAnsi" w:hAnsiTheme="minorHAnsi" w:cstheme="minorHAnsi"/>
        </w:rPr>
        <w:t xml:space="preserve"> </w:t>
      </w:r>
    </w:p>
    <w:p w:rsidR="00442D9D" w:rsidRPr="00313AAD" w:rsidRDefault="00442D9D" w:rsidP="00263482">
      <w:pPr>
        <w:pStyle w:val="Heading2"/>
        <w:ind w:left="426"/>
      </w:pPr>
      <w:bookmarkStart w:id="66" w:name="_Toc459276902"/>
      <w:r w:rsidRPr="00313AAD">
        <w:t>Evidence of adverse health effects</w:t>
      </w:r>
      <w:r w:rsidR="00E84541" w:rsidRPr="00313AAD">
        <w:t xml:space="preserve"> from exposure to lead at the workplace</w:t>
      </w:r>
      <w:bookmarkEnd w:id="66"/>
    </w:p>
    <w:p w:rsidR="00442D9D" w:rsidRDefault="00442D9D" w:rsidP="00442D9D">
      <w:r>
        <w:t xml:space="preserve">In addition to the updated toxicological hazard profile of lead, Workers’ Compensation data provides evidence of adverse health effects being </w:t>
      </w:r>
      <w:r w:rsidR="00022105">
        <w:t>suffered</w:t>
      </w:r>
      <w:r>
        <w:t xml:space="preserve"> by workers.</w:t>
      </w:r>
    </w:p>
    <w:p w:rsidR="00684513" w:rsidRPr="00684513" w:rsidRDefault="00684513" w:rsidP="00684513">
      <w:r w:rsidRPr="00684513">
        <w:t xml:space="preserve">The workers compensation data clearly shows that exposure to lead at current regulatory limits is resulting in compensable illness. </w:t>
      </w:r>
    </w:p>
    <w:p w:rsidR="00442D9D" w:rsidRDefault="00442D9D" w:rsidP="00442D9D">
      <w:r>
        <w:t xml:space="preserve">Between 2001 and 2014, there were 115 accepted workers compensation </w:t>
      </w:r>
      <w:r w:rsidR="00112F1A">
        <w:t xml:space="preserve">injury </w:t>
      </w:r>
      <w:r>
        <w:t>claims attributed to lead and lead compounds.</w:t>
      </w:r>
      <w:r w:rsidR="0029249B">
        <w:t xml:space="preserve"> Accepted claims over this period totalled $2.57 million dollars with an average 19.3 weeks duration of absence per annum.</w:t>
      </w:r>
      <w:r w:rsidR="0048664C">
        <w:t xml:space="preserve"> An outline of claims and related industries is included in </w:t>
      </w:r>
      <w:r w:rsidR="0048664C">
        <w:fldChar w:fldCharType="begin"/>
      </w:r>
      <w:r w:rsidR="0048664C">
        <w:instrText xml:space="preserve"> REF _Ref456770726 \h </w:instrText>
      </w:r>
      <w:r w:rsidR="0048664C">
        <w:fldChar w:fldCharType="separate"/>
      </w:r>
      <w:r w:rsidR="00052CE1">
        <w:t xml:space="preserve">Table </w:t>
      </w:r>
      <w:r w:rsidR="00052CE1">
        <w:rPr>
          <w:noProof/>
        </w:rPr>
        <w:t>3</w:t>
      </w:r>
      <w:r w:rsidR="0048664C">
        <w:fldChar w:fldCharType="end"/>
      </w:r>
      <w:r w:rsidR="0048664C">
        <w:t xml:space="preserve"> below.</w:t>
      </w:r>
      <w:r w:rsidR="00C53753">
        <w:t xml:space="preserve"> This information was also used to estimate the benefits that would be associated with reducing the number of workers compensation claims, set out in </w:t>
      </w:r>
      <w:r w:rsidR="00C00401">
        <w:t>the cost-benefit analysis (c</w:t>
      </w:r>
      <w:r w:rsidR="00C53753">
        <w:t>hapter 7</w:t>
      </w:r>
      <w:r w:rsidR="00C00401">
        <w:t>)</w:t>
      </w:r>
      <w:r w:rsidR="00C53753">
        <w:t>.</w:t>
      </w:r>
    </w:p>
    <w:p w:rsidR="0029249B" w:rsidRPr="0029249B" w:rsidRDefault="0029249B" w:rsidP="0029249B">
      <w:pPr>
        <w:spacing w:after="0"/>
        <w:rPr>
          <w:sz w:val="12"/>
        </w:rPr>
      </w:pPr>
    </w:p>
    <w:p w:rsidR="00022105" w:rsidRDefault="00022105" w:rsidP="00022105">
      <w:pPr>
        <w:pStyle w:val="TableTitle"/>
      </w:pPr>
      <w:bookmarkStart w:id="67" w:name="_Ref456770726"/>
      <w:r>
        <w:t xml:space="preserve">Table </w:t>
      </w:r>
      <w:r w:rsidR="00C32273">
        <w:fldChar w:fldCharType="begin"/>
      </w:r>
      <w:r w:rsidR="00C834BC">
        <w:instrText xml:space="preserve"> SEQ Table \* ARABIC </w:instrText>
      </w:r>
      <w:r w:rsidR="00C32273">
        <w:fldChar w:fldCharType="separate"/>
      </w:r>
      <w:r w:rsidR="00052CE1">
        <w:rPr>
          <w:noProof/>
        </w:rPr>
        <w:t>3</w:t>
      </w:r>
      <w:r w:rsidR="00C32273">
        <w:rPr>
          <w:noProof/>
        </w:rPr>
        <w:fldChar w:fldCharType="end"/>
      </w:r>
      <w:bookmarkEnd w:id="67"/>
      <w:r>
        <w:t xml:space="preserve">. </w:t>
      </w:r>
      <w:r w:rsidRPr="00263C91">
        <w:rPr>
          <w:b w:val="0"/>
        </w:rPr>
        <w:t xml:space="preserve">Accepted </w:t>
      </w:r>
      <w:r w:rsidR="0029249B" w:rsidRPr="00263C91">
        <w:rPr>
          <w:b w:val="0"/>
        </w:rPr>
        <w:t>W</w:t>
      </w:r>
      <w:r w:rsidRPr="00263C91">
        <w:rPr>
          <w:b w:val="0"/>
        </w:rPr>
        <w:t>orker</w:t>
      </w:r>
      <w:r w:rsidR="0029249B" w:rsidRPr="00263C91">
        <w:rPr>
          <w:b w:val="0"/>
        </w:rPr>
        <w:t>s’</w:t>
      </w:r>
      <w:r w:rsidRPr="00263C91">
        <w:rPr>
          <w:b w:val="0"/>
        </w:rPr>
        <w:t xml:space="preserve"> </w:t>
      </w:r>
      <w:r w:rsidR="0029249B" w:rsidRPr="00263C91">
        <w:rPr>
          <w:b w:val="0"/>
        </w:rPr>
        <w:t>C</w:t>
      </w:r>
      <w:r w:rsidRPr="00263C91">
        <w:rPr>
          <w:b w:val="0"/>
        </w:rPr>
        <w:t xml:space="preserve">ompensation claims by year and industry/employer </w:t>
      </w:r>
      <w:r w:rsidR="0029249B" w:rsidRPr="00263C91">
        <w:rPr>
          <w:b w:val="0"/>
        </w:rPr>
        <w:t xml:space="preserve">for the period of </w:t>
      </w:r>
      <w:r w:rsidRPr="00263C91">
        <w:rPr>
          <w:b w:val="0"/>
        </w:rPr>
        <w:t>2000-2014</w:t>
      </w:r>
    </w:p>
    <w:tbl>
      <w:tblPr>
        <w:tblStyle w:val="TableGrid"/>
        <w:tblW w:w="0" w:type="auto"/>
        <w:tblLook w:val="04A0" w:firstRow="1" w:lastRow="0" w:firstColumn="1" w:lastColumn="0" w:noHBand="0" w:noVBand="1"/>
        <w:tblCaption w:val="Table 3"/>
        <w:tblDescription w:val="Table 3. Accepted Workers’ Compensation claims by year and industry/employer for the period of 2000-2014."/>
      </w:tblPr>
      <w:tblGrid>
        <w:gridCol w:w="2093"/>
        <w:gridCol w:w="2410"/>
        <w:gridCol w:w="5121"/>
      </w:tblGrid>
      <w:tr w:rsidR="00442D9D" w:rsidRPr="00022105" w:rsidTr="00E5414F">
        <w:trPr>
          <w:tblHeader/>
        </w:trPr>
        <w:tc>
          <w:tcPr>
            <w:tcW w:w="2093" w:type="dxa"/>
            <w:shd w:val="clear" w:color="auto" w:fill="BFBFBF" w:themeFill="background1" w:themeFillShade="BF"/>
          </w:tcPr>
          <w:p w:rsidR="00442D9D" w:rsidRPr="00022105" w:rsidRDefault="00442D9D" w:rsidP="00442D9D">
            <w:pPr>
              <w:jc w:val="center"/>
              <w:rPr>
                <w:b/>
                <w:sz w:val="20"/>
                <w:szCs w:val="20"/>
              </w:rPr>
            </w:pPr>
            <w:r w:rsidRPr="00022105">
              <w:rPr>
                <w:b/>
                <w:sz w:val="20"/>
                <w:szCs w:val="20"/>
              </w:rPr>
              <w:t>Period (year)</w:t>
            </w:r>
          </w:p>
        </w:tc>
        <w:tc>
          <w:tcPr>
            <w:tcW w:w="2410" w:type="dxa"/>
            <w:shd w:val="clear" w:color="auto" w:fill="BFBFBF" w:themeFill="background1" w:themeFillShade="BF"/>
          </w:tcPr>
          <w:p w:rsidR="00442D9D" w:rsidRPr="00022105" w:rsidRDefault="00442D9D" w:rsidP="00442D9D">
            <w:pPr>
              <w:jc w:val="center"/>
              <w:rPr>
                <w:b/>
                <w:sz w:val="20"/>
                <w:szCs w:val="20"/>
              </w:rPr>
            </w:pPr>
            <w:r w:rsidRPr="00022105">
              <w:rPr>
                <w:b/>
                <w:sz w:val="20"/>
                <w:szCs w:val="20"/>
              </w:rPr>
              <w:t>Number of claims</w:t>
            </w:r>
          </w:p>
        </w:tc>
        <w:tc>
          <w:tcPr>
            <w:tcW w:w="5121" w:type="dxa"/>
            <w:shd w:val="clear" w:color="auto" w:fill="BFBFBF" w:themeFill="background1" w:themeFillShade="BF"/>
          </w:tcPr>
          <w:p w:rsidR="00442D9D" w:rsidRPr="00022105" w:rsidRDefault="00442D9D" w:rsidP="00442D9D">
            <w:pPr>
              <w:jc w:val="center"/>
              <w:rPr>
                <w:b/>
                <w:sz w:val="20"/>
                <w:szCs w:val="20"/>
              </w:rPr>
            </w:pPr>
            <w:r w:rsidRPr="00022105">
              <w:rPr>
                <w:b/>
                <w:sz w:val="20"/>
                <w:szCs w:val="20"/>
              </w:rPr>
              <w:t>Industry of employer</w:t>
            </w:r>
            <w:r w:rsidR="005E5218" w:rsidRPr="00022105">
              <w:rPr>
                <w:b/>
                <w:sz w:val="20"/>
                <w:szCs w:val="20"/>
              </w:rPr>
              <w:t>*</w:t>
            </w:r>
            <w:r w:rsidR="00E5414F" w:rsidRPr="00022105">
              <w:rPr>
                <w:b/>
                <w:sz w:val="20"/>
                <w:szCs w:val="20"/>
              </w:rPr>
              <w:t xml:space="preserve"> (highest number reported)</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2000-2001</w:t>
            </w:r>
          </w:p>
        </w:tc>
        <w:tc>
          <w:tcPr>
            <w:tcW w:w="2410" w:type="dxa"/>
            <w:vAlign w:val="center"/>
          </w:tcPr>
          <w:p w:rsidR="00442D9D" w:rsidRPr="00022105" w:rsidRDefault="00442D9D" w:rsidP="00442D9D">
            <w:pPr>
              <w:jc w:val="center"/>
              <w:rPr>
                <w:sz w:val="20"/>
                <w:szCs w:val="20"/>
              </w:rPr>
            </w:pPr>
            <w:r w:rsidRPr="00022105">
              <w:rPr>
                <w:sz w:val="20"/>
                <w:szCs w:val="20"/>
              </w:rPr>
              <w:t>20</w:t>
            </w:r>
          </w:p>
        </w:tc>
        <w:tc>
          <w:tcPr>
            <w:tcW w:w="5121" w:type="dxa"/>
          </w:tcPr>
          <w:p w:rsidR="00DE689B" w:rsidRPr="00022105" w:rsidRDefault="00442D9D" w:rsidP="00DE689B">
            <w:pPr>
              <w:rPr>
                <w:sz w:val="20"/>
                <w:szCs w:val="20"/>
              </w:rPr>
            </w:pPr>
            <w:r w:rsidRPr="00022105">
              <w:rPr>
                <w:sz w:val="20"/>
                <w:szCs w:val="20"/>
              </w:rPr>
              <w:t>Manufacturing</w:t>
            </w:r>
            <w:r w:rsidR="00DE689B" w:rsidRPr="00022105">
              <w:rPr>
                <w:sz w:val="20"/>
                <w:szCs w:val="20"/>
              </w:rPr>
              <w:t xml:space="preserve"> (10)</w:t>
            </w:r>
          </w:p>
          <w:p w:rsidR="00DE689B" w:rsidRPr="00022105" w:rsidRDefault="00DE689B" w:rsidP="00DE689B">
            <w:pPr>
              <w:rPr>
                <w:sz w:val="20"/>
                <w:szCs w:val="20"/>
              </w:rPr>
            </w:pPr>
            <w:r w:rsidRPr="00022105">
              <w:rPr>
                <w:sz w:val="20"/>
                <w:szCs w:val="20"/>
              </w:rPr>
              <w:t>C</w:t>
            </w:r>
            <w:r w:rsidR="00442D9D" w:rsidRPr="00022105">
              <w:rPr>
                <w:sz w:val="20"/>
                <w:szCs w:val="20"/>
              </w:rPr>
              <w:t>onstruction</w:t>
            </w:r>
          </w:p>
          <w:p w:rsidR="00DE689B" w:rsidRPr="00022105" w:rsidRDefault="00DE689B" w:rsidP="00DE689B">
            <w:pPr>
              <w:rPr>
                <w:sz w:val="20"/>
                <w:szCs w:val="20"/>
              </w:rPr>
            </w:pPr>
            <w:r w:rsidRPr="00022105">
              <w:rPr>
                <w:sz w:val="20"/>
                <w:szCs w:val="20"/>
              </w:rPr>
              <w:t>R</w:t>
            </w:r>
            <w:r w:rsidR="00442D9D" w:rsidRPr="00022105">
              <w:rPr>
                <w:sz w:val="20"/>
                <w:szCs w:val="20"/>
              </w:rPr>
              <w:t>etail</w:t>
            </w:r>
            <w:r w:rsidRPr="00022105">
              <w:rPr>
                <w:sz w:val="20"/>
                <w:szCs w:val="20"/>
              </w:rPr>
              <w:t xml:space="preserve"> trade</w:t>
            </w:r>
          </w:p>
          <w:p w:rsidR="00DE689B" w:rsidRPr="00022105" w:rsidRDefault="00DE689B" w:rsidP="00DE689B">
            <w:pPr>
              <w:rPr>
                <w:sz w:val="20"/>
                <w:szCs w:val="20"/>
              </w:rPr>
            </w:pPr>
            <w:r w:rsidRPr="00022105">
              <w:rPr>
                <w:sz w:val="20"/>
                <w:szCs w:val="20"/>
              </w:rPr>
              <w:t>T</w:t>
            </w:r>
            <w:r w:rsidR="00442D9D" w:rsidRPr="00022105">
              <w:rPr>
                <w:sz w:val="20"/>
                <w:szCs w:val="20"/>
              </w:rPr>
              <w:t>ransport</w:t>
            </w:r>
            <w:r w:rsidRPr="00022105">
              <w:rPr>
                <w:sz w:val="20"/>
                <w:szCs w:val="20"/>
              </w:rPr>
              <w:t>, postal and warehousing</w:t>
            </w:r>
          </w:p>
          <w:p w:rsidR="00DE689B" w:rsidRPr="00022105" w:rsidRDefault="00DE689B" w:rsidP="00DE689B">
            <w:pPr>
              <w:rPr>
                <w:sz w:val="20"/>
                <w:szCs w:val="20"/>
              </w:rPr>
            </w:pPr>
            <w:r w:rsidRPr="00022105">
              <w:rPr>
                <w:sz w:val="20"/>
                <w:szCs w:val="20"/>
              </w:rPr>
              <w:t>P</w:t>
            </w:r>
            <w:r w:rsidR="00442D9D" w:rsidRPr="00022105">
              <w:rPr>
                <w:sz w:val="20"/>
                <w:szCs w:val="20"/>
              </w:rPr>
              <w:t>rofessional, sci</w:t>
            </w:r>
            <w:r w:rsidRPr="00022105">
              <w:rPr>
                <w:sz w:val="20"/>
                <w:szCs w:val="20"/>
              </w:rPr>
              <w:t>entific and technical services</w:t>
            </w:r>
          </w:p>
          <w:p w:rsidR="00DE689B" w:rsidRPr="00022105" w:rsidRDefault="00DE689B" w:rsidP="00DE689B">
            <w:pPr>
              <w:rPr>
                <w:sz w:val="20"/>
                <w:szCs w:val="20"/>
              </w:rPr>
            </w:pPr>
            <w:r w:rsidRPr="00022105">
              <w:rPr>
                <w:sz w:val="20"/>
                <w:szCs w:val="20"/>
              </w:rPr>
              <w:t>A</w:t>
            </w:r>
            <w:r w:rsidR="00442D9D" w:rsidRPr="00022105">
              <w:rPr>
                <w:sz w:val="20"/>
                <w:szCs w:val="20"/>
              </w:rPr>
              <w:t>dministrative and support services</w:t>
            </w:r>
          </w:p>
          <w:p w:rsidR="00442D9D" w:rsidRPr="00022105" w:rsidRDefault="00DE689B" w:rsidP="00DE689B">
            <w:pPr>
              <w:rPr>
                <w:sz w:val="20"/>
                <w:szCs w:val="20"/>
              </w:rPr>
            </w:pPr>
            <w:r w:rsidRPr="00022105">
              <w:rPr>
                <w:sz w:val="20"/>
                <w:szCs w:val="20"/>
              </w:rPr>
              <w:t>O</w:t>
            </w:r>
            <w:r w:rsidR="00442D9D" w:rsidRPr="00022105">
              <w:rPr>
                <w:sz w:val="20"/>
                <w:szCs w:val="20"/>
              </w:rPr>
              <w:t>ther services</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2001-2002</w:t>
            </w:r>
          </w:p>
        </w:tc>
        <w:tc>
          <w:tcPr>
            <w:tcW w:w="2410" w:type="dxa"/>
            <w:vAlign w:val="center"/>
          </w:tcPr>
          <w:p w:rsidR="00442D9D" w:rsidRPr="00022105" w:rsidRDefault="00442D9D" w:rsidP="00442D9D">
            <w:pPr>
              <w:jc w:val="center"/>
              <w:rPr>
                <w:sz w:val="20"/>
                <w:szCs w:val="20"/>
              </w:rPr>
            </w:pPr>
            <w:r w:rsidRPr="00022105">
              <w:rPr>
                <w:sz w:val="20"/>
                <w:szCs w:val="20"/>
              </w:rPr>
              <w:t>20</w:t>
            </w:r>
          </w:p>
        </w:tc>
        <w:tc>
          <w:tcPr>
            <w:tcW w:w="5121" w:type="dxa"/>
          </w:tcPr>
          <w:p w:rsidR="00442D9D" w:rsidRPr="00022105" w:rsidRDefault="00DE689B" w:rsidP="00442D9D">
            <w:pPr>
              <w:rPr>
                <w:sz w:val="20"/>
                <w:szCs w:val="20"/>
              </w:rPr>
            </w:pPr>
            <w:r w:rsidRPr="00022105">
              <w:rPr>
                <w:sz w:val="20"/>
                <w:szCs w:val="20"/>
              </w:rPr>
              <w:t>Manufacturing (5)</w:t>
            </w:r>
          </w:p>
          <w:p w:rsidR="00DE689B" w:rsidRPr="00022105" w:rsidRDefault="00DE689B" w:rsidP="00442D9D">
            <w:pPr>
              <w:rPr>
                <w:sz w:val="20"/>
                <w:szCs w:val="20"/>
              </w:rPr>
            </w:pPr>
            <w:r w:rsidRPr="00022105">
              <w:rPr>
                <w:sz w:val="20"/>
                <w:szCs w:val="20"/>
              </w:rPr>
              <w:t>Construction</w:t>
            </w:r>
          </w:p>
          <w:p w:rsidR="00DE689B" w:rsidRPr="00022105" w:rsidRDefault="00DE689B" w:rsidP="00442D9D">
            <w:pPr>
              <w:rPr>
                <w:sz w:val="20"/>
                <w:szCs w:val="20"/>
              </w:rPr>
            </w:pPr>
            <w:r w:rsidRPr="00022105">
              <w:rPr>
                <w:sz w:val="20"/>
                <w:szCs w:val="20"/>
              </w:rPr>
              <w:t>Wholesale trade</w:t>
            </w:r>
          </w:p>
          <w:p w:rsidR="00DE689B" w:rsidRPr="00022105" w:rsidRDefault="00DE689B" w:rsidP="00442D9D">
            <w:pPr>
              <w:rPr>
                <w:sz w:val="20"/>
                <w:szCs w:val="20"/>
              </w:rPr>
            </w:pPr>
            <w:r w:rsidRPr="00022105">
              <w:rPr>
                <w:sz w:val="20"/>
                <w:szCs w:val="20"/>
              </w:rPr>
              <w:t>Administrative and support services</w:t>
            </w:r>
          </w:p>
          <w:p w:rsidR="00DE689B" w:rsidRPr="00022105" w:rsidRDefault="00DE689B" w:rsidP="00442D9D">
            <w:pPr>
              <w:rPr>
                <w:sz w:val="20"/>
                <w:szCs w:val="20"/>
              </w:rPr>
            </w:pPr>
            <w:r w:rsidRPr="00022105">
              <w:rPr>
                <w:sz w:val="20"/>
                <w:szCs w:val="20"/>
              </w:rPr>
              <w:t>Public administration and safety</w:t>
            </w:r>
          </w:p>
          <w:p w:rsidR="00DE689B" w:rsidRPr="00022105" w:rsidRDefault="00DE689B" w:rsidP="00442D9D">
            <w:pPr>
              <w:rPr>
                <w:sz w:val="20"/>
                <w:szCs w:val="20"/>
              </w:rPr>
            </w:pPr>
            <w:r w:rsidRPr="00022105">
              <w:rPr>
                <w:sz w:val="20"/>
                <w:szCs w:val="20"/>
              </w:rPr>
              <w:t>Education and training</w:t>
            </w:r>
          </w:p>
          <w:p w:rsidR="00DE689B" w:rsidRPr="00022105" w:rsidRDefault="00DE689B" w:rsidP="00442D9D">
            <w:pPr>
              <w:rPr>
                <w:sz w:val="20"/>
                <w:szCs w:val="20"/>
              </w:rPr>
            </w:pPr>
            <w:r w:rsidRPr="00022105">
              <w:rPr>
                <w:sz w:val="20"/>
                <w:szCs w:val="20"/>
              </w:rPr>
              <w:t>Health care and social assistance</w:t>
            </w:r>
          </w:p>
          <w:p w:rsidR="00DE689B" w:rsidRPr="00022105" w:rsidRDefault="00DE689B" w:rsidP="00442D9D">
            <w:pPr>
              <w:rPr>
                <w:sz w:val="20"/>
                <w:szCs w:val="20"/>
              </w:rPr>
            </w:pPr>
            <w:r w:rsidRPr="00022105">
              <w:rPr>
                <w:sz w:val="20"/>
                <w:szCs w:val="20"/>
              </w:rPr>
              <w:t>Other services</w:t>
            </w:r>
          </w:p>
        </w:tc>
      </w:tr>
      <w:tr w:rsidR="00442D9D" w:rsidRPr="00022105" w:rsidTr="00E5414F">
        <w:tc>
          <w:tcPr>
            <w:tcW w:w="2093" w:type="dxa"/>
            <w:vAlign w:val="center"/>
          </w:tcPr>
          <w:p w:rsidR="00442D9D" w:rsidRPr="00022105" w:rsidRDefault="00442D9D" w:rsidP="00CA6774">
            <w:pPr>
              <w:keepNext/>
              <w:ind w:right="91"/>
              <w:jc w:val="center"/>
              <w:rPr>
                <w:sz w:val="20"/>
                <w:szCs w:val="20"/>
              </w:rPr>
            </w:pPr>
            <w:r w:rsidRPr="00022105">
              <w:rPr>
                <w:sz w:val="20"/>
                <w:szCs w:val="20"/>
              </w:rPr>
              <w:lastRenderedPageBreak/>
              <w:t>2002-2003</w:t>
            </w:r>
          </w:p>
        </w:tc>
        <w:tc>
          <w:tcPr>
            <w:tcW w:w="2410" w:type="dxa"/>
            <w:vAlign w:val="center"/>
          </w:tcPr>
          <w:p w:rsidR="00442D9D" w:rsidRPr="00022105" w:rsidRDefault="00442D9D" w:rsidP="00CA6774">
            <w:pPr>
              <w:keepNext/>
              <w:jc w:val="center"/>
              <w:rPr>
                <w:sz w:val="20"/>
                <w:szCs w:val="20"/>
              </w:rPr>
            </w:pPr>
            <w:r w:rsidRPr="00022105">
              <w:rPr>
                <w:sz w:val="20"/>
                <w:szCs w:val="20"/>
              </w:rPr>
              <w:t>10</w:t>
            </w:r>
          </w:p>
        </w:tc>
        <w:tc>
          <w:tcPr>
            <w:tcW w:w="5121" w:type="dxa"/>
          </w:tcPr>
          <w:p w:rsidR="00442D9D" w:rsidRPr="00022105" w:rsidRDefault="00DE689B" w:rsidP="00CA6774">
            <w:pPr>
              <w:keepNext/>
              <w:rPr>
                <w:sz w:val="20"/>
                <w:szCs w:val="20"/>
              </w:rPr>
            </w:pPr>
            <w:r w:rsidRPr="00022105">
              <w:rPr>
                <w:sz w:val="20"/>
                <w:szCs w:val="20"/>
              </w:rPr>
              <w:t>Manufacturing (5)</w:t>
            </w:r>
          </w:p>
          <w:p w:rsidR="00DE689B" w:rsidRPr="00022105" w:rsidRDefault="00DE689B" w:rsidP="00CA6774">
            <w:pPr>
              <w:keepNext/>
              <w:rPr>
                <w:sz w:val="20"/>
                <w:szCs w:val="20"/>
              </w:rPr>
            </w:pPr>
            <w:r w:rsidRPr="00022105">
              <w:rPr>
                <w:sz w:val="20"/>
                <w:szCs w:val="20"/>
              </w:rPr>
              <w:t>Construction</w:t>
            </w:r>
          </w:p>
          <w:p w:rsidR="00DE689B" w:rsidRPr="00022105" w:rsidRDefault="00DE689B" w:rsidP="00CA6774">
            <w:pPr>
              <w:keepNext/>
              <w:rPr>
                <w:sz w:val="20"/>
                <w:szCs w:val="20"/>
              </w:rPr>
            </w:pPr>
            <w:r w:rsidRPr="00022105">
              <w:rPr>
                <w:sz w:val="20"/>
                <w:szCs w:val="20"/>
              </w:rPr>
              <w:t>Other services</w:t>
            </w:r>
          </w:p>
        </w:tc>
      </w:tr>
      <w:tr w:rsidR="00442D9D" w:rsidRPr="00022105" w:rsidTr="00E5414F">
        <w:tc>
          <w:tcPr>
            <w:tcW w:w="2093" w:type="dxa"/>
            <w:vAlign w:val="center"/>
          </w:tcPr>
          <w:p w:rsidR="00442D9D" w:rsidRPr="00022105" w:rsidRDefault="00442D9D" w:rsidP="00684513">
            <w:pPr>
              <w:keepNext/>
              <w:ind w:right="91"/>
              <w:jc w:val="center"/>
              <w:rPr>
                <w:sz w:val="20"/>
                <w:szCs w:val="20"/>
              </w:rPr>
            </w:pPr>
            <w:r w:rsidRPr="00022105">
              <w:rPr>
                <w:sz w:val="20"/>
                <w:szCs w:val="20"/>
              </w:rPr>
              <w:t>2003-2004</w:t>
            </w:r>
          </w:p>
        </w:tc>
        <w:tc>
          <w:tcPr>
            <w:tcW w:w="2410" w:type="dxa"/>
            <w:vAlign w:val="center"/>
          </w:tcPr>
          <w:p w:rsidR="00442D9D" w:rsidRPr="00022105" w:rsidRDefault="00442D9D" w:rsidP="00684513">
            <w:pPr>
              <w:keepNext/>
              <w:jc w:val="center"/>
              <w:rPr>
                <w:sz w:val="20"/>
                <w:szCs w:val="20"/>
              </w:rPr>
            </w:pPr>
            <w:r w:rsidRPr="00022105">
              <w:rPr>
                <w:sz w:val="20"/>
                <w:szCs w:val="20"/>
              </w:rPr>
              <w:t>10</w:t>
            </w:r>
          </w:p>
        </w:tc>
        <w:tc>
          <w:tcPr>
            <w:tcW w:w="5121" w:type="dxa"/>
          </w:tcPr>
          <w:p w:rsidR="00442D9D" w:rsidRPr="00022105" w:rsidRDefault="00DE689B" w:rsidP="00684513">
            <w:pPr>
              <w:keepNext/>
              <w:rPr>
                <w:sz w:val="20"/>
                <w:szCs w:val="20"/>
              </w:rPr>
            </w:pPr>
            <w:r w:rsidRPr="00022105">
              <w:rPr>
                <w:sz w:val="20"/>
                <w:szCs w:val="20"/>
              </w:rPr>
              <w:t>Manufacturing</w:t>
            </w:r>
          </w:p>
          <w:p w:rsidR="00DE689B" w:rsidRPr="00022105" w:rsidRDefault="00DE689B" w:rsidP="00684513">
            <w:pPr>
              <w:keepNext/>
              <w:rPr>
                <w:sz w:val="20"/>
                <w:szCs w:val="20"/>
              </w:rPr>
            </w:pPr>
            <w:r w:rsidRPr="00022105">
              <w:rPr>
                <w:sz w:val="20"/>
                <w:szCs w:val="20"/>
              </w:rPr>
              <w:t>Construction</w:t>
            </w:r>
          </w:p>
          <w:p w:rsidR="00DE689B" w:rsidRPr="00022105" w:rsidRDefault="00DE689B" w:rsidP="00684513">
            <w:pPr>
              <w:keepNext/>
              <w:rPr>
                <w:sz w:val="20"/>
                <w:szCs w:val="20"/>
              </w:rPr>
            </w:pPr>
            <w:r w:rsidRPr="00022105">
              <w:rPr>
                <w:sz w:val="20"/>
                <w:szCs w:val="20"/>
              </w:rPr>
              <w:t>Transport, postal and warehousing</w:t>
            </w:r>
          </w:p>
          <w:p w:rsidR="00DE689B" w:rsidRPr="00022105" w:rsidRDefault="00DE689B" w:rsidP="00684513">
            <w:pPr>
              <w:keepNext/>
              <w:rPr>
                <w:sz w:val="20"/>
                <w:szCs w:val="20"/>
              </w:rPr>
            </w:pPr>
            <w:r w:rsidRPr="00022105">
              <w:rPr>
                <w:sz w:val="20"/>
                <w:szCs w:val="20"/>
              </w:rPr>
              <w:t>Public administration and safety</w:t>
            </w:r>
          </w:p>
          <w:p w:rsidR="00DE689B" w:rsidRPr="00022105" w:rsidRDefault="00DE689B" w:rsidP="00684513">
            <w:pPr>
              <w:keepNext/>
              <w:rPr>
                <w:sz w:val="20"/>
                <w:szCs w:val="20"/>
              </w:rPr>
            </w:pPr>
            <w:r w:rsidRPr="00022105">
              <w:rPr>
                <w:sz w:val="20"/>
                <w:szCs w:val="20"/>
              </w:rPr>
              <w:t>Health care and social services</w:t>
            </w:r>
          </w:p>
        </w:tc>
      </w:tr>
      <w:tr w:rsidR="00442D9D" w:rsidRPr="00022105" w:rsidTr="00E5414F">
        <w:tc>
          <w:tcPr>
            <w:tcW w:w="2093" w:type="dxa"/>
            <w:vAlign w:val="center"/>
          </w:tcPr>
          <w:p w:rsidR="00442D9D" w:rsidRPr="00022105" w:rsidRDefault="00442D9D" w:rsidP="0029249B">
            <w:pPr>
              <w:keepNext/>
              <w:ind w:right="91"/>
              <w:jc w:val="center"/>
              <w:rPr>
                <w:sz w:val="20"/>
                <w:szCs w:val="20"/>
              </w:rPr>
            </w:pPr>
            <w:r w:rsidRPr="00022105">
              <w:rPr>
                <w:sz w:val="20"/>
                <w:szCs w:val="20"/>
              </w:rPr>
              <w:t>2004-2005</w:t>
            </w:r>
          </w:p>
        </w:tc>
        <w:tc>
          <w:tcPr>
            <w:tcW w:w="2410" w:type="dxa"/>
            <w:vAlign w:val="center"/>
          </w:tcPr>
          <w:p w:rsidR="00442D9D" w:rsidRPr="00022105" w:rsidRDefault="00442D9D" w:rsidP="0029249B">
            <w:pPr>
              <w:keepNext/>
              <w:jc w:val="center"/>
              <w:rPr>
                <w:sz w:val="20"/>
                <w:szCs w:val="20"/>
              </w:rPr>
            </w:pPr>
            <w:r w:rsidRPr="00022105">
              <w:rPr>
                <w:sz w:val="20"/>
                <w:szCs w:val="20"/>
              </w:rPr>
              <w:t>10</w:t>
            </w:r>
          </w:p>
        </w:tc>
        <w:tc>
          <w:tcPr>
            <w:tcW w:w="5121" w:type="dxa"/>
          </w:tcPr>
          <w:p w:rsidR="00442D9D" w:rsidRPr="00022105" w:rsidRDefault="00DE689B" w:rsidP="0029249B">
            <w:pPr>
              <w:keepNext/>
              <w:rPr>
                <w:sz w:val="20"/>
                <w:szCs w:val="20"/>
              </w:rPr>
            </w:pPr>
            <w:r w:rsidRPr="00022105">
              <w:rPr>
                <w:sz w:val="20"/>
                <w:szCs w:val="20"/>
              </w:rPr>
              <w:t>Mining</w:t>
            </w:r>
          </w:p>
          <w:p w:rsidR="00DE689B" w:rsidRPr="00022105" w:rsidRDefault="00DE689B" w:rsidP="0029249B">
            <w:pPr>
              <w:keepNext/>
              <w:rPr>
                <w:sz w:val="20"/>
                <w:szCs w:val="20"/>
              </w:rPr>
            </w:pPr>
            <w:r w:rsidRPr="00022105">
              <w:rPr>
                <w:sz w:val="20"/>
                <w:szCs w:val="20"/>
              </w:rPr>
              <w:t>Manufacturing (5)</w:t>
            </w:r>
          </w:p>
          <w:p w:rsidR="00DE689B" w:rsidRPr="00022105" w:rsidRDefault="00DE689B" w:rsidP="0029249B">
            <w:pPr>
              <w:keepNext/>
              <w:rPr>
                <w:sz w:val="20"/>
                <w:szCs w:val="20"/>
              </w:rPr>
            </w:pPr>
            <w:r w:rsidRPr="00022105">
              <w:rPr>
                <w:sz w:val="20"/>
                <w:szCs w:val="20"/>
              </w:rPr>
              <w:t>Construction</w:t>
            </w:r>
          </w:p>
          <w:p w:rsidR="00DE689B" w:rsidRPr="00022105" w:rsidRDefault="00DE689B" w:rsidP="0029249B">
            <w:pPr>
              <w:keepNext/>
              <w:rPr>
                <w:sz w:val="20"/>
                <w:szCs w:val="20"/>
              </w:rPr>
            </w:pPr>
            <w:r w:rsidRPr="00022105">
              <w:rPr>
                <w:sz w:val="20"/>
                <w:szCs w:val="20"/>
              </w:rPr>
              <w:t>Administrative and support services</w:t>
            </w:r>
          </w:p>
          <w:p w:rsidR="00DE689B" w:rsidRPr="00022105" w:rsidRDefault="00DE689B" w:rsidP="0029249B">
            <w:pPr>
              <w:keepNext/>
              <w:rPr>
                <w:sz w:val="20"/>
                <w:szCs w:val="20"/>
              </w:rPr>
            </w:pPr>
            <w:r w:rsidRPr="00022105">
              <w:rPr>
                <w:sz w:val="20"/>
                <w:szCs w:val="20"/>
              </w:rPr>
              <w:t>Health care and social services</w:t>
            </w:r>
          </w:p>
          <w:p w:rsidR="00DE689B" w:rsidRPr="00022105" w:rsidRDefault="00DE689B" w:rsidP="0029249B">
            <w:pPr>
              <w:keepNext/>
              <w:rPr>
                <w:sz w:val="20"/>
                <w:szCs w:val="20"/>
              </w:rPr>
            </w:pPr>
            <w:r w:rsidRPr="00022105">
              <w:rPr>
                <w:sz w:val="20"/>
                <w:szCs w:val="20"/>
              </w:rPr>
              <w:t>Other services</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2005-2006</w:t>
            </w:r>
          </w:p>
        </w:tc>
        <w:tc>
          <w:tcPr>
            <w:tcW w:w="2410" w:type="dxa"/>
            <w:vAlign w:val="center"/>
          </w:tcPr>
          <w:p w:rsidR="00442D9D" w:rsidRPr="00022105" w:rsidRDefault="00442D9D" w:rsidP="00442D9D">
            <w:pPr>
              <w:jc w:val="center"/>
              <w:rPr>
                <w:sz w:val="20"/>
                <w:szCs w:val="20"/>
              </w:rPr>
            </w:pPr>
            <w:r w:rsidRPr="00022105">
              <w:rPr>
                <w:sz w:val="20"/>
                <w:szCs w:val="20"/>
              </w:rPr>
              <w:t>5</w:t>
            </w:r>
          </w:p>
        </w:tc>
        <w:tc>
          <w:tcPr>
            <w:tcW w:w="5121" w:type="dxa"/>
          </w:tcPr>
          <w:p w:rsidR="00442D9D" w:rsidRPr="00022105" w:rsidRDefault="00DE689B" w:rsidP="00442D9D">
            <w:pPr>
              <w:rPr>
                <w:sz w:val="20"/>
                <w:szCs w:val="20"/>
              </w:rPr>
            </w:pPr>
            <w:r w:rsidRPr="00022105">
              <w:rPr>
                <w:sz w:val="20"/>
                <w:szCs w:val="20"/>
              </w:rPr>
              <w:t>Manufacturing</w:t>
            </w:r>
          </w:p>
          <w:p w:rsidR="00DE689B" w:rsidRPr="00022105" w:rsidRDefault="00DE689B" w:rsidP="00442D9D">
            <w:pPr>
              <w:rPr>
                <w:sz w:val="20"/>
                <w:szCs w:val="20"/>
              </w:rPr>
            </w:pPr>
            <w:r w:rsidRPr="00022105">
              <w:rPr>
                <w:sz w:val="20"/>
                <w:szCs w:val="20"/>
              </w:rPr>
              <w:t>Construction</w:t>
            </w:r>
          </w:p>
          <w:p w:rsidR="00DE689B" w:rsidRPr="00022105" w:rsidRDefault="00DE689B" w:rsidP="00442D9D">
            <w:pPr>
              <w:rPr>
                <w:sz w:val="20"/>
                <w:szCs w:val="20"/>
              </w:rPr>
            </w:pPr>
            <w:r w:rsidRPr="00022105">
              <w:rPr>
                <w:sz w:val="20"/>
                <w:szCs w:val="20"/>
              </w:rPr>
              <w:t>Wholesale trade</w:t>
            </w:r>
          </w:p>
          <w:p w:rsidR="00DE689B" w:rsidRPr="00022105" w:rsidRDefault="00DE689B" w:rsidP="00442D9D">
            <w:pPr>
              <w:rPr>
                <w:sz w:val="20"/>
                <w:szCs w:val="20"/>
              </w:rPr>
            </w:pPr>
            <w:r w:rsidRPr="00022105">
              <w:rPr>
                <w:sz w:val="20"/>
                <w:szCs w:val="20"/>
              </w:rPr>
              <w:t>Transport, postal and warehousing</w:t>
            </w:r>
          </w:p>
          <w:p w:rsidR="00DE689B" w:rsidRPr="00022105" w:rsidRDefault="00DE689B" w:rsidP="00442D9D">
            <w:pPr>
              <w:rPr>
                <w:sz w:val="20"/>
                <w:szCs w:val="20"/>
              </w:rPr>
            </w:pPr>
            <w:r w:rsidRPr="00022105">
              <w:rPr>
                <w:sz w:val="20"/>
                <w:szCs w:val="20"/>
              </w:rPr>
              <w:t>Administrative and support services</w:t>
            </w:r>
          </w:p>
          <w:p w:rsidR="00DE689B" w:rsidRPr="00022105" w:rsidRDefault="00DE689B" w:rsidP="00442D9D">
            <w:pPr>
              <w:rPr>
                <w:sz w:val="20"/>
                <w:szCs w:val="20"/>
              </w:rPr>
            </w:pPr>
            <w:r w:rsidRPr="00022105">
              <w:rPr>
                <w:sz w:val="20"/>
                <w:szCs w:val="20"/>
              </w:rPr>
              <w:t>Healthcare and social assistance</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2006-2007</w:t>
            </w:r>
          </w:p>
        </w:tc>
        <w:tc>
          <w:tcPr>
            <w:tcW w:w="2410" w:type="dxa"/>
            <w:vAlign w:val="center"/>
          </w:tcPr>
          <w:p w:rsidR="00442D9D" w:rsidRPr="00022105" w:rsidRDefault="00442D9D" w:rsidP="00442D9D">
            <w:pPr>
              <w:jc w:val="center"/>
              <w:rPr>
                <w:sz w:val="20"/>
                <w:szCs w:val="20"/>
              </w:rPr>
            </w:pPr>
            <w:r w:rsidRPr="00022105">
              <w:rPr>
                <w:sz w:val="20"/>
                <w:szCs w:val="20"/>
              </w:rPr>
              <w:t>&lt; 5</w:t>
            </w:r>
          </w:p>
        </w:tc>
        <w:tc>
          <w:tcPr>
            <w:tcW w:w="5121" w:type="dxa"/>
          </w:tcPr>
          <w:p w:rsidR="00442D9D" w:rsidRPr="00022105" w:rsidRDefault="007562D9" w:rsidP="00442D9D">
            <w:pPr>
              <w:rPr>
                <w:sz w:val="20"/>
                <w:szCs w:val="20"/>
              </w:rPr>
            </w:pPr>
            <w:r w:rsidRPr="00022105">
              <w:rPr>
                <w:sz w:val="20"/>
                <w:szCs w:val="20"/>
              </w:rPr>
              <w:t>Manufacturing</w:t>
            </w:r>
          </w:p>
          <w:p w:rsidR="007562D9" w:rsidRPr="00022105" w:rsidRDefault="007562D9" w:rsidP="00442D9D">
            <w:pPr>
              <w:rPr>
                <w:sz w:val="20"/>
                <w:szCs w:val="20"/>
              </w:rPr>
            </w:pPr>
            <w:r w:rsidRPr="00022105">
              <w:rPr>
                <w:sz w:val="20"/>
                <w:szCs w:val="20"/>
              </w:rPr>
              <w:t>Construction</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2007-2008</w:t>
            </w:r>
          </w:p>
        </w:tc>
        <w:tc>
          <w:tcPr>
            <w:tcW w:w="2410" w:type="dxa"/>
            <w:vAlign w:val="center"/>
          </w:tcPr>
          <w:p w:rsidR="00442D9D" w:rsidRPr="00022105" w:rsidRDefault="00442D9D" w:rsidP="00442D9D">
            <w:pPr>
              <w:jc w:val="center"/>
              <w:rPr>
                <w:sz w:val="20"/>
                <w:szCs w:val="20"/>
              </w:rPr>
            </w:pPr>
            <w:r w:rsidRPr="00022105">
              <w:rPr>
                <w:sz w:val="20"/>
                <w:szCs w:val="20"/>
              </w:rPr>
              <w:t>5</w:t>
            </w:r>
          </w:p>
        </w:tc>
        <w:tc>
          <w:tcPr>
            <w:tcW w:w="5121" w:type="dxa"/>
          </w:tcPr>
          <w:p w:rsidR="00442D9D" w:rsidRPr="00022105" w:rsidRDefault="007562D9" w:rsidP="00442D9D">
            <w:pPr>
              <w:rPr>
                <w:sz w:val="20"/>
                <w:szCs w:val="20"/>
              </w:rPr>
            </w:pPr>
            <w:r w:rsidRPr="00022105">
              <w:rPr>
                <w:sz w:val="20"/>
                <w:szCs w:val="20"/>
              </w:rPr>
              <w:t>Agriculture, forestry and fishing</w:t>
            </w:r>
          </w:p>
          <w:p w:rsidR="007562D9" w:rsidRPr="00022105" w:rsidRDefault="007562D9" w:rsidP="00442D9D">
            <w:pPr>
              <w:rPr>
                <w:sz w:val="20"/>
                <w:szCs w:val="20"/>
              </w:rPr>
            </w:pPr>
            <w:r w:rsidRPr="00022105">
              <w:rPr>
                <w:sz w:val="20"/>
                <w:szCs w:val="20"/>
              </w:rPr>
              <w:t>Manufacturing</w:t>
            </w:r>
          </w:p>
          <w:p w:rsidR="007562D9" w:rsidRPr="00022105" w:rsidRDefault="007562D9" w:rsidP="00442D9D">
            <w:pPr>
              <w:rPr>
                <w:sz w:val="20"/>
                <w:szCs w:val="20"/>
              </w:rPr>
            </w:pPr>
            <w:r w:rsidRPr="00022105">
              <w:rPr>
                <w:sz w:val="20"/>
                <w:szCs w:val="20"/>
              </w:rPr>
              <w:t>Wholesale trade</w:t>
            </w:r>
          </w:p>
          <w:p w:rsidR="007562D9" w:rsidRPr="00022105" w:rsidRDefault="007562D9" w:rsidP="00442D9D">
            <w:pPr>
              <w:rPr>
                <w:sz w:val="20"/>
                <w:szCs w:val="20"/>
              </w:rPr>
            </w:pPr>
            <w:r w:rsidRPr="00022105">
              <w:rPr>
                <w:sz w:val="20"/>
                <w:szCs w:val="20"/>
              </w:rPr>
              <w:t>Retail trade</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2008-2009</w:t>
            </w:r>
          </w:p>
        </w:tc>
        <w:tc>
          <w:tcPr>
            <w:tcW w:w="2410" w:type="dxa"/>
            <w:vAlign w:val="center"/>
          </w:tcPr>
          <w:p w:rsidR="00442D9D" w:rsidRPr="00022105" w:rsidRDefault="00442D9D" w:rsidP="00442D9D">
            <w:pPr>
              <w:jc w:val="center"/>
              <w:rPr>
                <w:sz w:val="20"/>
                <w:szCs w:val="20"/>
              </w:rPr>
            </w:pPr>
            <w:r w:rsidRPr="00022105">
              <w:rPr>
                <w:sz w:val="20"/>
                <w:szCs w:val="20"/>
              </w:rPr>
              <w:t>&lt; 5</w:t>
            </w:r>
          </w:p>
        </w:tc>
        <w:tc>
          <w:tcPr>
            <w:tcW w:w="5121" w:type="dxa"/>
          </w:tcPr>
          <w:p w:rsidR="00442D9D" w:rsidRPr="00022105" w:rsidRDefault="005E5218" w:rsidP="00442D9D">
            <w:pPr>
              <w:rPr>
                <w:sz w:val="20"/>
                <w:szCs w:val="20"/>
              </w:rPr>
            </w:pPr>
            <w:r w:rsidRPr="00022105">
              <w:rPr>
                <w:sz w:val="20"/>
                <w:szCs w:val="20"/>
              </w:rPr>
              <w:t>Manufacturing</w:t>
            </w:r>
          </w:p>
          <w:p w:rsidR="005E5218" w:rsidRPr="00022105" w:rsidRDefault="005E5218" w:rsidP="00442D9D">
            <w:pPr>
              <w:rPr>
                <w:sz w:val="20"/>
                <w:szCs w:val="20"/>
              </w:rPr>
            </w:pPr>
            <w:r w:rsidRPr="00022105">
              <w:rPr>
                <w:sz w:val="20"/>
                <w:szCs w:val="20"/>
              </w:rPr>
              <w:t>Electricity, gas, water and waste services</w:t>
            </w:r>
          </w:p>
          <w:p w:rsidR="005E5218" w:rsidRPr="00022105" w:rsidRDefault="005E5218" w:rsidP="00442D9D">
            <w:pPr>
              <w:rPr>
                <w:sz w:val="20"/>
                <w:szCs w:val="20"/>
              </w:rPr>
            </w:pPr>
            <w:r w:rsidRPr="00022105">
              <w:rPr>
                <w:sz w:val="20"/>
                <w:szCs w:val="20"/>
              </w:rPr>
              <w:t>Health care and social assistance</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2009-2010</w:t>
            </w:r>
          </w:p>
        </w:tc>
        <w:tc>
          <w:tcPr>
            <w:tcW w:w="2410" w:type="dxa"/>
            <w:vAlign w:val="center"/>
          </w:tcPr>
          <w:p w:rsidR="00442D9D" w:rsidRPr="00022105" w:rsidRDefault="00442D9D" w:rsidP="00442D9D">
            <w:pPr>
              <w:jc w:val="center"/>
              <w:rPr>
                <w:sz w:val="20"/>
                <w:szCs w:val="20"/>
              </w:rPr>
            </w:pPr>
            <w:r w:rsidRPr="00022105">
              <w:rPr>
                <w:sz w:val="20"/>
                <w:szCs w:val="20"/>
              </w:rPr>
              <w:t>&lt; 5</w:t>
            </w:r>
          </w:p>
        </w:tc>
        <w:tc>
          <w:tcPr>
            <w:tcW w:w="5121" w:type="dxa"/>
          </w:tcPr>
          <w:p w:rsidR="00442D9D" w:rsidRPr="00022105" w:rsidRDefault="005E5218" w:rsidP="00442D9D">
            <w:pPr>
              <w:rPr>
                <w:sz w:val="20"/>
                <w:szCs w:val="20"/>
              </w:rPr>
            </w:pPr>
            <w:r w:rsidRPr="00022105">
              <w:rPr>
                <w:sz w:val="20"/>
                <w:szCs w:val="20"/>
              </w:rPr>
              <w:t>Mining</w:t>
            </w:r>
          </w:p>
          <w:p w:rsidR="005E5218" w:rsidRPr="00022105" w:rsidRDefault="005E5218" w:rsidP="00442D9D">
            <w:pPr>
              <w:rPr>
                <w:sz w:val="20"/>
                <w:szCs w:val="20"/>
              </w:rPr>
            </w:pPr>
            <w:r w:rsidRPr="00022105">
              <w:rPr>
                <w:sz w:val="20"/>
                <w:szCs w:val="20"/>
              </w:rPr>
              <w:t>Manufacturing</w:t>
            </w:r>
          </w:p>
          <w:p w:rsidR="005E5218" w:rsidRPr="00022105" w:rsidRDefault="005E5218" w:rsidP="00442D9D">
            <w:pPr>
              <w:rPr>
                <w:sz w:val="20"/>
                <w:szCs w:val="20"/>
              </w:rPr>
            </w:pPr>
            <w:r w:rsidRPr="00022105">
              <w:rPr>
                <w:sz w:val="20"/>
                <w:szCs w:val="20"/>
              </w:rPr>
              <w:t>Construction</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2010-2011</w:t>
            </w:r>
          </w:p>
        </w:tc>
        <w:tc>
          <w:tcPr>
            <w:tcW w:w="2410" w:type="dxa"/>
            <w:vAlign w:val="center"/>
          </w:tcPr>
          <w:p w:rsidR="00442D9D" w:rsidRPr="00022105" w:rsidRDefault="00442D9D" w:rsidP="00442D9D">
            <w:pPr>
              <w:jc w:val="center"/>
              <w:rPr>
                <w:sz w:val="20"/>
                <w:szCs w:val="20"/>
              </w:rPr>
            </w:pPr>
            <w:r w:rsidRPr="00022105">
              <w:rPr>
                <w:sz w:val="20"/>
                <w:szCs w:val="20"/>
              </w:rPr>
              <w:t>&lt; 5</w:t>
            </w:r>
          </w:p>
        </w:tc>
        <w:tc>
          <w:tcPr>
            <w:tcW w:w="5121" w:type="dxa"/>
          </w:tcPr>
          <w:p w:rsidR="005E5218" w:rsidRPr="00022105" w:rsidRDefault="005E5218" w:rsidP="00442D9D">
            <w:pPr>
              <w:rPr>
                <w:sz w:val="20"/>
                <w:szCs w:val="20"/>
              </w:rPr>
            </w:pPr>
            <w:r w:rsidRPr="00022105">
              <w:rPr>
                <w:sz w:val="20"/>
                <w:szCs w:val="20"/>
              </w:rPr>
              <w:t>Mining</w:t>
            </w:r>
          </w:p>
          <w:p w:rsidR="005E5218" w:rsidRPr="00022105" w:rsidRDefault="005E5218" w:rsidP="00442D9D">
            <w:pPr>
              <w:rPr>
                <w:sz w:val="20"/>
                <w:szCs w:val="20"/>
              </w:rPr>
            </w:pPr>
            <w:r w:rsidRPr="00022105">
              <w:rPr>
                <w:sz w:val="20"/>
                <w:szCs w:val="20"/>
              </w:rPr>
              <w:t>Construction</w:t>
            </w:r>
          </w:p>
          <w:p w:rsidR="005E5218" w:rsidRPr="00022105" w:rsidRDefault="005E5218" w:rsidP="00442D9D">
            <w:pPr>
              <w:rPr>
                <w:sz w:val="20"/>
                <w:szCs w:val="20"/>
              </w:rPr>
            </w:pPr>
            <w:r w:rsidRPr="00022105">
              <w:rPr>
                <w:sz w:val="20"/>
                <w:szCs w:val="20"/>
              </w:rPr>
              <w:t>Health care and social services</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2011-2012</w:t>
            </w:r>
          </w:p>
        </w:tc>
        <w:tc>
          <w:tcPr>
            <w:tcW w:w="2410" w:type="dxa"/>
            <w:vAlign w:val="center"/>
          </w:tcPr>
          <w:p w:rsidR="00442D9D" w:rsidRPr="00022105" w:rsidRDefault="00442D9D" w:rsidP="00442D9D">
            <w:pPr>
              <w:jc w:val="center"/>
              <w:rPr>
                <w:sz w:val="20"/>
                <w:szCs w:val="20"/>
              </w:rPr>
            </w:pPr>
            <w:r w:rsidRPr="00022105">
              <w:rPr>
                <w:sz w:val="20"/>
                <w:szCs w:val="20"/>
              </w:rPr>
              <w:t>10</w:t>
            </w:r>
          </w:p>
        </w:tc>
        <w:tc>
          <w:tcPr>
            <w:tcW w:w="5121" w:type="dxa"/>
          </w:tcPr>
          <w:p w:rsidR="005E5218" w:rsidRPr="00022105" w:rsidRDefault="005E5218" w:rsidP="005E5218">
            <w:pPr>
              <w:rPr>
                <w:sz w:val="20"/>
                <w:szCs w:val="20"/>
              </w:rPr>
            </w:pPr>
            <w:r w:rsidRPr="00022105">
              <w:rPr>
                <w:sz w:val="20"/>
                <w:szCs w:val="20"/>
              </w:rPr>
              <w:t>Manufacturing</w:t>
            </w:r>
          </w:p>
          <w:p w:rsidR="005E5218" w:rsidRPr="00022105" w:rsidRDefault="005E5218" w:rsidP="005E5218">
            <w:pPr>
              <w:rPr>
                <w:sz w:val="20"/>
                <w:szCs w:val="20"/>
              </w:rPr>
            </w:pPr>
            <w:r w:rsidRPr="00022105">
              <w:rPr>
                <w:sz w:val="20"/>
                <w:szCs w:val="20"/>
              </w:rPr>
              <w:t>Electricity, gas, water and waste services</w:t>
            </w:r>
          </w:p>
          <w:p w:rsidR="005E5218" w:rsidRPr="00022105" w:rsidRDefault="005E5218" w:rsidP="005E5218">
            <w:pPr>
              <w:rPr>
                <w:sz w:val="20"/>
                <w:szCs w:val="20"/>
              </w:rPr>
            </w:pPr>
            <w:r w:rsidRPr="00022105">
              <w:rPr>
                <w:sz w:val="20"/>
                <w:szCs w:val="20"/>
              </w:rPr>
              <w:t>Construction</w:t>
            </w:r>
          </w:p>
          <w:p w:rsidR="00442D9D" w:rsidRPr="00022105" w:rsidRDefault="005E5218" w:rsidP="005E5218">
            <w:pPr>
              <w:rPr>
                <w:sz w:val="20"/>
                <w:szCs w:val="20"/>
              </w:rPr>
            </w:pPr>
            <w:r w:rsidRPr="00022105">
              <w:rPr>
                <w:sz w:val="20"/>
                <w:szCs w:val="20"/>
              </w:rPr>
              <w:t>Wholesale trade</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2012-2013</w:t>
            </w:r>
          </w:p>
        </w:tc>
        <w:tc>
          <w:tcPr>
            <w:tcW w:w="2410" w:type="dxa"/>
            <w:vAlign w:val="center"/>
          </w:tcPr>
          <w:p w:rsidR="00442D9D" w:rsidRPr="00022105" w:rsidRDefault="00442D9D" w:rsidP="00442D9D">
            <w:pPr>
              <w:jc w:val="center"/>
              <w:rPr>
                <w:sz w:val="20"/>
                <w:szCs w:val="20"/>
              </w:rPr>
            </w:pPr>
            <w:r w:rsidRPr="00022105">
              <w:rPr>
                <w:sz w:val="20"/>
                <w:szCs w:val="20"/>
              </w:rPr>
              <w:t>10</w:t>
            </w:r>
          </w:p>
        </w:tc>
        <w:tc>
          <w:tcPr>
            <w:tcW w:w="5121" w:type="dxa"/>
          </w:tcPr>
          <w:p w:rsidR="005E5218" w:rsidRPr="00022105" w:rsidRDefault="005E5218" w:rsidP="00442D9D">
            <w:pPr>
              <w:rPr>
                <w:sz w:val="20"/>
                <w:szCs w:val="20"/>
              </w:rPr>
            </w:pPr>
            <w:r w:rsidRPr="00022105">
              <w:rPr>
                <w:sz w:val="20"/>
                <w:szCs w:val="20"/>
              </w:rPr>
              <w:t>Manufacturing (5)</w:t>
            </w:r>
          </w:p>
          <w:p w:rsidR="00442D9D" w:rsidRPr="00022105" w:rsidRDefault="005E5218" w:rsidP="00442D9D">
            <w:pPr>
              <w:rPr>
                <w:sz w:val="20"/>
                <w:szCs w:val="20"/>
              </w:rPr>
            </w:pPr>
            <w:r w:rsidRPr="00022105">
              <w:rPr>
                <w:sz w:val="20"/>
                <w:szCs w:val="20"/>
              </w:rPr>
              <w:t>Construction</w:t>
            </w:r>
          </w:p>
          <w:p w:rsidR="005E5218" w:rsidRPr="00022105" w:rsidRDefault="005E5218" w:rsidP="00442D9D">
            <w:pPr>
              <w:rPr>
                <w:sz w:val="20"/>
                <w:szCs w:val="20"/>
              </w:rPr>
            </w:pPr>
            <w:r w:rsidRPr="00022105">
              <w:rPr>
                <w:sz w:val="20"/>
                <w:szCs w:val="20"/>
              </w:rPr>
              <w:t>Wholesale trade</w:t>
            </w:r>
          </w:p>
          <w:p w:rsidR="005E5218" w:rsidRPr="00022105" w:rsidRDefault="005E5218" w:rsidP="00442D9D">
            <w:pPr>
              <w:rPr>
                <w:sz w:val="20"/>
                <w:szCs w:val="20"/>
              </w:rPr>
            </w:pPr>
            <w:r w:rsidRPr="00022105">
              <w:rPr>
                <w:sz w:val="20"/>
                <w:szCs w:val="20"/>
              </w:rPr>
              <w:t>Information, media and telecommunications</w:t>
            </w:r>
          </w:p>
          <w:p w:rsidR="005E5218" w:rsidRPr="00022105" w:rsidRDefault="005E5218" w:rsidP="00442D9D">
            <w:pPr>
              <w:rPr>
                <w:sz w:val="20"/>
                <w:szCs w:val="20"/>
              </w:rPr>
            </w:pPr>
            <w:r w:rsidRPr="00022105">
              <w:rPr>
                <w:sz w:val="20"/>
                <w:szCs w:val="20"/>
              </w:rPr>
              <w:t>Professional, scientific and technical services</w:t>
            </w:r>
          </w:p>
        </w:tc>
      </w:tr>
      <w:tr w:rsidR="00442D9D" w:rsidRPr="00022105" w:rsidTr="00E5414F">
        <w:tc>
          <w:tcPr>
            <w:tcW w:w="2093" w:type="dxa"/>
            <w:vAlign w:val="center"/>
          </w:tcPr>
          <w:p w:rsidR="00442D9D" w:rsidRPr="00022105" w:rsidRDefault="00442D9D" w:rsidP="00442D9D">
            <w:pPr>
              <w:ind w:right="91"/>
              <w:jc w:val="center"/>
              <w:rPr>
                <w:sz w:val="20"/>
                <w:szCs w:val="20"/>
              </w:rPr>
            </w:pPr>
            <w:r w:rsidRPr="00022105">
              <w:rPr>
                <w:sz w:val="20"/>
                <w:szCs w:val="20"/>
              </w:rPr>
              <w:t>2013-2014</w:t>
            </w:r>
          </w:p>
        </w:tc>
        <w:tc>
          <w:tcPr>
            <w:tcW w:w="2410" w:type="dxa"/>
            <w:vAlign w:val="center"/>
          </w:tcPr>
          <w:p w:rsidR="00442D9D" w:rsidRPr="00022105" w:rsidRDefault="00442D9D" w:rsidP="00442D9D">
            <w:pPr>
              <w:jc w:val="center"/>
              <w:rPr>
                <w:sz w:val="20"/>
                <w:szCs w:val="20"/>
              </w:rPr>
            </w:pPr>
            <w:r w:rsidRPr="00022105">
              <w:rPr>
                <w:sz w:val="20"/>
                <w:szCs w:val="20"/>
              </w:rPr>
              <w:t>&lt; 5</w:t>
            </w:r>
          </w:p>
        </w:tc>
        <w:tc>
          <w:tcPr>
            <w:tcW w:w="5121" w:type="dxa"/>
          </w:tcPr>
          <w:p w:rsidR="00442D9D" w:rsidRPr="00022105" w:rsidRDefault="005E5218" w:rsidP="00442D9D">
            <w:pPr>
              <w:rPr>
                <w:sz w:val="20"/>
                <w:szCs w:val="20"/>
              </w:rPr>
            </w:pPr>
            <w:r w:rsidRPr="00022105">
              <w:rPr>
                <w:sz w:val="20"/>
                <w:szCs w:val="20"/>
              </w:rPr>
              <w:t>Mining</w:t>
            </w:r>
          </w:p>
          <w:p w:rsidR="005E5218" w:rsidRPr="00022105" w:rsidRDefault="005E5218" w:rsidP="00442D9D">
            <w:pPr>
              <w:rPr>
                <w:sz w:val="20"/>
                <w:szCs w:val="20"/>
              </w:rPr>
            </w:pPr>
            <w:r w:rsidRPr="00022105">
              <w:rPr>
                <w:sz w:val="20"/>
                <w:szCs w:val="20"/>
              </w:rPr>
              <w:t>Manufacturing</w:t>
            </w:r>
          </w:p>
        </w:tc>
      </w:tr>
      <w:tr w:rsidR="00442D9D" w:rsidRPr="00022105" w:rsidTr="00D13871">
        <w:tc>
          <w:tcPr>
            <w:tcW w:w="4503" w:type="dxa"/>
            <w:gridSpan w:val="2"/>
            <w:shd w:val="clear" w:color="auto" w:fill="D9D9D9" w:themeFill="background1" w:themeFillShade="D9"/>
          </w:tcPr>
          <w:p w:rsidR="00442D9D" w:rsidRPr="00022105" w:rsidRDefault="00442D9D" w:rsidP="00442D9D">
            <w:pPr>
              <w:ind w:right="91"/>
              <w:jc w:val="center"/>
              <w:rPr>
                <w:b/>
                <w:sz w:val="20"/>
                <w:szCs w:val="20"/>
              </w:rPr>
            </w:pPr>
            <w:r w:rsidRPr="00022105">
              <w:rPr>
                <w:b/>
                <w:sz w:val="20"/>
                <w:szCs w:val="20"/>
              </w:rPr>
              <w:t>Australia wide total</w:t>
            </w:r>
          </w:p>
        </w:tc>
        <w:tc>
          <w:tcPr>
            <w:tcW w:w="5121" w:type="dxa"/>
            <w:shd w:val="clear" w:color="auto" w:fill="D9D9D9" w:themeFill="background1" w:themeFillShade="D9"/>
          </w:tcPr>
          <w:p w:rsidR="00442D9D" w:rsidRPr="00022105" w:rsidRDefault="00442D9D" w:rsidP="00442D9D">
            <w:pPr>
              <w:jc w:val="center"/>
              <w:rPr>
                <w:b/>
                <w:sz w:val="20"/>
                <w:szCs w:val="20"/>
              </w:rPr>
            </w:pPr>
            <w:r w:rsidRPr="00022105">
              <w:rPr>
                <w:b/>
                <w:sz w:val="20"/>
                <w:szCs w:val="20"/>
              </w:rPr>
              <w:t>115</w:t>
            </w:r>
          </w:p>
        </w:tc>
      </w:tr>
    </w:tbl>
    <w:p w:rsidR="00442D9D" w:rsidRPr="00684513" w:rsidRDefault="005E5218" w:rsidP="005E5218">
      <w:pPr>
        <w:pStyle w:val="ListBullet"/>
        <w:numPr>
          <w:ilvl w:val="0"/>
          <w:numId w:val="0"/>
        </w:numPr>
        <w:rPr>
          <w:sz w:val="18"/>
        </w:rPr>
      </w:pPr>
      <w:r w:rsidRPr="00684513">
        <w:rPr>
          <w:sz w:val="18"/>
        </w:rPr>
        <w:t>* in no particular order</w:t>
      </w:r>
    </w:p>
    <w:p w:rsidR="00722AE0" w:rsidRPr="0005799A" w:rsidRDefault="00722AE0" w:rsidP="00C9446F">
      <w:pPr>
        <w:spacing w:before="60" w:after="60"/>
      </w:pPr>
      <w:r w:rsidRPr="00536A47">
        <w:rPr>
          <w:rFonts w:eastAsia="Times New Roman" w:cstheme="minorHAnsi"/>
          <w:b/>
          <w:bCs/>
          <w:szCs w:val="20"/>
          <w:lang w:eastAsia="en-AU"/>
        </w:rPr>
        <w:br w:type="page"/>
      </w:r>
    </w:p>
    <w:p w:rsidR="0035186A" w:rsidRDefault="0035186A" w:rsidP="00EE21D9">
      <w:pPr>
        <w:pStyle w:val="Heading1-number"/>
        <w:rPr>
          <w:rFonts w:asciiTheme="minorHAnsi" w:hAnsiTheme="minorHAnsi" w:cstheme="minorHAnsi"/>
        </w:rPr>
      </w:pPr>
      <w:bookmarkStart w:id="68" w:name="_Toc459276903"/>
      <w:r>
        <w:rPr>
          <w:rFonts w:asciiTheme="minorHAnsi" w:hAnsiTheme="minorHAnsi" w:cstheme="minorHAnsi"/>
        </w:rPr>
        <w:lastRenderedPageBreak/>
        <w:t>Objectives of government action</w:t>
      </w:r>
      <w:bookmarkEnd w:id="68"/>
    </w:p>
    <w:p w:rsidR="008872AE" w:rsidRPr="00773EB8" w:rsidRDefault="008872AE" w:rsidP="008872AE">
      <w:pPr>
        <w:rPr>
          <w:rFonts w:cs="Times New Roman"/>
        </w:rPr>
      </w:pPr>
      <w:r w:rsidRPr="00773EB8">
        <w:t xml:space="preserve">The objective is to ensure the model WHS Regulations deliver positive health and safety outcomes to the community, workers and business in the most efficient and effective manner possible. </w:t>
      </w:r>
    </w:p>
    <w:p w:rsidR="0035186A" w:rsidRPr="00536A47" w:rsidRDefault="0035186A" w:rsidP="0035186A">
      <w:pPr>
        <w:autoSpaceDE w:val="0"/>
        <w:autoSpaceDN w:val="0"/>
        <w:adjustRightInd w:val="0"/>
        <w:rPr>
          <w:rFonts w:cstheme="minorHAnsi"/>
          <w:color w:val="000000"/>
        </w:rPr>
      </w:pPr>
      <w:r w:rsidRPr="00536A47">
        <w:rPr>
          <w:rFonts w:cstheme="minorHAnsi"/>
          <w:color w:val="000000"/>
        </w:rPr>
        <w:t>The objective of this proposal is to reduce the potential for adverse health outcomes caused by exposure to lead in the workplace by:</w:t>
      </w:r>
    </w:p>
    <w:p w:rsidR="0035186A" w:rsidRPr="00536A47" w:rsidRDefault="0035186A" w:rsidP="0035186A">
      <w:pPr>
        <w:pStyle w:val="ListBullet"/>
        <w:rPr>
          <w:rFonts w:cstheme="minorHAnsi"/>
        </w:rPr>
      </w:pPr>
      <w:r w:rsidRPr="00536A47">
        <w:rPr>
          <w:rFonts w:cstheme="minorHAnsi"/>
        </w:rPr>
        <w:t>improving the regulatory framework in Australia to provide the highest level of protection to all workers, while ensuring practicability for businesses, and</w:t>
      </w:r>
    </w:p>
    <w:p w:rsidR="0035186A" w:rsidRPr="00536A47" w:rsidRDefault="0035186A" w:rsidP="0035186A">
      <w:pPr>
        <w:pStyle w:val="ListBullet"/>
        <w:rPr>
          <w:rFonts w:cstheme="minorHAnsi"/>
        </w:rPr>
      </w:pPr>
      <w:r w:rsidRPr="00536A47">
        <w:rPr>
          <w:rFonts w:cstheme="minorHAnsi"/>
        </w:rPr>
        <w:t>ensuring WHS policy and practice is based on the best available scientific evidence.</w:t>
      </w:r>
    </w:p>
    <w:p w:rsidR="0035186A" w:rsidRDefault="0035186A">
      <w:pPr>
        <w:rPr>
          <w:rFonts w:eastAsia="Batang" w:cstheme="minorHAnsi"/>
          <w:b/>
          <w:bCs/>
          <w:sz w:val="36"/>
          <w:szCs w:val="32"/>
        </w:rPr>
      </w:pPr>
      <w:r>
        <w:rPr>
          <w:rFonts w:cstheme="minorHAnsi"/>
        </w:rPr>
        <w:br w:type="page"/>
      </w:r>
    </w:p>
    <w:p w:rsidR="00C7203C" w:rsidRDefault="00C7203C" w:rsidP="00C7203C">
      <w:pPr>
        <w:pStyle w:val="Heading1-number"/>
        <w:rPr>
          <w:rFonts w:asciiTheme="minorHAnsi" w:hAnsiTheme="minorHAnsi" w:cstheme="minorHAnsi"/>
        </w:rPr>
      </w:pPr>
      <w:bookmarkStart w:id="69" w:name="_Toc459276904"/>
      <w:r>
        <w:rPr>
          <w:rFonts w:asciiTheme="minorHAnsi" w:hAnsiTheme="minorHAnsi" w:cstheme="minorHAnsi"/>
        </w:rPr>
        <w:lastRenderedPageBreak/>
        <w:t>Consultation</w:t>
      </w:r>
      <w:bookmarkEnd w:id="69"/>
    </w:p>
    <w:p w:rsidR="006E133F" w:rsidRPr="00313AAD" w:rsidRDefault="006E133F" w:rsidP="00263482">
      <w:pPr>
        <w:pStyle w:val="Heading2"/>
        <w:ind w:left="426"/>
      </w:pPr>
      <w:bookmarkStart w:id="70" w:name="_Toc459276905"/>
      <w:r w:rsidRPr="00313AAD">
        <w:t>Objective of Consultation</w:t>
      </w:r>
      <w:bookmarkEnd w:id="70"/>
    </w:p>
    <w:p w:rsidR="00161491" w:rsidRDefault="00161491" w:rsidP="00C7203C">
      <w:pPr>
        <w:rPr>
          <w:rFonts w:cstheme="minorHAnsi"/>
        </w:rPr>
      </w:pPr>
      <w:r>
        <w:rPr>
          <w:rFonts w:cstheme="minorHAnsi"/>
        </w:rPr>
        <w:t xml:space="preserve">Safe Work Australia conducted full public consultation, reaching out to a wide range of stakeholders. </w:t>
      </w:r>
      <w:r w:rsidR="00A84C1B">
        <w:rPr>
          <w:rFonts w:cstheme="minorHAnsi"/>
        </w:rPr>
        <w:t>The objective</w:t>
      </w:r>
      <w:r>
        <w:rPr>
          <w:rFonts w:cstheme="minorHAnsi"/>
        </w:rPr>
        <w:t>s</w:t>
      </w:r>
      <w:r w:rsidR="00A84C1B">
        <w:rPr>
          <w:rFonts w:cstheme="minorHAnsi"/>
        </w:rPr>
        <w:t xml:space="preserve"> of </w:t>
      </w:r>
      <w:r>
        <w:rPr>
          <w:rFonts w:cstheme="minorHAnsi"/>
        </w:rPr>
        <w:t xml:space="preserve">this </w:t>
      </w:r>
      <w:r w:rsidR="00A84C1B">
        <w:rPr>
          <w:rFonts w:cstheme="minorHAnsi"/>
        </w:rPr>
        <w:t xml:space="preserve">consultation </w:t>
      </w:r>
      <w:r>
        <w:rPr>
          <w:rFonts w:cstheme="minorHAnsi"/>
        </w:rPr>
        <w:t xml:space="preserve">process </w:t>
      </w:r>
      <w:r w:rsidR="00A84C1B">
        <w:rPr>
          <w:rFonts w:cstheme="minorHAnsi"/>
        </w:rPr>
        <w:t>w</w:t>
      </w:r>
      <w:r>
        <w:rPr>
          <w:rFonts w:cstheme="minorHAnsi"/>
        </w:rPr>
        <w:t>ere to:</w:t>
      </w:r>
      <w:r w:rsidR="00A84C1B">
        <w:rPr>
          <w:rFonts w:cstheme="minorHAnsi"/>
        </w:rPr>
        <w:t xml:space="preserve"> </w:t>
      </w:r>
    </w:p>
    <w:p w:rsidR="00161491" w:rsidRDefault="00A84C1B" w:rsidP="00161491">
      <w:pPr>
        <w:pStyle w:val="ListBullet"/>
      </w:pPr>
      <w:r>
        <w:t xml:space="preserve">fill in the data gaps regarding lead process work and </w:t>
      </w:r>
      <w:r w:rsidR="00542710">
        <w:t>lead risk</w:t>
      </w:r>
      <w:r>
        <w:t xml:space="preserve"> workers in Australia</w:t>
      </w:r>
    </w:p>
    <w:p w:rsidR="00161491" w:rsidRDefault="00161491" w:rsidP="00161491">
      <w:pPr>
        <w:pStyle w:val="ListBullet"/>
      </w:pPr>
      <w:r>
        <w:t>collect</w:t>
      </w:r>
      <w:r w:rsidR="00A84C1B">
        <w:t xml:space="preserve"> data to assist with </w:t>
      </w:r>
      <w:r w:rsidR="007F116B">
        <w:t xml:space="preserve">identifying and </w:t>
      </w:r>
      <w:r w:rsidR="00A84C1B">
        <w:t xml:space="preserve">quantifying the impacts of changing the regulations for blood lead removal levels and air monitoring for </w:t>
      </w:r>
      <w:r>
        <w:t xml:space="preserve">inorganic </w:t>
      </w:r>
      <w:r w:rsidR="00A84C1B">
        <w:t>lead dusts and fumes</w:t>
      </w:r>
    </w:p>
    <w:p w:rsidR="00161491" w:rsidRDefault="00161491" w:rsidP="00161491">
      <w:pPr>
        <w:pStyle w:val="ListBullet"/>
      </w:pPr>
      <w:r>
        <w:t>to identify</w:t>
      </w:r>
      <w:r w:rsidR="007F116B">
        <w:t xml:space="preserve"> all possible alternatives to the policy proposals and any implementation barriers that had not been previously considered during policy development</w:t>
      </w:r>
      <w:r>
        <w:t>, and</w:t>
      </w:r>
    </w:p>
    <w:p w:rsidR="00C7203C" w:rsidRDefault="00161491" w:rsidP="00161491">
      <w:pPr>
        <w:pStyle w:val="ListBullet"/>
      </w:pPr>
      <w:r>
        <w:t>provide feedback on the level of support for a proposed option</w:t>
      </w:r>
      <w:r w:rsidR="007F116B">
        <w:t xml:space="preserve">. </w:t>
      </w:r>
    </w:p>
    <w:p w:rsidR="00471641" w:rsidRPr="00313AAD" w:rsidRDefault="00471641" w:rsidP="00263482">
      <w:pPr>
        <w:pStyle w:val="Heading2"/>
        <w:ind w:left="426"/>
      </w:pPr>
      <w:bookmarkStart w:id="71" w:name="_Toc434322326"/>
      <w:bookmarkStart w:id="72" w:name="_Toc459276906"/>
      <w:r w:rsidRPr="00313AAD">
        <w:t>Consultation</w:t>
      </w:r>
      <w:bookmarkEnd w:id="71"/>
      <w:r w:rsidRPr="00313AAD">
        <w:t xml:space="preserve"> methods</w:t>
      </w:r>
      <w:bookmarkEnd w:id="72"/>
    </w:p>
    <w:p w:rsidR="0013099F" w:rsidRDefault="00471641" w:rsidP="00471641">
      <w:r>
        <w:t>A</w:t>
      </w:r>
      <w:r w:rsidRPr="00C9446F">
        <w:t xml:space="preserve"> comprehensive stakeholder engagement plan was </w:t>
      </w:r>
      <w:r>
        <w:t>implemente</w:t>
      </w:r>
      <w:r w:rsidRPr="00C9446F">
        <w:t xml:space="preserve">d to </w:t>
      </w:r>
      <w:r>
        <w:t>consult with</w:t>
      </w:r>
      <w:r w:rsidRPr="00C9446F">
        <w:t xml:space="preserve"> </w:t>
      </w:r>
      <w:r>
        <w:t>relevant</w:t>
      </w:r>
      <w:r w:rsidRPr="00C9446F">
        <w:t xml:space="preserve"> stakeholders </w:t>
      </w:r>
      <w:r>
        <w:t>about</w:t>
      </w:r>
      <w:r w:rsidRPr="00C9446F">
        <w:t xml:space="preserve"> the proposed regulatory options to manage the adverse health effects of </w:t>
      </w:r>
      <w:r>
        <w:t xml:space="preserve">workplace </w:t>
      </w:r>
      <w:r w:rsidRPr="00C9446F">
        <w:t xml:space="preserve">lead exposure. </w:t>
      </w:r>
    </w:p>
    <w:p w:rsidR="00471641" w:rsidRPr="0005799A" w:rsidRDefault="00471641" w:rsidP="00471641">
      <w:r w:rsidRPr="00C9446F">
        <w:t xml:space="preserve">The stakeholder engagement plan included </w:t>
      </w:r>
      <w:r w:rsidR="00275620">
        <w:t>the release of</w:t>
      </w:r>
      <w:r>
        <w:t xml:space="preserve"> a Consultation RIS </w:t>
      </w:r>
      <w:r w:rsidRPr="00C9446F">
        <w:t xml:space="preserve">and targeted stakeholder feedback. </w:t>
      </w:r>
      <w:r w:rsidRPr="0005799A">
        <w:t xml:space="preserve">The Consultation RIS was published on the Safe Work Australia, Office of Best Practice Regulation (OBPR) and </w:t>
      </w:r>
      <w:hyperlink r:id="rId22" w:history="1">
        <w:r w:rsidRPr="00CA1CDF">
          <w:rPr>
            <w:rStyle w:val="Hyperlink"/>
          </w:rPr>
          <w:t>business.gov.au</w:t>
        </w:r>
      </w:hyperlink>
      <w:r w:rsidRPr="0005799A">
        <w:t xml:space="preserve"> websites. Notification of the public comment period and the invitation to submit was promoted through social media channels and </w:t>
      </w:r>
      <w:r w:rsidRPr="004F4AA1">
        <w:rPr>
          <w:i/>
        </w:rPr>
        <w:t>via</w:t>
      </w:r>
      <w:r w:rsidRPr="0005799A">
        <w:t xml:space="preserve"> an alert to the list of Safe Work Australia email subscribers.</w:t>
      </w:r>
    </w:p>
    <w:p w:rsidR="00471641" w:rsidRPr="0013099F" w:rsidRDefault="00471641" w:rsidP="0013099F">
      <w:r w:rsidRPr="0019794C">
        <w:t xml:space="preserve">Safe Work Australia also worked with </w:t>
      </w:r>
      <w:r>
        <w:t xml:space="preserve">WHS Regulators, </w:t>
      </w:r>
      <w:r w:rsidRPr="0019794C">
        <w:t>national organisations, businesses and associations to</w:t>
      </w:r>
      <w:r w:rsidRPr="0013099F">
        <w:t xml:space="preserve"> promote the consultation process on their respective websites and through their contact lists.</w:t>
      </w:r>
    </w:p>
    <w:p w:rsidR="00471641" w:rsidRPr="00C9446F" w:rsidRDefault="00471641" w:rsidP="00471641">
      <w:pPr>
        <w:spacing w:before="60" w:after="60"/>
      </w:pPr>
      <w:r w:rsidRPr="0005799A">
        <w:t xml:space="preserve">The consultation process sought detailed feedback from stakeholders and businesses to address the lack of available information on the magnitude of lead exposure in workplaces, and the likely impact of the proposed options on Australian industry. </w:t>
      </w:r>
      <w:r>
        <w:rPr>
          <w:rFonts w:cstheme="minorHAnsi"/>
        </w:rPr>
        <w:t xml:space="preserve">The questions asked in the Consultation RIS are outlined in </w:t>
      </w:r>
      <w:r w:rsidRPr="00471641">
        <w:rPr>
          <w:rFonts w:cstheme="minorHAnsi"/>
          <w:u w:val="single"/>
        </w:rPr>
        <w:t>Appendix D</w:t>
      </w:r>
      <w:r>
        <w:rPr>
          <w:rFonts w:cstheme="minorHAnsi"/>
        </w:rPr>
        <w:t>.</w:t>
      </w:r>
    </w:p>
    <w:p w:rsidR="0013099F" w:rsidRPr="00313AAD" w:rsidRDefault="0013099F" w:rsidP="00263482">
      <w:pPr>
        <w:pStyle w:val="Heading2"/>
        <w:ind w:left="426"/>
      </w:pPr>
      <w:bookmarkStart w:id="73" w:name="_Toc459276907"/>
      <w:r w:rsidRPr="00313AAD">
        <w:t>Submissions</w:t>
      </w:r>
      <w:r>
        <w:t xml:space="preserve"> and targeted consultation</w:t>
      </w:r>
      <w:bookmarkEnd w:id="73"/>
    </w:p>
    <w:p w:rsidR="0013099F" w:rsidRDefault="0013099F" w:rsidP="0013099F">
      <w:r>
        <w:t>The public comment period closed on 27 February 2016. Safe Work Australia received 30 submissions</w:t>
      </w:r>
      <w:r w:rsidR="002872C5">
        <w:t xml:space="preserve"> </w:t>
      </w:r>
      <w:r w:rsidRPr="00C9446F">
        <w:t xml:space="preserve">from lead process workplaces </w:t>
      </w:r>
      <w:r>
        <w:t xml:space="preserve">and other stakeholders </w:t>
      </w:r>
      <w:r w:rsidRPr="00C9446F">
        <w:t xml:space="preserve">included submissions received on behalf of: </w:t>
      </w:r>
    </w:p>
    <w:p w:rsidR="0013099F" w:rsidRDefault="0013099F" w:rsidP="00263482">
      <w:pPr>
        <w:pStyle w:val="ListParagraph"/>
        <w:numPr>
          <w:ilvl w:val="0"/>
          <w:numId w:val="34"/>
        </w:numPr>
        <w:sectPr w:rsidR="0013099F" w:rsidSect="00223C2D">
          <w:footerReference w:type="default" r:id="rId23"/>
          <w:headerReference w:type="first" r:id="rId24"/>
          <w:footerReference w:type="first" r:id="rId25"/>
          <w:type w:val="continuous"/>
          <w:pgSz w:w="11906" w:h="16838"/>
          <w:pgMar w:top="1440" w:right="1080" w:bottom="1440" w:left="1418" w:header="708" w:footer="708" w:gutter="0"/>
          <w:cols w:space="708"/>
          <w:titlePg/>
          <w:docGrid w:linePitch="360"/>
        </w:sectPr>
      </w:pPr>
    </w:p>
    <w:p w:rsidR="0013099F" w:rsidRDefault="0013099F" w:rsidP="00263482">
      <w:pPr>
        <w:pStyle w:val="ListParagraph"/>
        <w:numPr>
          <w:ilvl w:val="0"/>
          <w:numId w:val="34"/>
        </w:numPr>
      </w:pPr>
      <w:r>
        <w:lastRenderedPageBreak/>
        <w:t>mining</w:t>
      </w:r>
    </w:p>
    <w:p w:rsidR="0013099F" w:rsidRDefault="0013099F" w:rsidP="00263482">
      <w:pPr>
        <w:pStyle w:val="ListParagraph"/>
        <w:numPr>
          <w:ilvl w:val="0"/>
          <w:numId w:val="34"/>
        </w:numPr>
      </w:pPr>
      <w:r>
        <w:t>foundries</w:t>
      </w:r>
    </w:p>
    <w:p w:rsidR="0013099F" w:rsidRDefault="0013099F" w:rsidP="00263482">
      <w:pPr>
        <w:pStyle w:val="ListParagraph"/>
        <w:numPr>
          <w:ilvl w:val="0"/>
          <w:numId w:val="34"/>
        </w:numPr>
      </w:pPr>
      <w:r>
        <w:t>ammunition manufacturers and handlers</w:t>
      </w:r>
    </w:p>
    <w:p w:rsidR="0013099F" w:rsidRDefault="0013099F" w:rsidP="00263482">
      <w:pPr>
        <w:pStyle w:val="ListParagraph"/>
        <w:numPr>
          <w:ilvl w:val="0"/>
          <w:numId w:val="34"/>
        </w:numPr>
      </w:pPr>
      <w:r>
        <w:t>occupational hygienists</w:t>
      </w:r>
    </w:p>
    <w:p w:rsidR="0013099F" w:rsidRDefault="002872C5" w:rsidP="00263482">
      <w:pPr>
        <w:pStyle w:val="ListParagraph"/>
        <w:numPr>
          <w:ilvl w:val="0"/>
          <w:numId w:val="34"/>
        </w:numPr>
      </w:pPr>
      <w:r>
        <w:t xml:space="preserve">WHS </w:t>
      </w:r>
      <w:r w:rsidR="0013099F">
        <w:t>Regulators</w:t>
      </w:r>
    </w:p>
    <w:p w:rsidR="0013099F" w:rsidRDefault="0013099F" w:rsidP="00263482">
      <w:pPr>
        <w:pStyle w:val="ListParagraph"/>
        <w:numPr>
          <w:ilvl w:val="0"/>
          <w:numId w:val="34"/>
        </w:numPr>
      </w:pPr>
      <w:r>
        <w:lastRenderedPageBreak/>
        <w:t>lead battery manufacturers, recyclers and distributers</w:t>
      </w:r>
    </w:p>
    <w:p w:rsidR="0013099F" w:rsidRDefault="0013099F" w:rsidP="00263482">
      <w:pPr>
        <w:pStyle w:val="ListParagraph"/>
        <w:numPr>
          <w:ilvl w:val="0"/>
          <w:numId w:val="34"/>
        </w:numPr>
      </w:pPr>
      <w:r w:rsidRPr="00B70DBB">
        <w:t xml:space="preserve">painting </w:t>
      </w:r>
      <w:r>
        <w:t>and associated trades</w:t>
      </w:r>
    </w:p>
    <w:p w:rsidR="0013099F" w:rsidRDefault="0013099F" w:rsidP="00263482">
      <w:pPr>
        <w:pStyle w:val="ListParagraph"/>
        <w:numPr>
          <w:ilvl w:val="0"/>
          <w:numId w:val="34"/>
        </w:numPr>
      </w:pPr>
      <w:r>
        <w:t>unions</w:t>
      </w:r>
      <w:r w:rsidRPr="00B70DBB">
        <w:t xml:space="preserve"> </w:t>
      </w:r>
    </w:p>
    <w:p w:rsidR="0013099F" w:rsidRDefault="0013099F" w:rsidP="00263482">
      <w:pPr>
        <w:pStyle w:val="ListParagraph"/>
        <w:numPr>
          <w:ilvl w:val="0"/>
          <w:numId w:val="34"/>
        </w:numPr>
      </w:pPr>
      <w:r>
        <w:t>industry groups</w:t>
      </w:r>
    </w:p>
    <w:p w:rsidR="0013099F" w:rsidRDefault="0013099F" w:rsidP="00263482">
      <w:pPr>
        <w:pStyle w:val="ListParagraph"/>
        <w:numPr>
          <w:ilvl w:val="0"/>
          <w:numId w:val="34"/>
        </w:numPr>
      </w:pPr>
      <w:r>
        <w:t>other lead risk workplaces.</w:t>
      </w:r>
    </w:p>
    <w:p w:rsidR="0013099F" w:rsidRDefault="0013099F" w:rsidP="00263482">
      <w:pPr>
        <w:pStyle w:val="ListParagraph"/>
        <w:numPr>
          <w:ilvl w:val="0"/>
          <w:numId w:val="34"/>
        </w:numPr>
        <w:sectPr w:rsidR="0013099F" w:rsidSect="00B70DBB">
          <w:type w:val="continuous"/>
          <w:pgSz w:w="11906" w:h="16838"/>
          <w:pgMar w:top="1440" w:right="1080" w:bottom="1440" w:left="1418" w:header="708" w:footer="708" w:gutter="0"/>
          <w:cols w:num="2" w:space="708"/>
          <w:titlePg/>
          <w:docGrid w:linePitch="360"/>
        </w:sectPr>
      </w:pPr>
    </w:p>
    <w:p w:rsidR="0013099F" w:rsidRDefault="0013099F" w:rsidP="0013099F"/>
    <w:p w:rsidR="0013099F" w:rsidRDefault="0013099F" w:rsidP="0013099F">
      <w:r>
        <w:t>No submissions from sole traders were received.</w:t>
      </w:r>
      <w:r w:rsidR="002872C5">
        <w:t xml:space="preserve"> </w:t>
      </w:r>
      <w:r>
        <w:t xml:space="preserve">A jurisdictional and business type breakdown of the submissions is outlined in </w:t>
      </w:r>
      <w:r>
        <w:fldChar w:fldCharType="begin"/>
      </w:r>
      <w:r>
        <w:instrText xml:space="preserve"> REF _Ref453848756 \h </w:instrText>
      </w:r>
      <w:r>
        <w:fldChar w:fldCharType="separate"/>
      </w:r>
      <w:r w:rsidR="00052CE1" w:rsidRPr="00BB02C5">
        <w:t xml:space="preserve">Table </w:t>
      </w:r>
      <w:r w:rsidR="00052CE1">
        <w:rPr>
          <w:noProof/>
        </w:rPr>
        <w:t>4</w:t>
      </w:r>
      <w:r>
        <w:fldChar w:fldCharType="end"/>
      </w:r>
      <w:r>
        <w:t xml:space="preserve"> below.</w:t>
      </w:r>
    </w:p>
    <w:p w:rsidR="0013099F" w:rsidRPr="00263C91" w:rsidRDefault="0013099F" w:rsidP="0013099F">
      <w:pPr>
        <w:pStyle w:val="Caption"/>
        <w:keepNext/>
        <w:spacing w:after="0"/>
        <w:rPr>
          <w:b w:val="0"/>
          <w:color w:val="auto"/>
        </w:rPr>
      </w:pPr>
      <w:bookmarkStart w:id="74" w:name="_Ref453848756"/>
      <w:r w:rsidRPr="00BB02C5">
        <w:rPr>
          <w:color w:val="auto"/>
        </w:rPr>
        <w:t xml:space="preserve">Table </w:t>
      </w:r>
      <w:r w:rsidRPr="00BB02C5">
        <w:rPr>
          <w:color w:val="auto"/>
        </w:rPr>
        <w:fldChar w:fldCharType="begin"/>
      </w:r>
      <w:r w:rsidRPr="00BB02C5">
        <w:rPr>
          <w:color w:val="auto"/>
        </w:rPr>
        <w:instrText xml:space="preserve"> SEQ Table \* ARABIC </w:instrText>
      </w:r>
      <w:r w:rsidRPr="00BB02C5">
        <w:rPr>
          <w:color w:val="auto"/>
        </w:rPr>
        <w:fldChar w:fldCharType="separate"/>
      </w:r>
      <w:r w:rsidR="00052CE1">
        <w:rPr>
          <w:noProof/>
          <w:color w:val="auto"/>
        </w:rPr>
        <w:t>4</w:t>
      </w:r>
      <w:r w:rsidRPr="00BB02C5">
        <w:rPr>
          <w:color w:val="auto"/>
        </w:rPr>
        <w:fldChar w:fldCharType="end"/>
      </w:r>
      <w:bookmarkEnd w:id="74"/>
      <w:r w:rsidRPr="00BB02C5">
        <w:rPr>
          <w:color w:val="auto"/>
        </w:rPr>
        <w:t>.</w:t>
      </w:r>
      <w:r>
        <w:rPr>
          <w:color w:val="auto"/>
        </w:rPr>
        <w:t xml:space="preserve"> </w:t>
      </w:r>
      <w:r w:rsidRPr="00263C91">
        <w:rPr>
          <w:b w:val="0"/>
          <w:color w:val="auto"/>
        </w:rPr>
        <w:t>Summary of submissions received through the Consultation RIS process</w:t>
      </w:r>
    </w:p>
    <w:tbl>
      <w:tblPr>
        <w:tblStyle w:val="TableGrid"/>
        <w:tblW w:w="5000" w:type="pct"/>
        <w:tblLook w:val="04A0" w:firstRow="1" w:lastRow="0" w:firstColumn="1" w:lastColumn="0" w:noHBand="0" w:noVBand="1"/>
        <w:tblCaption w:val="Table 4"/>
        <w:tblDescription w:val="Table 4. Summary of submissions received through the Consultation RIS process."/>
      </w:tblPr>
      <w:tblGrid>
        <w:gridCol w:w="4812"/>
        <w:gridCol w:w="4812"/>
      </w:tblGrid>
      <w:tr w:rsidR="0013099F" w:rsidRPr="00332003" w:rsidTr="00C85606">
        <w:trPr>
          <w:tblHeader/>
        </w:trPr>
        <w:tc>
          <w:tcPr>
            <w:tcW w:w="2500" w:type="pct"/>
            <w:shd w:val="clear" w:color="auto" w:fill="BFBFBF" w:themeFill="background1" w:themeFillShade="BF"/>
            <w:vAlign w:val="center"/>
          </w:tcPr>
          <w:p w:rsidR="0013099F" w:rsidRPr="00332003" w:rsidRDefault="0013099F" w:rsidP="00C85606">
            <w:pPr>
              <w:rPr>
                <w:b/>
                <w:sz w:val="20"/>
                <w:szCs w:val="20"/>
              </w:rPr>
            </w:pPr>
            <w:r>
              <w:rPr>
                <w:b/>
                <w:sz w:val="20"/>
                <w:szCs w:val="20"/>
              </w:rPr>
              <w:t>Grouping</w:t>
            </w:r>
          </w:p>
        </w:tc>
        <w:tc>
          <w:tcPr>
            <w:tcW w:w="2500" w:type="pct"/>
            <w:shd w:val="clear" w:color="auto" w:fill="BFBFBF" w:themeFill="background1" w:themeFillShade="BF"/>
            <w:vAlign w:val="center"/>
          </w:tcPr>
          <w:p w:rsidR="0013099F" w:rsidRPr="00332003" w:rsidRDefault="0013099F" w:rsidP="00C85606">
            <w:pPr>
              <w:jc w:val="center"/>
              <w:rPr>
                <w:b/>
                <w:sz w:val="20"/>
                <w:szCs w:val="20"/>
              </w:rPr>
            </w:pPr>
            <w:r w:rsidRPr="00332003">
              <w:rPr>
                <w:b/>
                <w:sz w:val="20"/>
                <w:szCs w:val="20"/>
              </w:rPr>
              <w:t>Submissions received</w:t>
            </w:r>
          </w:p>
        </w:tc>
      </w:tr>
      <w:tr w:rsidR="0013099F" w:rsidRPr="00332003" w:rsidTr="00C85606">
        <w:tc>
          <w:tcPr>
            <w:tcW w:w="5000" w:type="pct"/>
            <w:gridSpan w:val="2"/>
            <w:shd w:val="clear" w:color="auto" w:fill="D9D9D9" w:themeFill="background1" w:themeFillShade="D9"/>
            <w:vAlign w:val="center"/>
          </w:tcPr>
          <w:p w:rsidR="0013099F" w:rsidRPr="00684513" w:rsidRDefault="0013099F" w:rsidP="00C85606">
            <w:pPr>
              <w:rPr>
                <w:i/>
                <w:sz w:val="20"/>
                <w:szCs w:val="20"/>
              </w:rPr>
            </w:pPr>
            <w:r w:rsidRPr="00684513">
              <w:rPr>
                <w:i/>
                <w:sz w:val="20"/>
                <w:szCs w:val="20"/>
              </w:rPr>
              <w:t>Jurisdiction</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Multiple/all jurisdictions*</w:t>
            </w:r>
          </w:p>
        </w:tc>
        <w:tc>
          <w:tcPr>
            <w:tcW w:w="2500" w:type="pct"/>
            <w:vAlign w:val="center"/>
          </w:tcPr>
          <w:p w:rsidR="0013099F" w:rsidRPr="00332003" w:rsidRDefault="0013099F" w:rsidP="00C85606">
            <w:pPr>
              <w:jc w:val="center"/>
              <w:rPr>
                <w:sz w:val="20"/>
                <w:szCs w:val="20"/>
              </w:rPr>
            </w:pPr>
            <w:r w:rsidRPr="00332003">
              <w:rPr>
                <w:sz w:val="20"/>
                <w:szCs w:val="20"/>
              </w:rPr>
              <w:t>9</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Australian Capital Territory</w:t>
            </w:r>
          </w:p>
        </w:tc>
        <w:tc>
          <w:tcPr>
            <w:tcW w:w="2500" w:type="pct"/>
            <w:vAlign w:val="center"/>
          </w:tcPr>
          <w:p w:rsidR="0013099F" w:rsidRPr="00332003" w:rsidRDefault="0013099F" w:rsidP="00C85606">
            <w:pPr>
              <w:jc w:val="center"/>
              <w:rPr>
                <w:sz w:val="20"/>
                <w:szCs w:val="20"/>
              </w:rPr>
            </w:pPr>
            <w:r w:rsidRPr="00332003">
              <w:rPr>
                <w:sz w:val="20"/>
                <w:szCs w:val="20"/>
              </w:rPr>
              <w:t>Nil</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New South Wales</w:t>
            </w:r>
          </w:p>
        </w:tc>
        <w:tc>
          <w:tcPr>
            <w:tcW w:w="2500" w:type="pct"/>
            <w:vAlign w:val="center"/>
          </w:tcPr>
          <w:p w:rsidR="0013099F" w:rsidRPr="00332003" w:rsidRDefault="0013099F" w:rsidP="00C85606">
            <w:pPr>
              <w:jc w:val="center"/>
              <w:rPr>
                <w:sz w:val="20"/>
                <w:szCs w:val="20"/>
              </w:rPr>
            </w:pPr>
            <w:r w:rsidRPr="00332003">
              <w:rPr>
                <w:sz w:val="20"/>
                <w:szCs w:val="20"/>
              </w:rPr>
              <w:t>6</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Victoria</w:t>
            </w:r>
          </w:p>
        </w:tc>
        <w:tc>
          <w:tcPr>
            <w:tcW w:w="2500" w:type="pct"/>
            <w:vAlign w:val="center"/>
          </w:tcPr>
          <w:p w:rsidR="0013099F" w:rsidRPr="00332003" w:rsidRDefault="0013099F" w:rsidP="00C85606">
            <w:pPr>
              <w:jc w:val="center"/>
              <w:rPr>
                <w:sz w:val="20"/>
                <w:szCs w:val="20"/>
              </w:rPr>
            </w:pPr>
            <w:r w:rsidRPr="00332003">
              <w:rPr>
                <w:sz w:val="20"/>
                <w:szCs w:val="20"/>
              </w:rPr>
              <w:t>4</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Western Australia</w:t>
            </w:r>
          </w:p>
        </w:tc>
        <w:tc>
          <w:tcPr>
            <w:tcW w:w="2500" w:type="pct"/>
            <w:vAlign w:val="center"/>
          </w:tcPr>
          <w:p w:rsidR="0013099F" w:rsidRPr="00332003" w:rsidRDefault="0013099F" w:rsidP="00C85606">
            <w:pPr>
              <w:jc w:val="center"/>
              <w:rPr>
                <w:sz w:val="20"/>
                <w:szCs w:val="20"/>
              </w:rPr>
            </w:pPr>
            <w:r w:rsidRPr="00332003">
              <w:rPr>
                <w:sz w:val="20"/>
                <w:szCs w:val="20"/>
              </w:rPr>
              <w:t>4</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South Australia</w:t>
            </w:r>
          </w:p>
        </w:tc>
        <w:tc>
          <w:tcPr>
            <w:tcW w:w="2500" w:type="pct"/>
            <w:vAlign w:val="center"/>
          </w:tcPr>
          <w:p w:rsidR="0013099F" w:rsidRPr="00332003" w:rsidRDefault="0013099F" w:rsidP="00C85606">
            <w:pPr>
              <w:jc w:val="center"/>
              <w:rPr>
                <w:sz w:val="20"/>
                <w:szCs w:val="20"/>
              </w:rPr>
            </w:pPr>
            <w:r w:rsidRPr="00332003">
              <w:rPr>
                <w:sz w:val="20"/>
                <w:szCs w:val="20"/>
              </w:rPr>
              <w:t>4</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lastRenderedPageBreak/>
              <w:t>Queensland</w:t>
            </w:r>
          </w:p>
        </w:tc>
        <w:tc>
          <w:tcPr>
            <w:tcW w:w="2500" w:type="pct"/>
            <w:vAlign w:val="center"/>
          </w:tcPr>
          <w:p w:rsidR="0013099F" w:rsidRPr="00332003" w:rsidRDefault="0013099F" w:rsidP="00C85606">
            <w:pPr>
              <w:jc w:val="center"/>
              <w:rPr>
                <w:sz w:val="20"/>
                <w:szCs w:val="20"/>
              </w:rPr>
            </w:pPr>
            <w:r w:rsidRPr="00332003">
              <w:rPr>
                <w:sz w:val="20"/>
                <w:szCs w:val="20"/>
              </w:rPr>
              <w:t>5</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Northern Territory</w:t>
            </w:r>
          </w:p>
        </w:tc>
        <w:tc>
          <w:tcPr>
            <w:tcW w:w="2500" w:type="pct"/>
            <w:vAlign w:val="center"/>
          </w:tcPr>
          <w:p w:rsidR="0013099F" w:rsidRPr="00332003" w:rsidRDefault="0013099F" w:rsidP="00C85606">
            <w:pPr>
              <w:jc w:val="center"/>
              <w:rPr>
                <w:sz w:val="20"/>
                <w:szCs w:val="20"/>
              </w:rPr>
            </w:pPr>
            <w:r w:rsidRPr="00332003">
              <w:rPr>
                <w:sz w:val="20"/>
                <w:szCs w:val="20"/>
              </w:rPr>
              <w:t>Nil</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Tasmania</w:t>
            </w:r>
          </w:p>
        </w:tc>
        <w:tc>
          <w:tcPr>
            <w:tcW w:w="2500" w:type="pct"/>
            <w:vAlign w:val="center"/>
          </w:tcPr>
          <w:p w:rsidR="0013099F" w:rsidRPr="00332003" w:rsidRDefault="0013099F" w:rsidP="00C85606">
            <w:pPr>
              <w:jc w:val="center"/>
              <w:rPr>
                <w:sz w:val="20"/>
                <w:szCs w:val="20"/>
              </w:rPr>
            </w:pPr>
            <w:r w:rsidRPr="00332003">
              <w:rPr>
                <w:sz w:val="20"/>
                <w:szCs w:val="20"/>
              </w:rPr>
              <w:t>Nil</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Commonwealth</w:t>
            </w:r>
          </w:p>
        </w:tc>
        <w:tc>
          <w:tcPr>
            <w:tcW w:w="2500" w:type="pct"/>
            <w:vAlign w:val="center"/>
          </w:tcPr>
          <w:p w:rsidR="0013099F" w:rsidRPr="00332003" w:rsidRDefault="0013099F" w:rsidP="00C85606">
            <w:pPr>
              <w:jc w:val="center"/>
              <w:rPr>
                <w:sz w:val="20"/>
                <w:szCs w:val="20"/>
              </w:rPr>
            </w:pPr>
            <w:r w:rsidRPr="00332003">
              <w:rPr>
                <w:sz w:val="20"/>
                <w:szCs w:val="20"/>
              </w:rPr>
              <w:t>4**</w:t>
            </w:r>
          </w:p>
        </w:tc>
      </w:tr>
      <w:tr w:rsidR="0013099F" w:rsidRPr="00332003" w:rsidTr="00C85606">
        <w:tc>
          <w:tcPr>
            <w:tcW w:w="5000" w:type="pct"/>
            <w:gridSpan w:val="2"/>
            <w:shd w:val="clear" w:color="auto" w:fill="D9D9D9" w:themeFill="background1" w:themeFillShade="D9"/>
            <w:vAlign w:val="center"/>
          </w:tcPr>
          <w:p w:rsidR="0013099F" w:rsidRPr="00684513" w:rsidRDefault="0013099F" w:rsidP="00C85606">
            <w:pPr>
              <w:rPr>
                <w:i/>
                <w:sz w:val="20"/>
                <w:szCs w:val="20"/>
              </w:rPr>
            </w:pPr>
            <w:r w:rsidRPr="00684513">
              <w:rPr>
                <w:i/>
                <w:sz w:val="20"/>
                <w:szCs w:val="20"/>
              </w:rPr>
              <w:t>Business type</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Sole traders</w:t>
            </w:r>
          </w:p>
        </w:tc>
        <w:tc>
          <w:tcPr>
            <w:tcW w:w="2500" w:type="pct"/>
            <w:vAlign w:val="center"/>
          </w:tcPr>
          <w:p w:rsidR="0013099F" w:rsidRPr="00332003" w:rsidRDefault="0013099F" w:rsidP="00C85606">
            <w:pPr>
              <w:jc w:val="center"/>
              <w:rPr>
                <w:sz w:val="20"/>
                <w:szCs w:val="20"/>
              </w:rPr>
            </w:pPr>
            <w:r w:rsidRPr="00332003">
              <w:rPr>
                <w:sz w:val="20"/>
                <w:szCs w:val="20"/>
              </w:rPr>
              <w:t>Nil</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Small business (&lt; 20 employees)</w:t>
            </w:r>
          </w:p>
        </w:tc>
        <w:tc>
          <w:tcPr>
            <w:tcW w:w="2500" w:type="pct"/>
            <w:vAlign w:val="center"/>
          </w:tcPr>
          <w:p w:rsidR="0013099F" w:rsidRPr="00332003" w:rsidRDefault="0013099F" w:rsidP="00C85606">
            <w:pPr>
              <w:jc w:val="center"/>
              <w:rPr>
                <w:sz w:val="20"/>
                <w:szCs w:val="20"/>
              </w:rPr>
            </w:pPr>
            <w:r w:rsidRPr="00332003">
              <w:rPr>
                <w:sz w:val="20"/>
                <w:szCs w:val="20"/>
              </w:rPr>
              <w:t>1</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Medium business (20-199 employees)</w:t>
            </w:r>
          </w:p>
        </w:tc>
        <w:tc>
          <w:tcPr>
            <w:tcW w:w="2500" w:type="pct"/>
            <w:vAlign w:val="center"/>
          </w:tcPr>
          <w:p w:rsidR="0013099F" w:rsidRPr="00332003" w:rsidRDefault="0013099F" w:rsidP="00C85606">
            <w:pPr>
              <w:jc w:val="center"/>
              <w:rPr>
                <w:sz w:val="20"/>
                <w:szCs w:val="20"/>
              </w:rPr>
            </w:pPr>
            <w:r w:rsidRPr="00332003">
              <w:rPr>
                <w:sz w:val="20"/>
                <w:szCs w:val="20"/>
              </w:rPr>
              <w:t>4</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Large business (</w:t>
            </w:r>
            <w:r w:rsidRPr="00332003">
              <w:rPr>
                <w:rFonts w:cstheme="minorHAnsi"/>
                <w:sz w:val="20"/>
                <w:szCs w:val="20"/>
              </w:rPr>
              <w:t>≥</w:t>
            </w:r>
            <w:r w:rsidRPr="00332003">
              <w:rPr>
                <w:sz w:val="20"/>
                <w:szCs w:val="20"/>
              </w:rPr>
              <w:t xml:space="preserve"> 200 employees)</w:t>
            </w:r>
          </w:p>
        </w:tc>
        <w:tc>
          <w:tcPr>
            <w:tcW w:w="2500" w:type="pct"/>
            <w:vAlign w:val="center"/>
          </w:tcPr>
          <w:p w:rsidR="0013099F" w:rsidRPr="00332003" w:rsidRDefault="0013099F" w:rsidP="00C85606">
            <w:pPr>
              <w:jc w:val="center"/>
              <w:rPr>
                <w:sz w:val="20"/>
                <w:szCs w:val="20"/>
              </w:rPr>
            </w:pPr>
            <w:r w:rsidRPr="00332003">
              <w:rPr>
                <w:sz w:val="20"/>
                <w:szCs w:val="20"/>
              </w:rPr>
              <w:t>8</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Union</w:t>
            </w:r>
            <w:r w:rsidR="00955588">
              <w:rPr>
                <w:sz w:val="20"/>
                <w:szCs w:val="20"/>
              </w:rPr>
              <w:t>s</w:t>
            </w:r>
          </w:p>
        </w:tc>
        <w:tc>
          <w:tcPr>
            <w:tcW w:w="2500" w:type="pct"/>
            <w:vAlign w:val="center"/>
          </w:tcPr>
          <w:p w:rsidR="0013099F" w:rsidRPr="00332003" w:rsidRDefault="0013099F" w:rsidP="00C85606">
            <w:pPr>
              <w:jc w:val="center"/>
              <w:rPr>
                <w:sz w:val="20"/>
                <w:szCs w:val="20"/>
              </w:rPr>
            </w:pPr>
            <w:r w:rsidRPr="00332003">
              <w:rPr>
                <w:sz w:val="20"/>
                <w:szCs w:val="20"/>
              </w:rPr>
              <w:t>1</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Workers and their families</w:t>
            </w:r>
          </w:p>
        </w:tc>
        <w:tc>
          <w:tcPr>
            <w:tcW w:w="2500" w:type="pct"/>
            <w:vAlign w:val="center"/>
          </w:tcPr>
          <w:p w:rsidR="0013099F" w:rsidRPr="00332003" w:rsidRDefault="0013099F" w:rsidP="00C85606">
            <w:pPr>
              <w:jc w:val="center"/>
              <w:rPr>
                <w:sz w:val="20"/>
                <w:szCs w:val="20"/>
              </w:rPr>
            </w:pPr>
            <w:r w:rsidRPr="00332003">
              <w:rPr>
                <w:sz w:val="20"/>
                <w:szCs w:val="20"/>
              </w:rPr>
              <w:t>1</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Representational organisations</w:t>
            </w:r>
          </w:p>
        </w:tc>
        <w:tc>
          <w:tcPr>
            <w:tcW w:w="2500" w:type="pct"/>
            <w:vAlign w:val="center"/>
          </w:tcPr>
          <w:p w:rsidR="0013099F" w:rsidRPr="00332003" w:rsidRDefault="0013099F" w:rsidP="00C85606">
            <w:pPr>
              <w:jc w:val="center"/>
              <w:rPr>
                <w:sz w:val="20"/>
                <w:szCs w:val="20"/>
              </w:rPr>
            </w:pPr>
            <w:r w:rsidRPr="00332003">
              <w:rPr>
                <w:sz w:val="20"/>
                <w:szCs w:val="20"/>
              </w:rPr>
              <w:t>6</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Government organisations</w:t>
            </w:r>
          </w:p>
        </w:tc>
        <w:tc>
          <w:tcPr>
            <w:tcW w:w="2500" w:type="pct"/>
            <w:vAlign w:val="center"/>
          </w:tcPr>
          <w:p w:rsidR="0013099F" w:rsidRPr="00332003" w:rsidRDefault="0013099F" w:rsidP="00C85606">
            <w:pPr>
              <w:jc w:val="center"/>
              <w:rPr>
                <w:sz w:val="20"/>
                <w:szCs w:val="20"/>
              </w:rPr>
            </w:pPr>
            <w:r w:rsidRPr="00332003">
              <w:rPr>
                <w:sz w:val="20"/>
                <w:szCs w:val="20"/>
              </w:rPr>
              <w:t>8</w:t>
            </w:r>
          </w:p>
        </w:tc>
      </w:tr>
      <w:tr w:rsidR="0013099F" w:rsidRPr="00332003" w:rsidTr="00C85606">
        <w:tc>
          <w:tcPr>
            <w:tcW w:w="2500" w:type="pct"/>
            <w:vAlign w:val="center"/>
          </w:tcPr>
          <w:p w:rsidR="0013099F" w:rsidRPr="00332003" w:rsidRDefault="0013099F" w:rsidP="00C85606">
            <w:pPr>
              <w:rPr>
                <w:sz w:val="20"/>
                <w:szCs w:val="20"/>
              </w:rPr>
            </w:pPr>
            <w:r>
              <w:rPr>
                <w:sz w:val="20"/>
                <w:szCs w:val="20"/>
              </w:rPr>
              <w:t>Work Health and Safety R</w:t>
            </w:r>
            <w:r w:rsidRPr="00332003">
              <w:rPr>
                <w:sz w:val="20"/>
                <w:szCs w:val="20"/>
              </w:rPr>
              <w:t>egulators</w:t>
            </w:r>
          </w:p>
        </w:tc>
        <w:tc>
          <w:tcPr>
            <w:tcW w:w="2500" w:type="pct"/>
            <w:vAlign w:val="center"/>
          </w:tcPr>
          <w:p w:rsidR="0013099F" w:rsidRPr="00332003" w:rsidRDefault="0013099F" w:rsidP="00C85606">
            <w:pPr>
              <w:jc w:val="center"/>
              <w:rPr>
                <w:sz w:val="20"/>
                <w:szCs w:val="20"/>
              </w:rPr>
            </w:pPr>
            <w:r w:rsidRPr="00332003">
              <w:rPr>
                <w:sz w:val="20"/>
                <w:szCs w:val="20"/>
              </w:rPr>
              <w:t>4</w:t>
            </w:r>
          </w:p>
        </w:tc>
      </w:tr>
      <w:tr w:rsidR="0013099F" w:rsidRPr="00332003" w:rsidTr="00C85606">
        <w:tc>
          <w:tcPr>
            <w:tcW w:w="5000" w:type="pct"/>
            <w:gridSpan w:val="2"/>
            <w:shd w:val="clear" w:color="auto" w:fill="D9D9D9" w:themeFill="background1" w:themeFillShade="D9"/>
            <w:vAlign w:val="center"/>
          </w:tcPr>
          <w:p w:rsidR="0013099F" w:rsidRPr="00684513" w:rsidRDefault="0013099F" w:rsidP="00C85606">
            <w:pPr>
              <w:rPr>
                <w:i/>
                <w:sz w:val="20"/>
                <w:szCs w:val="20"/>
              </w:rPr>
            </w:pPr>
            <w:r w:rsidRPr="00684513">
              <w:rPr>
                <w:i/>
                <w:sz w:val="20"/>
                <w:szCs w:val="20"/>
              </w:rPr>
              <w:t>Industry</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Mining</w:t>
            </w:r>
          </w:p>
        </w:tc>
        <w:tc>
          <w:tcPr>
            <w:tcW w:w="2500" w:type="pct"/>
            <w:vAlign w:val="center"/>
          </w:tcPr>
          <w:p w:rsidR="0013099F" w:rsidRPr="00332003" w:rsidRDefault="0013099F" w:rsidP="00C85606">
            <w:pPr>
              <w:jc w:val="center"/>
              <w:rPr>
                <w:sz w:val="20"/>
                <w:szCs w:val="20"/>
              </w:rPr>
            </w:pPr>
            <w:r w:rsidRPr="00332003">
              <w:rPr>
                <w:sz w:val="20"/>
                <w:szCs w:val="20"/>
              </w:rPr>
              <w:t>6</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Defence and ammunitions</w:t>
            </w:r>
          </w:p>
        </w:tc>
        <w:tc>
          <w:tcPr>
            <w:tcW w:w="2500" w:type="pct"/>
            <w:vAlign w:val="center"/>
          </w:tcPr>
          <w:p w:rsidR="0013099F" w:rsidRPr="00332003" w:rsidRDefault="0013099F" w:rsidP="00C85606">
            <w:pPr>
              <w:jc w:val="center"/>
              <w:rPr>
                <w:sz w:val="20"/>
                <w:szCs w:val="20"/>
              </w:rPr>
            </w:pPr>
            <w:r w:rsidRPr="00332003">
              <w:rPr>
                <w:sz w:val="20"/>
                <w:szCs w:val="20"/>
              </w:rPr>
              <w:t>4</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Batteries</w:t>
            </w:r>
          </w:p>
        </w:tc>
        <w:tc>
          <w:tcPr>
            <w:tcW w:w="2500" w:type="pct"/>
            <w:vAlign w:val="center"/>
          </w:tcPr>
          <w:p w:rsidR="0013099F" w:rsidRPr="00332003" w:rsidRDefault="0013099F" w:rsidP="00C85606">
            <w:pPr>
              <w:jc w:val="center"/>
              <w:rPr>
                <w:sz w:val="20"/>
                <w:szCs w:val="20"/>
              </w:rPr>
            </w:pPr>
            <w:r w:rsidRPr="00332003">
              <w:rPr>
                <w:sz w:val="20"/>
                <w:szCs w:val="20"/>
              </w:rPr>
              <w:t>3</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Painting and associated trades</w:t>
            </w:r>
          </w:p>
        </w:tc>
        <w:tc>
          <w:tcPr>
            <w:tcW w:w="2500" w:type="pct"/>
            <w:vAlign w:val="center"/>
          </w:tcPr>
          <w:p w:rsidR="0013099F" w:rsidRPr="00332003" w:rsidRDefault="0013099F" w:rsidP="00C85606">
            <w:pPr>
              <w:jc w:val="center"/>
              <w:rPr>
                <w:sz w:val="20"/>
                <w:szCs w:val="20"/>
              </w:rPr>
            </w:pPr>
            <w:r w:rsidRPr="00332003">
              <w:rPr>
                <w:sz w:val="20"/>
                <w:szCs w:val="20"/>
              </w:rPr>
              <w:t>1</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Electronics</w:t>
            </w:r>
          </w:p>
        </w:tc>
        <w:tc>
          <w:tcPr>
            <w:tcW w:w="2500" w:type="pct"/>
            <w:vAlign w:val="center"/>
          </w:tcPr>
          <w:p w:rsidR="0013099F" w:rsidRPr="00332003" w:rsidRDefault="0013099F" w:rsidP="00C85606">
            <w:pPr>
              <w:jc w:val="center"/>
              <w:rPr>
                <w:sz w:val="20"/>
                <w:szCs w:val="20"/>
              </w:rPr>
            </w:pPr>
            <w:r w:rsidRPr="00332003">
              <w:rPr>
                <w:sz w:val="20"/>
                <w:szCs w:val="20"/>
              </w:rPr>
              <w:t>1</w:t>
            </w:r>
          </w:p>
        </w:tc>
      </w:tr>
      <w:tr w:rsidR="0013099F" w:rsidRPr="00332003" w:rsidTr="00C85606">
        <w:tc>
          <w:tcPr>
            <w:tcW w:w="2500" w:type="pct"/>
            <w:vAlign w:val="center"/>
          </w:tcPr>
          <w:p w:rsidR="0013099F" w:rsidRPr="00332003" w:rsidRDefault="0013099F" w:rsidP="00C85606">
            <w:pPr>
              <w:rPr>
                <w:sz w:val="20"/>
                <w:szCs w:val="20"/>
              </w:rPr>
            </w:pPr>
            <w:r w:rsidRPr="00332003">
              <w:rPr>
                <w:sz w:val="20"/>
                <w:szCs w:val="20"/>
              </w:rPr>
              <w:t>Milling</w:t>
            </w:r>
          </w:p>
        </w:tc>
        <w:tc>
          <w:tcPr>
            <w:tcW w:w="2500" w:type="pct"/>
            <w:vAlign w:val="center"/>
          </w:tcPr>
          <w:p w:rsidR="0013099F" w:rsidRPr="00332003" w:rsidRDefault="0013099F" w:rsidP="00C85606">
            <w:pPr>
              <w:jc w:val="center"/>
              <w:rPr>
                <w:sz w:val="20"/>
                <w:szCs w:val="20"/>
              </w:rPr>
            </w:pPr>
            <w:r w:rsidRPr="00332003">
              <w:rPr>
                <w:sz w:val="20"/>
                <w:szCs w:val="20"/>
              </w:rPr>
              <w:t>1</w:t>
            </w:r>
          </w:p>
        </w:tc>
      </w:tr>
      <w:tr w:rsidR="0013099F" w:rsidRPr="00332003" w:rsidTr="00C85606">
        <w:tc>
          <w:tcPr>
            <w:tcW w:w="2500" w:type="pct"/>
            <w:vAlign w:val="center"/>
          </w:tcPr>
          <w:p w:rsidR="0013099F" w:rsidRPr="00332003" w:rsidRDefault="0013099F" w:rsidP="00C85606">
            <w:pPr>
              <w:rPr>
                <w:sz w:val="20"/>
                <w:szCs w:val="20"/>
              </w:rPr>
            </w:pPr>
            <w:r>
              <w:rPr>
                <w:sz w:val="20"/>
                <w:szCs w:val="20"/>
              </w:rPr>
              <w:t>Smelting/foundry</w:t>
            </w:r>
          </w:p>
        </w:tc>
        <w:tc>
          <w:tcPr>
            <w:tcW w:w="2500" w:type="pct"/>
            <w:vAlign w:val="center"/>
          </w:tcPr>
          <w:p w:rsidR="0013099F" w:rsidRPr="00332003" w:rsidRDefault="0013099F" w:rsidP="00C85606">
            <w:pPr>
              <w:jc w:val="center"/>
              <w:rPr>
                <w:sz w:val="20"/>
                <w:szCs w:val="20"/>
              </w:rPr>
            </w:pPr>
            <w:r w:rsidRPr="00332003">
              <w:rPr>
                <w:sz w:val="20"/>
                <w:szCs w:val="20"/>
              </w:rPr>
              <w:t>1</w:t>
            </w:r>
          </w:p>
        </w:tc>
      </w:tr>
    </w:tbl>
    <w:p w:rsidR="0013099F" w:rsidRPr="00BB02C5" w:rsidRDefault="0013099F" w:rsidP="0013099F">
      <w:pPr>
        <w:pStyle w:val="ListBullet"/>
        <w:numPr>
          <w:ilvl w:val="0"/>
          <w:numId w:val="0"/>
        </w:numPr>
        <w:rPr>
          <w:sz w:val="18"/>
        </w:rPr>
      </w:pPr>
      <w:r w:rsidRPr="00BB02C5">
        <w:rPr>
          <w:sz w:val="16"/>
          <w:szCs w:val="20"/>
        </w:rPr>
        <w:t>*</w:t>
      </w:r>
      <w:r w:rsidRPr="00BB02C5">
        <w:rPr>
          <w:sz w:val="18"/>
        </w:rPr>
        <w:t xml:space="preserve"> Responses include business with representation in multiple jurisdictions; therefore the total is larger than the actual number of submissions received</w:t>
      </w:r>
    </w:p>
    <w:p w:rsidR="0013099F" w:rsidRPr="00BB02C5" w:rsidRDefault="0013099F" w:rsidP="0013099F">
      <w:pPr>
        <w:pStyle w:val="ListBullet"/>
        <w:numPr>
          <w:ilvl w:val="0"/>
          <w:numId w:val="0"/>
        </w:numPr>
        <w:rPr>
          <w:sz w:val="18"/>
        </w:rPr>
      </w:pPr>
      <w:r w:rsidRPr="00BB02C5">
        <w:rPr>
          <w:sz w:val="18"/>
        </w:rPr>
        <w:t>** 3 were submitted by the same Commonwealth Department</w:t>
      </w:r>
    </w:p>
    <w:p w:rsidR="00471641" w:rsidRPr="00C9446F" w:rsidRDefault="00471641" w:rsidP="00471641">
      <w:r w:rsidRPr="00C9446F">
        <w:t>Responses received during the consultation proces</w:t>
      </w:r>
      <w:r>
        <w:t>s have helped to fill data gaps</w:t>
      </w:r>
      <w:r w:rsidRPr="00C9446F">
        <w:t xml:space="preserve"> and inform the preferred policy options. </w:t>
      </w:r>
      <w:r>
        <w:t>Submissions</w:t>
      </w:r>
      <w:r w:rsidRPr="00C9446F">
        <w:t xml:space="preserve"> assisted in developing a complete understanding of the costs and likely impacts which may occur if the requirements for </w:t>
      </w:r>
      <w:r>
        <w:t xml:space="preserve">the control of workplace </w:t>
      </w:r>
      <w:r w:rsidRPr="00C9446F">
        <w:t xml:space="preserve">lead exposure are changed under the model </w:t>
      </w:r>
      <w:r>
        <w:t>WHS</w:t>
      </w:r>
      <w:r w:rsidRPr="00C9446F">
        <w:t xml:space="preserve"> Regulations. This included an understanding of the feasib</w:t>
      </w:r>
      <w:r>
        <w:t>ility for businesses to meet the proposed standards</w:t>
      </w:r>
      <w:r w:rsidRPr="00C9446F">
        <w:t>, what effects any changes may have on workforce participation, and the cost of any changes to control methods or worker testing processes currently in place.</w:t>
      </w:r>
    </w:p>
    <w:p w:rsidR="00417EBC" w:rsidRDefault="007F116B" w:rsidP="00417EBC">
      <w:r>
        <w:rPr>
          <w:rFonts w:cstheme="minorHAnsi"/>
        </w:rPr>
        <w:t xml:space="preserve">Additional </w:t>
      </w:r>
      <w:r w:rsidR="006E133F">
        <w:rPr>
          <w:rFonts w:cstheme="minorHAnsi"/>
        </w:rPr>
        <w:t xml:space="preserve">direct </w:t>
      </w:r>
      <w:r>
        <w:rPr>
          <w:rFonts w:cstheme="minorHAnsi"/>
        </w:rPr>
        <w:t xml:space="preserve">consultation was conducted with key </w:t>
      </w:r>
      <w:r w:rsidR="00542710">
        <w:rPr>
          <w:rFonts w:cstheme="minorHAnsi"/>
        </w:rPr>
        <w:t>lead risk</w:t>
      </w:r>
      <w:r>
        <w:rPr>
          <w:rFonts w:cstheme="minorHAnsi"/>
        </w:rPr>
        <w:t xml:space="preserve"> businesses to </w:t>
      </w:r>
      <w:r w:rsidR="006E133F">
        <w:rPr>
          <w:rFonts w:cstheme="minorHAnsi"/>
        </w:rPr>
        <w:t>clarify impacts and costs for the cost-benefit analysis.</w:t>
      </w:r>
      <w:r w:rsidR="00417EBC">
        <w:rPr>
          <w:rFonts w:cstheme="minorHAnsi"/>
        </w:rPr>
        <w:t xml:space="preserve"> </w:t>
      </w:r>
      <w:r w:rsidR="00574A68">
        <w:t>F</w:t>
      </w:r>
      <w:r w:rsidR="00417EBC">
        <w:t>ollow up interviews were conducted with a number of the businesses that provided submissions. These encompassed a range of lead process businesses including:</w:t>
      </w:r>
    </w:p>
    <w:p w:rsidR="00417EBC" w:rsidRDefault="00417EBC" w:rsidP="00263482">
      <w:pPr>
        <w:pStyle w:val="ListParagraph"/>
        <w:numPr>
          <w:ilvl w:val="0"/>
          <w:numId w:val="44"/>
        </w:numPr>
      </w:pPr>
      <w:r>
        <w:t>Mining</w:t>
      </w:r>
    </w:p>
    <w:p w:rsidR="00417EBC" w:rsidRDefault="00417EBC" w:rsidP="00263482">
      <w:pPr>
        <w:pStyle w:val="ListParagraph"/>
        <w:numPr>
          <w:ilvl w:val="0"/>
          <w:numId w:val="44"/>
        </w:numPr>
      </w:pPr>
      <w:r>
        <w:t>Ammunitions and defence</w:t>
      </w:r>
    </w:p>
    <w:p w:rsidR="00417EBC" w:rsidRDefault="00417EBC" w:rsidP="00263482">
      <w:pPr>
        <w:pStyle w:val="ListParagraph"/>
        <w:numPr>
          <w:ilvl w:val="0"/>
          <w:numId w:val="44"/>
        </w:numPr>
      </w:pPr>
      <w:r>
        <w:t>Foundry</w:t>
      </w:r>
    </w:p>
    <w:p w:rsidR="00417EBC" w:rsidRDefault="00417EBC" w:rsidP="00263482">
      <w:pPr>
        <w:pStyle w:val="ListParagraph"/>
        <w:numPr>
          <w:ilvl w:val="0"/>
          <w:numId w:val="44"/>
        </w:numPr>
      </w:pPr>
      <w:r>
        <w:t>Milling</w:t>
      </w:r>
    </w:p>
    <w:p w:rsidR="00417EBC" w:rsidRDefault="00417EBC" w:rsidP="00263482">
      <w:pPr>
        <w:pStyle w:val="ListParagraph"/>
        <w:numPr>
          <w:ilvl w:val="0"/>
          <w:numId w:val="44"/>
        </w:numPr>
      </w:pPr>
      <w:r>
        <w:t>Consultancies</w:t>
      </w:r>
    </w:p>
    <w:p w:rsidR="00417EBC" w:rsidRDefault="00417EBC" w:rsidP="00263482">
      <w:pPr>
        <w:pStyle w:val="ListParagraph"/>
        <w:numPr>
          <w:ilvl w:val="0"/>
          <w:numId w:val="44"/>
        </w:numPr>
      </w:pPr>
      <w:r>
        <w:t xml:space="preserve">Battery manufacturing and recycling, and </w:t>
      </w:r>
    </w:p>
    <w:p w:rsidR="00417EBC" w:rsidRDefault="00417EBC" w:rsidP="00263482">
      <w:pPr>
        <w:pStyle w:val="ListParagraph"/>
        <w:numPr>
          <w:ilvl w:val="0"/>
          <w:numId w:val="44"/>
        </w:numPr>
      </w:pPr>
      <w:r>
        <w:t>Painting and home renovations.</w:t>
      </w:r>
    </w:p>
    <w:p w:rsidR="007F116B" w:rsidRDefault="00417EBC" w:rsidP="00417EBC">
      <w:pPr>
        <w:rPr>
          <w:rFonts w:cstheme="minorHAnsi"/>
        </w:rPr>
      </w:pPr>
      <w:r>
        <w:t>The purpose of the follow up consultations was to confirm the information provided in submissions and to collect additional information to assist with quantifying the costs and benefits of the proposed options.</w:t>
      </w:r>
    </w:p>
    <w:p w:rsidR="00FA24C7" w:rsidRDefault="00FA24C7" w:rsidP="007F116B">
      <w:pPr>
        <w:rPr>
          <w:rFonts w:cstheme="minorHAnsi"/>
        </w:rPr>
      </w:pPr>
      <w:r>
        <w:rPr>
          <w:rFonts w:cstheme="minorHAnsi"/>
        </w:rPr>
        <w:t>As current re</w:t>
      </w:r>
      <w:r w:rsidR="0013099F">
        <w:rPr>
          <w:rFonts w:cstheme="minorHAnsi"/>
        </w:rPr>
        <w:t>gulations require notifying</w:t>
      </w:r>
      <w:r>
        <w:rPr>
          <w:rFonts w:cstheme="minorHAnsi"/>
        </w:rPr>
        <w:t xml:space="preserve"> the</w:t>
      </w:r>
      <w:r w:rsidR="0013099F">
        <w:rPr>
          <w:rFonts w:cstheme="minorHAnsi"/>
        </w:rPr>
        <w:t xml:space="preserve"> WHS</w:t>
      </w:r>
      <w:r>
        <w:rPr>
          <w:rFonts w:cstheme="minorHAnsi"/>
        </w:rPr>
        <w:t xml:space="preserve"> Regulator of health monitoring results and worker removals due to exceeding the blood lead removal level, </w:t>
      </w:r>
      <w:r w:rsidR="002872C5">
        <w:rPr>
          <w:rFonts w:cstheme="minorHAnsi"/>
        </w:rPr>
        <w:t xml:space="preserve">WHS Regulators provided data on </w:t>
      </w:r>
      <w:r>
        <w:rPr>
          <w:rFonts w:cstheme="minorHAnsi"/>
        </w:rPr>
        <w:t>lead risk worker numbers, blood lead levels and the time a worker may be removed from lead risk work.</w:t>
      </w:r>
    </w:p>
    <w:p w:rsidR="00A84C1B" w:rsidRDefault="00471641">
      <w:r w:rsidRPr="00471641">
        <w:t xml:space="preserve">An analysis of submissions received can be found at Chapter </w:t>
      </w:r>
      <w:r w:rsidR="00FB7668">
        <w:t>6</w:t>
      </w:r>
      <w:r w:rsidRPr="00471641">
        <w:t xml:space="preserve"> and the information and data collected has been used to inform </w:t>
      </w:r>
      <w:r w:rsidR="009868E7">
        <w:t>a</w:t>
      </w:r>
      <w:r w:rsidRPr="00471641">
        <w:t xml:space="preserve"> course of regulatory action to manage the adverse effects of exposure to workplace lead.</w:t>
      </w:r>
      <w:r w:rsidR="00A84C1B">
        <w:br w:type="page"/>
      </w:r>
    </w:p>
    <w:p w:rsidR="00722AE0" w:rsidRDefault="0035186A" w:rsidP="00EE21D9">
      <w:pPr>
        <w:pStyle w:val="Heading1-number"/>
        <w:rPr>
          <w:rFonts w:asciiTheme="minorHAnsi" w:hAnsiTheme="minorHAnsi" w:cstheme="minorHAnsi"/>
        </w:rPr>
      </w:pPr>
      <w:bookmarkStart w:id="75" w:name="_Toc459276908"/>
      <w:r>
        <w:rPr>
          <w:rFonts w:asciiTheme="minorHAnsi" w:hAnsiTheme="minorHAnsi" w:cstheme="minorHAnsi"/>
        </w:rPr>
        <w:lastRenderedPageBreak/>
        <w:t>Options and analysis</w:t>
      </w:r>
      <w:bookmarkEnd w:id="75"/>
    </w:p>
    <w:p w:rsidR="00C7203C" w:rsidRPr="00313AAD" w:rsidRDefault="00C7203C" w:rsidP="00263482">
      <w:pPr>
        <w:pStyle w:val="Heading2"/>
        <w:ind w:left="426"/>
      </w:pPr>
      <w:bookmarkStart w:id="76" w:name="_Toc459276909"/>
      <w:r w:rsidRPr="00313AAD">
        <w:t>Options considered</w:t>
      </w:r>
      <w:bookmarkEnd w:id="76"/>
    </w:p>
    <w:p w:rsidR="00DF7365" w:rsidRPr="004C4DEF" w:rsidRDefault="00B969C2" w:rsidP="00E77182">
      <w:pPr>
        <w:pStyle w:val="Heading3"/>
      </w:pPr>
      <w:r w:rsidRPr="004C4DEF">
        <w:t>Blood lead removal level</w:t>
      </w:r>
      <w:r w:rsidR="00DF7365" w:rsidRPr="004C4DEF">
        <w:t>s</w:t>
      </w:r>
    </w:p>
    <w:p w:rsidR="0035186A" w:rsidRPr="00536A47" w:rsidRDefault="0035186A" w:rsidP="0035186A">
      <w:pPr>
        <w:pStyle w:val="Paragraph1"/>
        <w:spacing w:before="120" w:after="120"/>
        <w:rPr>
          <w:rFonts w:asciiTheme="minorHAnsi" w:hAnsiTheme="minorHAnsi" w:cstheme="minorHAnsi"/>
        </w:rPr>
      </w:pPr>
      <w:r w:rsidRPr="00536A47">
        <w:rPr>
          <w:rFonts w:asciiTheme="minorHAnsi" w:hAnsiTheme="minorHAnsi" w:cstheme="minorHAnsi"/>
        </w:rPr>
        <w:t xml:space="preserve">Under model Work Health and Safety (WHS) laws, biological monitoring (blood lead level testing) is used as the primary method of measuring </w:t>
      </w:r>
      <w:r w:rsidR="00532205">
        <w:rPr>
          <w:rFonts w:asciiTheme="minorHAnsi" w:hAnsiTheme="minorHAnsi" w:cstheme="minorHAnsi"/>
        </w:rPr>
        <w:t>workplace exposure to lead</w:t>
      </w:r>
      <w:r w:rsidRPr="00536A47">
        <w:rPr>
          <w:rFonts w:asciiTheme="minorHAnsi" w:hAnsiTheme="minorHAnsi" w:cstheme="minorHAnsi"/>
        </w:rPr>
        <w:t xml:space="preserve">. </w:t>
      </w:r>
      <w:r w:rsidRPr="00536A47">
        <w:rPr>
          <w:rFonts w:asciiTheme="minorHAnsi" w:hAnsiTheme="minorHAnsi" w:cstheme="minorHAnsi"/>
          <w:color w:val="000000"/>
        </w:rPr>
        <w:t xml:space="preserve">The purpose of biological monitoring is to </w:t>
      </w:r>
      <w:r w:rsidRPr="00536A47">
        <w:rPr>
          <w:rFonts w:asciiTheme="minorHAnsi" w:hAnsiTheme="minorHAnsi" w:cstheme="minorHAnsi"/>
        </w:rPr>
        <w:t xml:space="preserve">detect any individual who </w:t>
      </w:r>
      <w:r w:rsidR="00DF7365">
        <w:rPr>
          <w:rFonts w:asciiTheme="minorHAnsi" w:hAnsiTheme="minorHAnsi" w:cstheme="minorHAnsi"/>
        </w:rPr>
        <w:t>may be</w:t>
      </w:r>
      <w:r w:rsidRPr="00536A47">
        <w:rPr>
          <w:rFonts w:asciiTheme="minorHAnsi" w:hAnsiTheme="minorHAnsi" w:cstheme="minorHAnsi"/>
        </w:rPr>
        <w:t xml:space="preserve"> at risk</w:t>
      </w:r>
      <w:r w:rsidR="00DF7365">
        <w:rPr>
          <w:rFonts w:asciiTheme="minorHAnsi" w:hAnsiTheme="minorHAnsi" w:cstheme="minorHAnsi"/>
        </w:rPr>
        <w:t xml:space="preserve"> of adverse</w:t>
      </w:r>
      <w:r w:rsidR="00983792">
        <w:rPr>
          <w:rFonts w:asciiTheme="minorHAnsi" w:hAnsiTheme="minorHAnsi" w:cstheme="minorHAnsi"/>
        </w:rPr>
        <w:t xml:space="preserve"> health</w:t>
      </w:r>
      <w:r w:rsidR="00DF7365">
        <w:rPr>
          <w:rFonts w:asciiTheme="minorHAnsi" w:hAnsiTheme="minorHAnsi" w:cstheme="minorHAnsi"/>
        </w:rPr>
        <w:t xml:space="preserve"> effects</w:t>
      </w:r>
      <w:r w:rsidRPr="00536A47">
        <w:rPr>
          <w:rFonts w:asciiTheme="minorHAnsi" w:hAnsiTheme="minorHAnsi" w:cstheme="minorHAnsi"/>
        </w:rPr>
        <w:t xml:space="preserve"> and monitor the effectiveness of the risk management strategies that have been </w:t>
      </w:r>
      <w:r w:rsidR="00983792">
        <w:rPr>
          <w:rFonts w:asciiTheme="minorHAnsi" w:hAnsiTheme="minorHAnsi" w:cstheme="minorHAnsi"/>
        </w:rPr>
        <w:t>applied</w:t>
      </w:r>
      <w:r w:rsidRPr="00536A47">
        <w:rPr>
          <w:rFonts w:asciiTheme="minorHAnsi" w:hAnsiTheme="minorHAnsi" w:cstheme="minorHAnsi"/>
        </w:rPr>
        <w:t>.</w:t>
      </w:r>
    </w:p>
    <w:p w:rsidR="0035186A" w:rsidRPr="00536A47" w:rsidRDefault="00542710" w:rsidP="0069565C">
      <w:pPr>
        <w:pStyle w:val="Paragraph1"/>
        <w:spacing w:before="120" w:after="120"/>
        <w:rPr>
          <w:rFonts w:asciiTheme="minorHAnsi" w:hAnsiTheme="minorHAnsi" w:cstheme="minorHAnsi"/>
        </w:rPr>
      </w:pPr>
      <w:r>
        <w:rPr>
          <w:rFonts w:asciiTheme="minorHAnsi" w:hAnsiTheme="minorHAnsi" w:cstheme="minorHAnsi"/>
        </w:rPr>
        <w:t>“</w:t>
      </w:r>
      <w:r w:rsidR="0035186A" w:rsidRPr="00536A47">
        <w:rPr>
          <w:rFonts w:asciiTheme="minorHAnsi" w:hAnsiTheme="minorHAnsi" w:cstheme="minorHAnsi"/>
        </w:rPr>
        <w:t>At risk workers</w:t>
      </w:r>
      <w:r>
        <w:rPr>
          <w:rFonts w:asciiTheme="minorHAnsi" w:hAnsiTheme="minorHAnsi" w:cstheme="minorHAnsi"/>
        </w:rPr>
        <w:t>”</w:t>
      </w:r>
      <w:r w:rsidR="0035186A" w:rsidRPr="00536A47">
        <w:rPr>
          <w:rFonts w:asciiTheme="minorHAnsi" w:hAnsiTheme="minorHAnsi" w:cstheme="minorHAnsi"/>
        </w:rPr>
        <w:t xml:space="preserve"> must be immediately removed from carrying out </w:t>
      </w:r>
      <w:r>
        <w:rPr>
          <w:rFonts w:asciiTheme="minorHAnsi" w:hAnsiTheme="minorHAnsi" w:cstheme="minorHAnsi"/>
        </w:rPr>
        <w:t>lead risk</w:t>
      </w:r>
      <w:r w:rsidR="0035186A" w:rsidRPr="00536A47">
        <w:rPr>
          <w:rFonts w:asciiTheme="minorHAnsi" w:hAnsiTheme="minorHAnsi" w:cstheme="minorHAnsi"/>
        </w:rPr>
        <w:t xml:space="preserve"> work if their blood lead levels are at or greater than:</w:t>
      </w:r>
    </w:p>
    <w:p w:rsidR="0035186A" w:rsidRPr="00536A47" w:rsidRDefault="0035186A" w:rsidP="0035186A">
      <w:pPr>
        <w:pStyle w:val="ListBullet"/>
        <w:rPr>
          <w:rFonts w:cstheme="minorHAnsi"/>
        </w:rPr>
      </w:pPr>
      <w:r w:rsidRPr="00536A47">
        <w:rPr>
          <w:rFonts w:cstheme="minorHAnsi"/>
        </w:rPr>
        <w:t>5</w:t>
      </w:r>
      <w:r w:rsidR="00DF7365">
        <w:rPr>
          <w:rFonts w:cstheme="minorHAnsi"/>
        </w:rPr>
        <w:t xml:space="preserve">0 </w:t>
      </w:r>
      <w:r w:rsidRPr="00536A47">
        <w:rPr>
          <w:rFonts w:cstheme="minorHAnsi"/>
        </w:rPr>
        <w:t>μg/dL for females not of reproductive capacity</w:t>
      </w:r>
      <w:r w:rsidR="00DF7365">
        <w:rPr>
          <w:rFonts w:cstheme="minorHAnsi"/>
        </w:rPr>
        <w:t xml:space="preserve"> </w:t>
      </w:r>
      <w:r w:rsidRPr="00536A47">
        <w:rPr>
          <w:rFonts w:cstheme="minorHAnsi"/>
        </w:rPr>
        <w:t>and males</w:t>
      </w:r>
    </w:p>
    <w:p w:rsidR="0035186A" w:rsidRPr="00536A47" w:rsidRDefault="0035186A" w:rsidP="0035186A">
      <w:pPr>
        <w:pStyle w:val="ListBullet"/>
        <w:rPr>
          <w:rFonts w:cstheme="minorHAnsi"/>
        </w:rPr>
      </w:pPr>
      <w:r w:rsidRPr="00536A47">
        <w:rPr>
          <w:rFonts w:cstheme="minorHAnsi"/>
        </w:rPr>
        <w:t>20 µg/dL for females of reproductive capacity, and</w:t>
      </w:r>
    </w:p>
    <w:p w:rsidR="0035186A" w:rsidRDefault="0035186A" w:rsidP="0035186A">
      <w:pPr>
        <w:pStyle w:val="ListBullet"/>
        <w:rPr>
          <w:rFonts w:cstheme="minorHAnsi"/>
        </w:rPr>
      </w:pPr>
      <w:r w:rsidRPr="00536A47">
        <w:rPr>
          <w:rFonts w:cstheme="minorHAnsi"/>
        </w:rPr>
        <w:t>15 µg/dL for females who are pregnant or breastfeeding.</w:t>
      </w:r>
    </w:p>
    <w:p w:rsidR="00983792" w:rsidRDefault="00983792" w:rsidP="00983792">
      <w:pPr>
        <w:pStyle w:val="Paragraph1"/>
        <w:spacing w:before="120" w:after="120"/>
        <w:rPr>
          <w:rFonts w:asciiTheme="minorHAnsi" w:hAnsiTheme="minorHAnsi" w:cstheme="minorHAnsi"/>
        </w:rPr>
      </w:pPr>
      <w:r>
        <w:rPr>
          <w:rFonts w:asciiTheme="minorHAnsi" w:hAnsiTheme="minorHAnsi" w:cstheme="minorHAnsi"/>
        </w:rPr>
        <w:t xml:space="preserve">Once removed, workers </w:t>
      </w:r>
      <w:r w:rsidR="00A021A1">
        <w:rPr>
          <w:rFonts w:asciiTheme="minorHAnsi" w:hAnsiTheme="minorHAnsi" w:cstheme="minorHAnsi"/>
        </w:rPr>
        <w:t>cannot</w:t>
      </w:r>
      <w:r>
        <w:rPr>
          <w:rFonts w:asciiTheme="minorHAnsi" w:hAnsiTheme="minorHAnsi" w:cstheme="minorHAnsi"/>
        </w:rPr>
        <w:t xml:space="preserve"> return to </w:t>
      </w:r>
      <w:r w:rsidR="00A021A1">
        <w:rPr>
          <w:rFonts w:asciiTheme="minorHAnsi" w:hAnsiTheme="minorHAnsi" w:cstheme="minorHAnsi"/>
        </w:rPr>
        <w:t xml:space="preserve">lead risk </w:t>
      </w:r>
      <w:r>
        <w:rPr>
          <w:rFonts w:asciiTheme="minorHAnsi" w:hAnsiTheme="minorHAnsi" w:cstheme="minorHAnsi"/>
        </w:rPr>
        <w:t>work until</w:t>
      </w:r>
      <w:r w:rsidR="00A021A1">
        <w:rPr>
          <w:rFonts w:asciiTheme="minorHAnsi" w:hAnsiTheme="minorHAnsi" w:cstheme="minorHAnsi"/>
        </w:rPr>
        <w:t>:</w:t>
      </w:r>
    </w:p>
    <w:p w:rsidR="00983792" w:rsidRDefault="00A021A1" w:rsidP="00263482">
      <w:pPr>
        <w:pStyle w:val="Paragraph1"/>
        <w:numPr>
          <w:ilvl w:val="0"/>
          <w:numId w:val="38"/>
        </w:numPr>
        <w:spacing w:before="120" w:after="120"/>
        <w:rPr>
          <w:rFonts w:asciiTheme="minorHAnsi" w:hAnsiTheme="minorHAnsi" w:cstheme="minorHAnsi"/>
        </w:rPr>
      </w:pPr>
      <w:r>
        <w:rPr>
          <w:rFonts w:asciiTheme="minorHAnsi" w:hAnsiTheme="minorHAnsi" w:cstheme="minorHAnsi"/>
        </w:rPr>
        <w:t xml:space="preserve">the blood lead level </w:t>
      </w:r>
      <w:r w:rsidR="00983792">
        <w:rPr>
          <w:rFonts w:asciiTheme="minorHAnsi" w:hAnsiTheme="minorHAnsi" w:cstheme="minorHAnsi"/>
        </w:rPr>
        <w:t xml:space="preserve">is less than 40 </w:t>
      </w:r>
      <w:r w:rsidR="00983792" w:rsidRPr="00983792">
        <w:rPr>
          <w:rFonts w:asciiTheme="minorHAnsi" w:hAnsiTheme="minorHAnsi" w:cstheme="minorHAnsi"/>
        </w:rPr>
        <w:t>μg</w:t>
      </w:r>
      <w:r w:rsidR="00983792">
        <w:rPr>
          <w:rFonts w:asciiTheme="minorHAnsi" w:hAnsiTheme="minorHAnsi" w:cstheme="minorHAnsi"/>
        </w:rPr>
        <w:t xml:space="preserve">/dL (1.93 </w:t>
      </w:r>
      <w:r w:rsidR="00983792" w:rsidRPr="00983792">
        <w:rPr>
          <w:rFonts w:asciiTheme="minorHAnsi" w:hAnsiTheme="minorHAnsi" w:cstheme="minorHAnsi"/>
        </w:rPr>
        <w:t>µmol</w:t>
      </w:r>
      <w:r w:rsidR="00983792">
        <w:rPr>
          <w:rFonts w:asciiTheme="minorHAnsi" w:hAnsiTheme="minorHAnsi" w:cstheme="minorHAnsi"/>
        </w:rPr>
        <w:t>/L) for females not of reproductive capacity and males, or</w:t>
      </w:r>
    </w:p>
    <w:p w:rsidR="00983792" w:rsidRDefault="00A021A1" w:rsidP="00263482">
      <w:pPr>
        <w:pStyle w:val="Paragraph1"/>
        <w:numPr>
          <w:ilvl w:val="0"/>
          <w:numId w:val="38"/>
        </w:numPr>
        <w:spacing w:before="120" w:after="120"/>
        <w:rPr>
          <w:rFonts w:asciiTheme="minorHAnsi" w:hAnsiTheme="minorHAnsi" w:cstheme="minorHAnsi"/>
        </w:rPr>
      </w:pPr>
      <w:r>
        <w:rPr>
          <w:rFonts w:asciiTheme="minorHAnsi" w:hAnsiTheme="minorHAnsi" w:cstheme="minorHAnsi"/>
        </w:rPr>
        <w:t xml:space="preserve">the blood lead level </w:t>
      </w:r>
      <w:r w:rsidR="00983792">
        <w:rPr>
          <w:rFonts w:asciiTheme="minorHAnsi" w:hAnsiTheme="minorHAnsi" w:cstheme="minorHAnsi"/>
        </w:rPr>
        <w:t xml:space="preserve">is less than 10 </w:t>
      </w:r>
      <w:r w:rsidR="00983792" w:rsidRPr="00983792">
        <w:rPr>
          <w:rFonts w:asciiTheme="minorHAnsi" w:hAnsiTheme="minorHAnsi" w:cstheme="minorHAnsi"/>
        </w:rPr>
        <w:t>μg</w:t>
      </w:r>
      <w:r w:rsidR="00983792">
        <w:rPr>
          <w:rFonts w:asciiTheme="minorHAnsi" w:hAnsiTheme="minorHAnsi" w:cstheme="minorHAnsi"/>
        </w:rPr>
        <w:t xml:space="preserve">/dL (0.48 </w:t>
      </w:r>
      <w:r w:rsidR="00983792" w:rsidRPr="00983792">
        <w:rPr>
          <w:rFonts w:asciiTheme="minorHAnsi" w:hAnsiTheme="minorHAnsi" w:cstheme="minorHAnsi"/>
        </w:rPr>
        <w:t>µmol</w:t>
      </w:r>
      <w:r w:rsidR="00983792">
        <w:rPr>
          <w:rFonts w:asciiTheme="minorHAnsi" w:hAnsiTheme="minorHAnsi" w:cstheme="minorHAnsi"/>
        </w:rPr>
        <w:t>/L) for females of reproductive capacity, and</w:t>
      </w:r>
    </w:p>
    <w:p w:rsidR="00983792" w:rsidRPr="00983792" w:rsidRDefault="00983792" w:rsidP="00263482">
      <w:pPr>
        <w:pStyle w:val="Paragraph1"/>
        <w:numPr>
          <w:ilvl w:val="0"/>
          <w:numId w:val="38"/>
        </w:numPr>
        <w:spacing w:before="120" w:after="120"/>
        <w:rPr>
          <w:rFonts w:asciiTheme="minorHAnsi" w:hAnsiTheme="minorHAnsi" w:cstheme="minorHAnsi"/>
        </w:rPr>
      </w:pPr>
      <w:r>
        <w:rPr>
          <w:rFonts w:asciiTheme="minorHAnsi" w:hAnsiTheme="minorHAnsi" w:cstheme="minorHAnsi"/>
        </w:rPr>
        <w:t xml:space="preserve">a registered medical practitioner with experience in health monitoring is satisfied that the worker is fit to return to carrying out lead risk work. </w:t>
      </w:r>
    </w:p>
    <w:p w:rsidR="0069565C" w:rsidRPr="0069565C" w:rsidRDefault="002872C5" w:rsidP="00E77182">
      <w:pPr>
        <w:pStyle w:val="Heading4"/>
        <w:rPr>
          <w:rFonts w:eastAsia="Times New Roman"/>
          <w:b w:val="0"/>
          <w:bCs/>
          <w:iCs/>
          <w:lang w:eastAsia="en-AU"/>
        </w:rPr>
      </w:pPr>
      <w:r>
        <w:rPr>
          <w:rFonts w:eastAsia="Times New Roman"/>
          <w:lang w:eastAsia="en-AU"/>
        </w:rPr>
        <w:t xml:space="preserve">The following </w:t>
      </w:r>
      <w:r w:rsidR="0069565C" w:rsidRPr="0069565C">
        <w:rPr>
          <w:rFonts w:eastAsia="Times New Roman"/>
          <w:lang w:eastAsia="en-AU"/>
        </w:rPr>
        <w:t xml:space="preserve">options </w:t>
      </w:r>
      <w:r>
        <w:rPr>
          <w:rFonts w:eastAsia="Times New Roman"/>
          <w:lang w:eastAsia="en-AU"/>
        </w:rPr>
        <w:t xml:space="preserve">were </w:t>
      </w:r>
      <w:r w:rsidR="0069565C" w:rsidRPr="0069565C">
        <w:rPr>
          <w:rFonts w:eastAsia="Times New Roman"/>
          <w:lang w:eastAsia="en-AU"/>
        </w:rPr>
        <w:t>pr</w:t>
      </w:r>
      <w:r w:rsidR="002E4FF8">
        <w:rPr>
          <w:rFonts w:eastAsia="Times New Roman"/>
          <w:lang w:eastAsia="en-AU"/>
        </w:rPr>
        <w:t>oposed</w:t>
      </w:r>
      <w:r w:rsidR="0069565C" w:rsidRPr="0069565C">
        <w:rPr>
          <w:rFonts w:eastAsia="Times New Roman"/>
          <w:lang w:eastAsia="en-AU"/>
        </w:rPr>
        <w:t xml:space="preserve"> for blo</w:t>
      </w:r>
      <w:r w:rsidR="003B31D7">
        <w:rPr>
          <w:rFonts w:eastAsia="Times New Roman"/>
          <w:lang w:eastAsia="en-AU"/>
        </w:rPr>
        <w:t>o</w:t>
      </w:r>
      <w:r w:rsidR="0069565C" w:rsidRPr="0069565C">
        <w:rPr>
          <w:rFonts w:eastAsia="Times New Roman"/>
          <w:lang w:eastAsia="en-AU"/>
        </w:rPr>
        <w:t>d lead removal levels for lead risk workers:</w:t>
      </w:r>
    </w:p>
    <w:p w:rsidR="0035186A" w:rsidRPr="00536A47" w:rsidRDefault="0035186A" w:rsidP="0035186A">
      <w:pPr>
        <w:pStyle w:val="ListBullet"/>
        <w:rPr>
          <w:rFonts w:cstheme="minorHAnsi"/>
        </w:rPr>
      </w:pPr>
      <w:r w:rsidRPr="00263C91">
        <w:rPr>
          <w:rFonts w:cstheme="minorHAnsi"/>
          <w:b/>
        </w:rPr>
        <w:t>Option 1</w:t>
      </w:r>
      <w:r w:rsidRPr="00263C91">
        <w:rPr>
          <w:rFonts w:cstheme="minorHAnsi"/>
        </w:rPr>
        <w:t>:</w:t>
      </w:r>
      <w:r w:rsidRPr="00536A47">
        <w:rPr>
          <w:rFonts w:cstheme="minorHAnsi"/>
        </w:rPr>
        <w:t xml:space="preserve"> Status quo (no changes to </w:t>
      </w:r>
      <w:r w:rsidR="002872C5">
        <w:rPr>
          <w:rFonts w:cstheme="minorHAnsi"/>
        </w:rPr>
        <w:t xml:space="preserve">current </w:t>
      </w:r>
      <w:r w:rsidRPr="00536A47">
        <w:rPr>
          <w:rFonts w:cstheme="minorHAnsi"/>
        </w:rPr>
        <w:t>mandated blood lead removal levels)</w:t>
      </w:r>
    </w:p>
    <w:p w:rsidR="0035186A" w:rsidRPr="00536A47" w:rsidRDefault="0035186A" w:rsidP="0035186A">
      <w:pPr>
        <w:pStyle w:val="ListBullet"/>
        <w:rPr>
          <w:rFonts w:cstheme="minorHAnsi"/>
        </w:rPr>
      </w:pPr>
      <w:r w:rsidRPr="00263C91">
        <w:rPr>
          <w:rFonts w:cstheme="minorHAnsi"/>
          <w:b/>
        </w:rPr>
        <w:t>Option 2</w:t>
      </w:r>
      <w:r w:rsidRPr="00263C91">
        <w:rPr>
          <w:rFonts w:cstheme="minorHAnsi"/>
        </w:rPr>
        <w:t>:</w:t>
      </w:r>
      <w:r w:rsidRPr="00536A47">
        <w:rPr>
          <w:rFonts w:cstheme="minorHAnsi"/>
        </w:rPr>
        <w:t xml:space="preserve"> </w:t>
      </w:r>
      <w:r w:rsidR="002E4FF8">
        <w:rPr>
          <w:rFonts w:cstheme="minorHAnsi"/>
        </w:rPr>
        <w:t>Reducing</w:t>
      </w:r>
      <w:r w:rsidRPr="00536A47">
        <w:rPr>
          <w:rFonts w:cstheme="minorHAnsi"/>
        </w:rPr>
        <w:t xml:space="preserve"> </w:t>
      </w:r>
      <w:r w:rsidR="002872C5">
        <w:rPr>
          <w:rFonts w:cstheme="minorHAnsi"/>
        </w:rPr>
        <w:t>current b</w:t>
      </w:r>
      <w:r w:rsidRPr="00536A47">
        <w:rPr>
          <w:rFonts w:cstheme="minorHAnsi"/>
        </w:rPr>
        <w:t>lood lead removal levels and related requirements to reflect epidemiological and toxicological evidence:</w:t>
      </w:r>
    </w:p>
    <w:p w:rsidR="00DF7365" w:rsidRDefault="0035186A" w:rsidP="00E74961">
      <w:pPr>
        <w:pStyle w:val="ListBullet2"/>
        <w:numPr>
          <w:ilvl w:val="1"/>
          <w:numId w:val="3"/>
        </w:numPr>
        <w:rPr>
          <w:rFonts w:cstheme="minorHAnsi"/>
        </w:rPr>
      </w:pPr>
      <w:r w:rsidRPr="00536A47">
        <w:rPr>
          <w:rFonts w:cstheme="minorHAnsi"/>
        </w:rPr>
        <w:t xml:space="preserve">a 20 μg/dL (target level) and 30 μg/dL (removal level) for females </w:t>
      </w:r>
      <w:r w:rsidR="00DF7365">
        <w:rPr>
          <w:rFonts w:cstheme="minorHAnsi"/>
        </w:rPr>
        <w:t xml:space="preserve">not </w:t>
      </w:r>
      <w:r w:rsidRPr="00536A47">
        <w:rPr>
          <w:rFonts w:cstheme="minorHAnsi"/>
        </w:rPr>
        <w:t>of</w:t>
      </w:r>
      <w:r w:rsidRPr="00536A47">
        <w:rPr>
          <w:rFonts w:cstheme="minorHAnsi"/>
        </w:rPr>
        <w:tab/>
        <w:t xml:space="preserve">reproductive capacity and </w:t>
      </w:r>
      <w:r w:rsidR="00DF7365">
        <w:rPr>
          <w:rFonts w:cstheme="minorHAnsi"/>
        </w:rPr>
        <w:t>males, and</w:t>
      </w:r>
    </w:p>
    <w:p w:rsidR="0035186A" w:rsidRPr="00536A47" w:rsidRDefault="0035186A" w:rsidP="00E74961">
      <w:pPr>
        <w:pStyle w:val="ListBullet2"/>
        <w:numPr>
          <w:ilvl w:val="1"/>
          <w:numId w:val="3"/>
        </w:numPr>
        <w:rPr>
          <w:rFonts w:cstheme="minorHAnsi"/>
        </w:rPr>
      </w:pPr>
      <w:r w:rsidRPr="00536A47">
        <w:rPr>
          <w:rFonts w:cstheme="minorHAnsi"/>
        </w:rPr>
        <w:t>10 μg/dL r</w:t>
      </w:r>
      <w:r w:rsidR="00DF7365">
        <w:rPr>
          <w:rFonts w:cstheme="minorHAnsi"/>
        </w:rPr>
        <w:t xml:space="preserve">emoval level for females </w:t>
      </w:r>
      <w:r w:rsidRPr="00536A47">
        <w:rPr>
          <w:rFonts w:cstheme="minorHAnsi"/>
        </w:rPr>
        <w:t>of reproductive capacity</w:t>
      </w:r>
      <w:r w:rsidR="000C62B2">
        <w:rPr>
          <w:rStyle w:val="FootnoteReference"/>
          <w:rFonts w:cstheme="minorHAnsi"/>
        </w:rPr>
        <w:footnoteReference w:id="11"/>
      </w:r>
      <w:r w:rsidRPr="00536A47">
        <w:rPr>
          <w:rFonts w:cstheme="minorHAnsi"/>
        </w:rPr>
        <w:t>.</w:t>
      </w:r>
    </w:p>
    <w:p w:rsidR="0035186A" w:rsidRPr="00536A47" w:rsidRDefault="0035186A" w:rsidP="0035186A">
      <w:pPr>
        <w:pStyle w:val="ListBullet"/>
        <w:rPr>
          <w:rFonts w:cstheme="minorHAnsi"/>
        </w:rPr>
      </w:pPr>
      <w:r w:rsidRPr="00263C91">
        <w:rPr>
          <w:rFonts w:cstheme="minorHAnsi"/>
          <w:b/>
        </w:rPr>
        <w:t>Option 3</w:t>
      </w:r>
      <w:r w:rsidRPr="00263C91">
        <w:rPr>
          <w:rFonts w:cstheme="minorHAnsi"/>
        </w:rPr>
        <w:t>:</w:t>
      </w:r>
      <w:r w:rsidRPr="00536A47">
        <w:rPr>
          <w:rFonts w:cstheme="minorHAnsi"/>
        </w:rPr>
        <w:t xml:space="preserve"> Gender neutral blood lead removal level</w:t>
      </w:r>
      <w:r w:rsidR="002E4FF8">
        <w:rPr>
          <w:rFonts w:cstheme="minorHAnsi"/>
        </w:rPr>
        <w:t xml:space="preserve"> to protect the most vulnerable sub-population</w:t>
      </w:r>
      <w:r w:rsidRPr="00536A47">
        <w:rPr>
          <w:rFonts w:cstheme="minorHAnsi"/>
        </w:rPr>
        <w:t>:</w:t>
      </w:r>
    </w:p>
    <w:p w:rsidR="00DF7365" w:rsidRPr="00843B26" w:rsidRDefault="0035186A" w:rsidP="00E74961">
      <w:pPr>
        <w:pStyle w:val="ListBullet2"/>
        <w:numPr>
          <w:ilvl w:val="1"/>
          <w:numId w:val="3"/>
        </w:numPr>
        <w:rPr>
          <w:rFonts w:cstheme="minorHAnsi"/>
        </w:rPr>
      </w:pPr>
      <w:r w:rsidRPr="00536A47">
        <w:rPr>
          <w:rFonts w:cstheme="minorHAnsi"/>
        </w:rPr>
        <w:tab/>
        <w:t>a 10 μg/dL removal level for all workers.</w:t>
      </w:r>
    </w:p>
    <w:p w:rsidR="00FB7668" w:rsidRDefault="00FB7668" w:rsidP="00FB7668">
      <w:r>
        <w:t>Both Options 2 and 3 for reducing the blood lead removal level will have flow on effects on related regulations including:</w:t>
      </w:r>
    </w:p>
    <w:p w:rsidR="00FB7668" w:rsidRDefault="00FB7668" w:rsidP="00263482">
      <w:pPr>
        <w:pStyle w:val="ListParagraph"/>
        <w:numPr>
          <w:ilvl w:val="0"/>
          <w:numId w:val="69"/>
        </w:numPr>
      </w:pPr>
      <w:r>
        <w:t>meaning of lead risk work (regulation 394)</w:t>
      </w:r>
    </w:p>
    <w:p w:rsidR="00FB7668" w:rsidRDefault="00FB7668" w:rsidP="00263482">
      <w:pPr>
        <w:pStyle w:val="ListParagraph"/>
        <w:numPr>
          <w:ilvl w:val="0"/>
          <w:numId w:val="69"/>
        </w:numPr>
      </w:pPr>
      <w:r>
        <w:t>frequency of biological monitoring (regulation 407), and</w:t>
      </w:r>
    </w:p>
    <w:p w:rsidR="00FB7668" w:rsidRDefault="00FB7668" w:rsidP="00263482">
      <w:pPr>
        <w:pStyle w:val="ListParagraph"/>
        <w:numPr>
          <w:ilvl w:val="0"/>
          <w:numId w:val="69"/>
        </w:numPr>
      </w:pPr>
      <w:r>
        <w:t>return to lead risk work after removal (regulation 417).</w:t>
      </w:r>
    </w:p>
    <w:p w:rsidR="00EF2A60" w:rsidRPr="004C4DEF" w:rsidRDefault="00EF2A60" w:rsidP="00E77182">
      <w:pPr>
        <w:pStyle w:val="Heading3"/>
      </w:pPr>
      <w:r w:rsidRPr="004C4DEF">
        <w:t xml:space="preserve">Air monitoring </w:t>
      </w:r>
      <w:r w:rsidR="00684513" w:rsidRPr="004C4DEF">
        <w:t>–</w:t>
      </w:r>
      <w:r w:rsidR="001D7396" w:rsidRPr="004C4DEF">
        <w:t xml:space="preserve"> workplace exposure standard </w:t>
      </w:r>
      <w:r w:rsidRPr="004C4DEF">
        <w:t>for</w:t>
      </w:r>
      <w:r w:rsidR="001D7396" w:rsidRPr="004C4DEF">
        <w:t xml:space="preserve"> dusts and fumes of inorganic lead</w:t>
      </w:r>
    </w:p>
    <w:p w:rsidR="001D7396" w:rsidRDefault="00EF2A60" w:rsidP="00EF2A60">
      <w:pPr>
        <w:pStyle w:val="Paragraph1"/>
        <w:spacing w:before="120" w:after="120"/>
        <w:rPr>
          <w:rFonts w:asciiTheme="minorHAnsi" w:hAnsiTheme="minorHAnsi" w:cstheme="minorHAnsi"/>
          <w:color w:val="000000"/>
          <w:szCs w:val="22"/>
        </w:rPr>
      </w:pPr>
      <w:r w:rsidRPr="00536A47">
        <w:rPr>
          <w:rFonts w:asciiTheme="minorHAnsi" w:hAnsiTheme="minorHAnsi" w:cstheme="minorHAnsi"/>
          <w:color w:val="000000"/>
          <w:szCs w:val="22"/>
        </w:rPr>
        <w:t xml:space="preserve">The Australian mandatory </w:t>
      </w:r>
      <w:r w:rsidR="00684513">
        <w:rPr>
          <w:rFonts w:asciiTheme="minorHAnsi" w:hAnsiTheme="minorHAnsi" w:cstheme="minorHAnsi"/>
          <w:color w:val="000000"/>
          <w:szCs w:val="22"/>
        </w:rPr>
        <w:t>WES</w:t>
      </w:r>
      <w:r w:rsidRPr="00536A47">
        <w:rPr>
          <w:rFonts w:asciiTheme="minorHAnsi" w:hAnsiTheme="minorHAnsi" w:cstheme="minorHAnsi"/>
          <w:color w:val="000000"/>
          <w:szCs w:val="22"/>
        </w:rPr>
        <w:t xml:space="preserve"> for lead is</w:t>
      </w:r>
      <w:r w:rsidR="00A021A1">
        <w:rPr>
          <w:rFonts w:asciiTheme="minorHAnsi" w:hAnsiTheme="minorHAnsi" w:cstheme="minorHAnsi"/>
          <w:color w:val="000000"/>
          <w:szCs w:val="22"/>
        </w:rPr>
        <w:t xml:space="preserve"> a TWA of</w:t>
      </w:r>
      <w:r w:rsidRPr="00536A47">
        <w:rPr>
          <w:rFonts w:asciiTheme="minorHAnsi" w:hAnsiTheme="minorHAnsi" w:cstheme="minorHAnsi"/>
          <w:color w:val="000000"/>
          <w:szCs w:val="22"/>
        </w:rPr>
        <w:t xml:space="preserve"> 0.15 mg/m</w:t>
      </w:r>
      <w:r w:rsidRPr="00536A47">
        <w:rPr>
          <w:rFonts w:asciiTheme="minorHAnsi" w:hAnsiTheme="minorHAnsi" w:cstheme="minorHAnsi"/>
          <w:szCs w:val="22"/>
          <w:vertAlign w:val="superscript"/>
        </w:rPr>
        <w:t>3</w:t>
      </w:r>
      <w:r w:rsidRPr="00536A47">
        <w:rPr>
          <w:rFonts w:asciiTheme="minorHAnsi" w:hAnsiTheme="minorHAnsi" w:cstheme="minorHAnsi"/>
          <w:color w:val="000000"/>
          <w:szCs w:val="22"/>
        </w:rPr>
        <w:t xml:space="preserve">. </w:t>
      </w:r>
    </w:p>
    <w:p w:rsidR="00EF2A60" w:rsidRPr="00536A47" w:rsidRDefault="001D7396" w:rsidP="00EF2A60">
      <w:pPr>
        <w:pStyle w:val="Paragraph1"/>
        <w:spacing w:before="120" w:after="120"/>
        <w:rPr>
          <w:rFonts w:asciiTheme="minorHAnsi" w:hAnsiTheme="minorHAnsi" w:cstheme="minorHAnsi"/>
          <w:color w:val="000000"/>
          <w:szCs w:val="22"/>
        </w:rPr>
      </w:pPr>
      <w:r w:rsidRPr="00536A47">
        <w:rPr>
          <w:rFonts w:asciiTheme="minorHAnsi" w:hAnsiTheme="minorHAnsi" w:cstheme="minorHAnsi"/>
          <w:szCs w:val="22"/>
        </w:rPr>
        <w:t>The</w:t>
      </w:r>
      <w:r>
        <w:rPr>
          <w:rFonts w:asciiTheme="minorHAnsi" w:hAnsiTheme="minorHAnsi" w:cstheme="minorHAnsi"/>
          <w:szCs w:val="22"/>
        </w:rPr>
        <w:t>re is</w:t>
      </w:r>
      <w:r w:rsidRPr="00536A47">
        <w:rPr>
          <w:rFonts w:asciiTheme="minorHAnsi" w:hAnsiTheme="minorHAnsi" w:cstheme="minorHAnsi"/>
          <w:szCs w:val="22"/>
        </w:rPr>
        <w:t xml:space="preserve"> evidence </w:t>
      </w:r>
      <w:r>
        <w:rPr>
          <w:rFonts w:asciiTheme="minorHAnsi" w:hAnsiTheme="minorHAnsi" w:cstheme="minorHAnsi"/>
          <w:szCs w:val="22"/>
        </w:rPr>
        <w:t xml:space="preserve">showing </w:t>
      </w:r>
      <w:r w:rsidRPr="00536A47">
        <w:rPr>
          <w:rFonts w:asciiTheme="minorHAnsi" w:hAnsiTheme="minorHAnsi" w:cstheme="minorHAnsi"/>
          <w:szCs w:val="22"/>
        </w:rPr>
        <w:t xml:space="preserve">a link between the level of airborne lead contaminants and blood lead levels of </w:t>
      </w:r>
      <w:r>
        <w:rPr>
          <w:rFonts w:asciiTheme="minorHAnsi" w:hAnsiTheme="minorHAnsi" w:cstheme="minorHAnsi"/>
          <w:szCs w:val="22"/>
        </w:rPr>
        <w:t>exposed</w:t>
      </w:r>
      <w:r w:rsidRPr="00536A47">
        <w:rPr>
          <w:rFonts w:asciiTheme="minorHAnsi" w:hAnsiTheme="minorHAnsi" w:cstheme="minorHAnsi"/>
          <w:szCs w:val="22"/>
        </w:rPr>
        <w:t xml:space="preserve"> people</w:t>
      </w:r>
      <w:r>
        <w:rPr>
          <w:rFonts w:asciiTheme="minorHAnsi" w:hAnsiTheme="minorHAnsi" w:cstheme="minorHAnsi"/>
          <w:szCs w:val="22"/>
        </w:rPr>
        <w:t xml:space="preserve"> (SWA 2014b)</w:t>
      </w:r>
      <w:r w:rsidRPr="00536A47">
        <w:rPr>
          <w:rFonts w:asciiTheme="minorHAnsi" w:hAnsiTheme="minorHAnsi" w:cstheme="minorHAnsi"/>
          <w:szCs w:val="22"/>
        </w:rPr>
        <w:t>.</w:t>
      </w:r>
      <w:r>
        <w:rPr>
          <w:rFonts w:asciiTheme="minorHAnsi" w:hAnsiTheme="minorHAnsi" w:cstheme="minorHAnsi"/>
          <w:szCs w:val="22"/>
        </w:rPr>
        <w:t xml:space="preserve"> Therefore, i</w:t>
      </w:r>
      <w:r w:rsidR="00EF2A60" w:rsidRPr="00536A47">
        <w:rPr>
          <w:rFonts w:asciiTheme="minorHAnsi" w:hAnsiTheme="minorHAnsi" w:cstheme="minorHAnsi"/>
          <w:color w:val="000000"/>
          <w:szCs w:val="22"/>
        </w:rPr>
        <w:t>f blood lead levels in workers are to be reduced, this standard needs to be reduced proportionately.</w:t>
      </w:r>
    </w:p>
    <w:p w:rsidR="00EF2A60" w:rsidRPr="00536A47" w:rsidRDefault="002E4FF8" w:rsidP="00EF2A60">
      <w:pPr>
        <w:autoSpaceDE w:val="0"/>
        <w:autoSpaceDN w:val="0"/>
        <w:adjustRightInd w:val="0"/>
        <w:spacing w:line="201" w:lineRule="atLeast"/>
        <w:rPr>
          <w:rFonts w:cstheme="minorHAnsi"/>
        </w:rPr>
      </w:pPr>
      <w:r>
        <w:rPr>
          <w:rFonts w:cstheme="minorHAnsi"/>
        </w:rPr>
        <w:t>Proposed o</w:t>
      </w:r>
      <w:r w:rsidR="00EF2A60" w:rsidRPr="00536A47">
        <w:rPr>
          <w:rFonts w:cstheme="minorHAnsi"/>
        </w:rPr>
        <w:t>ptions for the Australian Workplace Exposure Standard (WES) for</w:t>
      </w:r>
      <w:r w:rsidR="001D7396">
        <w:rPr>
          <w:rFonts w:cstheme="minorHAnsi"/>
        </w:rPr>
        <w:t xml:space="preserve"> dusts and fumes of inorganic</w:t>
      </w:r>
      <w:r w:rsidR="00EF2A60" w:rsidRPr="00536A47">
        <w:rPr>
          <w:rFonts w:cstheme="minorHAnsi"/>
        </w:rPr>
        <w:t xml:space="preserve"> lead are:</w:t>
      </w:r>
    </w:p>
    <w:p w:rsidR="00EF2A60" w:rsidRPr="00536A47" w:rsidRDefault="00EF2A60" w:rsidP="00EF2A60">
      <w:pPr>
        <w:pStyle w:val="ListBullet"/>
        <w:rPr>
          <w:rFonts w:cstheme="minorHAnsi"/>
        </w:rPr>
      </w:pPr>
      <w:r w:rsidRPr="00263C91">
        <w:rPr>
          <w:rFonts w:cstheme="minorHAnsi"/>
          <w:b/>
        </w:rPr>
        <w:t>Option 1</w:t>
      </w:r>
      <w:r w:rsidRPr="00536A47">
        <w:rPr>
          <w:rFonts w:cstheme="minorHAnsi"/>
        </w:rPr>
        <w:t>: Status quo (</w:t>
      </w:r>
      <w:r>
        <w:rPr>
          <w:rFonts w:cstheme="minorHAnsi"/>
        </w:rPr>
        <w:t xml:space="preserve">retain a </w:t>
      </w:r>
      <w:r w:rsidRPr="00536A47">
        <w:rPr>
          <w:rFonts w:cstheme="minorHAnsi"/>
        </w:rPr>
        <w:t>workplace exposure standard of 0.15 mg/m</w:t>
      </w:r>
      <w:r w:rsidRPr="00536A47">
        <w:rPr>
          <w:rFonts w:cstheme="minorHAnsi"/>
          <w:vertAlign w:val="superscript"/>
        </w:rPr>
        <w:t>3</w:t>
      </w:r>
      <w:r w:rsidRPr="00536A47">
        <w:rPr>
          <w:rFonts w:cstheme="minorHAnsi"/>
        </w:rPr>
        <w:t>)</w:t>
      </w:r>
    </w:p>
    <w:p w:rsidR="00EF2A60" w:rsidRPr="00536A47" w:rsidRDefault="00EF2A60" w:rsidP="00EF2A60">
      <w:pPr>
        <w:pStyle w:val="ListBullet"/>
        <w:rPr>
          <w:rFonts w:cstheme="minorHAnsi"/>
        </w:rPr>
      </w:pPr>
      <w:r w:rsidRPr="00263C91">
        <w:rPr>
          <w:rFonts w:cstheme="minorHAnsi"/>
          <w:b/>
        </w:rPr>
        <w:lastRenderedPageBreak/>
        <w:t>Option 2</w:t>
      </w:r>
      <w:r w:rsidRPr="00536A47">
        <w:rPr>
          <w:rFonts w:cstheme="minorHAnsi"/>
        </w:rPr>
        <w:t xml:space="preserve">: </w:t>
      </w:r>
      <w:r>
        <w:rPr>
          <w:rFonts w:cstheme="minorHAnsi"/>
        </w:rPr>
        <w:t>Reduce the w</w:t>
      </w:r>
      <w:r w:rsidRPr="00536A47">
        <w:rPr>
          <w:rFonts w:cstheme="minorHAnsi"/>
        </w:rPr>
        <w:t xml:space="preserve">orkplace exposure standard </w:t>
      </w:r>
      <w:r>
        <w:rPr>
          <w:rFonts w:cstheme="minorHAnsi"/>
        </w:rPr>
        <w:t>to</w:t>
      </w:r>
      <w:r w:rsidRPr="00536A47">
        <w:rPr>
          <w:rFonts w:cstheme="minorHAnsi"/>
        </w:rPr>
        <w:t xml:space="preserve"> 0.05 mg/m</w:t>
      </w:r>
      <w:r w:rsidRPr="00536A47">
        <w:rPr>
          <w:rFonts w:cstheme="minorHAnsi"/>
          <w:vertAlign w:val="superscript"/>
        </w:rPr>
        <w:t>3</w:t>
      </w:r>
    </w:p>
    <w:p w:rsidR="00EF2A60" w:rsidRPr="00536A47" w:rsidRDefault="00EF2A60" w:rsidP="00EF2A60">
      <w:pPr>
        <w:pStyle w:val="ListBullet"/>
        <w:rPr>
          <w:rFonts w:cstheme="minorHAnsi"/>
        </w:rPr>
      </w:pPr>
      <w:r w:rsidRPr="00263C91">
        <w:rPr>
          <w:rFonts w:cstheme="minorHAnsi"/>
          <w:b/>
        </w:rPr>
        <w:t>Option 3</w:t>
      </w:r>
      <w:r w:rsidRPr="00536A47">
        <w:rPr>
          <w:rFonts w:cstheme="minorHAnsi"/>
        </w:rPr>
        <w:t xml:space="preserve">: </w:t>
      </w:r>
      <w:r>
        <w:rPr>
          <w:rFonts w:cstheme="minorHAnsi"/>
        </w:rPr>
        <w:t>Reduce the w</w:t>
      </w:r>
      <w:r w:rsidRPr="00536A47">
        <w:rPr>
          <w:rFonts w:cstheme="minorHAnsi"/>
        </w:rPr>
        <w:t xml:space="preserve">orkplace exposure standard </w:t>
      </w:r>
      <w:r>
        <w:rPr>
          <w:rFonts w:cstheme="minorHAnsi"/>
        </w:rPr>
        <w:t xml:space="preserve">to </w:t>
      </w:r>
      <w:r w:rsidRPr="00536A47">
        <w:rPr>
          <w:rFonts w:cstheme="minorHAnsi"/>
        </w:rPr>
        <w:t>0.01 mg/m</w:t>
      </w:r>
      <w:r w:rsidRPr="00536A47">
        <w:rPr>
          <w:rFonts w:cstheme="minorHAnsi"/>
          <w:vertAlign w:val="superscript"/>
        </w:rPr>
        <w:t>3</w:t>
      </w:r>
      <w:r>
        <w:rPr>
          <w:rFonts w:cstheme="minorHAnsi"/>
          <w:vertAlign w:val="superscript"/>
        </w:rPr>
        <w:t xml:space="preserve"> </w:t>
      </w:r>
      <w:r w:rsidRPr="00536A47">
        <w:rPr>
          <w:rFonts w:cstheme="minorHAnsi"/>
        </w:rPr>
        <w:t>to protect the most vulnerable group</w:t>
      </w:r>
    </w:p>
    <w:p w:rsidR="00EF2A60" w:rsidRPr="00843B26" w:rsidRDefault="00EF2A60" w:rsidP="00EF2A60">
      <w:pPr>
        <w:pStyle w:val="ListBullet"/>
        <w:rPr>
          <w:rFonts w:cstheme="minorHAnsi"/>
        </w:rPr>
      </w:pPr>
      <w:r w:rsidRPr="00263C91">
        <w:rPr>
          <w:rFonts w:cstheme="minorHAnsi"/>
          <w:b/>
        </w:rPr>
        <w:t>Option 4</w:t>
      </w:r>
      <w:r w:rsidRPr="00536A47">
        <w:rPr>
          <w:rFonts w:cstheme="minorHAnsi"/>
        </w:rPr>
        <w:t>: Non-regulatory approach (non-mandatory) work airborne level of 0.15 mg/m</w:t>
      </w:r>
      <w:r w:rsidRPr="00536A47">
        <w:rPr>
          <w:rFonts w:cstheme="minorHAnsi"/>
          <w:vertAlign w:val="superscript"/>
        </w:rPr>
        <w:t>3</w:t>
      </w:r>
      <w:r w:rsidRPr="00536A47">
        <w:rPr>
          <w:rFonts w:cstheme="minorHAnsi"/>
        </w:rPr>
        <w:t>, 0.05 mg/m</w:t>
      </w:r>
      <w:r w:rsidRPr="00536A47">
        <w:rPr>
          <w:rFonts w:cstheme="minorHAnsi"/>
          <w:vertAlign w:val="superscript"/>
        </w:rPr>
        <w:t>3</w:t>
      </w:r>
      <w:r w:rsidRPr="00536A47">
        <w:rPr>
          <w:rFonts w:cstheme="minorHAnsi"/>
        </w:rPr>
        <w:t xml:space="preserve"> or 0.01 mg/m</w:t>
      </w:r>
      <w:r w:rsidRPr="00536A47">
        <w:rPr>
          <w:rFonts w:cstheme="minorHAnsi"/>
          <w:vertAlign w:val="superscript"/>
        </w:rPr>
        <w:t>3</w:t>
      </w:r>
      <w:r w:rsidRPr="00536A47">
        <w:rPr>
          <w:rFonts w:cstheme="minorHAnsi"/>
        </w:rPr>
        <w:t xml:space="preserve"> depe</w:t>
      </w:r>
      <w:r>
        <w:rPr>
          <w:rFonts w:cstheme="minorHAnsi"/>
        </w:rPr>
        <w:t xml:space="preserve">ndant on the preferred </w:t>
      </w:r>
      <w:r w:rsidR="00B969C2">
        <w:rPr>
          <w:rFonts w:cstheme="minorHAnsi"/>
        </w:rPr>
        <w:t>blood lead removal level</w:t>
      </w:r>
      <w:r>
        <w:rPr>
          <w:rFonts w:cstheme="minorHAnsi"/>
        </w:rPr>
        <w:t xml:space="preserve"> option.</w:t>
      </w:r>
      <w:r w:rsidRPr="00536A47">
        <w:rPr>
          <w:rFonts w:cstheme="minorHAnsi"/>
        </w:rPr>
        <w:t xml:space="preserve"> </w:t>
      </w:r>
    </w:p>
    <w:p w:rsidR="00EF2A60" w:rsidRPr="004C4DEF" w:rsidRDefault="00EF2A60" w:rsidP="00E77182">
      <w:pPr>
        <w:pStyle w:val="Heading3"/>
      </w:pPr>
      <w:r w:rsidRPr="004C4DEF">
        <w:t>Transition period</w:t>
      </w:r>
    </w:p>
    <w:p w:rsidR="00EF2A60" w:rsidRDefault="001D7396" w:rsidP="00EF2A60">
      <w:r>
        <w:t>With the exception of</w:t>
      </w:r>
      <w:r w:rsidR="00EF2A60">
        <w:t xml:space="preserve"> the status quo, the options pro</w:t>
      </w:r>
      <w:r>
        <w:t>posed</w:t>
      </w:r>
      <w:r w:rsidR="00EF2A60">
        <w:t xml:space="preserve"> involve changes to the regulatory framework; therefore appropriate transition periods need to be considered</w:t>
      </w:r>
      <w:r w:rsidR="002E4FF8">
        <w:t xml:space="preserve"> to allow businesses time to comply</w:t>
      </w:r>
      <w:r w:rsidR="00EF2A60">
        <w:t>.</w:t>
      </w:r>
    </w:p>
    <w:p w:rsidR="00EF2A60" w:rsidRDefault="002872C5" w:rsidP="002872C5">
      <w:pPr>
        <w:rPr>
          <w:rFonts w:cstheme="minorHAnsi"/>
        </w:rPr>
      </w:pPr>
      <w:r>
        <w:t xml:space="preserve">A two year or, alternatively, a four year </w:t>
      </w:r>
      <w:r w:rsidR="00EF2A60">
        <w:t>transition period</w:t>
      </w:r>
      <w:r>
        <w:t xml:space="preserve"> was </w:t>
      </w:r>
      <w:r w:rsidR="002E4FF8">
        <w:t>proposed</w:t>
      </w:r>
      <w:r w:rsidR="00EF2A60">
        <w:t xml:space="preserve"> during consultation</w:t>
      </w:r>
      <w:r>
        <w:t>.</w:t>
      </w:r>
    </w:p>
    <w:p w:rsidR="00C7203C" w:rsidRPr="00313AAD" w:rsidRDefault="00C7203C" w:rsidP="00263482">
      <w:pPr>
        <w:pStyle w:val="Heading2"/>
        <w:ind w:left="426"/>
      </w:pPr>
      <w:bookmarkStart w:id="77" w:name="_Toc459276910"/>
      <w:r w:rsidRPr="00263482">
        <w:t>Analysis</w:t>
      </w:r>
      <w:r w:rsidRPr="00313AAD">
        <w:t xml:space="preserve"> of options</w:t>
      </w:r>
      <w:bookmarkEnd w:id="77"/>
    </w:p>
    <w:p w:rsidR="002E4FF8" w:rsidRDefault="00C7203C" w:rsidP="00263482">
      <w:bookmarkStart w:id="78" w:name="_Toc406411137"/>
      <w:bookmarkStart w:id="79" w:name="_Toc406419591"/>
      <w:bookmarkStart w:id="80" w:name="_Ref433801224"/>
      <w:r>
        <w:t xml:space="preserve">The </w:t>
      </w:r>
      <w:r w:rsidR="002E4FF8">
        <w:t>analyses of options address</w:t>
      </w:r>
      <w:r>
        <w:t xml:space="preserve"> the problem of current regulatory limits not being reflective of current toxicological evidence and therefore not protective of worker health and safety.</w:t>
      </w:r>
    </w:p>
    <w:p w:rsidR="00C7203C" w:rsidRDefault="00C7203C">
      <w:r>
        <w:t xml:space="preserve">In considering the options </w:t>
      </w:r>
      <w:r w:rsidR="002E4FF8">
        <w:t>proposed</w:t>
      </w:r>
      <w:r>
        <w:t xml:space="preserve">, the likely impact on health and safety of workers and businesses conducting </w:t>
      </w:r>
      <w:r w:rsidR="00542710">
        <w:t>lead risk</w:t>
      </w:r>
      <w:r>
        <w:t xml:space="preserve"> work, government and the general community have been evaluated. Impacts have been measured:</w:t>
      </w:r>
    </w:p>
    <w:p w:rsidR="00C7203C" w:rsidRDefault="00C7203C" w:rsidP="00263482">
      <w:pPr>
        <w:pStyle w:val="ListParagraph"/>
        <w:numPr>
          <w:ilvl w:val="0"/>
          <w:numId w:val="22"/>
        </w:numPr>
      </w:pPr>
      <w:r w:rsidRPr="00263C91">
        <w:t xml:space="preserve">Quantitatively </w:t>
      </w:r>
      <w:r>
        <w:t>– cost benefit analysis has been undertaken and the economic impact has been modelled wherever possible; and</w:t>
      </w:r>
    </w:p>
    <w:p w:rsidR="00C7203C" w:rsidRDefault="00C7203C" w:rsidP="00263482">
      <w:pPr>
        <w:pStyle w:val="ListParagraph"/>
        <w:numPr>
          <w:ilvl w:val="0"/>
          <w:numId w:val="22"/>
        </w:numPr>
      </w:pPr>
      <w:r w:rsidRPr="00263C91">
        <w:t>Qualitatively</w:t>
      </w:r>
      <w:r>
        <w:t xml:space="preserve"> – anticipated impacts on stakeholders, the community and the environment have been outlined where there was a lack of data to support a quantitative assessment.</w:t>
      </w:r>
    </w:p>
    <w:p w:rsidR="00332003" w:rsidRPr="00313AAD" w:rsidRDefault="00FE57D0" w:rsidP="00263482">
      <w:pPr>
        <w:pStyle w:val="Heading2"/>
        <w:ind w:left="426"/>
      </w:pPr>
      <w:bookmarkStart w:id="81" w:name="_Toc436403525"/>
      <w:bookmarkStart w:id="82" w:name="_Toc436403591"/>
      <w:bookmarkStart w:id="83" w:name="_Toc436404179"/>
      <w:bookmarkStart w:id="84" w:name="_Toc436404375"/>
      <w:bookmarkStart w:id="85" w:name="_Toc436744208"/>
      <w:bookmarkStart w:id="86" w:name="_Toc438048638"/>
      <w:bookmarkStart w:id="87" w:name="_Toc438202919"/>
      <w:bookmarkStart w:id="88" w:name="_Toc438203536"/>
      <w:bookmarkStart w:id="89" w:name="_Toc459276911"/>
      <w:bookmarkEnd w:id="81"/>
      <w:bookmarkEnd w:id="82"/>
      <w:bookmarkEnd w:id="83"/>
      <w:bookmarkEnd w:id="84"/>
      <w:bookmarkEnd w:id="85"/>
      <w:bookmarkEnd w:id="86"/>
      <w:bookmarkEnd w:id="87"/>
      <w:bookmarkEnd w:id="88"/>
      <w:r w:rsidRPr="00313AAD">
        <w:t>Summary</w:t>
      </w:r>
      <w:r w:rsidR="00332003" w:rsidRPr="00313AAD">
        <w:t xml:space="preserve"> of </w:t>
      </w:r>
      <w:r w:rsidRPr="00263482">
        <w:t>public</w:t>
      </w:r>
      <w:r w:rsidRPr="00313AAD">
        <w:t xml:space="preserve"> </w:t>
      </w:r>
      <w:r w:rsidR="00332003" w:rsidRPr="00313AAD">
        <w:t>submissions</w:t>
      </w:r>
      <w:bookmarkEnd w:id="89"/>
      <w:r w:rsidR="00861DAB">
        <w:t xml:space="preserve"> and direct consultation</w:t>
      </w:r>
    </w:p>
    <w:p w:rsidR="00180CA0" w:rsidRDefault="00180CA0" w:rsidP="00263482">
      <w:r>
        <w:t>Safe Work Australia received 30 submissions during the three month public comment period which closed on 26 February 2016.</w:t>
      </w:r>
    </w:p>
    <w:p w:rsidR="00FD6413" w:rsidRDefault="00332003" w:rsidP="00332003">
      <w:r>
        <w:t xml:space="preserve">Not all submissions </w:t>
      </w:r>
      <w:r w:rsidR="00FD6413">
        <w:t xml:space="preserve">received </w:t>
      </w:r>
      <w:r>
        <w:t>provided an opinion o</w:t>
      </w:r>
      <w:r w:rsidR="00FD6413">
        <w:t xml:space="preserve">n the preferred proposed option; some of the submissions purely provided data against the </w:t>
      </w:r>
      <w:r w:rsidR="00180CA0">
        <w:t xml:space="preserve">Consultation RIS </w:t>
      </w:r>
      <w:r w:rsidR="00FD6413">
        <w:t xml:space="preserve">questions (in </w:t>
      </w:r>
      <w:r w:rsidR="00FD6413" w:rsidRPr="00FD6413">
        <w:rPr>
          <w:u w:val="single"/>
        </w:rPr>
        <w:t>Appendix C</w:t>
      </w:r>
      <w:r w:rsidR="00FD6413">
        <w:t>).</w:t>
      </w:r>
      <w:r>
        <w:t xml:space="preserve"> </w:t>
      </w:r>
    </w:p>
    <w:p w:rsidR="00FD6413" w:rsidRDefault="00FD6413" w:rsidP="00332003">
      <w:r>
        <w:t xml:space="preserve">The data </w:t>
      </w:r>
      <w:r w:rsidR="00180CA0">
        <w:t>collect</w:t>
      </w:r>
      <w:r>
        <w:t xml:space="preserve">ed allowed a baseline of impacts and costs to build on. It </w:t>
      </w:r>
      <w:r w:rsidR="00180CA0">
        <w:t>should</w:t>
      </w:r>
      <w:r>
        <w:t xml:space="preserve"> be noted that the cost-benefit analysis (CBA) did not rely solely on the public submissions but incorporated information gathered in targeted consultation</w:t>
      </w:r>
      <w:r w:rsidR="00CB747E">
        <w:t>, worker’s compensation data from the Safe Work Australia National Data Set for Compensation-based Statistics (NDS)</w:t>
      </w:r>
      <w:r>
        <w:t xml:space="preserve"> and blood testing data provided by jurisdictions.</w:t>
      </w:r>
    </w:p>
    <w:p w:rsidR="00332003" w:rsidRDefault="00332003" w:rsidP="00332003">
      <w:r>
        <w:t xml:space="preserve">Overall, of those submissions that indicated a preference for the proposed options: </w:t>
      </w:r>
    </w:p>
    <w:p w:rsidR="00332003" w:rsidRDefault="00FE57D0" w:rsidP="00263482">
      <w:pPr>
        <w:pStyle w:val="ListParagraph"/>
        <w:numPr>
          <w:ilvl w:val="0"/>
          <w:numId w:val="23"/>
        </w:numPr>
      </w:pPr>
      <w:r>
        <w:t>t</w:t>
      </w:r>
      <w:r w:rsidR="00332003">
        <w:t xml:space="preserve">here was a preference for blood lead </w:t>
      </w:r>
      <w:r w:rsidR="00D05C30">
        <w:t xml:space="preserve">removal </w:t>
      </w:r>
      <w:r w:rsidR="00FD6413">
        <w:t>level O</w:t>
      </w:r>
      <w:r w:rsidR="00332003">
        <w:t>ption 2  a</w:t>
      </w:r>
      <w:r w:rsidR="00FD6413">
        <w:t>nd workplace exposure standard O</w:t>
      </w:r>
      <w:r w:rsidR="00332003">
        <w:t>ption 2 , and</w:t>
      </w:r>
    </w:p>
    <w:p w:rsidR="00FD6413" w:rsidRPr="00FD6413" w:rsidRDefault="00FE57D0" w:rsidP="00263482">
      <w:pPr>
        <w:pStyle w:val="ListParagraph"/>
        <w:numPr>
          <w:ilvl w:val="0"/>
          <w:numId w:val="23"/>
        </w:numPr>
      </w:pPr>
      <w:r>
        <w:t>t</w:t>
      </w:r>
      <w:r w:rsidR="00332003">
        <w:t xml:space="preserve">here was </w:t>
      </w:r>
      <w:r w:rsidR="00FD6413">
        <w:t>a lack of support</w:t>
      </w:r>
      <w:r w:rsidR="00332003">
        <w:t xml:space="preserve"> for blood lead</w:t>
      </w:r>
      <w:r w:rsidR="00D05C30">
        <w:t xml:space="preserve"> removal</w:t>
      </w:r>
      <w:r w:rsidR="00FD6413">
        <w:t xml:space="preserve"> level O</w:t>
      </w:r>
      <w:r w:rsidR="00332003">
        <w:t>ption 3 (gender neutral reduction in mandatory removal level).</w:t>
      </w:r>
    </w:p>
    <w:p w:rsidR="00332003" w:rsidRDefault="00332003" w:rsidP="00332003">
      <w:pPr>
        <w:rPr>
          <w:rFonts w:cstheme="majorBidi"/>
        </w:rPr>
      </w:pPr>
      <w:r>
        <w:rPr>
          <w:rFonts w:cstheme="majorBidi"/>
        </w:rPr>
        <w:t>The preferred transition period was 2 years to</w:t>
      </w:r>
      <w:r w:rsidR="00BC0E23">
        <w:rPr>
          <w:rFonts w:cstheme="majorBidi"/>
        </w:rPr>
        <w:t xml:space="preserve"> allow time to</w:t>
      </w:r>
      <w:r>
        <w:rPr>
          <w:rFonts w:cstheme="majorBidi"/>
        </w:rPr>
        <w:t xml:space="preserve"> implement the changes required to comply with the new removal levels.</w:t>
      </w:r>
    </w:p>
    <w:p w:rsidR="0048664C" w:rsidRDefault="0048664C" w:rsidP="00332003">
      <w:pPr>
        <w:rPr>
          <w:rFonts w:cstheme="majorBidi"/>
        </w:rPr>
      </w:pPr>
      <w:r>
        <w:rPr>
          <w:rFonts w:cstheme="majorBidi"/>
        </w:rPr>
        <w:t xml:space="preserve">A summary of submission preferences is outlined in </w:t>
      </w:r>
      <w:r>
        <w:rPr>
          <w:rFonts w:cstheme="majorBidi"/>
        </w:rPr>
        <w:fldChar w:fldCharType="begin"/>
      </w:r>
      <w:r>
        <w:rPr>
          <w:rFonts w:cstheme="majorBidi"/>
        </w:rPr>
        <w:instrText xml:space="preserve"> REF _Ref456770774 \h </w:instrText>
      </w:r>
      <w:r>
        <w:rPr>
          <w:rFonts w:cstheme="majorBidi"/>
        </w:rPr>
      </w:r>
      <w:r>
        <w:rPr>
          <w:rFonts w:cstheme="majorBidi"/>
        </w:rPr>
        <w:fldChar w:fldCharType="separate"/>
      </w:r>
      <w:r w:rsidR="00052CE1">
        <w:t xml:space="preserve">Table </w:t>
      </w:r>
      <w:r w:rsidR="00052CE1">
        <w:rPr>
          <w:noProof/>
        </w:rPr>
        <w:t>5</w:t>
      </w:r>
      <w:r>
        <w:rPr>
          <w:rFonts w:cstheme="majorBidi"/>
        </w:rPr>
        <w:fldChar w:fldCharType="end"/>
      </w:r>
      <w:r>
        <w:rPr>
          <w:rFonts w:cstheme="majorBidi"/>
        </w:rPr>
        <w:t xml:space="preserve"> below.</w:t>
      </w:r>
    </w:p>
    <w:p w:rsidR="00F44B19" w:rsidRDefault="00F44B19" w:rsidP="00F44B19">
      <w:pPr>
        <w:pStyle w:val="TableTitle"/>
      </w:pPr>
      <w:bookmarkStart w:id="90" w:name="_Ref456770774"/>
      <w:r>
        <w:t xml:space="preserve">Table </w:t>
      </w:r>
      <w:r w:rsidR="00C32273">
        <w:fldChar w:fldCharType="begin"/>
      </w:r>
      <w:r w:rsidR="00C834BC">
        <w:instrText xml:space="preserve"> SEQ Table \* ARABIC </w:instrText>
      </w:r>
      <w:r w:rsidR="00C32273">
        <w:fldChar w:fldCharType="separate"/>
      </w:r>
      <w:r w:rsidR="00052CE1">
        <w:rPr>
          <w:noProof/>
        </w:rPr>
        <w:t>5</w:t>
      </w:r>
      <w:r w:rsidR="00C32273">
        <w:rPr>
          <w:noProof/>
        </w:rPr>
        <w:fldChar w:fldCharType="end"/>
      </w:r>
      <w:bookmarkEnd w:id="90"/>
      <w:r>
        <w:t>.</w:t>
      </w:r>
      <w:r w:rsidR="00D05C30">
        <w:t xml:space="preserve"> </w:t>
      </w:r>
      <w:r w:rsidR="00D05C30" w:rsidRPr="00263C91">
        <w:rPr>
          <w:b w:val="0"/>
        </w:rPr>
        <w:t>Summary of preferred options based on consultation feedback</w:t>
      </w:r>
    </w:p>
    <w:tbl>
      <w:tblPr>
        <w:tblStyle w:val="TableGrid"/>
        <w:tblW w:w="0" w:type="auto"/>
        <w:tblLook w:val="04A0" w:firstRow="1" w:lastRow="0" w:firstColumn="1" w:lastColumn="0" w:noHBand="0" w:noVBand="1"/>
        <w:tblCaption w:val="Table 5"/>
        <w:tblDescription w:val="Table 5. Summary of preferred options based on consultation feedback."/>
      </w:tblPr>
      <w:tblGrid>
        <w:gridCol w:w="4812"/>
        <w:gridCol w:w="2406"/>
        <w:gridCol w:w="2406"/>
      </w:tblGrid>
      <w:tr w:rsidR="00332003" w:rsidRPr="00332003" w:rsidTr="000D1111">
        <w:trPr>
          <w:tblHeader/>
        </w:trPr>
        <w:tc>
          <w:tcPr>
            <w:tcW w:w="4812" w:type="dxa"/>
            <w:shd w:val="clear" w:color="auto" w:fill="BFBFBF" w:themeFill="background1" w:themeFillShade="BF"/>
            <w:vAlign w:val="center"/>
          </w:tcPr>
          <w:p w:rsidR="00332003" w:rsidRPr="00332003" w:rsidRDefault="00332003" w:rsidP="000D1111">
            <w:pPr>
              <w:rPr>
                <w:rFonts w:cstheme="majorBidi"/>
                <w:b/>
                <w:sz w:val="20"/>
                <w:szCs w:val="20"/>
              </w:rPr>
            </w:pPr>
            <w:r w:rsidRPr="00332003">
              <w:rPr>
                <w:rFonts w:cstheme="majorBidi"/>
                <w:b/>
                <w:sz w:val="20"/>
                <w:szCs w:val="20"/>
              </w:rPr>
              <w:t>Option</w:t>
            </w:r>
          </w:p>
        </w:tc>
        <w:tc>
          <w:tcPr>
            <w:tcW w:w="4812" w:type="dxa"/>
            <w:gridSpan w:val="2"/>
            <w:shd w:val="clear" w:color="auto" w:fill="BFBFBF" w:themeFill="background1" w:themeFillShade="BF"/>
            <w:vAlign w:val="center"/>
          </w:tcPr>
          <w:p w:rsidR="00332003" w:rsidRPr="00332003" w:rsidRDefault="00332003" w:rsidP="000D1111">
            <w:pPr>
              <w:jc w:val="center"/>
              <w:rPr>
                <w:rFonts w:cstheme="majorBidi"/>
                <w:b/>
                <w:sz w:val="20"/>
                <w:szCs w:val="20"/>
              </w:rPr>
            </w:pPr>
            <w:r w:rsidRPr="00332003">
              <w:rPr>
                <w:rFonts w:cstheme="majorBidi"/>
                <w:b/>
                <w:sz w:val="20"/>
                <w:szCs w:val="20"/>
              </w:rPr>
              <w:t># of submissions</w:t>
            </w:r>
          </w:p>
        </w:tc>
      </w:tr>
      <w:tr w:rsidR="00332003" w:rsidRPr="00332003" w:rsidTr="000D1111">
        <w:tc>
          <w:tcPr>
            <w:tcW w:w="4812" w:type="dxa"/>
            <w:shd w:val="clear" w:color="auto" w:fill="D9D9D9" w:themeFill="background1" w:themeFillShade="D9"/>
            <w:vAlign w:val="center"/>
          </w:tcPr>
          <w:p w:rsidR="00332003" w:rsidRPr="00332003" w:rsidRDefault="00B969C2" w:rsidP="000D1111">
            <w:pPr>
              <w:rPr>
                <w:rFonts w:cstheme="majorBidi"/>
                <w:b/>
                <w:sz w:val="20"/>
                <w:szCs w:val="20"/>
              </w:rPr>
            </w:pPr>
            <w:r>
              <w:rPr>
                <w:rFonts w:cstheme="majorBidi"/>
                <w:b/>
                <w:sz w:val="20"/>
                <w:szCs w:val="20"/>
              </w:rPr>
              <w:t>Blood lead removal level</w:t>
            </w:r>
            <w:r w:rsidR="00332003" w:rsidRPr="00332003">
              <w:rPr>
                <w:rFonts w:cstheme="majorBidi"/>
                <w:b/>
                <w:sz w:val="20"/>
                <w:szCs w:val="20"/>
              </w:rPr>
              <w:t>s</w:t>
            </w:r>
          </w:p>
        </w:tc>
        <w:tc>
          <w:tcPr>
            <w:tcW w:w="2406" w:type="dxa"/>
            <w:shd w:val="clear" w:color="auto" w:fill="D9D9D9" w:themeFill="background1" w:themeFillShade="D9"/>
            <w:vAlign w:val="center"/>
          </w:tcPr>
          <w:p w:rsidR="00332003" w:rsidRPr="00332003" w:rsidRDefault="00332003" w:rsidP="000D1111">
            <w:pPr>
              <w:jc w:val="center"/>
              <w:rPr>
                <w:rFonts w:cstheme="majorBidi"/>
                <w:b/>
                <w:sz w:val="20"/>
                <w:szCs w:val="20"/>
              </w:rPr>
            </w:pPr>
            <w:r w:rsidRPr="00332003">
              <w:rPr>
                <w:rFonts w:cstheme="majorBidi"/>
                <w:b/>
                <w:sz w:val="20"/>
                <w:szCs w:val="20"/>
              </w:rPr>
              <w:t>For</w:t>
            </w:r>
          </w:p>
        </w:tc>
        <w:tc>
          <w:tcPr>
            <w:tcW w:w="2406" w:type="dxa"/>
            <w:shd w:val="clear" w:color="auto" w:fill="D9D9D9" w:themeFill="background1" w:themeFillShade="D9"/>
            <w:vAlign w:val="center"/>
          </w:tcPr>
          <w:p w:rsidR="00332003" w:rsidRPr="00332003" w:rsidRDefault="00332003" w:rsidP="000D1111">
            <w:pPr>
              <w:jc w:val="center"/>
              <w:rPr>
                <w:rFonts w:cstheme="majorBidi"/>
                <w:b/>
                <w:sz w:val="20"/>
                <w:szCs w:val="20"/>
              </w:rPr>
            </w:pPr>
            <w:r w:rsidRPr="00332003">
              <w:rPr>
                <w:rFonts w:cstheme="majorBidi"/>
                <w:b/>
                <w:sz w:val="20"/>
                <w:szCs w:val="20"/>
              </w:rPr>
              <w:t>Against</w:t>
            </w:r>
          </w:p>
        </w:tc>
      </w:tr>
      <w:tr w:rsidR="00332003" w:rsidRPr="00332003" w:rsidTr="000D1111">
        <w:tc>
          <w:tcPr>
            <w:tcW w:w="4812" w:type="dxa"/>
            <w:vAlign w:val="center"/>
          </w:tcPr>
          <w:p w:rsidR="00332003" w:rsidRPr="00332003" w:rsidRDefault="00332003" w:rsidP="000D1111">
            <w:pPr>
              <w:rPr>
                <w:rFonts w:cstheme="majorBidi"/>
                <w:sz w:val="20"/>
                <w:szCs w:val="20"/>
              </w:rPr>
            </w:pPr>
            <w:r w:rsidRPr="00332003">
              <w:rPr>
                <w:rFonts w:cstheme="majorBidi"/>
                <w:sz w:val="20"/>
                <w:szCs w:val="20"/>
              </w:rPr>
              <w:t>Option 1 (status quo)</w:t>
            </w:r>
          </w:p>
        </w:tc>
        <w:tc>
          <w:tcPr>
            <w:tcW w:w="2406" w:type="dxa"/>
            <w:vAlign w:val="center"/>
          </w:tcPr>
          <w:p w:rsidR="00332003" w:rsidRPr="00332003" w:rsidRDefault="00332003" w:rsidP="00FD6413">
            <w:pPr>
              <w:jc w:val="center"/>
              <w:rPr>
                <w:rFonts w:cstheme="majorBidi"/>
                <w:sz w:val="20"/>
                <w:szCs w:val="20"/>
              </w:rPr>
            </w:pPr>
            <w:r w:rsidRPr="00332003">
              <w:rPr>
                <w:rFonts w:cstheme="majorBidi"/>
                <w:sz w:val="20"/>
                <w:szCs w:val="20"/>
              </w:rPr>
              <w:t>1</w:t>
            </w:r>
          </w:p>
        </w:tc>
        <w:tc>
          <w:tcPr>
            <w:tcW w:w="2406" w:type="dxa"/>
            <w:vAlign w:val="center"/>
          </w:tcPr>
          <w:p w:rsidR="00332003" w:rsidRPr="00332003" w:rsidRDefault="00332003" w:rsidP="000D1111">
            <w:pPr>
              <w:jc w:val="center"/>
              <w:rPr>
                <w:rFonts w:cstheme="majorBidi"/>
                <w:sz w:val="20"/>
                <w:szCs w:val="20"/>
              </w:rPr>
            </w:pPr>
            <w:r w:rsidRPr="00332003">
              <w:rPr>
                <w:rFonts w:cstheme="majorBidi"/>
                <w:sz w:val="20"/>
                <w:szCs w:val="20"/>
              </w:rPr>
              <w:t>Not indicated</w:t>
            </w:r>
          </w:p>
        </w:tc>
      </w:tr>
      <w:tr w:rsidR="00332003" w:rsidRPr="00332003" w:rsidTr="000D1111">
        <w:tc>
          <w:tcPr>
            <w:tcW w:w="4812" w:type="dxa"/>
            <w:vAlign w:val="center"/>
          </w:tcPr>
          <w:p w:rsidR="00332003" w:rsidRPr="00332003" w:rsidRDefault="00332003" w:rsidP="009868E7">
            <w:pPr>
              <w:rPr>
                <w:rFonts w:cstheme="majorBidi"/>
                <w:sz w:val="20"/>
                <w:szCs w:val="20"/>
              </w:rPr>
            </w:pPr>
            <w:r w:rsidRPr="00332003">
              <w:rPr>
                <w:rFonts w:cstheme="majorBidi"/>
                <w:sz w:val="20"/>
                <w:szCs w:val="20"/>
              </w:rPr>
              <w:t>Option 2</w:t>
            </w:r>
            <w:r w:rsidR="00D05C30">
              <w:rPr>
                <w:rFonts w:cstheme="majorBidi"/>
                <w:sz w:val="20"/>
                <w:szCs w:val="20"/>
              </w:rPr>
              <w:t xml:space="preserve"> </w:t>
            </w:r>
          </w:p>
        </w:tc>
        <w:tc>
          <w:tcPr>
            <w:tcW w:w="2406" w:type="dxa"/>
            <w:vAlign w:val="center"/>
          </w:tcPr>
          <w:p w:rsidR="00332003" w:rsidRPr="00332003" w:rsidRDefault="00FD6413" w:rsidP="000D1111">
            <w:pPr>
              <w:jc w:val="center"/>
              <w:rPr>
                <w:rFonts w:cstheme="majorBidi"/>
                <w:sz w:val="20"/>
                <w:szCs w:val="20"/>
              </w:rPr>
            </w:pPr>
            <w:r>
              <w:rPr>
                <w:rFonts w:cstheme="majorBidi"/>
                <w:sz w:val="20"/>
                <w:szCs w:val="20"/>
              </w:rPr>
              <w:t>9</w:t>
            </w:r>
            <w:r w:rsidR="00332003" w:rsidRPr="00332003">
              <w:rPr>
                <w:rFonts w:cstheme="majorBidi"/>
                <w:sz w:val="20"/>
                <w:szCs w:val="20"/>
              </w:rPr>
              <w:t>*</w:t>
            </w:r>
          </w:p>
        </w:tc>
        <w:tc>
          <w:tcPr>
            <w:tcW w:w="2406" w:type="dxa"/>
            <w:vAlign w:val="center"/>
          </w:tcPr>
          <w:p w:rsidR="00332003" w:rsidRPr="00332003" w:rsidRDefault="00332003" w:rsidP="00FD6413">
            <w:pPr>
              <w:jc w:val="center"/>
              <w:rPr>
                <w:rFonts w:cstheme="majorBidi"/>
                <w:sz w:val="20"/>
                <w:szCs w:val="20"/>
              </w:rPr>
            </w:pPr>
            <w:r w:rsidRPr="00332003">
              <w:rPr>
                <w:rFonts w:cstheme="majorBidi"/>
                <w:sz w:val="20"/>
                <w:szCs w:val="20"/>
              </w:rPr>
              <w:t>1</w:t>
            </w:r>
          </w:p>
        </w:tc>
      </w:tr>
      <w:tr w:rsidR="00332003" w:rsidRPr="00332003" w:rsidTr="000D1111">
        <w:tc>
          <w:tcPr>
            <w:tcW w:w="4812" w:type="dxa"/>
            <w:vAlign w:val="center"/>
          </w:tcPr>
          <w:p w:rsidR="00332003" w:rsidRPr="00332003" w:rsidRDefault="00332003" w:rsidP="009868E7">
            <w:pPr>
              <w:rPr>
                <w:rFonts w:cstheme="majorBidi"/>
                <w:sz w:val="20"/>
                <w:szCs w:val="20"/>
              </w:rPr>
            </w:pPr>
            <w:r w:rsidRPr="00332003">
              <w:rPr>
                <w:rFonts w:cstheme="majorBidi"/>
                <w:sz w:val="20"/>
                <w:szCs w:val="20"/>
              </w:rPr>
              <w:t xml:space="preserve">Option 3 </w:t>
            </w:r>
          </w:p>
        </w:tc>
        <w:tc>
          <w:tcPr>
            <w:tcW w:w="2406" w:type="dxa"/>
            <w:vAlign w:val="center"/>
          </w:tcPr>
          <w:p w:rsidR="00332003" w:rsidRPr="00332003" w:rsidRDefault="00332003" w:rsidP="00FD6413">
            <w:pPr>
              <w:jc w:val="center"/>
              <w:rPr>
                <w:rFonts w:cstheme="majorBidi"/>
                <w:sz w:val="20"/>
                <w:szCs w:val="20"/>
              </w:rPr>
            </w:pPr>
            <w:r w:rsidRPr="00332003">
              <w:rPr>
                <w:rFonts w:cstheme="majorBidi"/>
                <w:sz w:val="20"/>
                <w:szCs w:val="20"/>
              </w:rPr>
              <w:t>5</w:t>
            </w:r>
          </w:p>
        </w:tc>
        <w:tc>
          <w:tcPr>
            <w:tcW w:w="2406" w:type="dxa"/>
            <w:vAlign w:val="center"/>
          </w:tcPr>
          <w:p w:rsidR="00332003" w:rsidRPr="00332003" w:rsidRDefault="00FD6413" w:rsidP="000D1111">
            <w:pPr>
              <w:jc w:val="center"/>
              <w:rPr>
                <w:rFonts w:cstheme="majorBidi"/>
                <w:sz w:val="20"/>
                <w:szCs w:val="20"/>
              </w:rPr>
            </w:pPr>
            <w:r>
              <w:rPr>
                <w:rFonts w:cstheme="majorBidi"/>
                <w:sz w:val="20"/>
                <w:szCs w:val="20"/>
              </w:rPr>
              <w:t>5</w:t>
            </w:r>
          </w:p>
        </w:tc>
      </w:tr>
      <w:tr w:rsidR="00332003" w:rsidRPr="00332003" w:rsidTr="000D1111">
        <w:tc>
          <w:tcPr>
            <w:tcW w:w="9624" w:type="dxa"/>
            <w:gridSpan w:val="3"/>
            <w:shd w:val="clear" w:color="auto" w:fill="D9D9D9" w:themeFill="background1" w:themeFillShade="D9"/>
            <w:vAlign w:val="center"/>
          </w:tcPr>
          <w:p w:rsidR="00332003" w:rsidRPr="00332003" w:rsidRDefault="00332003" w:rsidP="00FF0D04">
            <w:pPr>
              <w:keepNext/>
              <w:rPr>
                <w:rFonts w:cstheme="majorBidi"/>
                <w:b/>
                <w:sz w:val="20"/>
                <w:szCs w:val="20"/>
              </w:rPr>
            </w:pPr>
            <w:r w:rsidRPr="00332003">
              <w:rPr>
                <w:rFonts w:cstheme="majorBidi"/>
                <w:b/>
                <w:sz w:val="20"/>
                <w:szCs w:val="20"/>
              </w:rPr>
              <w:t>Workplace exposure standard</w:t>
            </w:r>
          </w:p>
        </w:tc>
      </w:tr>
      <w:tr w:rsidR="00332003" w:rsidRPr="00332003" w:rsidTr="000D1111">
        <w:tc>
          <w:tcPr>
            <w:tcW w:w="4812" w:type="dxa"/>
            <w:vAlign w:val="center"/>
          </w:tcPr>
          <w:p w:rsidR="00332003" w:rsidRPr="00332003" w:rsidRDefault="00332003" w:rsidP="000D1111">
            <w:pPr>
              <w:rPr>
                <w:rFonts w:cstheme="majorBidi"/>
                <w:sz w:val="20"/>
                <w:szCs w:val="20"/>
              </w:rPr>
            </w:pPr>
            <w:r w:rsidRPr="00332003">
              <w:rPr>
                <w:rFonts w:cstheme="majorBidi"/>
                <w:sz w:val="20"/>
                <w:szCs w:val="20"/>
              </w:rPr>
              <w:t>Option 1 (status quo)</w:t>
            </w:r>
          </w:p>
        </w:tc>
        <w:tc>
          <w:tcPr>
            <w:tcW w:w="2406" w:type="dxa"/>
            <w:vAlign w:val="center"/>
          </w:tcPr>
          <w:p w:rsidR="00332003" w:rsidRPr="00332003" w:rsidRDefault="00332003" w:rsidP="000D1111">
            <w:pPr>
              <w:jc w:val="center"/>
              <w:rPr>
                <w:rFonts w:cstheme="majorBidi"/>
                <w:sz w:val="20"/>
                <w:szCs w:val="20"/>
              </w:rPr>
            </w:pPr>
            <w:r w:rsidRPr="00332003">
              <w:rPr>
                <w:rFonts w:cstheme="majorBidi"/>
                <w:sz w:val="20"/>
                <w:szCs w:val="20"/>
              </w:rPr>
              <w:t>Not indicated</w:t>
            </w:r>
          </w:p>
        </w:tc>
        <w:tc>
          <w:tcPr>
            <w:tcW w:w="2406" w:type="dxa"/>
            <w:vAlign w:val="center"/>
          </w:tcPr>
          <w:p w:rsidR="00332003" w:rsidRPr="00332003" w:rsidRDefault="00FD6413" w:rsidP="000D1111">
            <w:pPr>
              <w:jc w:val="center"/>
              <w:rPr>
                <w:rFonts w:cstheme="majorBidi"/>
                <w:sz w:val="20"/>
                <w:szCs w:val="20"/>
              </w:rPr>
            </w:pPr>
            <w:r>
              <w:rPr>
                <w:rFonts w:cstheme="majorBidi"/>
                <w:sz w:val="20"/>
                <w:szCs w:val="20"/>
              </w:rPr>
              <w:t>1</w:t>
            </w:r>
          </w:p>
        </w:tc>
      </w:tr>
      <w:tr w:rsidR="00332003" w:rsidRPr="00332003" w:rsidTr="000D1111">
        <w:tc>
          <w:tcPr>
            <w:tcW w:w="4812" w:type="dxa"/>
            <w:vAlign w:val="center"/>
          </w:tcPr>
          <w:p w:rsidR="00332003" w:rsidRPr="00332003" w:rsidRDefault="00332003" w:rsidP="0029760E">
            <w:pPr>
              <w:rPr>
                <w:rFonts w:cstheme="majorBidi"/>
                <w:sz w:val="20"/>
                <w:szCs w:val="20"/>
              </w:rPr>
            </w:pPr>
            <w:r w:rsidRPr="00332003">
              <w:rPr>
                <w:rFonts w:cstheme="majorBidi"/>
                <w:sz w:val="20"/>
                <w:szCs w:val="20"/>
              </w:rPr>
              <w:t>Option 2</w:t>
            </w:r>
            <w:r w:rsidR="00D05C30">
              <w:rPr>
                <w:rFonts w:cstheme="majorBidi"/>
                <w:sz w:val="20"/>
                <w:szCs w:val="20"/>
              </w:rPr>
              <w:t xml:space="preserve"> (</w:t>
            </w:r>
            <w:r w:rsidR="0029760E" w:rsidRPr="0029760E">
              <w:rPr>
                <w:rFonts w:cstheme="majorBidi"/>
                <w:sz w:val="20"/>
                <w:szCs w:val="20"/>
              </w:rPr>
              <w:t>0.05 mg/m</w:t>
            </w:r>
            <w:r w:rsidR="0029760E" w:rsidRPr="0029760E">
              <w:rPr>
                <w:rFonts w:cstheme="minorHAnsi"/>
                <w:vertAlign w:val="superscript"/>
              </w:rPr>
              <w:t>3</w:t>
            </w:r>
            <w:r w:rsidR="00D05C30">
              <w:rPr>
                <w:rFonts w:cstheme="majorBidi"/>
                <w:sz w:val="20"/>
                <w:szCs w:val="20"/>
              </w:rPr>
              <w:t>)</w:t>
            </w:r>
          </w:p>
        </w:tc>
        <w:tc>
          <w:tcPr>
            <w:tcW w:w="2406" w:type="dxa"/>
            <w:vAlign w:val="center"/>
          </w:tcPr>
          <w:p w:rsidR="00332003" w:rsidRPr="00332003" w:rsidRDefault="00FD6413" w:rsidP="000D1111">
            <w:pPr>
              <w:jc w:val="center"/>
              <w:rPr>
                <w:rFonts w:cstheme="majorBidi"/>
                <w:sz w:val="20"/>
                <w:szCs w:val="20"/>
              </w:rPr>
            </w:pPr>
            <w:r>
              <w:rPr>
                <w:rFonts w:cstheme="majorBidi"/>
                <w:sz w:val="20"/>
                <w:szCs w:val="20"/>
              </w:rPr>
              <w:t>7</w:t>
            </w:r>
          </w:p>
        </w:tc>
        <w:tc>
          <w:tcPr>
            <w:tcW w:w="2406" w:type="dxa"/>
            <w:vAlign w:val="center"/>
          </w:tcPr>
          <w:p w:rsidR="00332003" w:rsidRPr="00332003" w:rsidRDefault="00332003" w:rsidP="000D1111">
            <w:pPr>
              <w:jc w:val="center"/>
              <w:rPr>
                <w:rFonts w:cstheme="majorBidi"/>
                <w:sz w:val="20"/>
                <w:szCs w:val="20"/>
              </w:rPr>
            </w:pPr>
            <w:r w:rsidRPr="00332003">
              <w:rPr>
                <w:rFonts w:cstheme="majorBidi"/>
                <w:sz w:val="20"/>
                <w:szCs w:val="20"/>
              </w:rPr>
              <w:t>Not indicated</w:t>
            </w:r>
          </w:p>
        </w:tc>
      </w:tr>
      <w:tr w:rsidR="00332003" w:rsidRPr="00332003" w:rsidTr="000D1111">
        <w:tc>
          <w:tcPr>
            <w:tcW w:w="4812" w:type="dxa"/>
            <w:vAlign w:val="center"/>
          </w:tcPr>
          <w:p w:rsidR="00332003" w:rsidRPr="00332003" w:rsidRDefault="00332003" w:rsidP="0029760E">
            <w:pPr>
              <w:rPr>
                <w:rFonts w:cstheme="majorBidi"/>
                <w:sz w:val="20"/>
                <w:szCs w:val="20"/>
              </w:rPr>
            </w:pPr>
            <w:r w:rsidRPr="00332003">
              <w:rPr>
                <w:rFonts w:cstheme="majorBidi"/>
                <w:sz w:val="20"/>
                <w:szCs w:val="20"/>
              </w:rPr>
              <w:t>Option 3</w:t>
            </w:r>
            <w:r w:rsidR="00D05C30">
              <w:rPr>
                <w:rFonts w:cstheme="majorBidi"/>
                <w:sz w:val="20"/>
                <w:szCs w:val="20"/>
              </w:rPr>
              <w:t xml:space="preserve"> (</w:t>
            </w:r>
            <w:r w:rsidR="0029760E">
              <w:rPr>
                <w:rFonts w:cstheme="majorBidi"/>
                <w:sz w:val="20"/>
                <w:szCs w:val="20"/>
              </w:rPr>
              <w:t xml:space="preserve">0.01 </w:t>
            </w:r>
            <w:r w:rsidR="0029760E" w:rsidRPr="0029760E">
              <w:rPr>
                <w:rFonts w:cstheme="majorBidi"/>
                <w:sz w:val="20"/>
                <w:szCs w:val="20"/>
              </w:rPr>
              <w:t>mg/m</w:t>
            </w:r>
            <w:r w:rsidR="0029760E" w:rsidRPr="0029760E">
              <w:rPr>
                <w:rFonts w:cstheme="majorBidi"/>
                <w:sz w:val="20"/>
                <w:szCs w:val="20"/>
                <w:vertAlign w:val="superscript"/>
              </w:rPr>
              <w:t>3</w:t>
            </w:r>
            <w:r w:rsidR="00D05C30">
              <w:rPr>
                <w:rFonts w:cstheme="majorBidi"/>
                <w:sz w:val="20"/>
                <w:szCs w:val="20"/>
              </w:rPr>
              <w:t>)</w:t>
            </w:r>
          </w:p>
        </w:tc>
        <w:tc>
          <w:tcPr>
            <w:tcW w:w="2406" w:type="dxa"/>
            <w:vAlign w:val="center"/>
          </w:tcPr>
          <w:p w:rsidR="00332003" w:rsidRPr="00332003" w:rsidRDefault="00332003" w:rsidP="000D1111">
            <w:pPr>
              <w:jc w:val="center"/>
              <w:rPr>
                <w:rFonts w:cstheme="majorBidi"/>
                <w:sz w:val="20"/>
                <w:szCs w:val="20"/>
              </w:rPr>
            </w:pPr>
            <w:r w:rsidRPr="00332003">
              <w:rPr>
                <w:rFonts w:cstheme="majorBidi"/>
                <w:sz w:val="20"/>
                <w:szCs w:val="20"/>
              </w:rPr>
              <w:t>Not indicated</w:t>
            </w:r>
          </w:p>
        </w:tc>
        <w:tc>
          <w:tcPr>
            <w:tcW w:w="2406" w:type="dxa"/>
            <w:vAlign w:val="center"/>
          </w:tcPr>
          <w:p w:rsidR="00332003" w:rsidRPr="00332003" w:rsidRDefault="00FD6413" w:rsidP="000D1111">
            <w:pPr>
              <w:jc w:val="center"/>
              <w:rPr>
                <w:rFonts w:cstheme="majorBidi"/>
                <w:sz w:val="20"/>
                <w:szCs w:val="20"/>
              </w:rPr>
            </w:pPr>
            <w:r>
              <w:rPr>
                <w:rFonts w:cstheme="majorBidi"/>
                <w:sz w:val="20"/>
                <w:szCs w:val="20"/>
              </w:rPr>
              <w:t>1</w:t>
            </w:r>
          </w:p>
        </w:tc>
      </w:tr>
      <w:tr w:rsidR="00332003" w:rsidRPr="00332003" w:rsidTr="000D1111">
        <w:tc>
          <w:tcPr>
            <w:tcW w:w="4812" w:type="dxa"/>
            <w:vAlign w:val="center"/>
          </w:tcPr>
          <w:p w:rsidR="00332003" w:rsidRPr="00332003" w:rsidRDefault="00332003" w:rsidP="0029760E">
            <w:pPr>
              <w:rPr>
                <w:rFonts w:cstheme="majorBidi"/>
                <w:sz w:val="20"/>
                <w:szCs w:val="20"/>
              </w:rPr>
            </w:pPr>
            <w:r w:rsidRPr="00332003">
              <w:rPr>
                <w:rFonts w:cstheme="majorBidi"/>
                <w:sz w:val="20"/>
                <w:szCs w:val="20"/>
              </w:rPr>
              <w:t>Option 4 (</w:t>
            </w:r>
            <w:r w:rsidR="0029760E">
              <w:rPr>
                <w:rFonts w:cstheme="majorBidi"/>
                <w:sz w:val="20"/>
                <w:szCs w:val="20"/>
              </w:rPr>
              <w:t>non-regulatory approach</w:t>
            </w:r>
            <w:r w:rsidRPr="00332003">
              <w:rPr>
                <w:rFonts w:cstheme="majorBidi"/>
                <w:sz w:val="20"/>
                <w:szCs w:val="20"/>
              </w:rPr>
              <w:t>)</w:t>
            </w:r>
          </w:p>
        </w:tc>
        <w:tc>
          <w:tcPr>
            <w:tcW w:w="2406" w:type="dxa"/>
            <w:vAlign w:val="center"/>
          </w:tcPr>
          <w:p w:rsidR="00332003" w:rsidRPr="00332003" w:rsidRDefault="00FD6413" w:rsidP="000D1111">
            <w:pPr>
              <w:jc w:val="center"/>
              <w:rPr>
                <w:rFonts w:cstheme="majorBidi"/>
                <w:sz w:val="20"/>
                <w:szCs w:val="20"/>
              </w:rPr>
            </w:pPr>
            <w:r>
              <w:rPr>
                <w:rFonts w:cstheme="majorBidi"/>
                <w:sz w:val="20"/>
                <w:szCs w:val="20"/>
              </w:rPr>
              <w:t>4</w:t>
            </w:r>
          </w:p>
        </w:tc>
        <w:tc>
          <w:tcPr>
            <w:tcW w:w="2406" w:type="dxa"/>
            <w:vAlign w:val="center"/>
          </w:tcPr>
          <w:p w:rsidR="00332003" w:rsidRPr="00332003" w:rsidRDefault="00332003" w:rsidP="000D1111">
            <w:pPr>
              <w:jc w:val="center"/>
              <w:rPr>
                <w:rFonts w:cstheme="majorBidi"/>
                <w:sz w:val="20"/>
                <w:szCs w:val="20"/>
              </w:rPr>
            </w:pPr>
            <w:r w:rsidRPr="00332003">
              <w:rPr>
                <w:rFonts w:cstheme="majorBidi"/>
                <w:sz w:val="20"/>
                <w:szCs w:val="20"/>
              </w:rPr>
              <w:t>Not indicated</w:t>
            </w:r>
          </w:p>
        </w:tc>
      </w:tr>
      <w:tr w:rsidR="00332003" w:rsidRPr="00332003" w:rsidTr="000D1111">
        <w:tc>
          <w:tcPr>
            <w:tcW w:w="9624" w:type="dxa"/>
            <w:gridSpan w:val="3"/>
            <w:shd w:val="clear" w:color="auto" w:fill="D9D9D9" w:themeFill="background1" w:themeFillShade="D9"/>
            <w:vAlign w:val="center"/>
          </w:tcPr>
          <w:p w:rsidR="00332003" w:rsidRPr="00332003" w:rsidRDefault="00332003" w:rsidP="00246EC0">
            <w:pPr>
              <w:keepNext/>
              <w:rPr>
                <w:rFonts w:cstheme="majorBidi"/>
                <w:b/>
                <w:sz w:val="20"/>
                <w:szCs w:val="20"/>
              </w:rPr>
            </w:pPr>
            <w:r w:rsidRPr="00332003">
              <w:rPr>
                <w:rFonts w:cstheme="majorBidi"/>
                <w:b/>
                <w:sz w:val="20"/>
                <w:szCs w:val="20"/>
              </w:rPr>
              <w:lastRenderedPageBreak/>
              <w:t>Transition period</w:t>
            </w:r>
          </w:p>
        </w:tc>
      </w:tr>
      <w:tr w:rsidR="00332003" w:rsidRPr="00332003" w:rsidTr="000D1111">
        <w:tc>
          <w:tcPr>
            <w:tcW w:w="4812" w:type="dxa"/>
            <w:vAlign w:val="center"/>
          </w:tcPr>
          <w:p w:rsidR="00332003" w:rsidRPr="00332003" w:rsidRDefault="00332003" w:rsidP="000D1111">
            <w:pPr>
              <w:rPr>
                <w:rFonts w:cstheme="majorBidi"/>
                <w:sz w:val="20"/>
                <w:szCs w:val="20"/>
              </w:rPr>
            </w:pPr>
            <w:r w:rsidRPr="00332003">
              <w:rPr>
                <w:rFonts w:cstheme="majorBidi"/>
                <w:sz w:val="20"/>
                <w:szCs w:val="20"/>
              </w:rPr>
              <w:t>2 years</w:t>
            </w:r>
          </w:p>
        </w:tc>
        <w:tc>
          <w:tcPr>
            <w:tcW w:w="4812" w:type="dxa"/>
            <w:gridSpan w:val="2"/>
            <w:vAlign w:val="center"/>
          </w:tcPr>
          <w:p w:rsidR="00332003" w:rsidRPr="00332003" w:rsidRDefault="00FD6413" w:rsidP="000D1111">
            <w:pPr>
              <w:jc w:val="center"/>
              <w:rPr>
                <w:rFonts w:cstheme="majorBidi"/>
                <w:sz w:val="20"/>
                <w:szCs w:val="20"/>
              </w:rPr>
            </w:pPr>
            <w:r>
              <w:rPr>
                <w:rFonts w:cstheme="majorBidi"/>
                <w:sz w:val="20"/>
                <w:szCs w:val="20"/>
              </w:rPr>
              <w:t>5</w:t>
            </w:r>
          </w:p>
        </w:tc>
      </w:tr>
      <w:tr w:rsidR="00332003" w:rsidRPr="00332003" w:rsidTr="000D1111">
        <w:tc>
          <w:tcPr>
            <w:tcW w:w="4812" w:type="dxa"/>
            <w:vAlign w:val="center"/>
          </w:tcPr>
          <w:p w:rsidR="00332003" w:rsidRPr="00332003" w:rsidRDefault="00332003" w:rsidP="000D1111">
            <w:pPr>
              <w:rPr>
                <w:rFonts w:cstheme="majorBidi"/>
                <w:sz w:val="20"/>
                <w:szCs w:val="20"/>
              </w:rPr>
            </w:pPr>
            <w:r w:rsidRPr="00332003">
              <w:rPr>
                <w:rFonts w:cstheme="majorBidi"/>
                <w:sz w:val="20"/>
                <w:szCs w:val="20"/>
              </w:rPr>
              <w:t>4 years</w:t>
            </w:r>
          </w:p>
        </w:tc>
        <w:tc>
          <w:tcPr>
            <w:tcW w:w="4812" w:type="dxa"/>
            <w:gridSpan w:val="2"/>
            <w:vAlign w:val="center"/>
          </w:tcPr>
          <w:p w:rsidR="00332003" w:rsidRPr="00332003" w:rsidRDefault="00FD6413" w:rsidP="000D1111">
            <w:pPr>
              <w:jc w:val="center"/>
              <w:rPr>
                <w:rFonts w:cstheme="majorBidi"/>
                <w:sz w:val="20"/>
                <w:szCs w:val="20"/>
              </w:rPr>
            </w:pPr>
            <w:r>
              <w:rPr>
                <w:rFonts w:cstheme="majorBidi"/>
                <w:sz w:val="20"/>
                <w:szCs w:val="20"/>
              </w:rPr>
              <w:t>2</w:t>
            </w:r>
          </w:p>
        </w:tc>
      </w:tr>
    </w:tbl>
    <w:p w:rsidR="00332003" w:rsidRDefault="00332003" w:rsidP="00332003">
      <w:pPr>
        <w:rPr>
          <w:rFonts w:cstheme="majorBidi"/>
          <w:sz w:val="18"/>
        </w:rPr>
      </w:pPr>
      <w:r w:rsidRPr="00D05C30">
        <w:rPr>
          <w:rFonts w:cstheme="majorBidi"/>
          <w:sz w:val="18"/>
        </w:rPr>
        <w:t>* including suggested amendments to the option</w:t>
      </w:r>
    </w:p>
    <w:p w:rsidR="00C53753" w:rsidRPr="00C53753" w:rsidRDefault="00C53753" w:rsidP="00332003">
      <w:pPr>
        <w:rPr>
          <w:rFonts w:cstheme="majorBidi"/>
        </w:rPr>
      </w:pPr>
      <w:r>
        <w:rPr>
          <w:rFonts w:cstheme="majorBidi"/>
        </w:rPr>
        <w:t>Information from submissions and the subsequent follow-up consultations provided a basis to estimate the costs and benefits associated with the current regulatory requirements. This included the cost of testing the blood-lead levels of lead-process workers, the frequency that these tests are undertaken and the costs associated with removing workers from lead-risk work when they have exceeded the relevant threshold. Information was also provided about the range of measures that businesses use to control lead exposure in the workplace and the cost of these measures.</w:t>
      </w:r>
    </w:p>
    <w:p w:rsidR="00332003" w:rsidRPr="004C4DEF" w:rsidRDefault="00332003" w:rsidP="00E77182">
      <w:pPr>
        <w:pStyle w:val="Heading3"/>
      </w:pPr>
      <w:r w:rsidRPr="004C4DEF">
        <w:t xml:space="preserve">Blood lead </w:t>
      </w:r>
      <w:r w:rsidR="00D05C30" w:rsidRPr="004C4DEF">
        <w:t xml:space="preserve">removal </w:t>
      </w:r>
      <w:r w:rsidR="00F34731" w:rsidRPr="004C4DEF">
        <w:t>level O</w:t>
      </w:r>
      <w:r w:rsidRPr="004C4DEF">
        <w:t>ption 1 (status quo)</w:t>
      </w:r>
    </w:p>
    <w:p w:rsidR="00332003" w:rsidRDefault="00332003" w:rsidP="00332003">
      <w:pPr>
        <w:rPr>
          <w:rFonts w:cstheme="majorBidi"/>
        </w:rPr>
      </w:pPr>
      <w:r>
        <w:rPr>
          <w:rFonts w:cstheme="majorBidi"/>
        </w:rPr>
        <w:t>Submissions indicated that currently:</w:t>
      </w:r>
    </w:p>
    <w:p w:rsidR="00BC0E23" w:rsidRDefault="00FE57D0" w:rsidP="00263482">
      <w:pPr>
        <w:pStyle w:val="ListParagraph"/>
        <w:numPr>
          <w:ilvl w:val="0"/>
          <w:numId w:val="24"/>
        </w:numPr>
        <w:rPr>
          <w:rFonts w:cstheme="majorBidi"/>
        </w:rPr>
      </w:pPr>
      <w:r>
        <w:rPr>
          <w:rFonts w:cstheme="majorBidi"/>
        </w:rPr>
        <w:t>t</w:t>
      </w:r>
      <w:r w:rsidR="00332003">
        <w:rPr>
          <w:rFonts w:cstheme="majorBidi"/>
        </w:rPr>
        <w:t xml:space="preserve">here are 13,285 lead process </w:t>
      </w:r>
      <w:r>
        <w:rPr>
          <w:rFonts w:cstheme="majorBidi"/>
        </w:rPr>
        <w:t>worker</w:t>
      </w:r>
      <w:r w:rsidR="00332003">
        <w:rPr>
          <w:rFonts w:cstheme="majorBidi"/>
        </w:rPr>
        <w:t xml:space="preserve">s in Australia </w:t>
      </w:r>
    </w:p>
    <w:p w:rsidR="00332003" w:rsidRDefault="00BC0E23" w:rsidP="00263482">
      <w:pPr>
        <w:pStyle w:val="ListParagraph"/>
        <w:numPr>
          <w:ilvl w:val="0"/>
          <w:numId w:val="24"/>
        </w:numPr>
        <w:rPr>
          <w:rFonts w:cstheme="majorBidi"/>
        </w:rPr>
      </w:pPr>
      <w:r>
        <w:rPr>
          <w:rFonts w:cstheme="majorBidi"/>
        </w:rPr>
        <w:t>o</w:t>
      </w:r>
      <w:r w:rsidR="00FE57D0">
        <w:rPr>
          <w:rFonts w:cstheme="majorBidi"/>
        </w:rPr>
        <w:t>f these, lead risk workers consist of:</w:t>
      </w:r>
    </w:p>
    <w:p w:rsidR="00332003" w:rsidRDefault="00332003" w:rsidP="00263482">
      <w:pPr>
        <w:pStyle w:val="ListParagraph"/>
        <w:numPr>
          <w:ilvl w:val="1"/>
          <w:numId w:val="24"/>
        </w:numPr>
        <w:rPr>
          <w:rFonts w:cstheme="majorBidi"/>
        </w:rPr>
      </w:pPr>
      <w:r>
        <w:rPr>
          <w:rFonts w:cstheme="majorBidi"/>
        </w:rPr>
        <w:t>7145 males</w:t>
      </w:r>
    </w:p>
    <w:p w:rsidR="00332003" w:rsidRDefault="00332003" w:rsidP="00263482">
      <w:pPr>
        <w:pStyle w:val="ListParagraph"/>
        <w:numPr>
          <w:ilvl w:val="1"/>
          <w:numId w:val="24"/>
        </w:numPr>
        <w:rPr>
          <w:rFonts w:cstheme="majorBidi"/>
        </w:rPr>
      </w:pPr>
      <w:r>
        <w:rPr>
          <w:rFonts w:cstheme="majorBidi"/>
        </w:rPr>
        <w:t>37 females not of reproductive capacity, and</w:t>
      </w:r>
    </w:p>
    <w:p w:rsidR="00332003" w:rsidRDefault="00332003" w:rsidP="00263482">
      <w:pPr>
        <w:pStyle w:val="ListParagraph"/>
        <w:numPr>
          <w:ilvl w:val="1"/>
          <w:numId w:val="24"/>
        </w:numPr>
        <w:rPr>
          <w:rFonts w:cstheme="majorBidi"/>
        </w:rPr>
      </w:pPr>
      <w:r>
        <w:rPr>
          <w:rFonts w:cstheme="majorBidi"/>
        </w:rPr>
        <w:t>668 f</w:t>
      </w:r>
      <w:r w:rsidR="00FD6413">
        <w:rPr>
          <w:rFonts w:cstheme="majorBidi"/>
        </w:rPr>
        <w:t>emales of reproductive capacity</w:t>
      </w:r>
    </w:p>
    <w:p w:rsidR="00332003" w:rsidRDefault="00FE57D0" w:rsidP="00263482">
      <w:pPr>
        <w:pStyle w:val="ListParagraph"/>
        <w:numPr>
          <w:ilvl w:val="0"/>
          <w:numId w:val="24"/>
        </w:numPr>
        <w:rPr>
          <w:rFonts w:cstheme="majorBidi"/>
        </w:rPr>
      </w:pPr>
      <w:r>
        <w:rPr>
          <w:rFonts w:cstheme="majorBidi"/>
        </w:rPr>
        <w:t>b</w:t>
      </w:r>
      <w:r w:rsidR="00332003">
        <w:rPr>
          <w:rFonts w:cstheme="majorBidi"/>
        </w:rPr>
        <w:t>usinesses generally have a medical practitioner as an employee overseeing health monitoring or outsource their health monitoring needs.</w:t>
      </w:r>
    </w:p>
    <w:p w:rsidR="00F10E13" w:rsidRDefault="00F10E13" w:rsidP="00F10E13">
      <w:pPr>
        <w:rPr>
          <w:rFonts w:cstheme="majorBidi"/>
        </w:rPr>
      </w:pPr>
      <w:r>
        <w:rPr>
          <w:rFonts w:cstheme="majorBidi"/>
        </w:rPr>
        <w:t>Submissions noted that maintaining the status quo is not expected to provide any additional health benefits for workers and does not reflect current toxicological knowledge.</w:t>
      </w:r>
    </w:p>
    <w:p w:rsidR="00CE78AE" w:rsidRDefault="00CE78AE" w:rsidP="00F10E13">
      <w:pPr>
        <w:rPr>
          <w:rFonts w:cstheme="majorBidi"/>
        </w:rPr>
      </w:pPr>
      <w:r>
        <w:rPr>
          <w:rFonts w:cstheme="majorBidi"/>
        </w:rPr>
        <w:t>Many submissions noted that compliance strategies included internal ‘buffer’ blood lead levels that enabled investigation and removal prior to the mandated notification and removal levels.</w:t>
      </w:r>
    </w:p>
    <w:p w:rsidR="00331F96" w:rsidRDefault="00331F96" w:rsidP="00F10E13">
      <w:pPr>
        <w:rPr>
          <w:rFonts w:cstheme="majorBidi"/>
        </w:rPr>
      </w:pPr>
      <w:r>
        <w:rPr>
          <w:rFonts w:cstheme="majorBidi"/>
        </w:rPr>
        <w:t xml:space="preserve">One submission </w:t>
      </w:r>
      <w:r w:rsidR="005373E9">
        <w:rPr>
          <w:rFonts w:cstheme="majorBidi"/>
        </w:rPr>
        <w:t>did not</w:t>
      </w:r>
      <w:r>
        <w:rPr>
          <w:rFonts w:cstheme="majorBidi"/>
        </w:rPr>
        <w:t xml:space="preserve"> support any of the options and nominated a precautionary approach in alignment with the NHMRC position (see section 3.1; NHMRC 2015a).</w:t>
      </w:r>
    </w:p>
    <w:p w:rsidR="00582173" w:rsidRPr="003718AE" w:rsidRDefault="00582173" w:rsidP="00582173">
      <w:pPr>
        <w:rPr>
          <w:rFonts w:cstheme="majorBidi"/>
        </w:rPr>
      </w:pPr>
      <w:r w:rsidRPr="003718AE">
        <w:rPr>
          <w:rFonts w:cstheme="majorBidi"/>
        </w:rPr>
        <w:t>The d</w:t>
      </w:r>
      <w:r w:rsidRPr="005E43DA">
        <w:rPr>
          <w:rFonts w:cstheme="majorBidi"/>
        </w:rPr>
        <w:t xml:space="preserve">irect consultations </w:t>
      </w:r>
      <w:r w:rsidRPr="003718AE">
        <w:rPr>
          <w:rFonts w:cstheme="majorBidi"/>
        </w:rPr>
        <w:t xml:space="preserve">also </w:t>
      </w:r>
      <w:r w:rsidRPr="005E43DA">
        <w:rPr>
          <w:rFonts w:cstheme="majorBidi"/>
        </w:rPr>
        <w:t xml:space="preserve">assisted in confirming the numbers of lead process and lead risk work (as per </w:t>
      </w:r>
      <w:r w:rsidRPr="003718AE">
        <w:rPr>
          <w:rFonts w:cstheme="majorBidi"/>
        </w:rPr>
        <w:fldChar w:fldCharType="begin"/>
      </w:r>
      <w:r w:rsidRPr="003718AE">
        <w:rPr>
          <w:rFonts w:cstheme="majorBidi"/>
        </w:rPr>
        <w:instrText xml:space="preserve"> REF _Ref456770812 \h  \* MERGEFORMAT </w:instrText>
      </w:r>
      <w:r w:rsidRPr="003718AE">
        <w:rPr>
          <w:rFonts w:cstheme="majorBidi"/>
        </w:rPr>
      </w:r>
      <w:r w:rsidRPr="003718AE">
        <w:rPr>
          <w:rFonts w:cstheme="majorBidi"/>
        </w:rPr>
        <w:fldChar w:fldCharType="separate"/>
      </w:r>
      <w:r w:rsidR="00052CE1">
        <w:t xml:space="preserve">Table </w:t>
      </w:r>
      <w:r w:rsidR="00052CE1">
        <w:rPr>
          <w:noProof/>
        </w:rPr>
        <w:t>7</w:t>
      </w:r>
      <w:r w:rsidRPr="003718AE">
        <w:rPr>
          <w:rFonts w:cstheme="majorBidi"/>
        </w:rPr>
        <w:fldChar w:fldCharType="end"/>
      </w:r>
      <w:r w:rsidRPr="005E43DA">
        <w:rPr>
          <w:rFonts w:cstheme="majorBidi"/>
        </w:rPr>
        <w:t xml:space="preserve">) which was used in the cost benefit analysis calculations. </w:t>
      </w:r>
      <w:r w:rsidRPr="003718AE">
        <w:rPr>
          <w:rFonts w:cstheme="majorBidi"/>
        </w:rPr>
        <w:t>These consultations confirmed that many organisations regularly test the blood lead levels of their entire workforce, rather than limiting the testing to workers who directly undertake lead-risk work. This is one reason why the estimated number of lead-workers has increased since the Consultation RIS.</w:t>
      </w:r>
    </w:p>
    <w:p w:rsidR="00582173" w:rsidRPr="003718AE" w:rsidRDefault="00582173" w:rsidP="00582173">
      <w:pPr>
        <w:rPr>
          <w:rFonts w:cstheme="majorBidi"/>
        </w:rPr>
      </w:pPr>
      <w:r w:rsidRPr="003718AE">
        <w:rPr>
          <w:rFonts w:cstheme="majorBidi"/>
        </w:rPr>
        <w:t xml:space="preserve">The information collected during the consultations was also used to inform several inputs to the impact analysis, including: </w:t>
      </w:r>
    </w:p>
    <w:p w:rsidR="00582173" w:rsidRPr="003718AE" w:rsidRDefault="00582173" w:rsidP="00263482">
      <w:pPr>
        <w:pStyle w:val="ListParagraph"/>
        <w:numPr>
          <w:ilvl w:val="0"/>
          <w:numId w:val="24"/>
        </w:numPr>
        <w:rPr>
          <w:rFonts w:cstheme="majorBidi"/>
        </w:rPr>
      </w:pPr>
      <w:r w:rsidRPr="005E43DA">
        <w:rPr>
          <w:rFonts w:cstheme="majorBidi"/>
        </w:rPr>
        <w:t xml:space="preserve">the cost of blood-lead level tests, which </w:t>
      </w:r>
      <w:r w:rsidRPr="003718AE">
        <w:rPr>
          <w:rFonts w:cstheme="majorBidi"/>
        </w:rPr>
        <w:t>was found to be similar for most businesses (per-test), but is higher for the businesses that undertake more frequent testing</w:t>
      </w:r>
    </w:p>
    <w:p w:rsidR="00582173" w:rsidRPr="003718AE" w:rsidRDefault="00582173" w:rsidP="00263482">
      <w:pPr>
        <w:pStyle w:val="ListParagraph"/>
        <w:numPr>
          <w:ilvl w:val="0"/>
          <w:numId w:val="24"/>
        </w:numPr>
        <w:rPr>
          <w:rFonts w:cstheme="majorBidi"/>
        </w:rPr>
      </w:pPr>
      <w:r w:rsidRPr="003718AE">
        <w:rPr>
          <w:rFonts w:cstheme="majorBidi"/>
        </w:rPr>
        <w:t>the costs currently associated with needing to remove workers from lead risk work (although very few workers exceed the current threshold for removal)</w:t>
      </w:r>
    </w:p>
    <w:p w:rsidR="00582173" w:rsidRPr="003718AE" w:rsidRDefault="00582173" w:rsidP="00263482">
      <w:pPr>
        <w:pStyle w:val="ListParagraph"/>
        <w:numPr>
          <w:ilvl w:val="0"/>
          <w:numId w:val="24"/>
        </w:numPr>
        <w:rPr>
          <w:rFonts w:cstheme="majorBidi"/>
        </w:rPr>
      </w:pPr>
      <w:r w:rsidRPr="003718AE">
        <w:rPr>
          <w:rFonts w:cstheme="majorBidi"/>
        </w:rPr>
        <w:t>the costs for the business that are associated with conducting a ‘review of lead measures’ (i.e. in the event a worker has exceeded the relevant threshold), and</w:t>
      </w:r>
    </w:p>
    <w:p w:rsidR="00582173" w:rsidRPr="003718AE" w:rsidRDefault="00582173" w:rsidP="00263482">
      <w:pPr>
        <w:pStyle w:val="ListParagraph"/>
        <w:numPr>
          <w:ilvl w:val="0"/>
          <w:numId w:val="24"/>
        </w:numPr>
        <w:rPr>
          <w:rFonts w:cstheme="majorBidi"/>
        </w:rPr>
      </w:pPr>
      <w:r w:rsidRPr="003718AE">
        <w:rPr>
          <w:rFonts w:cstheme="majorBidi"/>
        </w:rPr>
        <w:t>the current costs  associated with air-monitoring.</w:t>
      </w:r>
    </w:p>
    <w:p w:rsidR="00582173" w:rsidRPr="003718AE" w:rsidRDefault="00582173" w:rsidP="00582173">
      <w:pPr>
        <w:rPr>
          <w:rFonts w:cstheme="majorBidi"/>
        </w:rPr>
      </w:pPr>
      <w:r w:rsidRPr="003718AE">
        <w:rPr>
          <w:rFonts w:cstheme="majorBidi"/>
        </w:rPr>
        <w:t>More information on the parameters used in the impact analysis is set out in the following chapter.</w:t>
      </w:r>
    </w:p>
    <w:p w:rsidR="00332003" w:rsidRPr="004C4DEF" w:rsidRDefault="00332003" w:rsidP="00E77182">
      <w:pPr>
        <w:pStyle w:val="Heading3"/>
      </w:pPr>
      <w:r w:rsidRPr="004C4DEF">
        <w:t xml:space="preserve">Blood lead </w:t>
      </w:r>
      <w:r w:rsidR="00D05C30" w:rsidRPr="004C4DEF">
        <w:t xml:space="preserve">removal </w:t>
      </w:r>
      <w:r w:rsidR="00F34731" w:rsidRPr="004C4DEF">
        <w:t>level O</w:t>
      </w:r>
      <w:r w:rsidRPr="004C4DEF">
        <w:t xml:space="preserve">ption 2 </w:t>
      </w:r>
    </w:p>
    <w:p w:rsidR="00332003" w:rsidRDefault="00332003" w:rsidP="00901AB5">
      <w:r>
        <w:t>Submissions indicated that:</w:t>
      </w:r>
    </w:p>
    <w:p w:rsidR="00332003" w:rsidRDefault="00FE57D0" w:rsidP="00263482">
      <w:pPr>
        <w:pStyle w:val="ListParagraph"/>
        <w:numPr>
          <w:ilvl w:val="0"/>
          <w:numId w:val="25"/>
        </w:numPr>
        <w:rPr>
          <w:rFonts w:cstheme="majorBidi"/>
        </w:rPr>
      </w:pPr>
      <w:r>
        <w:rPr>
          <w:rFonts w:cstheme="majorBidi"/>
        </w:rPr>
        <w:t xml:space="preserve">approximately </w:t>
      </w:r>
      <w:r w:rsidR="002872C5">
        <w:rPr>
          <w:rFonts w:cstheme="majorBidi"/>
        </w:rPr>
        <w:t xml:space="preserve">two thirds </w:t>
      </w:r>
      <w:r w:rsidR="00332003">
        <w:rPr>
          <w:rFonts w:cstheme="majorBidi"/>
        </w:rPr>
        <w:t>of businesses are already meeting the proposed reduced removal level and do not require a transition period to comply</w:t>
      </w:r>
    </w:p>
    <w:p w:rsidR="00332003" w:rsidRDefault="00332003" w:rsidP="00263482">
      <w:pPr>
        <w:pStyle w:val="ListParagraph"/>
        <w:numPr>
          <w:ilvl w:val="0"/>
          <w:numId w:val="25"/>
        </w:numPr>
        <w:rPr>
          <w:rFonts w:cstheme="majorBidi"/>
        </w:rPr>
      </w:pPr>
      <w:r>
        <w:rPr>
          <w:rFonts w:cstheme="majorBidi"/>
        </w:rPr>
        <w:t xml:space="preserve">the average time required to comply with the proposed reduced removal level is </w:t>
      </w:r>
      <w:r w:rsidR="00FD6413">
        <w:rPr>
          <w:rFonts w:cstheme="majorBidi"/>
        </w:rPr>
        <w:t>two</w:t>
      </w:r>
      <w:r>
        <w:rPr>
          <w:rFonts w:cstheme="majorBidi"/>
        </w:rPr>
        <w:t xml:space="preserve"> years (ranging from 0 to </w:t>
      </w:r>
      <w:r w:rsidR="00FD6413">
        <w:rPr>
          <w:rFonts w:cstheme="majorBidi"/>
        </w:rPr>
        <w:t>seven</w:t>
      </w:r>
      <w:r>
        <w:rPr>
          <w:rFonts w:cstheme="majorBidi"/>
        </w:rPr>
        <w:t xml:space="preserve"> years)</w:t>
      </w:r>
    </w:p>
    <w:p w:rsidR="00332003" w:rsidRDefault="00332003" w:rsidP="00263482">
      <w:pPr>
        <w:pStyle w:val="ListParagraph"/>
        <w:numPr>
          <w:ilvl w:val="0"/>
          <w:numId w:val="25"/>
        </w:numPr>
        <w:rPr>
          <w:rFonts w:cstheme="majorBidi"/>
        </w:rPr>
      </w:pPr>
      <w:r>
        <w:rPr>
          <w:rFonts w:cstheme="majorBidi"/>
        </w:rPr>
        <w:t>businesses may need to increase the number and frequency of blood lead level testing that is currently conducted</w:t>
      </w:r>
    </w:p>
    <w:p w:rsidR="00332003" w:rsidRDefault="00332003" w:rsidP="00263482">
      <w:pPr>
        <w:pStyle w:val="ListParagraph"/>
        <w:numPr>
          <w:ilvl w:val="0"/>
          <w:numId w:val="25"/>
        </w:numPr>
        <w:rPr>
          <w:rFonts w:cstheme="majorBidi"/>
        </w:rPr>
      </w:pPr>
      <w:r>
        <w:rPr>
          <w:rFonts w:cstheme="majorBidi"/>
        </w:rPr>
        <w:t xml:space="preserve">businesses may need to upgrade </w:t>
      </w:r>
      <w:r w:rsidR="00F44B19">
        <w:rPr>
          <w:rFonts w:cstheme="majorBidi"/>
        </w:rPr>
        <w:t>control measures to comply with reduced blood lead removal levels</w:t>
      </w:r>
    </w:p>
    <w:p w:rsidR="007D530A" w:rsidRDefault="007D530A" w:rsidP="00263482">
      <w:pPr>
        <w:pStyle w:val="ListParagraph"/>
        <w:numPr>
          <w:ilvl w:val="0"/>
          <w:numId w:val="25"/>
        </w:numPr>
        <w:rPr>
          <w:rFonts w:cstheme="majorBidi"/>
        </w:rPr>
      </w:pPr>
      <w:r>
        <w:rPr>
          <w:rFonts w:cstheme="majorBidi"/>
        </w:rPr>
        <w:t>Regulators may initially receive more notifications of worker removals and may need to respond with increased compliance and enforcement activities (for example site visits)</w:t>
      </w:r>
    </w:p>
    <w:p w:rsidR="00F10E13" w:rsidRDefault="00F10E13" w:rsidP="00263482">
      <w:pPr>
        <w:pStyle w:val="ListParagraph"/>
        <w:numPr>
          <w:ilvl w:val="0"/>
          <w:numId w:val="25"/>
        </w:numPr>
        <w:rPr>
          <w:rFonts w:cstheme="majorBidi"/>
        </w:rPr>
      </w:pPr>
      <w:r>
        <w:rPr>
          <w:rFonts w:cstheme="majorBidi"/>
        </w:rPr>
        <w:t>Regulators noted that based on operational visits many businesses already comply with the proposed reduced standard and/or have appropriate controls in place to comply</w:t>
      </w:r>
    </w:p>
    <w:p w:rsidR="00332003" w:rsidRDefault="00332003" w:rsidP="00263482">
      <w:pPr>
        <w:pStyle w:val="ListParagraph"/>
        <w:numPr>
          <w:ilvl w:val="0"/>
          <w:numId w:val="25"/>
        </w:numPr>
        <w:rPr>
          <w:rFonts w:cstheme="majorBidi"/>
        </w:rPr>
      </w:pPr>
      <w:r>
        <w:rPr>
          <w:rFonts w:cstheme="majorBidi"/>
        </w:rPr>
        <w:t>the additional cost to Australian businesses to comply with the proposed reduced</w:t>
      </w:r>
      <w:r w:rsidR="003A2143">
        <w:rPr>
          <w:rFonts w:cstheme="majorBidi"/>
        </w:rPr>
        <w:t xml:space="preserve"> removal level is approximately</w:t>
      </w:r>
      <w:r>
        <w:rPr>
          <w:rFonts w:cstheme="majorBidi"/>
        </w:rPr>
        <w:t xml:space="preserve"> 25% </w:t>
      </w:r>
      <w:r w:rsidR="003A2143">
        <w:rPr>
          <w:rFonts w:cstheme="majorBidi"/>
        </w:rPr>
        <w:t xml:space="preserve">of </w:t>
      </w:r>
      <w:r>
        <w:rPr>
          <w:rFonts w:cstheme="majorBidi"/>
        </w:rPr>
        <w:t>what is currently spent</w:t>
      </w:r>
      <w:r w:rsidR="00FE57D0">
        <w:rPr>
          <w:rFonts w:cstheme="majorBidi"/>
        </w:rPr>
        <w:t>, and</w:t>
      </w:r>
    </w:p>
    <w:p w:rsidR="00332003" w:rsidRDefault="00332003" w:rsidP="00263482">
      <w:pPr>
        <w:pStyle w:val="ListParagraph"/>
        <w:numPr>
          <w:ilvl w:val="0"/>
          <w:numId w:val="25"/>
        </w:numPr>
        <w:rPr>
          <w:rFonts w:cstheme="majorBidi"/>
        </w:rPr>
      </w:pPr>
      <w:r>
        <w:rPr>
          <w:rFonts w:cstheme="majorBidi"/>
        </w:rPr>
        <w:t xml:space="preserve">this was the preferred option for </w:t>
      </w:r>
      <w:r w:rsidR="003A2143">
        <w:rPr>
          <w:rFonts w:cstheme="majorBidi"/>
        </w:rPr>
        <w:t>a majority of</w:t>
      </w:r>
      <w:r>
        <w:rPr>
          <w:rFonts w:cstheme="majorBidi"/>
        </w:rPr>
        <w:t xml:space="preserve"> submissions that indicated a preference for an option.</w:t>
      </w:r>
    </w:p>
    <w:p w:rsidR="00482EF7" w:rsidRDefault="00482EF7" w:rsidP="00332003">
      <w:pPr>
        <w:rPr>
          <w:rFonts w:cstheme="majorBidi"/>
        </w:rPr>
      </w:pPr>
      <w:r>
        <w:rPr>
          <w:rFonts w:cstheme="majorBidi"/>
        </w:rPr>
        <w:t>One submission from a small business (&lt; 100 workers and &lt; 50 lead risk workers)</w:t>
      </w:r>
      <w:r w:rsidR="007A2ECF">
        <w:rPr>
          <w:rFonts w:cstheme="majorBidi"/>
        </w:rPr>
        <w:t xml:space="preserve"> did not support blood lead </w:t>
      </w:r>
      <w:r w:rsidR="00473D77">
        <w:rPr>
          <w:rFonts w:cstheme="majorBidi"/>
        </w:rPr>
        <w:t xml:space="preserve">removal </w:t>
      </w:r>
      <w:r w:rsidR="007A2ECF">
        <w:rPr>
          <w:rFonts w:cstheme="majorBidi"/>
        </w:rPr>
        <w:t>level Option 2. The submission</w:t>
      </w:r>
      <w:r>
        <w:rPr>
          <w:rFonts w:cstheme="majorBidi"/>
        </w:rPr>
        <w:t xml:space="preserve"> indicated that the average blood lead level in the business is</w:t>
      </w:r>
      <w:r w:rsidR="007A2ECF">
        <w:rPr>
          <w:rFonts w:cstheme="majorBidi"/>
        </w:rPr>
        <w:t xml:space="preserve"> currently</w:t>
      </w:r>
      <w:r>
        <w:rPr>
          <w:rFonts w:cstheme="majorBidi"/>
        </w:rPr>
        <w:t xml:space="preserve"> above the blood lead removal level </w:t>
      </w:r>
      <w:r w:rsidR="007A2ECF">
        <w:rPr>
          <w:rFonts w:cstheme="majorBidi"/>
        </w:rPr>
        <w:t xml:space="preserve">being proposed </w:t>
      </w:r>
      <w:r>
        <w:rPr>
          <w:rFonts w:cstheme="majorBidi"/>
        </w:rPr>
        <w:t xml:space="preserve">and </w:t>
      </w:r>
      <w:r w:rsidR="007A2ECF">
        <w:rPr>
          <w:rFonts w:cstheme="majorBidi"/>
        </w:rPr>
        <w:t xml:space="preserve">implementation of </w:t>
      </w:r>
      <w:r>
        <w:rPr>
          <w:rFonts w:cstheme="majorBidi"/>
        </w:rPr>
        <w:t>this option would severely impact the business. This submission noted that blood lead level testing costs would triple and more time would need to be allocated for personal hygiene procedures. This submission noted that it would take a minimum of 12 months to promote and maintain hygiene practices to ‘come close’ to the level proposed.</w:t>
      </w:r>
    </w:p>
    <w:p w:rsidR="00473D77" w:rsidRDefault="00473D77" w:rsidP="00332003">
      <w:pPr>
        <w:rPr>
          <w:rFonts w:cstheme="majorBidi"/>
        </w:rPr>
      </w:pPr>
      <w:r>
        <w:rPr>
          <w:rFonts w:cstheme="majorBidi"/>
        </w:rPr>
        <w:t>One submission noted that the reduction in blood lead removal levels outlined in option 2 were not protective enough.</w:t>
      </w:r>
    </w:p>
    <w:p w:rsidR="00332003" w:rsidRDefault="00332003" w:rsidP="00332003">
      <w:pPr>
        <w:rPr>
          <w:rFonts w:cstheme="majorBidi"/>
        </w:rPr>
      </w:pPr>
      <w:r>
        <w:rPr>
          <w:rFonts w:cstheme="majorBidi"/>
        </w:rPr>
        <w:t>Various amendments to the proposed removal levels were submitted including:</w:t>
      </w:r>
    </w:p>
    <w:p w:rsidR="00A424B7" w:rsidRDefault="00A424B7" w:rsidP="00263482">
      <w:pPr>
        <w:pStyle w:val="ListParagraph"/>
        <w:numPr>
          <w:ilvl w:val="0"/>
          <w:numId w:val="31"/>
        </w:numPr>
        <w:rPr>
          <w:rFonts w:cstheme="majorBidi"/>
        </w:rPr>
      </w:pPr>
      <w:r>
        <w:rPr>
          <w:rFonts w:cstheme="majorBidi"/>
        </w:rPr>
        <w:t xml:space="preserve">removal of women of non-reproductive capacity and men at </w:t>
      </w:r>
      <w:r>
        <w:rPr>
          <w:rFonts w:cstheme="minorHAnsi"/>
        </w:rPr>
        <w:t>≥</w:t>
      </w:r>
      <w:r>
        <w:rPr>
          <w:rFonts w:cstheme="majorBidi"/>
        </w:rPr>
        <w:t xml:space="preserve"> 40 </w:t>
      </w:r>
      <w:r w:rsidRPr="006E133F">
        <w:rPr>
          <w:rFonts w:cstheme="minorHAnsi"/>
        </w:rPr>
        <w:t>μg</w:t>
      </w:r>
      <w:r>
        <w:rPr>
          <w:rFonts w:cstheme="majorBidi"/>
        </w:rPr>
        <w:t xml:space="preserve">/dL </w:t>
      </w:r>
    </w:p>
    <w:p w:rsidR="00332003" w:rsidRDefault="00332003" w:rsidP="00263482">
      <w:pPr>
        <w:pStyle w:val="ListParagraph"/>
        <w:numPr>
          <w:ilvl w:val="0"/>
          <w:numId w:val="31"/>
        </w:numPr>
        <w:rPr>
          <w:rFonts w:cstheme="majorBidi"/>
        </w:rPr>
      </w:pPr>
      <w:r>
        <w:rPr>
          <w:rFonts w:cstheme="majorBidi"/>
        </w:rPr>
        <w:t xml:space="preserve">removal of women of non-reproductive capacity and men at </w:t>
      </w:r>
      <w:r>
        <w:rPr>
          <w:rFonts w:cstheme="minorHAnsi"/>
        </w:rPr>
        <w:t>≥</w:t>
      </w:r>
      <w:r>
        <w:rPr>
          <w:rFonts w:cstheme="majorBidi"/>
        </w:rPr>
        <w:t xml:space="preserve"> 20 </w:t>
      </w:r>
      <w:r w:rsidRPr="006E133F">
        <w:rPr>
          <w:rFonts w:cstheme="minorHAnsi"/>
        </w:rPr>
        <w:t>μg</w:t>
      </w:r>
      <w:r>
        <w:rPr>
          <w:rFonts w:cstheme="majorBidi"/>
        </w:rPr>
        <w:t xml:space="preserve">/dL; with return to work at </w:t>
      </w:r>
      <w:r>
        <w:rPr>
          <w:rFonts w:cstheme="minorHAnsi"/>
        </w:rPr>
        <w:t>≤</w:t>
      </w:r>
      <w:r>
        <w:rPr>
          <w:rFonts w:cstheme="majorBidi"/>
        </w:rPr>
        <w:t xml:space="preserve"> 15 or 10 </w:t>
      </w:r>
      <w:r w:rsidRPr="006E133F">
        <w:rPr>
          <w:rFonts w:cstheme="minorHAnsi"/>
        </w:rPr>
        <w:t>μg</w:t>
      </w:r>
      <w:r>
        <w:rPr>
          <w:rFonts w:cstheme="majorBidi"/>
        </w:rPr>
        <w:t>/dL</w:t>
      </w:r>
    </w:p>
    <w:p w:rsidR="00332003" w:rsidRPr="00BD79EC" w:rsidRDefault="00332003" w:rsidP="00263482">
      <w:pPr>
        <w:pStyle w:val="ListParagraph"/>
        <w:numPr>
          <w:ilvl w:val="0"/>
          <w:numId w:val="31"/>
        </w:numPr>
        <w:rPr>
          <w:rFonts w:cstheme="majorBidi"/>
        </w:rPr>
      </w:pPr>
      <w:r>
        <w:rPr>
          <w:rFonts w:cstheme="majorBidi"/>
        </w:rPr>
        <w:t xml:space="preserve">removal of women of non-reproductive capacity and men at </w:t>
      </w:r>
      <w:r>
        <w:rPr>
          <w:rFonts w:cstheme="minorHAnsi"/>
        </w:rPr>
        <w:t>≥</w:t>
      </w:r>
      <w:r>
        <w:rPr>
          <w:rFonts w:cstheme="majorBidi"/>
        </w:rPr>
        <w:t xml:space="preserve"> 30 </w:t>
      </w:r>
      <w:r w:rsidRPr="006E133F">
        <w:rPr>
          <w:rFonts w:cstheme="minorHAnsi"/>
        </w:rPr>
        <w:t>μg</w:t>
      </w:r>
      <w:r>
        <w:rPr>
          <w:rFonts w:cstheme="majorBidi"/>
        </w:rPr>
        <w:t xml:space="preserve">/dL; with return to work at </w:t>
      </w:r>
      <w:r>
        <w:rPr>
          <w:rFonts w:cstheme="minorHAnsi"/>
        </w:rPr>
        <w:t>≤</w:t>
      </w:r>
      <w:r>
        <w:rPr>
          <w:rFonts w:cstheme="majorBidi"/>
        </w:rPr>
        <w:t xml:space="preserve"> 25 </w:t>
      </w:r>
      <w:r w:rsidRPr="00BD79EC">
        <w:rPr>
          <w:rFonts w:cstheme="minorHAnsi"/>
        </w:rPr>
        <w:t>μg</w:t>
      </w:r>
      <w:r>
        <w:rPr>
          <w:rFonts w:cstheme="majorBidi"/>
        </w:rPr>
        <w:t>/dL</w:t>
      </w:r>
    </w:p>
    <w:p w:rsidR="00332003" w:rsidRDefault="00332003" w:rsidP="00263482">
      <w:pPr>
        <w:pStyle w:val="ListParagraph"/>
        <w:numPr>
          <w:ilvl w:val="0"/>
          <w:numId w:val="31"/>
        </w:numPr>
        <w:rPr>
          <w:rFonts w:cstheme="majorBidi"/>
        </w:rPr>
      </w:pPr>
      <w:r>
        <w:rPr>
          <w:rFonts w:cstheme="majorBidi"/>
        </w:rPr>
        <w:t xml:space="preserve">removal of females of reproductive capacity at </w:t>
      </w:r>
      <w:r>
        <w:rPr>
          <w:rFonts w:cstheme="minorHAnsi"/>
        </w:rPr>
        <w:t>≥</w:t>
      </w:r>
      <w:r>
        <w:rPr>
          <w:rFonts w:cstheme="majorBidi"/>
        </w:rPr>
        <w:t xml:space="preserve"> 10 </w:t>
      </w:r>
      <w:r w:rsidRPr="006E133F">
        <w:rPr>
          <w:rFonts w:cstheme="minorHAnsi"/>
        </w:rPr>
        <w:t>μg</w:t>
      </w:r>
      <w:r>
        <w:rPr>
          <w:rFonts w:cstheme="majorBidi"/>
        </w:rPr>
        <w:t xml:space="preserve">/dL; with return at </w:t>
      </w:r>
      <w:r>
        <w:rPr>
          <w:rFonts w:cstheme="minorHAnsi"/>
        </w:rPr>
        <w:t>≤</w:t>
      </w:r>
      <w:r>
        <w:rPr>
          <w:rFonts w:cstheme="majorBidi"/>
        </w:rPr>
        <w:t xml:space="preserve"> 7 </w:t>
      </w:r>
      <w:r w:rsidRPr="006E133F">
        <w:rPr>
          <w:rFonts w:cstheme="minorHAnsi"/>
        </w:rPr>
        <w:t>μg</w:t>
      </w:r>
      <w:r>
        <w:rPr>
          <w:rFonts w:cstheme="majorBidi"/>
        </w:rPr>
        <w:t>/dL</w:t>
      </w:r>
    </w:p>
    <w:p w:rsidR="00EF4C49" w:rsidRPr="00EF4C49" w:rsidRDefault="00EF4C49" w:rsidP="00EF4C49">
      <w:pPr>
        <w:rPr>
          <w:rFonts w:cstheme="majorBidi"/>
        </w:rPr>
      </w:pPr>
      <w:r>
        <w:rPr>
          <w:rFonts w:cstheme="majorBidi"/>
        </w:rPr>
        <w:t>These amendments appeared to be based on pre-existing return to work levels that are currently used by businesses as internal standards or were proposed with no clear justification.</w:t>
      </w:r>
      <w:r w:rsidR="0097637D">
        <w:rPr>
          <w:rFonts w:cstheme="majorBidi"/>
        </w:rPr>
        <w:t xml:space="preserve"> </w:t>
      </w:r>
    </w:p>
    <w:p w:rsidR="00332003" w:rsidRDefault="00332003" w:rsidP="00332003">
      <w:pPr>
        <w:rPr>
          <w:rFonts w:cstheme="majorBidi"/>
        </w:rPr>
      </w:pPr>
      <w:r>
        <w:rPr>
          <w:rFonts w:cstheme="majorBidi"/>
        </w:rPr>
        <w:t>The 2014 toxicology report (SWA 2014</w:t>
      </w:r>
      <w:r w:rsidR="003A0AAE">
        <w:rPr>
          <w:rFonts w:cstheme="majorBidi"/>
        </w:rPr>
        <w:t>b</w:t>
      </w:r>
      <w:r>
        <w:rPr>
          <w:rFonts w:cstheme="majorBidi"/>
        </w:rPr>
        <w:t>) recommended a no observed adverse effect level (NOAEL) of 20 </w:t>
      </w:r>
      <w:r w:rsidRPr="00BD79EC">
        <w:rPr>
          <w:rFonts w:cstheme="minorHAnsi"/>
        </w:rPr>
        <w:t>μg</w:t>
      </w:r>
      <w:r>
        <w:rPr>
          <w:rFonts w:cstheme="majorBidi"/>
        </w:rPr>
        <w:t>/dL for females not of reproductive capacity</w:t>
      </w:r>
      <w:r w:rsidR="00F44B19">
        <w:rPr>
          <w:rFonts w:cstheme="majorBidi"/>
        </w:rPr>
        <w:t xml:space="preserve"> and males</w:t>
      </w:r>
      <w:r>
        <w:rPr>
          <w:rFonts w:cstheme="majorBidi"/>
        </w:rPr>
        <w:t xml:space="preserve">. It recommended that as this was a pragmatic NOAEL; this level should act as a rational precautionary limit for the protection of nearly all workers. Due to the additional effects seen on the developing foetus and in children the removal level of 10 </w:t>
      </w:r>
      <w:r w:rsidRPr="00D01654">
        <w:rPr>
          <w:rFonts w:cstheme="minorHAnsi"/>
        </w:rPr>
        <w:t>μg</w:t>
      </w:r>
      <w:r>
        <w:rPr>
          <w:rFonts w:cstheme="majorBidi"/>
        </w:rPr>
        <w:t>/dL and return</w:t>
      </w:r>
      <w:r w:rsidR="00F44B19">
        <w:rPr>
          <w:rFonts w:cstheme="majorBidi"/>
        </w:rPr>
        <w:t xml:space="preserve"> to work</w:t>
      </w:r>
      <w:r>
        <w:rPr>
          <w:rFonts w:cstheme="majorBidi"/>
        </w:rPr>
        <w:t xml:space="preserve"> level of 5 </w:t>
      </w:r>
      <w:r w:rsidRPr="00D01654">
        <w:rPr>
          <w:rFonts w:cstheme="minorHAnsi"/>
        </w:rPr>
        <w:t>μg</w:t>
      </w:r>
      <w:r>
        <w:rPr>
          <w:rFonts w:cstheme="majorBidi"/>
        </w:rPr>
        <w:t>/dL were recommended</w:t>
      </w:r>
      <w:r w:rsidR="00FE57D0">
        <w:rPr>
          <w:rFonts w:cstheme="majorBidi"/>
        </w:rPr>
        <w:t xml:space="preserve"> for females of reproductive capacity and those who are pregnant or breastfeeding</w:t>
      </w:r>
      <w:r>
        <w:rPr>
          <w:rFonts w:cstheme="majorBidi"/>
        </w:rPr>
        <w:t xml:space="preserve">. </w:t>
      </w:r>
      <w:r w:rsidR="002131AF">
        <w:rPr>
          <w:rFonts w:cstheme="majorBidi"/>
        </w:rPr>
        <w:t>As the options proposed by Safe Work Australia were based on the toxicological hazard profile for lead, the amendments proposed in submissions were not further considered in this process.</w:t>
      </w:r>
    </w:p>
    <w:p w:rsidR="00332003" w:rsidRDefault="00332003" w:rsidP="00332003">
      <w:pPr>
        <w:rPr>
          <w:rFonts w:cstheme="majorBidi"/>
        </w:rPr>
      </w:pPr>
      <w:r>
        <w:rPr>
          <w:rFonts w:cstheme="majorBidi"/>
        </w:rPr>
        <w:t>Submissions also suggested a modified testing frequency</w:t>
      </w:r>
      <w:r w:rsidR="00F34731">
        <w:rPr>
          <w:rFonts w:cstheme="majorBidi"/>
        </w:rPr>
        <w:t xml:space="preserve"> (outlined in </w:t>
      </w:r>
      <w:r w:rsidR="00F34731">
        <w:rPr>
          <w:rFonts w:cstheme="majorBidi"/>
        </w:rPr>
        <w:fldChar w:fldCharType="begin"/>
      </w:r>
      <w:r w:rsidR="00F34731">
        <w:rPr>
          <w:rFonts w:cstheme="majorBidi"/>
        </w:rPr>
        <w:instrText xml:space="preserve"> REF _Ref456699077 \h </w:instrText>
      </w:r>
      <w:r w:rsidR="00F34731">
        <w:rPr>
          <w:rFonts w:cstheme="majorBidi"/>
        </w:rPr>
      </w:r>
      <w:r w:rsidR="00F34731">
        <w:rPr>
          <w:rFonts w:cstheme="majorBidi"/>
        </w:rPr>
        <w:fldChar w:fldCharType="separate"/>
      </w:r>
      <w:r w:rsidR="00052CE1">
        <w:t xml:space="preserve">Table </w:t>
      </w:r>
      <w:r w:rsidR="00052CE1">
        <w:rPr>
          <w:noProof/>
        </w:rPr>
        <w:t>6</w:t>
      </w:r>
      <w:r w:rsidR="00F34731">
        <w:rPr>
          <w:rFonts w:cstheme="majorBidi"/>
        </w:rPr>
        <w:fldChar w:fldCharType="end"/>
      </w:r>
      <w:r w:rsidR="00F34731">
        <w:rPr>
          <w:rFonts w:cstheme="majorBidi"/>
        </w:rPr>
        <w:t xml:space="preserve"> below)</w:t>
      </w:r>
      <w:r>
        <w:rPr>
          <w:rFonts w:cstheme="majorBidi"/>
        </w:rPr>
        <w:t>. Originally the proposed change</w:t>
      </w:r>
      <w:r w:rsidR="00FD6413">
        <w:rPr>
          <w:rFonts w:cstheme="majorBidi"/>
        </w:rPr>
        <w:t>s to the testing frequency for O</w:t>
      </w:r>
      <w:r>
        <w:rPr>
          <w:rFonts w:cstheme="majorBidi"/>
        </w:rPr>
        <w:t>ption 2 were:</w:t>
      </w:r>
    </w:p>
    <w:p w:rsidR="002131AF" w:rsidRDefault="002131AF" w:rsidP="00263482">
      <w:pPr>
        <w:pStyle w:val="ListParagraph"/>
        <w:numPr>
          <w:ilvl w:val="0"/>
          <w:numId w:val="37"/>
        </w:numPr>
        <w:rPr>
          <w:rFonts w:cstheme="majorBidi"/>
        </w:rPr>
      </w:pPr>
      <w:r>
        <w:rPr>
          <w:rFonts w:cstheme="majorBidi"/>
        </w:rPr>
        <w:t xml:space="preserve">testing every three months for blood lead levels between 0 and 20 </w:t>
      </w:r>
      <w:r w:rsidRPr="002131AF">
        <w:rPr>
          <w:rFonts w:cstheme="minorHAnsi"/>
        </w:rPr>
        <w:t>μg</w:t>
      </w:r>
      <w:r>
        <w:rPr>
          <w:rFonts w:cstheme="majorBidi"/>
        </w:rPr>
        <w:t>/dL, and</w:t>
      </w:r>
    </w:p>
    <w:p w:rsidR="002131AF" w:rsidRDefault="002131AF" w:rsidP="00263482">
      <w:pPr>
        <w:pStyle w:val="ListParagraph"/>
        <w:numPr>
          <w:ilvl w:val="0"/>
          <w:numId w:val="37"/>
        </w:numPr>
        <w:rPr>
          <w:rFonts w:cstheme="majorBidi"/>
        </w:rPr>
      </w:pPr>
      <w:r>
        <w:rPr>
          <w:rFonts w:cstheme="majorBidi"/>
        </w:rPr>
        <w:t xml:space="preserve">testing every six weeks for blood lead levels </w:t>
      </w:r>
      <w:r>
        <w:rPr>
          <w:rFonts w:cstheme="minorHAnsi"/>
        </w:rPr>
        <w:t>≥</w:t>
      </w:r>
      <w:r>
        <w:rPr>
          <w:rFonts w:cstheme="majorBidi"/>
        </w:rPr>
        <w:t xml:space="preserve"> 20 </w:t>
      </w:r>
      <w:r w:rsidRPr="002131AF">
        <w:rPr>
          <w:rFonts w:cstheme="minorHAnsi"/>
        </w:rPr>
        <w:t>μg</w:t>
      </w:r>
      <w:r>
        <w:rPr>
          <w:rFonts w:cstheme="majorBidi"/>
        </w:rPr>
        <w:t>/dL.</w:t>
      </w:r>
    </w:p>
    <w:p w:rsidR="002131AF" w:rsidRDefault="002131AF" w:rsidP="002131AF">
      <w:pPr>
        <w:rPr>
          <w:rFonts w:cstheme="majorBidi"/>
        </w:rPr>
      </w:pPr>
      <w:r>
        <w:rPr>
          <w:rFonts w:cstheme="majorBidi"/>
        </w:rPr>
        <w:t>Submissions questioned why the six month frequency period in current regulations was not preserved and proposed to keep the six month testing frequency for females not of reproductive capacity and males at the lower levels of blood lead concentration.</w:t>
      </w:r>
    </w:p>
    <w:p w:rsidR="00F10E13" w:rsidRPr="00F10E13" w:rsidRDefault="00F10E13" w:rsidP="002131AF">
      <w:r>
        <w:t>The proposed change to the frequency of testing for females not of reproductive capacity and males has been considered by Safe Work Australia. As the proposed approach is consistent with the currently regulated frequency of testing and the original proposed change to the frequency of testing is considered to offer no additional health benefit, the amended proposal has been accepted and will be modelled in the cost-benefit analysis.</w:t>
      </w:r>
    </w:p>
    <w:p w:rsidR="00F44B19" w:rsidRDefault="00F44B19" w:rsidP="00F44B19">
      <w:pPr>
        <w:pStyle w:val="TableTitle"/>
      </w:pPr>
      <w:bookmarkStart w:id="91" w:name="_Ref456699077"/>
      <w:r>
        <w:t xml:space="preserve">Table </w:t>
      </w:r>
      <w:r w:rsidR="00C32273">
        <w:fldChar w:fldCharType="begin"/>
      </w:r>
      <w:r w:rsidR="00C834BC">
        <w:instrText xml:space="preserve"> SEQ Table \* ARABIC </w:instrText>
      </w:r>
      <w:r w:rsidR="00C32273">
        <w:fldChar w:fldCharType="separate"/>
      </w:r>
      <w:r w:rsidR="00052CE1">
        <w:rPr>
          <w:noProof/>
        </w:rPr>
        <w:t>6</w:t>
      </w:r>
      <w:r w:rsidR="00C32273">
        <w:rPr>
          <w:noProof/>
        </w:rPr>
        <w:fldChar w:fldCharType="end"/>
      </w:r>
      <w:bookmarkEnd w:id="91"/>
      <w:r>
        <w:t xml:space="preserve">. </w:t>
      </w:r>
      <w:r w:rsidRPr="00263C91">
        <w:rPr>
          <w:b w:val="0"/>
        </w:rPr>
        <w:t>Blood lead level testing frequency – original proposal and proposal adopted based on feedback in submissions</w:t>
      </w:r>
    </w:p>
    <w:tbl>
      <w:tblPr>
        <w:tblStyle w:val="TableGrid"/>
        <w:tblW w:w="0" w:type="auto"/>
        <w:tblLook w:val="04A0" w:firstRow="1" w:lastRow="0" w:firstColumn="1" w:lastColumn="0" w:noHBand="0" w:noVBand="1"/>
        <w:tblCaption w:val="Table 6"/>
        <w:tblDescription w:val="Table 6. Blood lead level testing frequency – original proposal and proposal adopted based on feedback in submissions."/>
      </w:tblPr>
      <w:tblGrid>
        <w:gridCol w:w="3208"/>
        <w:gridCol w:w="3208"/>
        <w:gridCol w:w="3208"/>
      </w:tblGrid>
      <w:tr w:rsidR="00332003" w:rsidRPr="00332003" w:rsidTr="00F10E13">
        <w:trPr>
          <w:tblHeader/>
        </w:trPr>
        <w:tc>
          <w:tcPr>
            <w:tcW w:w="3208" w:type="dxa"/>
            <w:vMerge w:val="restart"/>
            <w:shd w:val="clear" w:color="auto" w:fill="BFBFBF" w:themeFill="background1" w:themeFillShade="BF"/>
            <w:vAlign w:val="center"/>
          </w:tcPr>
          <w:p w:rsidR="00332003" w:rsidRPr="00332003" w:rsidRDefault="00332003" w:rsidP="000D1111">
            <w:pPr>
              <w:pStyle w:val="BodyText"/>
              <w:spacing w:before="20" w:after="20"/>
              <w:rPr>
                <w:rFonts w:ascii="Arial" w:hAnsi="Arial" w:cs="Arial"/>
                <w:b/>
                <w:sz w:val="20"/>
                <w:szCs w:val="20"/>
              </w:rPr>
            </w:pPr>
            <w:r w:rsidRPr="00332003">
              <w:rPr>
                <w:rFonts w:ascii="Arial" w:hAnsi="Arial" w:cs="Arial"/>
                <w:b/>
                <w:sz w:val="20"/>
                <w:szCs w:val="20"/>
              </w:rPr>
              <w:t>Blood lead level (</w:t>
            </w:r>
            <w:r w:rsidRPr="00332003">
              <w:rPr>
                <w:rFonts w:ascii="Arial" w:hAnsi="Arial" w:cs="Arial"/>
                <w:b/>
                <w:color w:val="000000"/>
                <w:sz w:val="20"/>
                <w:szCs w:val="20"/>
              </w:rPr>
              <w:t>μg/dL)</w:t>
            </w:r>
          </w:p>
        </w:tc>
        <w:tc>
          <w:tcPr>
            <w:tcW w:w="6416" w:type="dxa"/>
            <w:gridSpan w:val="2"/>
            <w:shd w:val="clear" w:color="auto" w:fill="BFBFBF" w:themeFill="background1" w:themeFillShade="BF"/>
            <w:vAlign w:val="center"/>
          </w:tcPr>
          <w:p w:rsidR="00332003" w:rsidRPr="00332003" w:rsidRDefault="00F44B19" w:rsidP="000D1111">
            <w:pPr>
              <w:pStyle w:val="BodyText"/>
              <w:spacing w:before="20" w:after="20"/>
              <w:jc w:val="center"/>
              <w:rPr>
                <w:rFonts w:ascii="Arial" w:hAnsi="Arial" w:cs="Arial"/>
                <w:b/>
                <w:sz w:val="20"/>
                <w:szCs w:val="20"/>
              </w:rPr>
            </w:pPr>
            <w:r>
              <w:rPr>
                <w:rFonts w:ascii="Arial" w:hAnsi="Arial" w:cs="Arial"/>
                <w:b/>
                <w:sz w:val="20"/>
                <w:szCs w:val="20"/>
              </w:rPr>
              <w:t>Frequency of testing</w:t>
            </w:r>
          </w:p>
        </w:tc>
      </w:tr>
      <w:tr w:rsidR="00332003" w:rsidRPr="00332003" w:rsidTr="00F10E13">
        <w:trPr>
          <w:tblHeader/>
        </w:trPr>
        <w:tc>
          <w:tcPr>
            <w:tcW w:w="3208" w:type="dxa"/>
            <w:vMerge/>
            <w:shd w:val="clear" w:color="auto" w:fill="BFBFBF" w:themeFill="background1" w:themeFillShade="BF"/>
            <w:vAlign w:val="center"/>
          </w:tcPr>
          <w:p w:rsidR="00332003" w:rsidRPr="00332003" w:rsidRDefault="00332003" w:rsidP="000D1111">
            <w:pPr>
              <w:spacing w:before="20" w:after="20"/>
              <w:rPr>
                <w:rFonts w:ascii="Arial" w:hAnsi="Arial" w:cs="Arial"/>
                <w:sz w:val="20"/>
                <w:szCs w:val="20"/>
              </w:rPr>
            </w:pPr>
          </w:p>
        </w:tc>
        <w:tc>
          <w:tcPr>
            <w:tcW w:w="3208" w:type="dxa"/>
            <w:shd w:val="clear" w:color="auto" w:fill="BFBFBF" w:themeFill="background1" w:themeFillShade="BF"/>
            <w:vAlign w:val="center"/>
          </w:tcPr>
          <w:p w:rsidR="00332003" w:rsidRPr="00332003" w:rsidRDefault="00332003" w:rsidP="000D1111">
            <w:pPr>
              <w:pStyle w:val="BodyText"/>
              <w:spacing w:before="20" w:after="20"/>
              <w:jc w:val="center"/>
              <w:rPr>
                <w:rFonts w:ascii="Arial" w:hAnsi="Arial" w:cs="Arial"/>
                <w:b/>
                <w:sz w:val="20"/>
                <w:szCs w:val="20"/>
              </w:rPr>
            </w:pPr>
            <w:r w:rsidRPr="00332003">
              <w:rPr>
                <w:rFonts w:ascii="Arial" w:hAnsi="Arial" w:cs="Arial"/>
                <w:b/>
                <w:sz w:val="20"/>
                <w:szCs w:val="20"/>
              </w:rPr>
              <w:t>Original option 2</w:t>
            </w:r>
          </w:p>
        </w:tc>
        <w:tc>
          <w:tcPr>
            <w:tcW w:w="3208" w:type="dxa"/>
            <w:shd w:val="clear" w:color="auto" w:fill="BFBFBF" w:themeFill="background1" w:themeFillShade="BF"/>
            <w:vAlign w:val="center"/>
          </w:tcPr>
          <w:p w:rsidR="00332003" w:rsidRPr="00332003" w:rsidRDefault="00332003" w:rsidP="000D1111">
            <w:pPr>
              <w:pStyle w:val="BodyText"/>
              <w:spacing w:before="20" w:after="20"/>
              <w:jc w:val="center"/>
              <w:rPr>
                <w:rFonts w:ascii="Arial" w:hAnsi="Arial" w:cs="Arial"/>
                <w:b/>
                <w:sz w:val="20"/>
                <w:szCs w:val="20"/>
              </w:rPr>
            </w:pPr>
            <w:r w:rsidRPr="00332003">
              <w:rPr>
                <w:rFonts w:ascii="Arial" w:hAnsi="Arial" w:cs="Arial"/>
                <w:b/>
                <w:sz w:val="20"/>
                <w:szCs w:val="20"/>
              </w:rPr>
              <w:t>Amended option 2</w:t>
            </w:r>
          </w:p>
        </w:tc>
      </w:tr>
      <w:tr w:rsidR="00332003" w:rsidRPr="00684513" w:rsidTr="000D1111">
        <w:tc>
          <w:tcPr>
            <w:tcW w:w="9624" w:type="dxa"/>
            <w:gridSpan w:val="3"/>
            <w:shd w:val="clear" w:color="auto" w:fill="D9D9D9" w:themeFill="background1" w:themeFillShade="D9"/>
            <w:vAlign w:val="center"/>
          </w:tcPr>
          <w:p w:rsidR="00332003" w:rsidRPr="00684513" w:rsidRDefault="002131AF" w:rsidP="000D1111">
            <w:pPr>
              <w:spacing w:before="20" w:after="20"/>
              <w:rPr>
                <w:rFonts w:ascii="Arial" w:hAnsi="Arial" w:cs="Arial"/>
                <w:i/>
                <w:color w:val="000000"/>
                <w:sz w:val="20"/>
                <w:szCs w:val="20"/>
              </w:rPr>
            </w:pPr>
            <w:r w:rsidRPr="00684513">
              <w:rPr>
                <w:rFonts w:ascii="Arial" w:hAnsi="Arial" w:cs="Arial"/>
                <w:i/>
                <w:color w:val="000000"/>
                <w:sz w:val="20"/>
                <w:szCs w:val="20"/>
              </w:rPr>
              <w:t>F</w:t>
            </w:r>
            <w:r w:rsidR="00332003" w:rsidRPr="00684513">
              <w:rPr>
                <w:rFonts w:ascii="Arial" w:hAnsi="Arial" w:cs="Arial"/>
                <w:i/>
                <w:color w:val="000000"/>
                <w:sz w:val="20"/>
                <w:szCs w:val="20"/>
              </w:rPr>
              <w:t>emales of non-reproductive capacity</w:t>
            </w:r>
            <w:r w:rsidRPr="00684513">
              <w:rPr>
                <w:rFonts w:ascii="Arial" w:hAnsi="Arial" w:cs="Arial"/>
                <w:i/>
                <w:color w:val="000000"/>
                <w:sz w:val="20"/>
                <w:szCs w:val="20"/>
              </w:rPr>
              <w:t xml:space="preserve"> and males</w:t>
            </w:r>
          </w:p>
        </w:tc>
      </w:tr>
      <w:tr w:rsidR="00332003" w:rsidRPr="00332003" w:rsidTr="000D1111">
        <w:tc>
          <w:tcPr>
            <w:tcW w:w="3208" w:type="dxa"/>
            <w:vAlign w:val="center"/>
          </w:tcPr>
          <w:p w:rsidR="00332003" w:rsidRPr="00332003" w:rsidRDefault="00332003" w:rsidP="000D1111">
            <w:pPr>
              <w:spacing w:before="20" w:after="20"/>
              <w:rPr>
                <w:rFonts w:ascii="Arial" w:hAnsi="Arial" w:cs="Arial"/>
                <w:color w:val="000000"/>
                <w:sz w:val="20"/>
                <w:szCs w:val="20"/>
              </w:rPr>
            </w:pPr>
            <w:r w:rsidRPr="00332003">
              <w:rPr>
                <w:rFonts w:ascii="Arial" w:hAnsi="Arial" w:cs="Arial"/>
                <w:color w:val="000000"/>
                <w:sz w:val="20"/>
                <w:szCs w:val="20"/>
              </w:rPr>
              <w:t>0-5</w:t>
            </w:r>
          </w:p>
        </w:tc>
        <w:tc>
          <w:tcPr>
            <w:tcW w:w="3208" w:type="dxa"/>
            <w:vMerge w:val="restart"/>
            <w:vAlign w:val="center"/>
          </w:tcPr>
          <w:p w:rsidR="00332003" w:rsidRPr="00332003" w:rsidRDefault="00332003" w:rsidP="000D1111">
            <w:pPr>
              <w:spacing w:before="20" w:after="20"/>
              <w:jc w:val="center"/>
              <w:rPr>
                <w:rFonts w:ascii="Arial" w:hAnsi="Arial" w:cs="Arial"/>
                <w:color w:val="000000"/>
                <w:sz w:val="20"/>
                <w:szCs w:val="20"/>
              </w:rPr>
            </w:pPr>
            <w:r w:rsidRPr="00332003">
              <w:rPr>
                <w:rFonts w:ascii="Arial" w:hAnsi="Arial" w:cs="Arial"/>
                <w:color w:val="000000"/>
                <w:sz w:val="20"/>
                <w:szCs w:val="20"/>
              </w:rPr>
              <w:t>Three months</w:t>
            </w:r>
          </w:p>
        </w:tc>
        <w:tc>
          <w:tcPr>
            <w:tcW w:w="3208" w:type="dxa"/>
            <w:vMerge w:val="restart"/>
            <w:vAlign w:val="center"/>
          </w:tcPr>
          <w:p w:rsidR="00332003" w:rsidRPr="00332003" w:rsidRDefault="00332003" w:rsidP="000D1111">
            <w:pPr>
              <w:spacing w:before="20" w:after="20"/>
              <w:jc w:val="center"/>
              <w:rPr>
                <w:rFonts w:ascii="Arial" w:hAnsi="Arial" w:cs="Arial"/>
                <w:color w:val="000000"/>
                <w:sz w:val="20"/>
                <w:szCs w:val="20"/>
              </w:rPr>
            </w:pPr>
            <w:r w:rsidRPr="00332003">
              <w:rPr>
                <w:rFonts w:ascii="Arial" w:hAnsi="Arial" w:cs="Arial"/>
                <w:color w:val="000000"/>
                <w:sz w:val="20"/>
                <w:szCs w:val="20"/>
              </w:rPr>
              <w:t>Six months</w:t>
            </w:r>
          </w:p>
        </w:tc>
      </w:tr>
      <w:tr w:rsidR="00332003" w:rsidRPr="00332003" w:rsidTr="000D1111">
        <w:tc>
          <w:tcPr>
            <w:tcW w:w="3208" w:type="dxa"/>
            <w:vAlign w:val="center"/>
          </w:tcPr>
          <w:p w:rsidR="00332003" w:rsidRPr="00332003" w:rsidRDefault="00332003" w:rsidP="000D1111">
            <w:pPr>
              <w:spacing w:before="20" w:after="20"/>
              <w:rPr>
                <w:rFonts w:ascii="Arial" w:hAnsi="Arial" w:cs="Arial"/>
                <w:i/>
                <w:color w:val="000000"/>
                <w:sz w:val="20"/>
                <w:szCs w:val="20"/>
              </w:rPr>
            </w:pPr>
            <w:r w:rsidRPr="00332003">
              <w:rPr>
                <w:rFonts w:ascii="Arial" w:hAnsi="Arial" w:cs="Arial"/>
                <w:color w:val="000000"/>
                <w:sz w:val="20"/>
                <w:szCs w:val="20"/>
              </w:rPr>
              <w:t>5-10</w:t>
            </w: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c>
          <w:tcPr>
            <w:tcW w:w="3208" w:type="dxa"/>
            <w:vMerge/>
            <w:vAlign w:val="center"/>
          </w:tcPr>
          <w:p w:rsidR="00332003" w:rsidRPr="00332003" w:rsidRDefault="00332003" w:rsidP="000D1111">
            <w:pPr>
              <w:spacing w:before="20" w:after="20"/>
              <w:jc w:val="center"/>
              <w:rPr>
                <w:rFonts w:ascii="Arial" w:hAnsi="Arial" w:cs="Arial"/>
                <w:color w:val="000000"/>
                <w:sz w:val="20"/>
                <w:szCs w:val="20"/>
              </w:rPr>
            </w:pPr>
          </w:p>
        </w:tc>
      </w:tr>
      <w:tr w:rsidR="00332003" w:rsidRPr="00332003" w:rsidTr="000D1111">
        <w:tc>
          <w:tcPr>
            <w:tcW w:w="3208" w:type="dxa"/>
            <w:vAlign w:val="center"/>
          </w:tcPr>
          <w:p w:rsidR="00332003" w:rsidRPr="00332003" w:rsidRDefault="00332003" w:rsidP="000D1111">
            <w:pPr>
              <w:spacing w:before="20" w:after="20"/>
              <w:rPr>
                <w:rFonts w:ascii="Arial" w:hAnsi="Arial" w:cs="Arial"/>
                <w:color w:val="000000"/>
                <w:sz w:val="20"/>
                <w:szCs w:val="20"/>
              </w:rPr>
            </w:pPr>
            <w:r w:rsidRPr="00332003">
              <w:rPr>
                <w:rFonts w:ascii="Arial" w:hAnsi="Arial" w:cs="Arial"/>
                <w:color w:val="000000"/>
                <w:sz w:val="20"/>
                <w:szCs w:val="20"/>
              </w:rPr>
              <w:t>10-20</w:t>
            </w: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c>
          <w:tcPr>
            <w:tcW w:w="3208" w:type="dxa"/>
            <w:vAlign w:val="center"/>
          </w:tcPr>
          <w:p w:rsidR="00332003" w:rsidRPr="00332003" w:rsidRDefault="00332003" w:rsidP="000D1111">
            <w:pPr>
              <w:spacing w:before="20" w:after="20"/>
              <w:jc w:val="center"/>
              <w:rPr>
                <w:rFonts w:ascii="Arial" w:hAnsi="Arial" w:cs="Arial"/>
                <w:color w:val="000000"/>
                <w:sz w:val="20"/>
                <w:szCs w:val="20"/>
              </w:rPr>
            </w:pPr>
            <w:r w:rsidRPr="00332003">
              <w:rPr>
                <w:rFonts w:ascii="Arial" w:hAnsi="Arial" w:cs="Arial"/>
                <w:color w:val="000000"/>
                <w:sz w:val="20"/>
                <w:szCs w:val="20"/>
              </w:rPr>
              <w:t>Three months</w:t>
            </w:r>
          </w:p>
        </w:tc>
      </w:tr>
      <w:tr w:rsidR="00332003" w:rsidRPr="00332003" w:rsidTr="000D1111">
        <w:tc>
          <w:tcPr>
            <w:tcW w:w="3208" w:type="dxa"/>
            <w:vAlign w:val="center"/>
          </w:tcPr>
          <w:p w:rsidR="00332003" w:rsidRPr="00332003" w:rsidRDefault="00332003" w:rsidP="000D1111">
            <w:pPr>
              <w:spacing w:before="20" w:after="20"/>
              <w:rPr>
                <w:rFonts w:ascii="Arial" w:hAnsi="Arial" w:cs="Arial"/>
                <w:color w:val="000000"/>
                <w:sz w:val="20"/>
                <w:szCs w:val="20"/>
              </w:rPr>
            </w:pPr>
            <w:r w:rsidRPr="00332003">
              <w:rPr>
                <w:rFonts w:ascii="Arial" w:hAnsi="Arial" w:cs="Arial"/>
                <w:color w:val="000000"/>
                <w:sz w:val="20"/>
                <w:szCs w:val="20"/>
              </w:rPr>
              <w:t>20-30</w:t>
            </w:r>
          </w:p>
        </w:tc>
        <w:tc>
          <w:tcPr>
            <w:tcW w:w="3208" w:type="dxa"/>
            <w:vMerge w:val="restart"/>
            <w:vAlign w:val="center"/>
          </w:tcPr>
          <w:p w:rsidR="00332003" w:rsidRPr="00332003" w:rsidRDefault="00332003" w:rsidP="000D1111">
            <w:pPr>
              <w:spacing w:before="20" w:after="20"/>
              <w:jc w:val="center"/>
              <w:rPr>
                <w:rFonts w:ascii="Arial" w:hAnsi="Arial" w:cs="Arial"/>
                <w:color w:val="000000"/>
                <w:sz w:val="20"/>
                <w:szCs w:val="20"/>
              </w:rPr>
            </w:pPr>
            <w:r w:rsidRPr="00332003">
              <w:rPr>
                <w:rFonts w:ascii="Arial" w:hAnsi="Arial" w:cs="Arial"/>
                <w:color w:val="000000"/>
                <w:sz w:val="20"/>
                <w:szCs w:val="20"/>
              </w:rPr>
              <w:t>Six weeks</w:t>
            </w:r>
          </w:p>
        </w:tc>
        <w:tc>
          <w:tcPr>
            <w:tcW w:w="3208" w:type="dxa"/>
            <w:vMerge w:val="restart"/>
            <w:vAlign w:val="center"/>
          </w:tcPr>
          <w:p w:rsidR="00332003" w:rsidRPr="00332003" w:rsidRDefault="00332003" w:rsidP="000D1111">
            <w:pPr>
              <w:spacing w:before="20" w:after="20"/>
              <w:jc w:val="center"/>
              <w:rPr>
                <w:rFonts w:ascii="Arial" w:hAnsi="Arial" w:cs="Arial"/>
                <w:color w:val="000000"/>
                <w:sz w:val="20"/>
                <w:szCs w:val="20"/>
              </w:rPr>
            </w:pPr>
            <w:r w:rsidRPr="00332003">
              <w:rPr>
                <w:rFonts w:ascii="Arial" w:hAnsi="Arial" w:cs="Arial"/>
                <w:color w:val="000000"/>
                <w:sz w:val="20"/>
                <w:szCs w:val="20"/>
              </w:rPr>
              <w:t>Six weeks</w:t>
            </w:r>
          </w:p>
        </w:tc>
      </w:tr>
      <w:tr w:rsidR="00332003" w:rsidRPr="00332003" w:rsidTr="000D1111">
        <w:tc>
          <w:tcPr>
            <w:tcW w:w="3208" w:type="dxa"/>
            <w:vAlign w:val="center"/>
          </w:tcPr>
          <w:p w:rsidR="00332003" w:rsidRPr="00332003" w:rsidRDefault="00332003" w:rsidP="000D1111">
            <w:pPr>
              <w:spacing w:before="20" w:after="20"/>
              <w:rPr>
                <w:rFonts w:ascii="Arial" w:hAnsi="Arial" w:cs="Arial"/>
                <w:color w:val="000000"/>
                <w:sz w:val="20"/>
                <w:szCs w:val="20"/>
              </w:rPr>
            </w:pPr>
            <w:r w:rsidRPr="00332003">
              <w:rPr>
                <w:rFonts w:ascii="Arial" w:hAnsi="Arial" w:cs="Arial"/>
                <w:color w:val="000000"/>
                <w:sz w:val="20"/>
                <w:szCs w:val="20"/>
              </w:rPr>
              <w:t>30-40</w:t>
            </w: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r>
      <w:tr w:rsidR="00332003" w:rsidRPr="00332003" w:rsidTr="000D1111">
        <w:tc>
          <w:tcPr>
            <w:tcW w:w="3208" w:type="dxa"/>
            <w:vAlign w:val="center"/>
          </w:tcPr>
          <w:p w:rsidR="00332003" w:rsidRPr="00332003" w:rsidRDefault="00332003" w:rsidP="000D1111">
            <w:pPr>
              <w:spacing w:before="20" w:after="20"/>
              <w:rPr>
                <w:rFonts w:ascii="Arial" w:hAnsi="Arial" w:cs="Arial"/>
                <w:color w:val="000000"/>
                <w:sz w:val="20"/>
                <w:szCs w:val="20"/>
              </w:rPr>
            </w:pPr>
            <w:r w:rsidRPr="00332003">
              <w:rPr>
                <w:rFonts w:ascii="Arial" w:hAnsi="Arial" w:cs="Arial"/>
                <w:color w:val="000000"/>
                <w:sz w:val="20"/>
                <w:szCs w:val="20"/>
              </w:rPr>
              <w:t>40-50</w:t>
            </w: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r>
      <w:tr w:rsidR="00332003" w:rsidRPr="00332003" w:rsidTr="000D1111">
        <w:tc>
          <w:tcPr>
            <w:tcW w:w="3208" w:type="dxa"/>
            <w:vAlign w:val="center"/>
          </w:tcPr>
          <w:p w:rsidR="00332003" w:rsidRPr="00332003" w:rsidRDefault="00332003" w:rsidP="000D1111">
            <w:pPr>
              <w:spacing w:before="20" w:after="20"/>
              <w:rPr>
                <w:rFonts w:ascii="Arial" w:hAnsi="Arial" w:cs="Arial"/>
                <w:color w:val="000000"/>
                <w:sz w:val="20"/>
                <w:szCs w:val="20"/>
              </w:rPr>
            </w:pPr>
            <w:r w:rsidRPr="00332003">
              <w:rPr>
                <w:rFonts w:ascii="Arial" w:hAnsi="Arial" w:cs="Arial"/>
                <w:color w:val="000000"/>
                <w:sz w:val="20"/>
                <w:szCs w:val="20"/>
              </w:rPr>
              <w:t>50 +</w:t>
            </w: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r>
      <w:tr w:rsidR="00332003" w:rsidRPr="00684513" w:rsidTr="000D1111">
        <w:tc>
          <w:tcPr>
            <w:tcW w:w="9624" w:type="dxa"/>
            <w:gridSpan w:val="3"/>
            <w:shd w:val="clear" w:color="auto" w:fill="D9D9D9" w:themeFill="background1" w:themeFillShade="D9"/>
            <w:vAlign w:val="center"/>
          </w:tcPr>
          <w:p w:rsidR="00332003" w:rsidRPr="00684513" w:rsidRDefault="00332003" w:rsidP="007A2ECF">
            <w:pPr>
              <w:keepNext/>
              <w:spacing w:before="20" w:after="20"/>
              <w:rPr>
                <w:rFonts w:ascii="Arial" w:hAnsi="Arial" w:cs="Arial"/>
                <w:i/>
                <w:color w:val="000000"/>
                <w:sz w:val="20"/>
                <w:szCs w:val="20"/>
              </w:rPr>
            </w:pPr>
            <w:r w:rsidRPr="00684513">
              <w:rPr>
                <w:rFonts w:ascii="Arial" w:hAnsi="Arial" w:cs="Arial"/>
                <w:i/>
                <w:color w:val="000000"/>
                <w:sz w:val="20"/>
                <w:szCs w:val="20"/>
              </w:rPr>
              <w:t>Females of reproductive capacity</w:t>
            </w:r>
          </w:p>
        </w:tc>
      </w:tr>
      <w:tr w:rsidR="00332003" w:rsidRPr="00332003" w:rsidTr="000D1111">
        <w:tc>
          <w:tcPr>
            <w:tcW w:w="3208" w:type="dxa"/>
            <w:vAlign w:val="center"/>
          </w:tcPr>
          <w:p w:rsidR="00332003" w:rsidRPr="00332003" w:rsidRDefault="00332003" w:rsidP="007A2ECF">
            <w:pPr>
              <w:keepNext/>
              <w:spacing w:before="20" w:after="20"/>
              <w:rPr>
                <w:rFonts w:ascii="Arial" w:hAnsi="Arial" w:cs="Arial"/>
                <w:color w:val="000000"/>
                <w:sz w:val="20"/>
                <w:szCs w:val="20"/>
              </w:rPr>
            </w:pPr>
            <w:r w:rsidRPr="00332003">
              <w:rPr>
                <w:rFonts w:ascii="Arial" w:hAnsi="Arial" w:cs="Arial"/>
                <w:color w:val="000000"/>
                <w:sz w:val="20"/>
                <w:szCs w:val="20"/>
              </w:rPr>
              <w:t>0-5</w:t>
            </w:r>
          </w:p>
        </w:tc>
        <w:tc>
          <w:tcPr>
            <w:tcW w:w="3208" w:type="dxa"/>
            <w:vAlign w:val="center"/>
          </w:tcPr>
          <w:p w:rsidR="00332003" w:rsidRPr="00332003" w:rsidRDefault="00332003" w:rsidP="007A2ECF">
            <w:pPr>
              <w:keepNext/>
              <w:spacing w:before="20" w:after="20"/>
              <w:jc w:val="center"/>
              <w:rPr>
                <w:rFonts w:ascii="Arial" w:hAnsi="Arial" w:cs="Arial"/>
                <w:color w:val="000000"/>
                <w:sz w:val="20"/>
                <w:szCs w:val="20"/>
              </w:rPr>
            </w:pPr>
            <w:r w:rsidRPr="00332003">
              <w:rPr>
                <w:rFonts w:ascii="Arial" w:hAnsi="Arial" w:cs="Arial"/>
                <w:color w:val="000000"/>
                <w:sz w:val="20"/>
                <w:szCs w:val="20"/>
              </w:rPr>
              <w:t>Three months</w:t>
            </w:r>
          </w:p>
        </w:tc>
        <w:tc>
          <w:tcPr>
            <w:tcW w:w="3208" w:type="dxa"/>
            <w:vAlign w:val="center"/>
          </w:tcPr>
          <w:p w:rsidR="00332003" w:rsidRPr="00332003" w:rsidRDefault="00332003" w:rsidP="007A2ECF">
            <w:pPr>
              <w:keepNext/>
              <w:spacing w:before="20" w:after="20"/>
              <w:jc w:val="center"/>
              <w:rPr>
                <w:rFonts w:ascii="Arial" w:hAnsi="Arial" w:cs="Arial"/>
                <w:color w:val="000000"/>
                <w:sz w:val="20"/>
                <w:szCs w:val="20"/>
              </w:rPr>
            </w:pPr>
            <w:r w:rsidRPr="00332003">
              <w:rPr>
                <w:rFonts w:ascii="Arial" w:hAnsi="Arial" w:cs="Arial"/>
                <w:color w:val="000000"/>
                <w:sz w:val="20"/>
                <w:szCs w:val="20"/>
              </w:rPr>
              <w:t>Three months</w:t>
            </w:r>
          </w:p>
        </w:tc>
      </w:tr>
      <w:tr w:rsidR="00332003" w:rsidRPr="00332003" w:rsidTr="000D1111">
        <w:tc>
          <w:tcPr>
            <w:tcW w:w="3208" w:type="dxa"/>
            <w:vAlign w:val="center"/>
          </w:tcPr>
          <w:p w:rsidR="00332003" w:rsidRPr="00332003" w:rsidRDefault="00332003" w:rsidP="007A2ECF">
            <w:pPr>
              <w:keepNext/>
              <w:spacing w:before="20" w:after="20"/>
              <w:rPr>
                <w:rFonts w:ascii="Arial" w:hAnsi="Arial" w:cs="Arial"/>
                <w:i/>
                <w:color w:val="000000"/>
                <w:sz w:val="20"/>
                <w:szCs w:val="20"/>
              </w:rPr>
            </w:pPr>
            <w:r w:rsidRPr="00332003">
              <w:rPr>
                <w:rFonts w:ascii="Arial" w:hAnsi="Arial" w:cs="Arial"/>
                <w:color w:val="000000"/>
                <w:sz w:val="20"/>
                <w:szCs w:val="20"/>
              </w:rPr>
              <w:t>5-10</w:t>
            </w:r>
          </w:p>
        </w:tc>
        <w:tc>
          <w:tcPr>
            <w:tcW w:w="3208" w:type="dxa"/>
            <w:vMerge w:val="restart"/>
            <w:vAlign w:val="center"/>
          </w:tcPr>
          <w:p w:rsidR="00332003" w:rsidRPr="00332003" w:rsidRDefault="00332003" w:rsidP="007A2ECF">
            <w:pPr>
              <w:keepNext/>
              <w:spacing w:before="20" w:after="20"/>
              <w:jc w:val="center"/>
              <w:rPr>
                <w:rFonts w:ascii="Arial" w:hAnsi="Arial" w:cs="Arial"/>
                <w:color w:val="000000"/>
                <w:sz w:val="20"/>
                <w:szCs w:val="20"/>
              </w:rPr>
            </w:pPr>
            <w:r w:rsidRPr="00332003">
              <w:rPr>
                <w:rFonts w:ascii="Arial" w:hAnsi="Arial" w:cs="Arial"/>
                <w:color w:val="000000"/>
                <w:sz w:val="20"/>
                <w:szCs w:val="20"/>
              </w:rPr>
              <w:t>Six weeks</w:t>
            </w:r>
          </w:p>
        </w:tc>
        <w:tc>
          <w:tcPr>
            <w:tcW w:w="3208" w:type="dxa"/>
            <w:vMerge w:val="restart"/>
            <w:vAlign w:val="center"/>
          </w:tcPr>
          <w:p w:rsidR="00332003" w:rsidRPr="00332003" w:rsidRDefault="00332003" w:rsidP="007A2ECF">
            <w:pPr>
              <w:keepNext/>
              <w:spacing w:before="20" w:after="20"/>
              <w:jc w:val="center"/>
              <w:rPr>
                <w:rFonts w:ascii="Arial" w:hAnsi="Arial" w:cs="Arial"/>
                <w:color w:val="000000"/>
                <w:sz w:val="20"/>
                <w:szCs w:val="20"/>
              </w:rPr>
            </w:pPr>
            <w:r w:rsidRPr="00332003">
              <w:rPr>
                <w:rFonts w:ascii="Arial" w:hAnsi="Arial" w:cs="Arial"/>
                <w:color w:val="000000"/>
                <w:sz w:val="20"/>
                <w:szCs w:val="20"/>
              </w:rPr>
              <w:t>Six weeks</w:t>
            </w:r>
          </w:p>
        </w:tc>
      </w:tr>
      <w:tr w:rsidR="00332003" w:rsidRPr="00332003" w:rsidTr="000D1111">
        <w:tc>
          <w:tcPr>
            <w:tcW w:w="3208" w:type="dxa"/>
            <w:vAlign w:val="center"/>
          </w:tcPr>
          <w:p w:rsidR="00332003" w:rsidRPr="00332003" w:rsidRDefault="00332003" w:rsidP="000D1111">
            <w:pPr>
              <w:spacing w:before="20" w:after="20"/>
              <w:rPr>
                <w:rFonts w:ascii="Arial" w:hAnsi="Arial" w:cs="Arial"/>
                <w:color w:val="000000"/>
                <w:sz w:val="20"/>
                <w:szCs w:val="20"/>
              </w:rPr>
            </w:pPr>
            <w:r w:rsidRPr="00332003">
              <w:rPr>
                <w:rFonts w:ascii="Arial" w:hAnsi="Arial" w:cs="Arial"/>
                <w:color w:val="000000"/>
                <w:sz w:val="20"/>
                <w:szCs w:val="20"/>
              </w:rPr>
              <w:t>10-20</w:t>
            </w: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c>
          <w:tcPr>
            <w:tcW w:w="3208" w:type="dxa"/>
            <w:vMerge/>
            <w:vAlign w:val="center"/>
          </w:tcPr>
          <w:p w:rsidR="00332003" w:rsidRPr="00332003" w:rsidRDefault="00332003" w:rsidP="000D1111">
            <w:pPr>
              <w:spacing w:before="20" w:after="20"/>
              <w:jc w:val="center"/>
              <w:rPr>
                <w:rFonts w:ascii="Arial" w:hAnsi="Arial" w:cs="Arial"/>
                <w:sz w:val="20"/>
                <w:szCs w:val="20"/>
              </w:rPr>
            </w:pPr>
          </w:p>
        </w:tc>
      </w:tr>
    </w:tbl>
    <w:p w:rsidR="00F44B19" w:rsidRDefault="00F44B19" w:rsidP="00F44B19">
      <w:pPr>
        <w:spacing w:after="0"/>
      </w:pPr>
    </w:p>
    <w:p w:rsidR="00C53753" w:rsidRDefault="00C53753" w:rsidP="00C53753">
      <w:pPr>
        <w:rPr>
          <w:rFonts w:cstheme="majorBidi"/>
        </w:rPr>
      </w:pPr>
      <w:r>
        <w:rPr>
          <w:rFonts w:cstheme="majorBidi"/>
        </w:rPr>
        <w:t xml:space="preserve">This information was incorporated into the </w:t>
      </w:r>
      <w:r w:rsidR="00663F95">
        <w:rPr>
          <w:rFonts w:cstheme="majorBidi"/>
        </w:rPr>
        <w:t xml:space="preserve">cost benefit </w:t>
      </w:r>
      <w:r>
        <w:rPr>
          <w:rFonts w:cstheme="majorBidi"/>
        </w:rPr>
        <w:t>analysis of Option 2</w:t>
      </w:r>
      <w:r w:rsidR="00663F95">
        <w:rPr>
          <w:rFonts w:cstheme="majorBidi"/>
        </w:rPr>
        <w:t xml:space="preserve"> in the calculations for the additional costs of health monitoring</w:t>
      </w:r>
      <w:r>
        <w:rPr>
          <w:rFonts w:cstheme="majorBidi"/>
        </w:rPr>
        <w:t xml:space="preserve">, which is set out in </w:t>
      </w:r>
      <w:r w:rsidR="007479DC">
        <w:rPr>
          <w:rFonts w:cstheme="majorBidi"/>
        </w:rPr>
        <w:t>C</w:t>
      </w:r>
      <w:r>
        <w:rPr>
          <w:rFonts w:cstheme="majorBidi"/>
        </w:rPr>
        <w:t>hapter</w:t>
      </w:r>
      <w:r w:rsidR="007479DC">
        <w:rPr>
          <w:rFonts w:cstheme="majorBidi"/>
        </w:rPr>
        <w:t xml:space="preserve"> 7</w:t>
      </w:r>
      <w:r>
        <w:rPr>
          <w:rFonts w:cstheme="majorBidi"/>
        </w:rPr>
        <w:t>.</w:t>
      </w:r>
    </w:p>
    <w:p w:rsidR="00582173" w:rsidRPr="003718AE" w:rsidRDefault="00582173" w:rsidP="00582173">
      <w:pPr>
        <w:rPr>
          <w:rFonts w:cstheme="majorBidi"/>
        </w:rPr>
      </w:pPr>
      <w:r w:rsidRPr="005E43DA">
        <w:rPr>
          <w:rFonts w:cstheme="majorBidi"/>
        </w:rPr>
        <w:t>The direct consultations were used to clarify some of the assumptions made in the submissions and to collect additional informati</w:t>
      </w:r>
      <w:r w:rsidRPr="003718AE">
        <w:rPr>
          <w:rFonts w:cstheme="majorBidi"/>
        </w:rPr>
        <w:t>on for the impact analysis. This included:</w:t>
      </w:r>
    </w:p>
    <w:p w:rsidR="00582173" w:rsidRPr="003718AE" w:rsidRDefault="00582173" w:rsidP="00263482">
      <w:pPr>
        <w:pStyle w:val="ListParagraph"/>
        <w:numPr>
          <w:ilvl w:val="0"/>
          <w:numId w:val="26"/>
        </w:numPr>
        <w:rPr>
          <w:rFonts w:cstheme="majorBidi"/>
        </w:rPr>
      </w:pPr>
      <w:r w:rsidRPr="003718AE">
        <w:t>Estimates of the number of workers that would exceed the proposed removal and monitoring thresholds for Option 2. The consultations indicated that only a very small proportion of workers would exceed the proposed removal threshold, which was also confirmed by the analysis of data from health authorities</w:t>
      </w:r>
    </w:p>
    <w:p w:rsidR="00582173" w:rsidRPr="003718AE" w:rsidRDefault="00582173" w:rsidP="00263482">
      <w:pPr>
        <w:pStyle w:val="ListParagraph"/>
        <w:numPr>
          <w:ilvl w:val="0"/>
          <w:numId w:val="26"/>
        </w:numPr>
        <w:rPr>
          <w:rFonts w:cstheme="majorBidi"/>
        </w:rPr>
      </w:pPr>
      <w:r w:rsidRPr="003718AE">
        <w:t>Estimates of the direct costs businesses would be likely to incur as a result of introducing Option 2</w:t>
      </w:r>
    </w:p>
    <w:p w:rsidR="00582173" w:rsidRPr="003718AE" w:rsidRDefault="00582173" w:rsidP="00263482">
      <w:pPr>
        <w:pStyle w:val="ListParagraph"/>
        <w:numPr>
          <w:ilvl w:val="0"/>
          <w:numId w:val="26"/>
        </w:numPr>
        <w:rPr>
          <w:rFonts w:cstheme="majorBidi"/>
        </w:rPr>
      </w:pPr>
      <w:r w:rsidRPr="003718AE">
        <w:t xml:space="preserve">Estimates of the effect that the new thresholds would have on the operation of their businesses. </w:t>
      </w:r>
    </w:p>
    <w:p w:rsidR="00582173" w:rsidRPr="003718AE" w:rsidRDefault="005373E9" w:rsidP="00582173">
      <w:pPr>
        <w:rPr>
          <w:rFonts w:cstheme="majorBidi"/>
        </w:rPr>
      </w:pPr>
      <w:r>
        <w:rPr>
          <w:rFonts w:cstheme="majorBidi"/>
        </w:rPr>
        <w:t>A</w:t>
      </w:r>
      <w:r w:rsidR="00582173" w:rsidRPr="003718AE">
        <w:rPr>
          <w:rFonts w:cstheme="majorBidi"/>
        </w:rPr>
        <w:t xml:space="preserve">dditional issues raised in the consultations included: </w:t>
      </w:r>
    </w:p>
    <w:p w:rsidR="00582173" w:rsidRPr="003718AE" w:rsidRDefault="00582173" w:rsidP="00263482">
      <w:pPr>
        <w:pStyle w:val="ListParagraph"/>
        <w:numPr>
          <w:ilvl w:val="0"/>
          <w:numId w:val="26"/>
        </w:numPr>
      </w:pPr>
      <w:r w:rsidRPr="003718AE">
        <w:t xml:space="preserve">That it can be more costly for businesses located in remote areas (including large lead smelter and mining businesses) to find replacement workers when a worker is removed for exceeding the relevant blood lead level </w:t>
      </w:r>
    </w:p>
    <w:p w:rsidR="00582173" w:rsidRPr="003718AE" w:rsidRDefault="00582173" w:rsidP="00263482">
      <w:pPr>
        <w:pStyle w:val="ListParagraph"/>
        <w:numPr>
          <w:ilvl w:val="0"/>
          <w:numId w:val="26"/>
        </w:numPr>
      </w:pPr>
      <w:r w:rsidRPr="003718AE">
        <w:t xml:space="preserve">That there is considerable variation between workers in the time it takes for their blood lead levels to return to lower levels, following an increase </w:t>
      </w:r>
    </w:p>
    <w:p w:rsidR="00582173" w:rsidRDefault="00582173" w:rsidP="00C53753">
      <w:pPr>
        <w:keepNext/>
        <w:rPr>
          <w:rFonts w:cstheme="majorBidi"/>
        </w:rPr>
      </w:pPr>
      <w:r w:rsidRPr="003718AE">
        <w:rPr>
          <w:rFonts w:cstheme="majorBidi"/>
        </w:rPr>
        <w:t>The consultations also provided an insight into the way that businesses interpret their regulatory requirements. Several of the businesses consulted indicated that they are constantly looking for ways to reduce the blood lead levels of their workforce, regardless of regulated limits. While others indicated they rely on the regulations as a guide for what is ‘safe’ for their workers.</w:t>
      </w:r>
    </w:p>
    <w:p w:rsidR="00332003" w:rsidRPr="004C4DEF" w:rsidRDefault="00332003" w:rsidP="00E77182">
      <w:pPr>
        <w:pStyle w:val="Heading3"/>
      </w:pPr>
      <w:r w:rsidRPr="004C4DEF">
        <w:t>Blood lead</w:t>
      </w:r>
      <w:r w:rsidR="00D05C30" w:rsidRPr="004C4DEF">
        <w:t xml:space="preserve"> removal</w:t>
      </w:r>
      <w:r w:rsidR="00F34731" w:rsidRPr="004C4DEF">
        <w:t xml:space="preserve"> level O</w:t>
      </w:r>
      <w:r w:rsidRPr="004C4DEF">
        <w:t xml:space="preserve">ption 3 </w:t>
      </w:r>
    </w:p>
    <w:p w:rsidR="00332003" w:rsidRDefault="00332003" w:rsidP="00332003">
      <w:r>
        <w:t>Submissions indicated that this option:</w:t>
      </w:r>
    </w:p>
    <w:p w:rsidR="00332003" w:rsidRDefault="00332003" w:rsidP="00263482">
      <w:pPr>
        <w:pStyle w:val="ListParagraph"/>
        <w:numPr>
          <w:ilvl w:val="0"/>
          <w:numId w:val="26"/>
        </w:numPr>
      </w:pPr>
      <w:r>
        <w:t>is not cost effective; many were unable to quantify the cost required to meet this level</w:t>
      </w:r>
    </w:p>
    <w:p w:rsidR="00332003" w:rsidRDefault="00332003" w:rsidP="00263482">
      <w:pPr>
        <w:pStyle w:val="ListParagraph"/>
        <w:numPr>
          <w:ilvl w:val="0"/>
          <w:numId w:val="26"/>
        </w:numPr>
      </w:pPr>
      <w:r>
        <w:t xml:space="preserve">would substantially increase: </w:t>
      </w:r>
    </w:p>
    <w:p w:rsidR="00332003" w:rsidRDefault="00332003" w:rsidP="00263482">
      <w:pPr>
        <w:pStyle w:val="ListParagraph"/>
        <w:numPr>
          <w:ilvl w:val="1"/>
          <w:numId w:val="26"/>
        </w:numPr>
      </w:pPr>
      <w:r>
        <w:t xml:space="preserve">the number of workers that require blood lead level monitoring, </w:t>
      </w:r>
    </w:p>
    <w:p w:rsidR="00332003" w:rsidRDefault="00332003" w:rsidP="00263482">
      <w:pPr>
        <w:pStyle w:val="ListParagraph"/>
        <w:numPr>
          <w:ilvl w:val="1"/>
          <w:numId w:val="26"/>
        </w:numPr>
      </w:pPr>
      <w:r>
        <w:t>the number of test</w:t>
      </w:r>
      <w:r w:rsidR="00F34731">
        <w:t>s</w:t>
      </w:r>
      <w:r>
        <w:t xml:space="preserve"> required per year, per worker</w:t>
      </w:r>
    </w:p>
    <w:p w:rsidR="00332003" w:rsidRDefault="00332003" w:rsidP="00263482">
      <w:pPr>
        <w:pStyle w:val="ListParagraph"/>
        <w:numPr>
          <w:ilvl w:val="1"/>
          <w:numId w:val="26"/>
        </w:numPr>
      </w:pPr>
      <w:r>
        <w:t>the requirement to upgrade and/or install new controls</w:t>
      </w:r>
    </w:p>
    <w:p w:rsidR="00332003" w:rsidRDefault="00332003" w:rsidP="00263482">
      <w:pPr>
        <w:pStyle w:val="ListParagraph"/>
        <w:numPr>
          <w:ilvl w:val="0"/>
          <w:numId w:val="26"/>
        </w:numPr>
      </w:pPr>
      <w:r>
        <w:t>could not be implemented by businesses in either of the transition periods proposed</w:t>
      </w:r>
    </w:p>
    <w:p w:rsidR="00332003" w:rsidRDefault="00332003" w:rsidP="00263482">
      <w:pPr>
        <w:pStyle w:val="ListParagraph"/>
        <w:numPr>
          <w:ilvl w:val="0"/>
          <w:numId w:val="26"/>
        </w:numPr>
      </w:pPr>
      <w:r>
        <w:t>would financially cripple many businesses</w:t>
      </w:r>
    </w:p>
    <w:p w:rsidR="00F10E13" w:rsidRDefault="00F10E13" w:rsidP="00263482">
      <w:pPr>
        <w:pStyle w:val="ListParagraph"/>
        <w:numPr>
          <w:ilvl w:val="0"/>
          <w:numId w:val="26"/>
        </w:numPr>
      </w:pPr>
      <w:r>
        <w:t>would have a significant increase in the number of notifications to Regulators and result in a significant increase in compliance and enforcement activities</w:t>
      </w:r>
      <w:r w:rsidR="00F34731">
        <w:t>.</w:t>
      </w:r>
    </w:p>
    <w:p w:rsidR="00F34731" w:rsidRDefault="00F34731" w:rsidP="00F34731">
      <w:pPr>
        <w:rPr>
          <w:rFonts w:cstheme="majorBidi"/>
        </w:rPr>
      </w:pPr>
      <w:r>
        <w:rPr>
          <w:rFonts w:cstheme="majorBidi"/>
        </w:rPr>
        <w:t>This option was supported by five submissions that indicated a preference. The submissions that supported this option did so based on health effects and did not provide further information on costs to implement this change in industry.</w:t>
      </w:r>
    </w:p>
    <w:p w:rsidR="00F34731" w:rsidRDefault="00F34731" w:rsidP="00F34731">
      <w:pPr>
        <w:rPr>
          <w:rFonts w:cstheme="majorBidi"/>
        </w:rPr>
      </w:pPr>
      <w:r>
        <w:rPr>
          <w:rFonts w:cstheme="majorBidi"/>
        </w:rPr>
        <w:t>This option was not supported by five industry submissions</w:t>
      </w:r>
      <w:r w:rsidR="00502EC3">
        <w:rPr>
          <w:rFonts w:cstheme="majorBidi"/>
        </w:rPr>
        <w:t xml:space="preserve"> due </w:t>
      </w:r>
      <w:r>
        <w:rPr>
          <w:rFonts w:cstheme="majorBidi"/>
        </w:rPr>
        <w:t xml:space="preserve">to the financial and productivity costs associated with upgrading controls and changing work processes. Industry submissions indicated that this option </w:t>
      </w:r>
      <w:r w:rsidR="00502EC3">
        <w:rPr>
          <w:rFonts w:cstheme="majorBidi"/>
        </w:rPr>
        <w:t>would have</w:t>
      </w:r>
      <w:r>
        <w:rPr>
          <w:rFonts w:cstheme="majorBidi"/>
        </w:rPr>
        <w:t xml:space="preserve"> such an enormous impact that businesses would not be able to continue lead process work or would need to move lead processes offshore.</w:t>
      </w:r>
    </w:p>
    <w:p w:rsidR="00C53753" w:rsidRDefault="00C53753" w:rsidP="00F34731">
      <w:pPr>
        <w:rPr>
          <w:rFonts w:cstheme="majorBidi"/>
        </w:rPr>
      </w:pPr>
      <w:r>
        <w:rPr>
          <w:rFonts w:cstheme="majorBidi"/>
        </w:rPr>
        <w:t xml:space="preserve">The submissions did not provide enough information to quantify the costs associated with Option 3. In follow-up consultations with lead businesses confirmed it was not possible to quantify these costs, as the changes would most likely result in the closure of their business. </w:t>
      </w:r>
    </w:p>
    <w:p w:rsidR="00582173" w:rsidRPr="003718AE" w:rsidRDefault="005373E9" w:rsidP="00582173">
      <w:pPr>
        <w:rPr>
          <w:rFonts w:cstheme="majorBidi"/>
        </w:rPr>
      </w:pPr>
      <w:r>
        <w:rPr>
          <w:rFonts w:cstheme="majorBidi"/>
        </w:rPr>
        <w:t>S</w:t>
      </w:r>
      <w:r w:rsidR="00582173" w:rsidRPr="003718AE">
        <w:rPr>
          <w:rFonts w:cstheme="majorBidi"/>
        </w:rPr>
        <w:t xml:space="preserve">ome businesses indicated that Option 3 would only have a minimal impact because they are already at or near the proposed thresholds. </w:t>
      </w:r>
    </w:p>
    <w:p w:rsidR="00582173" w:rsidRDefault="00582173" w:rsidP="00582173">
      <w:pPr>
        <w:rPr>
          <w:rFonts w:cstheme="majorBidi"/>
        </w:rPr>
      </w:pPr>
      <w:r w:rsidRPr="003718AE">
        <w:rPr>
          <w:rFonts w:cstheme="majorBidi"/>
        </w:rPr>
        <w:t xml:space="preserve">However, </w:t>
      </w:r>
      <w:r w:rsidRPr="005E43DA">
        <w:rPr>
          <w:rFonts w:cstheme="majorBidi"/>
        </w:rPr>
        <w:t xml:space="preserve">many </w:t>
      </w:r>
      <w:r w:rsidRPr="003718AE">
        <w:rPr>
          <w:rFonts w:cstheme="majorBidi"/>
        </w:rPr>
        <w:t xml:space="preserve">other </w:t>
      </w:r>
      <w:r w:rsidRPr="005E43DA">
        <w:rPr>
          <w:rFonts w:cstheme="majorBidi"/>
        </w:rPr>
        <w:t>bus</w:t>
      </w:r>
      <w:r w:rsidRPr="003718AE">
        <w:rPr>
          <w:rFonts w:cstheme="majorBidi"/>
        </w:rPr>
        <w:t xml:space="preserve">inesses stated that it was unlikely they would ever be able </w:t>
      </w:r>
      <w:r w:rsidRPr="005E43DA">
        <w:rPr>
          <w:rFonts w:cstheme="majorBidi"/>
        </w:rPr>
        <w:t>to comply with the proposed thresholds for Option 3</w:t>
      </w:r>
      <w:r w:rsidRPr="003718AE">
        <w:rPr>
          <w:rFonts w:cstheme="majorBidi"/>
        </w:rPr>
        <w:t>. This included many of the large and very large lead manufacturers, smelters and mines. In consultations, these businesses indicated that</w:t>
      </w:r>
      <w:r w:rsidRPr="005E43DA">
        <w:rPr>
          <w:rFonts w:cstheme="majorBidi"/>
        </w:rPr>
        <w:t xml:space="preserve">, </w:t>
      </w:r>
      <w:r w:rsidRPr="003718AE">
        <w:rPr>
          <w:rFonts w:cstheme="majorBidi"/>
        </w:rPr>
        <w:t xml:space="preserve">to comply with Option 3, </w:t>
      </w:r>
      <w:r w:rsidRPr="005E43DA">
        <w:rPr>
          <w:rFonts w:cstheme="majorBidi"/>
        </w:rPr>
        <w:t xml:space="preserve">their lead processes would need to be completely re-engineered. The businesses were not sure if this was </w:t>
      </w:r>
      <w:r w:rsidRPr="003718AE">
        <w:rPr>
          <w:rFonts w:cstheme="majorBidi"/>
        </w:rPr>
        <w:t>feasible, but if it was, it would cost tens or even hundreds of millions to implement. The business indicated that they would not be able to bear this cost and therefore Option 3 would most likely result in the closure of their business.</w:t>
      </w:r>
      <w:r>
        <w:rPr>
          <w:rFonts w:cstheme="majorBidi"/>
        </w:rPr>
        <w:t xml:space="preserve"> </w:t>
      </w:r>
    </w:p>
    <w:p w:rsidR="00332003" w:rsidRPr="004C4DEF" w:rsidRDefault="00F34731" w:rsidP="00E77182">
      <w:pPr>
        <w:pStyle w:val="Heading3"/>
      </w:pPr>
      <w:r w:rsidRPr="004C4DEF">
        <w:t>Workplace exposure standard O</w:t>
      </w:r>
      <w:r w:rsidR="00332003" w:rsidRPr="004C4DEF">
        <w:t>ption 1 (status quo)</w:t>
      </w:r>
    </w:p>
    <w:p w:rsidR="00332003" w:rsidRDefault="00332003" w:rsidP="00246EC0">
      <w:pPr>
        <w:keepNext/>
        <w:rPr>
          <w:rFonts w:cstheme="majorBidi"/>
        </w:rPr>
      </w:pPr>
      <w:r>
        <w:rPr>
          <w:rFonts w:cstheme="majorBidi"/>
        </w:rPr>
        <w:t>Submissions indicated that currently:</w:t>
      </w:r>
    </w:p>
    <w:p w:rsidR="00332003" w:rsidRDefault="00332003" w:rsidP="00263482">
      <w:pPr>
        <w:pStyle w:val="ListParagraph"/>
        <w:numPr>
          <w:ilvl w:val="0"/>
          <w:numId w:val="27"/>
        </w:numPr>
      </w:pPr>
      <w:r>
        <w:t>air monitoring for</w:t>
      </w:r>
      <w:r w:rsidR="000D1111">
        <w:t xml:space="preserve"> inorganic</w:t>
      </w:r>
      <w:r>
        <w:t xml:space="preserve"> lead dusts and fumes i</w:t>
      </w:r>
      <w:r w:rsidR="000D1111">
        <w:t>s</w:t>
      </w:r>
      <w:r>
        <w:t xml:space="preserve"> conducted by a majority of businesses</w:t>
      </w:r>
      <w:r w:rsidR="000D1111">
        <w:t xml:space="preserve"> conducting lead process work</w:t>
      </w:r>
    </w:p>
    <w:p w:rsidR="00332003" w:rsidRDefault="00332003" w:rsidP="00263482">
      <w:pPr>
        <w:pStyle w:val="ListParagraph"/>
        <w:numPr>
          <w:ilvl w:val="0"/>
          <w:numId w:val="27"/>
        </w:numPr>
      </w:pPr>
      <w:r>
        <w:t xml:space="preserve">air monitoring for </w:t>
      </w:r>
      <w:r w:rsidR="000D1111">
        <w:t xml:space="preserve">inorganic </w:t>
      </w:r>
      <w:r>
        <w:t xml:space="preserve">lead dusts and fumes is undertaken </w:t>
      </w:r>
      <w:r w:rsidR="000D1111">
        <w:t xml:space="preserve">on a business-by-business basis and frequency’s include </w:t>
      </w:r>
      <w:r>
        <w:t>ad hoc, weekly, fortnightly, annually, bi-annually or as an on-going process</w:t>
      </w:r>
      <w:r w:rsidR="00F34731">
        <w:t>,</w:t>
      </w:r>
      <w:r w:rsidR="000D1111">
        <w:t xml:space="preserve"> and</w:t>
      </w:r>
    </w:p>
    <w:p w:rsidR="00332003" w:rsidRDefault="00332003" w:rsidP="00263482">
      <w:pPr>
        <w:pStyle w:val="ListParagraph"/>
        <w:numPr>
          <w:ilvl w:val="0"/>
          <w:numId w:val="27"/>
        </w:numPr>
      </w:pPr>
      <w:r>
        <w:t>approximately half of businesses have reviewed, updated or installed further controls due to air monitoring data.</w:t>
      </w:r>
    </w:p>
    <w:p w:rsidR="00593F76" w:rsidRDefault="00593F76" w:rsidP="000D1111">
      <w:r>
        <w:t>It was raised in one submission that while the business complied with blood lead level requirements, it struggled with meeting the workplace exposure standard. The business was in the process of continuous equipment review and upgrade and noted it would be difficult to meet any further reduction of the WES.</w:t>
      </w:r>
    </w:p>
    <w:p w:rsidR="000D1111" w:rsidRDefault="002131AF" w:rsidP="000D1111">
      <w:r>
        <w:t>A</w:t>
      </w:r>
      <w:r w:rsidR="000D1111">
        <w:t xml:space="preserve">ir monitoring should not be used as </w:t>
      </w:r>
      <w:r w:rsidR="00684513">
        <w:t>a control for</w:t>
      </w:r>
      <w:r w:rsidR="000D1111">
        <w:t xml:space="preserve"> workplace lead. WES should be used as a tool within a lead control </w:t>
      </w:r>
      <w:r w:rsidR="00684513">
        <w:t>strategy</w:t>
      </w:r>
      <w:r w:rsidR="000D1111">
        <w:t xml:space="preserve">. It was unclear whether the costings provided for air monitoring in submissions was included in the costings </w:t>
      </w:r>
      <w:r>
        <w:t>for</w:t>
      </w:r>
      <w:r w:rsidR="000D1111">
        <w:t xml:space="preserve"> control measures for </w:t>
      </w:r>
      <w:r w:rsidR="00B969C2">
        <w:t>blood lead removal level</w:t>
      </w:r>
      <w:r>
        <w:t>s</w:t>
      </w:r>
      <w:r w:rsidR="000D1111">
        <w:t>. It has been noted that there may be some double costing within the responses.</w:t>
      </w:r>
    </w:p>
    <w:p w:rsidR="00582173" w:rsidRPr="003718AE" w:rsidRDefault="00582173" w:rsidP="00582173">
      <w:pPr>
        <w:rPr>
          <w:rFonts w:cstheme="majorBidi"/>
        </w:rPr>
      </w:pPr>
      <w:r w:rsidRPr="003718AE">
        <w:rPr>
          <w:rFonts w:cstheme="majorBidi"/>
        </w:rPr>
        <w:t>Direct consultations assisted in confirming the use of air monitoring in the lead industry, how air monitoring is applied and the relative cost of the current requirements.</w:t>
      </w:r>
      <w:r w:rsidRPr="005E43DA">
        <w:rPr>
          <w:rFonts w:cstheme="majorBidi"/>
        </w:rPr>
        <w:t xml:space="preserve"> These consultations ind</w:t>
      </w:r>
      <w:r w:rsidRPr="003718AE">
        <w:rPr>
          <w:rFonts w:cstheme="majorBidi"/>
        </w:rPr>
        <w:t xml:space="preserve">icated that there are significant differences in the amount of air monitoring being undertaken by businesses for example: </w:t>
      </w:r>
    </w:p>
    <w:p w:rsidR="00582173" w:rsidRPr="003718AE" w:rsidRDefault="00582173" w:rsidP="00263482">
      <w:pPr>
        <w:pStyle w:val="ListParagraph"/>
        <w:numPr>
          <w:ilvl w:val="0"/>
          <w:numId w:val="27"/>
        </w:numPr>
      </w:pPr>
      <w:r w:rsidRPr="003718AE">
        <w:t>some businesses spend much less effort tha</w:t>
      </w:r>
      <w:r>
        <w:t xml:space="preserve">n others on monitoring airborne </w:t>
      </w:r>
      <w:r w:rsidRPr="003718AE">
        <w:t xml:space="preserve">lead levels, </w:t>
      </w:r>
      <w:r>
        <w:t xml:space="preserve">by the nature their work i.e. </w:t>
      </w:r>
      <w:r w:rsidRPr="003718AE">
        <w:t>airborne lead is not a source of exposure for their workforce</w:t>
      </w:r>
      <w:r>
        <w:t>, and</w:t>
      </w:r>
    </w:p>
    <w:p w:rsidR="00582173" w:rsidRPr="00582173" w:rsidRDefault="00582173" w:rsidP="00263482">
      <w:pPr>
        <w:pStyle w:val="ListParagraph"/>
        <w:numPr>
          <w:ilvl w:val="0"/>
          <w:numId w:val="27"/>
        </w:numPr>
      </w:pPr>
      <w:r w:rsidRPr="003718AE">
        <w:t xml:space="preserve">some businesses undertake frequent monitoring, while others only undertake monitoring when there are changes in lead processes. </w:t>
      </w:r>
    </w:p>
    <w:p w:rsidR="00332003" w:rsidRPr="004C4DEF" w:rsidRDefault="00F34731" w:rsidP="00E77182">
      <w:pPr>
        <w:pStyle w:val="Heading3"/>
      </w:pPr>
      <w:r w:rsidRPr="004C4DEF">
        <w:t>Workplace exposure standard O</w:t>
      </w:r>
      <w:r w:rsidR="00332003" w:rsidRPr="004C4DEF">
        <w:t>ption 2 (</w:t>
      </w:r>
      <w:r w:rsidR="0029760E" w:rsidRPr="004C4DEF">
        <w:t>reduc</w:t>
      </w:r>
      <w:r w:rsidR="0029760E">
        <w:t>e the WES</w:t>
      </w:r>
      <w:r w:rsidR="0029760E" w:rsidRPr="004C4DEF">
        <w:t xml:space="preserve"> </w:t>
      </w:r>
      <w:r w:rsidR="00332003" w:rsidRPr="004C4DEF">
        <w:t>to 0.05 mg/m</w:t>
      </w:r>
      <w:r w:rsidR="00332003" w:rsidRPr="004C4DEF">
        <w:rPr>
          <w:vertAlign w:val="superscript"/>
        </w:rPr>
        <w:t>3</w:t>
      </w:r>
      <w:r w:rsidR="00332003" w:rsidRPr="004C4DEF">
        <w:t>)</w:t>
      </w:r>
    </w:p>
    <w:p w:rsidR="00332003" w:rsidRDefault="00332003" w:rsidP="00684513">
      <w:pPr>
        <w:keepNext/>
      </w:pPr>
      <w:r>
        <w:t>Submissions indicated that:</w:t>
      </w:r>
    </w:p>
    <w:p w:rsidR="00332003" w:rsidRDefault="00332003" w:rsidP="00263482">
      <w:pPr>
        <w:pStyle w:val="ListParagraph"/>
        <w:numPr>
          <w:ilvl w:val="0"/>
          <w:numId w:val="28"/>
        </w:numPr>
      </w:pPr>
      <w:r>
        <w:t>to meet this proposed requirement there would be an increased cost to business due to increased frequency of air monitoring required and the introduction of new controls</w:t>
      </w:r>
    </w:p>
    <w:p w:rsidR="00332003" w:rsidRDefault="00332003" w:rsidP="00263482">
      <w:pPr>
        <w:pStyle w:val="ListParagraph"/>
        <w:numPr>
          <w:ilvl w:val="0"/>
          <w:numId w:val="28"/>
        </w:numPr>
      </w:pPr>
      <w:r>
        <w:t xml:space="preserve">this was the preferred option for </w:t>
      </w:r>
      <w:r w:rsidR="00F34731">
        <w:t>a majority</w:t>
      </w:r>
      <w:r>
        <w:t xml:space="preserve"> of submissions that indicated a preference.</w:t>
      </w:r>
    </w:p>
    <w:p w:rsidR="00A92397" w:rsidRDefault="00A92397" w:rsidP="00A92397">
      <w:r>
        <w:t xml:space="preserve">Submissions noted that additional costs of compliance with a reduced standard including increased air monitoring, development </w:t>
      </w:r>
      <w:r w:rsidR="00050E31">
        <w:t xml:space="preserve">and upgrade </w:t>
      </w:r>
      <w:r>
        <w:t>of engineering resources</w:t>
      </w:r>
      <w:r w:rsidR="00050E31">
        <w:t xml:space="preserve"> (ventilation, air extraction, dust suppression systems)</w:t>
      </w:r>
      <w:r w:rsidR="00137AB9">
        <w:t xml:space="preserve"> and</w:t>
      </w:r>
      <w:r w:rsidR="004005F5">
        <w:t xml:space="preserve"> restructuring of work schedules to change exposure frequency</w:t>
      </w:r>
      <w:r w:rsidR="00137AB9">
        <w:t xml:space="preserve">. </w:t>
      </w:r>
    </w:p>
    <w:p w:rsidR="004005F5" w:rsidRDefault="004005F5" w:rsidP="00A92397">
      <w:r>
        <w:t>Many submissions supported reducing the WES for dusts and fumes of inorganic lead to better represent current toxicological knowledge. It was noted by some that further reduction would provide greater protection but would most likely not be practical or feasible.</w:t>
      </w:r>
      <w:r w:rsidR="000D28E1">
        <w:t xml:space="preserve"> </w:t>
      </w:r>
      <w:r w:rsidR="00137AB9">
        <w:t>A submission from a Regulator</w:t>
      </w:r>
      <w:r w:rsidR="000D28E1">
        <w:t xml:space="preserve"> noted that operational activities indicated that many businesses have adequate safety management systems in place to protect workers at this level.</w:t>
      </w:r>
    </w:p>
    <w:p w:rsidR="00050E31" w:rsidRDefault="00050E31" w:rsidP="00A92397">
      <w:r>
        <w:t>Submissions from Regulators noted that this option may involve increased site inspections and audits. Regulators noted that any changes to the mandated standard would also include an information and education component.</w:t>
      </w:r>
    </w:p>
    <w:p w:rsidR="009811C1" w:rsidRPr="003718AE" w:rsidRDefault="009811C1" w:rsidP="009811C1">
      <w:r w:rsidRPr="003718AE">
        <w:t>The d</w:t>
      </w:r>
      <w:r w:rsidRPr="005E43DA">
        <w:t xml:space="preserve">irect consultations </w:t>
      </w:r>
      <w:r w:rsidRPr="003718AE">
        <w:t>confirmed that Option 2 would result in additional costs for businesses and provided additional information for estimating these costs (set out in the following chapter). The consultations showed that, in some cases, businesses had inadvertently double-counted some of the costs associated with the WES. This is because they do not draw a distinction between the costs incur</w:t>
      </w:r>
      <w:r w:rsidR="005373E9">
        <w:t>red</w:t>
      </w:r>
      <w:r w:rsidRPr="003718AE">
        <w:t xml:space="preserve"> controlling airborne lead levels and the blood lead levels of their workforces. </w:t>
      </w:r>
    </w:p>
    <w:p w:rsidR="009811C1" w:rsidRDefault="009811C1" w:rsidP="009811C1">
      <w:r w:rsidRPr="003718AE">
        <w:t>Many of the businesses consulted see meeting the thresholds for WES Option 2 as a prerequisite, necessary for achieving the thresholds for Option 2 for blood lead levels. Therefore, businesses did not identify additional benefits associated with this option in excess of those already identified for blood lead level Option 2.</w:t>
      </w:r>
    </w:p>
    <w:p w:rsidR="00332003" w:rsidRPr="004C4DEF" w:rsidRDefault="00F34731" w:rsidP="00E77182">
      <w:pPr>
        <w:pStyle w:val="Heading3"/>
      </w:pPr>
      <w:r w:rsidRPr="004C4DEF">
        <w:t>Workplace exposure standard O</w:t>
      </w:r>
      <w:r w:rsidR="00332003" w:rsidRPr="004C4DEF">
        <w:t>ption 3 (</w:t>
      </w:r>
      <w:r w:rsidR="0029760E" w:rsidRPr="004C4DEF">
        <w:t>reduce</w:t>
      </w:r>
      <w:r w:rsidR="0029760E">
        <w:t xml:space="preserve"> the WES</w:t>
      </w:r>
      <w:r w:rsidR="00332003" w:rsidRPr="004C4DEF">
        <w:t xml:space="preserve"> to 0.01 mg/m</w:t>
      </w:r>
      <w:r w:rsidR="00332003" w:rsidRPr="004C4DEF">
        <w:rPr>
          <w:vertAlign w:val="superscript"/>
        </w:rPr>
        <w:t>3</w:t>
      </w:r>
      <w:r w:rsidR="00332003" w:rsidRPr="004C4DEF">
        <w:t>)</w:t>
      </w:r>
    </w:p>
    <w:p w:rsidR="00332003" w:rsidRDefault="00332003" w:rsidP="001D7396">
      <w:pPr>
        <w:keepNext/>
      </w:pPr>
      <w:r>
        <w:t>Submissions indicated that:</w:t>
      </w:r>
    </w:p>
    <w:p w:rsidR="00332003" w:rsidRDefault="00332003" w:rsidP="00263482">
      <w:pPr>
        <w:pStyle w:val="ListParagraph"/>
        <w:numPr>
          <w:ilvl w:val="0"/>
          <w:numId w:val="28"/>
        </w:numPr>
      </w:pPr>
      <w:r>
        <w:t xml:space="preserve">a majority of the businesses indicated that there would be an increased cost due to </w:t>
      </w:r>
      <w:r w:rsidR="009174FB">
        <w:t xml:space="preserve"> </w:t>
      </w:r>
      <w:r>
        <w:t>increased frequency of air monitoring required</w:t>
      </w:r>
      <w:r w:rsidR="009174FB">
        <w:t>, an increase in the size of the area considered to be ‘at risk’ of exceeding the exposure standard</w:t>
      </w:r>
      <w:r>
        <w:t xml:space="preserve"> and the </w:t>
      </w:r>
      <w:r w:rsidR="009174FB">
        <w:t xml:space="preserve">requirement to </w:t>
      </w:r>
      <w:r>
        <w:t>introduc</w:t>
      </w:r>
      <w:r w:rsidR="009174FB">
        <w:t>e</w:t>
      </w:r>
      <w:r>
        <w:t xml:space="preserve"> new controls</w:t>
      </w:r>
      <w:r w:rsidR="00F34731">
        <w:t>, and</w:t>
      </w:r>
    </w:p>
    <w:p w:rsidR="00332003" w:rsidRDefault="00332003" w:rsidP="00263482">
      <w:pPr>
        <w:pStyle w:val="ListParagraph"/>
        <w:numPr>
          <w:ilvl w:val="0"/>
          <w:numId w:val="28"/>
        </w:numPr>
      </w:pPr>
      <w:r>
        <w:t>many businesses were unable to quantify the cost required to comply with this exposure standard</w:t>
      </w:r>
      <w:r w:rsidR="00B60C48">
        <w:t>.</w:t>
      </w:r>
    </w:p>
    <w:p w:rsidR="004005F5" w:rsidRDefault="004005F5" w:rsidP="004005F5">
      <w:r>
        <w:t>Some submissions noted that this level was already being reached. Other submissions noted that due to the primary route of exposure being ingestion, a change in the WES for lead would not impact their control processes.</w:t>
      </w:r>
    </w:p>
    <w:p w:rsidR="00050E31" w:rsidRDefault="00050E31" w:rsidP="004005F5">
      <w:r>
        <w:t xml:space="preserve">Submissions from Regulators noted that this option will involve increased site inspections and audits. </w:t>
      </w:r>
    </w:p>
    <w:p w:rsidR="00332003" w:rsidRPr="004C4DEF" w:rsidRDefault="00F34731" w:rsidP="00E77182">
      <w:pPr>
        <w:pStyle w:val="Heading3"/>
      </w:pPr>
      <w:r w:rsidRPr="004C4DEF">
        <w:t>Workplace exposure standard O</w:t>
      </w:r>
      <w:r w:rsidR="00332003" w:rsidRPr="004C4DEF">
        <w:t>ption 4 (non-regulatory approach)</w:t>
      </w:r>
    </w:p>
    <w:p w:rsidR="00332003" w:rsidRDefault="00332003" w:rsidP="00332003">
      <w:r w:rsidRPr="008B10EF">
        <w:t>A vast majority of the submissions that provided information for this option indicated that there would be no change to</w:t>
      </w:r>
      <w:r>
        <w:t>:</w:t>
      </w:r>
    </w:p>
    <w:p w:rsidR="00332003" w:rsidRDefault="00332003" w:rsidP="00263482">
      <w:pPr>
        <w:pStyle w:val="ListParagraph"/>
        <w:numPr>
          <w:ilvl w:val="0"/>
          <w:numId w:val="30"/>
        </w:numPr>
      </w:pPr>
      <w:r>
        <w:t>how they conduct air monitoring</w:t>
      </w:r>
    </w:p>
    <w:p w:rsidR="00332003" w:rsidRDefault="00332003" w:rsidP="00263482">
      <w:pPr>
        <w:pStyle w:val="ListParagraph"/>
        <w:numPr>
          <w:ilvl w:val="0"/>
          <w:numId w:val="29"/>
        </w:numPr>
      </w:pPr>
      <w:r>
        <w:t>the costs of conducting air monitoring, or</w:t>
      </w:r>
    </w:p>
    <w:p w:rsidR="00332003" w:rsidRDefault="00332003" w:rsidP="00263482">
      <w:pPr>
        <w:pStyle w:val="ListParagraph"/>
        <w:numPr>
          <w:ilvl w:val="0"/>
          <w:numId w:val="29"/>
        </w:numPr>
      </w:pPr>
      <w:r>
        <w:t>the ease or burden of compliance.</w:t>
      </w:r>
    </w:p>
    <w:p w:rsidR="00457382" w:rsidRDefault="00457382" w:rsidP="00457382">
      <w:r>
        <w:t>Submissions that supported a change to the status of the WES for dusts and fumes of lead did so for various reasons</w:t>
      </w:r>
      <w:r w:rsidR="00383EA4">
        <w:t xml:space="preserve"> including:</w:t>
      </w:r>
    </w:p>
    <w:p w:rsidR="00457382" w:rsidRDefault="00383EA4" w:rsidP="00263482">
      <w:pPr>
        <w:pStyle w:val="ListParagraph"/>
        <w:numPr>
          <w:ilvl w:val="0"/>
          <w:numId w:val="28"/>
        </w:numPr>
      </w:pPr>
      <w:r>
        <w:t>WES</w:t>
      </w:r>
      <w:r w:rsidR="00457382">
        <w:t xml:space="preserve"> do not represent a hard line of safe and unsafe</w:t>
      </w:r>
    </w:p>
    <w:p w:rsidR="00457382" w:rsidRDefault="00383EA4" w:rsidP="00263482">
      <w:pPr>
        <w:pStyle w:val="ListParagraph"/>
        <w:numPr>
          <w:ilvl w:val="0"/>
          <w:numId w:val="28"/>
        </w:numPr>
      </w:pPr>
      <w:r>
        <w:t>WES</w:t>
      </w:r>
      <w:r w:rsidR="00457382">
        <w:t xml:space="preserve"> should be applied as part of a suite of risk management tools</w:t>
      </w:r>
      <w:r>
        <w:t>, and</w:t>
      </w:r>
    </w:p>
    <w:p w:rsidR="00027827" w:rsidRDefault="00457382" w:rsidP="00263482">
      <w:pPr>
        <w:pStyle w:val="ListParagraph"/>
        <w:numPr>
          <w:ilvl w:val="0"/>
          <w:numId w:val="28"/>
        </w:numPr>
      </w:pPr>
      <w:r>
        <w:t>blood lead level testing is a more appropriate and accurate reflection of exposure from all routes</w:t>
      </w:r>
      <w:r w:rsidR="00383EA4">
        <w:t>.</w:t>
      </w:r>
    </w:p>
    <w:p w:rsidR="00027827" w:rsidRDefault="00027827">
      <w:r>
        <w:br w:type="page"/>
      </w:r>
    </w:p>
    <w:p w:rsidR="00332003" w:rsidRPr="004C4DEF" w:rsidRDefault="00332003" w:rsidP="00E77182">
      <w:pPr>
        <w:pStyle w:val="Heading3"/>
      </w:pPr>
      <w:r w:rsidRPr="004C4DEF">
        <w:t>Transition periods</w:t>
      </w:r>
    </w:p>
    <w:p w:rsidR="00332003" w:rsidRDefault="00332003" w:rsidP="00332003">
      <w:r>
        <w:t xml:space="preserve">Submissions indicated a preference for a </w:t>
      </w:r>
      <w:r w:rsidR="00F34731">
        <w:t>two</w:t>
      </w:r>
      <w:r>
        <w:t xml:space="preserve"> year transition period</w:t>
      </w:r>
      <w:r w:rsidR="00F34731">
        <w:t xml:space="preserve"> which was consistent with the time nominated to comply with </w:t>
      </w:r>
      <w:r w:rsidR="0007375B">
        <w:t>Option 2 for blood lead removal levels and workplace exposure standard</w:t>
      </w:r>
      <w:r>
        <w:t>.</w:t>
      </w:r>
    </w:p>
    <w:p w:rsidR="00383EA4" w:rsidRDefault="00383EA4" w:rsidP="00332003">
      <w:r>
        <w:t xml:space="preserve">Some submissions nominated a transition period of 4 years or more due to provide the time to evaluate, update or replace and review control strategies for compliance. </w:t>
      </w:r>
      <w:r w:rsidR="006658DE">
        <w:t>One submission noted preference for a phased transition period as part of a suite of risk management approaches.</w:t>
      </w:r>
    </w:p>
    <w:p w:rsidR="00383EA4" w:rsidRDefault="00383EA4" w:rsidP="00332003">
      <w:r>
        <w:t xml:space="preserve">Generally, the larger the </w:t>
      </w:r>
      <w:r w:rsidR="008E6C0D">
        <w:t>reductions in either blood lead</w:t>
      </w:r>
      <w:r>
        <w:t xml:space="preserve"> removal level or WES the longer the transition period proposed.</w:t>
      </w:r>
    </w:p>
    <w:p w:rsidR="00383EA4" w:rsidRDefault="00383EA4" w:rsidP="00332003">
      <w:r>
        <w:t>Some submissions however, noted no requirement for a transition period for Option 2 (blood lead removal levels and WES) as these standards were already being reached. One submission noted that Option 3 (both blood lead removal level and WES) was currently being reached in a majority of lead risk areas.</w:t>
      </w:r>
    </w:p>
    <w:p w:rsidR="00271996" w:rsidRDefault="0097637D" w:rsidP="00332003">
      <w:r>
        <w:t>The option of a phased reduction in the mandatory standards was raised in one submission.</w:t>
      </w:r>
    </w:p>
    <w:p w:rsidR="0097637D" w:rsidRPr="00271996" w:rsidRDefault="00271996" w:rsidP="00332003">
      <w:pPr>
        <w:rPr>
          <w:rFonts w:cstheme="majorBidi"/>
        </w:rPr>
      </w:pPr>
      <w:r w:rsidRPr="009811C1">
        <w:rPr>
          <w:rFonts w:cstheme="majorBidi"/>
        </w:rPr>
        <w:t xml:space="preserve">Direct consultations </w:t>
      </w:r>
      <w:r w:rsidR="009811C1" w:rsidRPr="009811C1">
        <w:rPr>
          <w:rFonts w:cstheme="majorBidi"/>
        </w:rPr>
        <w:t>did not provide any additional information to that provided in the public submissions.</w:t>
      </w:r>
    </w:p>
    <w:p w:rsidR="00332003" w:rsidRPr="00313AAD" w:rsidRDefault="00332003" w:rsidP="00263482">
      <w:pPr>
        <w:pStyle w:val="Heading2"/>
        <w:ind w:left="426"/>
      </w:pPr>
      <w:bookmarkStart w:id="92" w:name="_Toc459276912"/>
      <w:r w:rsidRPr="00313AAD">
        <w:t>Other key issues and impacts raised</w:t>
      </w:r>
      <w:bookmarkEnd w:id="92"/>
    </w:p>
    <w:p w:rsidR="00332003" w:rsidRPr="004C4DEF" w:rsidRDefault="00332003" w:rsidP="00E77182">
      <w:pPr>
        <w:pStyle w:val="Heading3"/>
      </w:pPr>
      <w:r w:rsidRPr="004C4DEF">
        <w:t>Rural or remote areas</w:t>
      </w:r>
    </w:p>
    <w:p w:rsidR="00332003" w:rsidRDefault="00332003" w:rsidP="00332003">
      <w:r>
        <w:t xml:space="preserve">In the consultation RIS, stakeholders were requested to raise any particular difficulties in meeting health monitoring requirements if they were located in rural or remote areas. Key issues </w:t>
      </w:r>
      <w:r w:rsidR="008C00B4">
        <w:t>noted</w:t>
      </w:r>
      <w:r>
        <w:t xml:space="preserve"> for rural or remote businesses included:</w:t>
      </w:r>
    </w:p>
    <w:p w:rsidR="00332003" w:rsidRDefault="00332003" w:rsidP="00263482">
      <w:pPr>
        <w:pStyle w:val="ListParagraph"/>
        <w:numPr>
          <w:ilvl w:val="0"/>
          <w:numId w:val="32"/>
        </w:numPr>
      </w:pPr>
      <w:r>
        <w:t>access to NATA accredited services</w:t>
      </w:r>
      <w:r w:rsidR="000D1111">
        <w:t xml:space="preserve"> for testing of health monitoring (and air monitoring) samples</w:t>
      </w:r>
    </w:p>
    <w:p w:rsidR="00332003" w:rsidRDefault="00332003" w:rsidP="00263482">
      <w:pPr>
        <w:pStyle w:val="ListParagraph"/>
        <w:numPr>
          <w:ilvl w:val="0"/>
          <w:numId w:val="32"/>
        </w:numPr>
      </w:pPr>
      <w:r>
        <w:t>additional costs due to travel for outsourced health monitoring services</w:t>
      </w:r>
    </w:p>
    <w:p w:rsidR="008C00B4" w:rsidRDefault="008C00B4" w:rsidP="00263482">
      <w:pPr>
        <w:pStyle w:val="ListParagraph"/>
        <w:numPr>
          <w:ilvl w:val="0"/>
          <w:numId w:val="32"/>
        </w:numPr>
      </w:pPr>
      <w:r>
        <w:t>trade skills shortages</w:t>
      </w:r>
      <w:r w:rsidR="00332003">
        <w:t xml:space="preserve"> impacting the capability of business to backfill removed workers</w:t>
      </w:r>
      <w:r>
        <w:t>, and</w:t>
      </w:r>
    </w:p>
    <w:p w:rsidR="00332003" w:rsidRDefault="008C00B4" w:rsidP="00263482">
      <w:pPr>
        <w:pStyle w:val="ListParagraph"/>
        <w:numPr>
          <w:ilvl w:val="0"/>
          <w:numId w:val="32"/>
        </w:numPr>
      </w:pPr>
      <w:r>
        <w:t xml:space="preserve">additional travel and accommodation costs for backfilling </w:t>
      </w:r>
      <w:r w:rsidR="00695F65">
        <w:t xml:space="preserve">a position or role </w:t>
      </w:r>
      <w:r>
        <w:t>due to work being conducted in a remote, rural or regional areas</w:t>
      </w:r>
      <w:r w:rsidR="00332003">
        <w:t>.</w:t>
      </w:r>
    </w:p>
    <w:p w:rsidR="000D1111" w:rsidRPr="004C4DEF" w:rsidRDefault="000D1111" w:rsidP="00E77182">
      <w:pPr>
        <w:pStyle w:val="Heading3"/>
      </w:pPr>
      <w:r w:rsidRPr="004C4DEF">
        <w:t>Capacity for larger sized businesses</w:t>
      </w:r>
    </w:p>
    <w:p w:rsidR="00695F65" w:rsidRDefault="00332003" w:rsidP="00332003">
      <w:r>
        <w:t>Originally, it was expected that the larger businesses conducting lead process work would have better capacity to backfill removed workers</w:t>
      </w:r>
      <w:r w:rsidR="008C00B4">
        <w:t xml:space="preserve"> (availability of skilled workers, smaller training costs, availability of non-lead risk work placements)</w:t>
      </w:r>
      <w:r>
        <w:t xml:space="preserve">, and therefore would have an overall reduced cost </w:t>
      </w:r>
      <w:r w:rsidR="00695F65">
        <w:t xml:space="preserve">of removal </w:t>
      </w:r>
      <w:r>
        <w:t xml:space="preserve">compared to smaller businesses. </w:t>
      </w:r>
    </w:p>
    <w:p w:rsidR="00C53753" w:rsidRDefault="00332003" w:rsidP="00C53753">
      <w:r>
        <w:t xml:space="preserve">However, based on information </w:t>
      </w:r>
      <w:r w:rsidR="00695F65">
        <w:t xml:space="preserve">collected </w:t>
      </w:r>
      <w:r>
        <w:t xml:space="preserve">it appears this is not the case for lead process </w:t>
      </w:r>
      <w:r w:rsidR="00695F65">
        <w:t>businesses</w:t>
      </w:r>
      <w:r>
        <w:t xml:space="preserve">. Many of the larger </w:t>
      </w:r>
      <w:r w:rsidR="00695F65">
        <w:t xml:space="preserve">lead process </w:t>
      </w:r>
      <w:r>
        <w:t>businesses operate out of r</w:t>
      </w:r>
      <w:r w:rsidR="00695F65">
        <w:t>emote, rural or regional areas</w:t>
      </w:r>
      <w:r>
        <w:t xml:space="preserve"> and therefore backfilling the </w:t>
      </w:r>
      <w:r w:rsidR="008C00B4">
        <w:t>places</w:t>
      </w:r>
      <w:r>
        <w:t xml:space="preserve"> left from workers removed due to excessive blood lead levels may require flying </w:t>
      </w:r>
      <w:r w:rsidR="00695F65">
        <w:t xml:space="preserve">in </w:t>
      </w:r>
      <w:r>
        <w:t xml:space="preserve">or </w:t>
      </w:r>
      <w:r w:rsidR="00695F65">
        <w:t>relocating trained workers</w:t>
      </w:r>
      <w:r>
        <w:t xml:space="preserve"> therefore losing any cost advantage.</w:t>
      </w:r>
      <w:r w:rsidR="008C00B4">
        <w:t xml:space="preserve"> It was noted that in some cases there was no availability to backfill a position due to skills shortages.</w:t>
      </w:r>
      <w:r w:rsidR="00C53753">
        <w:t xml:space="preserve"> The assessment of the costs and benefits (Chapter 7) has therefore applied the same cost assumptions for small and large businesses.</w:t>
      </w:r>
    </w:p>
    <w:p w:rsidR="00C53753" w:rsidRDefault="00C53753" w:rsidP="00E77182">
      <w:pPr>
        <w:pStyle w:val="Heading3"/>
      </w:pPr>
      <w:r>
        <w:t>Impacts on small businesses</w:t>
      </w:r>
    </w:p>
    <w:p w:rsidR="00E1669E" w:rsidRDefault="00C53753" w:rsidP="00332003">
      <w:r>
        <w:t xml:space="preserve">Information from submissions confirmed that the majority of the lead </w:t>
      </w:r>
      <w:r w:rsidR="00E1669E">
        <w:t>workforce is</w:t>
      </w:r>
      <w:r>
        <w:t xml:space="preserve"> employed in either large mining or smelter operations or medium to large manufacturing businesses. </w:t>
      </w:r>
    </w:p>
    <w:p w:rsidR="00332003" w:rsidRDefault="00C53753" w:rsidP="00332003">
      <w:r>
        <w:t>However, there are also a range of small businesses where workers may be exposed to lead. These include painters (from working with lead paint), automotive repairers (from lead in car radiators)</w:t>
      </w:r>
      <w:r w:rsidR="009C406C">
        <w:t>,</w:t>
      </w:r>
      <w:r>
        <w:t>glass tradespersons (from lead-lighting work)</w:t>
      </w:r>
      <w:r w:rsidR="009C406C">
        <w:t xml:space="preserve"> and those working on defence platforms</w:t>
      </w:r>
      <w:r>
        <w:t xml:space="preserve">. For small businesses, many of the costs associated with controlling lead exposure are similar to large business (e.g. blood testing, hygiene controls and use of PPE). </w:t>
      </w:r>
      <w:r w:rsidR="00E1669E">
        <w:t>D</w:t>
      </w:r>
      <w:r>
        <w:t>ata from Victoria indicated that only 30</w:t>
      </w:r>
      <w:r w:rsidR="00E1669E">
        <w:t xml:space="preserve"> per cent</w:t>
      </w:r>
      <w:r>
        <w:t xml:space="preserve"> of small businesses would be affected by the changes proposed in Option 2, which </w:t>
      </w:r>
      <w:r w:rsidR="00271996">
        <w:t xml:space="preserve">has been </w:t>
      </w:r>
      <w:r w:rsidR="00027827">
        <w:t xml:space="preserve">included in </w:t>
      </w:r>
      <w:r w:rsidR="00271996">
        <w:t>the cost benefit analysis</w:t>
      </w:r>
      <w:r>
        <w:t>.</w:t>
      </w:r>
    </w:p>
    <w:p w:rsidR="00332003" w:rsidRPr="004C4DEF" w:rsidRDefault="00332003" w:rsidP="00E77182">
      <w:pPr>
        <w:pStyle w:val="Heading3"/>
      </w:pPr>
      <w:r w:rsidRPr="004C4DEF">
        <w:t>Areas with environmental lead contamination</w:t>
      </w:r>
    </w:p>
    <w:p w:rsidR="00695F65" w:rsidRDefault="00332003" w:rsidP="00332003">
      <w:r>
        <w:t xml:space="preserve">Businesses operating in areas with high levels of environmental lead contamination have indicated a more significant impact to reducing the </w:t>
      </w:r>
      <w:r w:rsidR="008C00B4">
        <w:t xml:space="preserve">blood </w:t>
      </w:r>
      <w:r>
        <w:t>lead removal levels. Many of these businesses have highly detailed</w:t>
      </w:r>
      <w:r w:rsidR="008C00B4">
        <w:t xml:space="preserve"> control </w:t>
      </w:r>
      <w:r w:rsidR="00695F65">
        <w:t>strategie</w:t>
      </w:r>
      <w:r w:rsidR="008C00B4">
        <w:t>s,</w:t>
      </w:r>
      <w:r>
        <w:t xml:space="preserve"> health monitoring processes, supervising occupational practitioners on staff and prescriptive hygiene and </w:t>
      </w:r>
      <w:r w:rsidR="00695F65">
        <w:t>housekeeping</w:t>
      </w:r>
      <w:r>
        <w:t xml:space="preserve"> procedures. </w:t>
      </w:r>
    </w:p>
    <w:p w:rsidR="00332003" w:rsidRDefault="00332003" w:rsidP="00332003">
      <w:r>
        <w:t xml:space="preserve">Due to </w:t>
      </w:r>
      <w:r w:rsidR="008C00B4">
        <w:t xml:space="preserve">environmental </w:t>
      </w:r>
      <w:r>
        <w:t xml:space="preserve">exposure to lead outside of the workplace, some workers already have blood lead levels above the proposed action limits. It was also indicated that </w:t>
      </w:r>
      <w:r w:rsidR="00652316">
        <w:t xml:space="preserve">in areas with environmental lead contamination, </w:t>
      </w:r>
      <w:r>
        <w:t>reducing workers’ blood lead levels to the allowable return to work level would take a significant amount of time.</w:t>
      </w:r>
      <w:r w:rsidR="00C53753">
        <w:t xml:space="preserve"> This feedback, as well as data collected from health authorities</w:t>
      </w:r>
      <w:r w:rsidR="00271996">
        <w:t>,</w:t>
      </w:r>
      <w:r w:rsidR="00C53753">
        <w:t xml:space="preserve"> has been used to inform the assumptions in Chapter 7 about the length of time that workers would need be removed from lead-risk work, if they exceed the relevant removal threshold.</w:t>
      </w:r>
    </w:p>
    <w:p w:rsidR="00C3482A" w:rsidRDefault="00BB167B" w:rsidP="00E77182">
      <w:pPr>
        <w:pStyle w:val="Heading3"/>
      </w:pPr>
      <w:r>
        <w:t>Closure of businesses or movement offshore</w:t>
      </w:r>
    </w:p>
    <w:p w:rsidR="00C3482A" w:rsidRDefault="00C3482A" w:rsidP="00C3482A">
      <w:r>
        <w:t>Submissions raised the concern that reducing the mandatory lead standards would have an effect on competition in the industry on a world stage. It was noted that many of Australia’s trading partners operate in environments where blood lead removal levels are higher than those mandated in Australia. An impact noted by several submissions for Option 3 (with the largest reduction in blood lead removal level and exposure standard) would result in closure of the business or moving specific lead risk tasks offshore where the regulatory environment is more lenient.</w:t>
      </w:r>
      <w:r w:rsidR="00C3324E">
        <w:t xml:space="preserve"> </w:t>
      </w:r>
    </w:p>
    <w:p w:rsidR="00C3482A" w:rsidRDefault="00C3482A" w:rsidP="00C3482A">
      <w:r>
        <w:t xml:space="preserve">On comparison with </w:t>
      </w:r>
      <w:r>
        <w:fldChar w:fldCharType="begin"/>
      </w:r>
      <w:r>
        <w:instrText xml:space="preserve"> REF _Ref454801607 \h </w:instrText>
      </w:r>
      <w:r>
        <w:fldChar w:fldCharType="separate"/>
      </w:r>
      <w:r w:rsidR="00052CE1" w:rsidRPr="003B7604">
        <w:t xml:space="preserve">Figure </w:t>
      </w:r>
      <w:r w:rsidR="00052CE1">
        <w:rPr>
          <w:noProof/>
        </w:rPr>
        <w:t>1</w:t>
      </w:r>
      <w:r>
        <w:fldChar w:fldCharType="end"/>
      </w:r>
      <w:r>
        <w:t xml:space="preserve"> in section 2.10 of this report, it can be seen that this concern is valid. Australia is within the international group at the higher end of the blood lead removal levels. If the blood lead removal level is reduced to 30 </w:t>
      </w:r>
      <w:r w:rsidRPr="000D3EB6">
        <w:rPr>
          <w:rFonts w:cstheme="minorHAnsi"/>
        </w:rPr>
        <w:t>μg</w:t>
      </w:r>
      <w:r>
        <w:t>/dL for females not of reproductive capacity and males it will be among the countries with the second lowest mandated levels.</w:t>
      </w:r>
    </w:p>
    <w:p w:rsidR="00C3482A" w:rsidRDefault="00C3482A" w:rsidP="00C3482A">
      <w:r>
        <w:t>The cost benefit analysis will account for the costs indicated by submissions and directed interviews and where appropriate discuss the potential impact of closure or moving offshore</w:t>
      </w:r>
      <w:r w:rsidR="004E5C26">
        <w:t>.</w:t>
      </w:r>
    </w:p>
    <w:p w:rsidR="00332003" w:rsidRPr="004C4DEF" w:rsidRDefault="00F422A3" w:rsidP="00E77182">
      <w:pPr>
        <w:pStyle w:val="Heading3"/>
      </w:pPr>
      <w:r w:rsidRPr="004C4DEF">
        <w:t>P</w:t>
      </w:r>
      <w:r w:rsidR="0056282F" w:rsidRPr="004C4DEF">
        <w:t>rotecting women of reproductive capacity</w:t>
      </w:r>
    </w:p>
    <w:p w:rsidR="0056282F" w:rsidRDefault="0056282F" w:rsidP="00332003">
      <w:r>
        <w:t>Some submissions noted that due to effects on the developing foetus and young children protecting women of reproductive capacity, women who are or intend to be pregnant and women who are breastfeeding should be a high priority for businesses.</w:t>
      </w:r>
    </w:p>
    <w:p w:rsidR="00332003" w:rsidRPr="004C4DEF" w:rsidRDefault="00332003" w:rsidP="00E77182">
      <w:pPr>
        <w:pStyle w:val="Heading3"/>
      </w:pPr>
      <w:r w:rsidRPr="004C4DEF">
        <w:t xml:space="preserve">Controlling exposure to lead </w:t>
      </w:r>
      <w:r w:rsidRPr="004C4DEF">
        <w:rPr>
          <w:i/>
        </w:rPr>
        <w:t>via</w:t>
      </w:r>
      <w:r w:rsidRPr="004C4DEF">
        <w:t xml:space="preserve"> hand-to-mouth</w:t>
      </w:r>
    </w:p>
    <w:p w:rsidR="00261591" w:rsidRDefault="00332003" w:rsidP="00332003">
      <w:r>
        <w:t>Submissions indicated that ha</w:t>
      </w:r>
      <w:r w:rsidR="000D383B">
        <w:t>nd-to-mouth ingestion of lead i</w:t>
      </w:r>
      <w:r>
        <w:t xml:space="preserve">s a primary exposure route at the workplace. </w:t>
      </w:r>
    </w:p>
    <w:p w:rsidR="00332003" w:rsidRDefault="00332003" w:rsidP="00332003">
      <w:r>
        <w:t>Detailed case-studies showing the difference in blood lead levels of workers before and after implementation of strict hygiene and cleaning procedures demonstrate tha</w:t>
      </w:r>
      <w:r w:rsidR="000D383B">
        <w:t>t control mitigation measures may</w:t>
      </w:r>
      <w:r>
        <w:t xml:space="preserve"> not need to be highly expensive or technical to make a considerable difference. Effective hygiene </w:t>
      </w:r>
      <w:r w:rsidR="00261591">
        <w:t xml:space="preserve">and housekeeping </w:t>
      </w:r>
      <w:r>
        <w:t xml:space="preserve">measures that can be implemented at a lead process workplace include: </w:t>
      </w:r>
    </w:p>
    <w:p w:rsidR="00332003" w:rsidRDefault="00332003" w:rsidP="00263482">
      <w:pPr>
        <w:pStyle w:val="ListParagraph"/>
        <w:numPr>
          <w:ilvl w:val="0"/>
          <w:numId w:val="33"/>
        </w:numPr>
      </w:pPr>
      <w:r>
        <w:t>strict rules regarding no food and drink in lead process areas</w:t>
      </w:r>
    </w:p>
    <w:p w:rsidR="00332003" w:rsidRDefault="00332003" w:rsidP="00263482">
      <w:pPr>
        <w:pStyle w:val="ListParagraph"/>
        <w:numPr>
          <w:ilvl w:val="0"/>
          <w:numId w:val="33"/>
        </w:numPr>
      </w:pPr>
      <w:r>
        <w:t xml:space="preserve">hand and face washing procedures </w:t>
      </w:r>
    </w:p>
    <w:p w:rsidR="000D383B" w:rsidRDefault="00332003" w:rsidP="00263482">
      <w:pPr>
        <w:pStyle w:val="ListParagraph"/>
        <w:numPr>
          <w:ilvl w:val="0"/>
          <w:numId w:val="33"/>
        </w:numPr>
      </w:pPr>
      <w:r>
        <w:t>‘clean’ and ‘dirty’ areas</w:t>
      </w:r>
    </w:p>
    <w:p w:rsidR="00332003" w:rsidRDefault="00DA30B9" w:rsidP="00263482">
      <w:pPr>
        <w:pStyle w:val="ListParagraph"/>
        <w:numPr>
          <w:ilvl w:val="0"/>
          <w:numId w:val="33"/>
        </w:numPr>
      </w:pPr>
      <w:r>
        <w:t>correct</w:t>
      </w:r>
      <w:r w:rsidR="000D383B">
        <w:t xml:space="preserve"> removal, laundering or disposal of PPE</w:t>
      </w:r>
      <w:r w:rsidR="00332003">
        <w:t xml:space="preserve">, and </w:t>
      </w:r>
    </w:p>
    <w:p w:rsidR="00332003" w:rsidRDefault="00332003" w:rsidP="00263482">
      <w:pPr>
        <w:pStyle w:val="ListParagraph"/>
        <w:numPr>
          <w:ilvl w:val="0"/>
          <w:numId w:val="33"/>
        </w:numPr>
      </w:pPr>
      <w:r>
        <w:t>specific cleaning products and practices.</w:t>
      </w:r>
    </w:p>
    <w:p w:rsidR="00261591" w:rsidRDefault="00DA6E57" w:rsidP="00DA6E57">
      <w:r>
        <w:t xml:space="preserve">The case studies provided also indicated that air monitoring is not necessarily required to be conducted in some workplaces. Responses indicated that some workplaces have negligible </w:t>
      </w:r>
      <w:r w:rsidR="00261591">
        <w:t xml:space="preserve">airborne lead contaminants and </w:t>
      </w:r>
      <w:r>
        <w:t xml:space="preserve">therefore air monitoring is not considered a useful tool to </w:t>
      </w:r>
      <w:r w:rsidR="00261591">
        <w:t>measure</w:t>
      </w:r>
      <w:r>
        <w:t xml:space="preserve"> to workplace lead. </w:t>
      </w:r>
      <w:r w:rsidR="00261591">
        <w:t>It was raised that surface wiping for lead was a more useful (and cost-effective) tool for predicting exposure and assessing the effectiveness of control measures.</w:t>
      </w:r>
    </w:p>
    <w:p w:rsidR="00332003" w:rsidRDefault="00261591" w:rsidP="00DA6E57">
      <w:r>
        <w:t xml:space="preserve">It is unclear from responses whether alternative control measures and measures of exposure were considered in the costings of upgrading controls should the standards be reduced. </w:t>
      </w:r>
    </w:p>
    <w:p w:rsidR="00F10E13" w:rsidRPr="004C4DEF" w:rsidRDefault="00F10E13" w:rsidP="00E77182">
      <w:pPr>
        <w:pStyle w:val="Heading3"/>
      </w:pPr>
      <w:r w:rsidRPr="004C4DEF">
        <w:t xml:space="preserve">Workplace Exposure Standards </w:t>
      </w:r>
    </w:p>
    <w:p w:rsidR="00A424B7" w:rsidRDefault="00F10E13" w:rsidP="00DA6E57">
      <w:r>
        <w:t>Submissions noted that while air monitoring is important to indicate airborne levels of inorganic lead</w:t>
      </w:r>
      <w:r w:rsidR="00A424B7">
        <w:t xml:space="preserve"> in specific workplaces</w:t>
      </w:r>
      <w:r>
        <w:t>, they represent an indirect prediction of exposure</w:t>
      </w:r>
      <w:r w:rsidR="00072429">
        <w:t>.</w:t>
      </w:r>
      <w:r w:rsidR="00707D59">
        <w:t xml:space="preserve"> </w:t>
      </w:r>
      <w:r w:rsidR="00072429">
        <w:t>Many submissions noted that the</w:t>
      </w:r>
      <w:r w:rsidR="00A424B7">
        <w:t xml:space="preserve"> primary route of exposure</w:t>
      </w:r>
      <w:r w:rsidR="00072429">
        <w:t xml:space="preserve"> in modern workplaces</w:t>
      </w:r>
      <w:r w:rsidR="00A424B7">
        <w:t xml:space="preserve"> is ingestion </w:t>
      </w:r>
      <w:r w:rsidR="00A424B7" w:rsidRPr="00707D59">
        <w:rPr>
          <w:i/>
        </w:rPr>
        <w:t>via</w:t>
      </w:r>
      <w:r w:rsidR="00A424B7">
        <w:t xml:space="preserve"> hand-to-mouth movements and the blood lead level of workers is an</w:t>
      </w:r>
      <w:r w:rsidR="00072429">
        <w:t xml:space="preserve"> accurate</w:t>
      </w:r>
      <w:r w:rsidR="00A424B7">
        <w:t xml:space="preserve"> indicator of </w:t>
      </w:r>
      <w:r w:rsidR="00072429">
        <w:t xml:space="preserve">recent </w:t>
      </w:r>
      <w:r w:rsidR="00A424B7">
        <w:t xml:space="preserve">exposure from all </w:t>
      </w:r>
      <w:r w:rsidR="00072429">
        <w:t xml:space="preserve">possible </w:t>
      </w:r>
      <w:r w:rsidR="00A424B7">
        <w:t>routes.</w:t>
      </w:r>
    </w:p>
    <w:p w:rsidR="00A424B7" w:rsidRDefault="00707D59" w:rsidP="00DA6E57">
      <w:r>
        <w:t>Responses also indicated that while WES should be reflective of international best practice and current knowledge, they</w:t>
      </w:r>
      <w:r w:rsidR="00F10E13">
        <w:t xml:space="preserve"> should </w:t>
      </w:r>
      <w:r>
        <w:t xml:space="preserve">really only </w:t>
      </w:r>
      <w:r w:rsidR="00F10E13">
        <w:t xml:space="preserve">be used as a </w:t>
      </w:r>
      <w:r w:rsidR="0056282F">
        <w:t xml:space="preserve">complementary </w:t>
      </w:r>
      <w:r w:rsidR="00F10E13">
        <w:t xml:space="preserve">tool to assess </w:t>
      </w:r>
      <w:r>
        <w:t xml:space="preserve">whether </w:t>
      </w:r>
      <w:r w:rsidR="00F10E13">
        <w:t>control measure</w:t>
      </w:r>
      <w:r>
        <w:t xml:space="preserve">s are effective. </w:t>
      </w:r>
    </w:p>
    <w:p w:rsidR="00F10E13" w:rsidRDefault="00707D59" w:rsidP="00DA6E57">
      <w:r>
        <w:t xml:space="preserve">Some </w:t>
      </w:r>
      <w:r w:rsidR="00EE1773">
        <w:t xml:space="preserve">WHS </w:t>
      </w:r>
      <w:r>
        <w:t>Regulators noted that WES are not well understood by businesses and are generally not used properly as part of risk assessment.</w:t>
      </w:r>
      <w:r w:rsidR="00A424B7">
        <w:t xml:space="preserve"> Responses raised concerns that highlighting the WES for inorganic lead may lead to businesses focussing on controlling airborne lead contaminants rather than using a holistic </w:t>
      </w:r>
      <w:r w:rsidR="00EE1773">
        <w:t>risk management</w:t>
      </w:r>
      <w:r w:rsidR="00A424B7">
        <w:t xml:space="preserve"> strategy.</w:t>
      </w:r>
    </w:p>
    <w:p w:rsidR="001D7396" w:rsidRPr="004C4DEF" w:rsidRDefault="001D7396" w:rsidP="00E77182">
      <w:pPr>
        <w:pStyle w:val="Heading3"/>
      </w:pPr>
      <w:r w:rsidRPr="004C4DEF">
        <w:t>Perceived cost v</w:t>
      </w:r>
      <w:r w:rsidR="00502EC3" w:rsidRPr="004C4DEF">
        <w:t>ersus</w:t>
      </w:r>
      <w:r w:rsidRPr="004C4DEF">
        <w:t xml:space="preserve"> actual cost</w:t>
      </w:r>
    </w:p>
    <w:p w:rsidR="001D7396" w:rsidRDefault="001D7396" w:rsidP="001D7396">
      <w:r>
        <w:t xml:space="preserve">Direct consultation conducted during this process suggested that in some cases responses were reflective of perceived cost rather than actual cost. </w:t>
      </w:r>
    </w:p>
    <w:p w:rsidR="001D7396" w:rsidRDefault="001D7396" w:rsidP="001D7396">
      <w:r>
        <w:t>Many lead process workplaces test more workers than is actually required by regulation. In some cases all staff are regularly tested for blood lead levels – even those who may not be in direct contact with the lead work areas (e.g. reception staff). And while this is commendable for the protection of the broader workforce, it appears that responses have costed for the entire lead process workforce (and possibly even more) rather than the cost for lead risk workers.</w:t>
      </w:r>
    </w:p>
    <w:p w:rsidR="001D7396" w:rsidRDefault="001D7396" w:rsidP="001D7396">
      <w:r>
        <w:t xml:space="preserve">Many lead process workplaces have detailed lead control </w:t>
      </w:r>
      <w:r w:rsidR="00072429">
        <w:t>strate</w:t>
      </w:r>
      <w:r>
        <w:t>gies with target levels</w:t>
      </w:r>
      <w:r w:rsidR="00072429">
        <w:t xml:space="preserve"> well</w:t>
      </w:r>
      <w:r>
        <w:t xml:space="preserve"> below those that are regulated to ensur</w:t>
      </w:r>
      <w:r w:rsidR="00EE1773">
        <w:t>e they remain compliant. I</w:t>
      </w:r>
      <w:r>
        <w:t xml:space="preserve">t appears that responses </w:t>
      </w:r>
      <w:r w:rsidR="00EE1773">
        <w:t xml:space="preserve">may </w:t>
      </w:r>
      <w:r>
        <w:t xml:space="preserve">have costed for maintaining </w:t>
      </w:r>
      <w:r w:rsidR="00072429">
        <w:t xml:space="preserve">internal target </w:t>
      </w:r>
      <w:r>
        <w:t xml:space="preserve">blood lead levels </w:t>
      </w:r>
      <w:r w:rsidR="00072429">
        <w:t>rather than the</w:t>
      </w:r>
      <w:r>
        <w:t xml:space="preserve"> proposed regulatory levels.</w:t>
      </w:r>
    </w:p>
    <w:p w:rsidR="00EE1773" w:rsidRDefault="00F96474" w:rsidP="001D7396">
      <w:r>
        <w:t xml:space="preserve">It is </w:t>
      </w:r>
      <w:r w:rsidR="00EE1773">
        <w:t xml:space="preserve">also </w:t>
      </w:r>
      <w:r>
        <w:t>unclear whether the costs for air monitoring for airborne contaminants of lead were separated from the overall costs of a workplace lead control strategy</w:t>
      </w:r>
      <w:r w:rsidR="00EE1773">
        <w:t xml:space="preserve"> and double costing may have occurred</w:t>
      </w:r>
      <w:r>
        <w:t xml:space="preserve">. </w:t>
      </w:r>
    </w:p>
    <w:p w:rsidR="00F96474" w:rsidRPr="00221826" w:rsidRDefault="00EE1773" w:rsidP="001D7396">
      <w:r>
        <w:t xml:space="preserve">WHS </w:t>
      </w:r>
      <w:r w:rsidR="00F96474">
        <w:t xml:space="preserve">Regulators noted that air monitoring and the use of WES in the workplace are not well understood and are therefore </w:t>
      </w:r>
      <w:r w:rsidR="004B1AD5">
        <w:t xml:space="preserve">generally </w:t>
      </w:r>
      <w:r w:rsidR="00F96474">
        <w:t xml:space="preserve">not applied correctly in many cases. </w:t>
      </w:r>
      <w:r>
        <w:t>As air monitoring may be being carried out unnecessarily, it is unclear if t</w:t>
      </w:r>
      <w:r w:rsidR="00F96474">
        <w:t>he cost</w:t>
      </w:r>
      <w:r w:rsidR="007D26D4">
        <w:t xml:space="preserve"> of </w:t>
      </w:r>
      <w:r w:rsidR="00F96474">
        <w:t xml:space="preserve">air monitoring </w:t>
      </w:r>
      <w:r w:rsidR="00502EC3">
        <w:t>accurately reflects the</w:t>
      </w:r>
      <w:r w:rsidR="00F96474">
        <w:t xml:space="preserve"> cost of compliance</w:t>
      </w:r>
      <w:r w:rsidR="00502EC3">
        <w:t>.</w:t>
      </w:r>
    </w:p>
    <w:p w:rsidR="001D7396" w:rsidRDefault="001D7396" w:rsidP="00DA6E57">
      <w:r>
        <w:t>Due to this issue the c</w:t>
      </w:r>
      <w:r w:rsidR="004B1AD5">
        <w:t xml:space="preserve">ost benefit analysis (CBA) is </w:t>
      </w:r>
      <w:r>
        <w:t>not based solely on the information provided in submissions. As part of the CBA, direct consultation was conducted with targeted interviews of key stakeholders and direct engagement with jurisdictional Health Departments to clarify costs presented and impacts that were raised as part of the public consultation process.</w:t>
      </w:r>
    </w:p>
    <w:bookmarkEnd w:id="78"/>
    <w:bookmarkEnd w:id="79"/>
    <w:bookmarkEnd w:id="80"/>
    <w:p w:rsidR="00722AE0" w:rsidRPr="0005799A" w:rsidRDefault="00722AE0" w:rsidP="00722AE0">
      <w:r w:rsidRPr="00536A47">
        <w:rPr>
          <w:rFonts w:eastAsia="Batang" w:cstheme="minorHAnsi"/>
          <w:bCs/>
          <w:color w:val="002776"/>
          <w:kern w:val="28"/>
          <w:sz w:val="36"/>
          <w:szCs w:val="36"/>
        </w:rPr>
        <w:br w:type="page"/>
      </w:r>
    </w:p>
    <w:p w:rsidR="0035186A" w:rsidRDefault="0035186A" w:rsidP="0035186A">
      <w:pPr>
        <w:pStyle w:val="Heading1-number"/>
      </w:pPr>
      <w:bookmarkStart w:id="93" w:name="_Toc459276913"/>
      <w:r w:rsidRPr="0035186A">
        <w:t>Cost Benefit Analysis (CBA)</w:t>
      </w:r>
      <w:bookmarkEnd w:id="93"/>
    </w:p>
    <w:p w:rsidR="00691DA8" w:rsidRDefault="00691DA8" w:rsidP="00691DA8">
      <w:r>
        <w:t xml:space="preserve">This chapter </w:t>
      </w:r>
      <w:r w:rsidR="00180CA0">
        <w:t xml:space="preserve">builds on the information submitted during the public comment period and </w:t>
      </w:r>
      <w:r>
        <w:t xml:space="preserve">sets out an assessment of the costs and benefits of each of the options identified in Chapter </w:t>
      </w:r>
      <w:r w:rsidR="00180CA0">
        <w:t>6</w:t>
      </w:r>
      <w:r>
        <w:t xml:space="preserve"> to determine the option with the greatest net benefit to the community. The chapter is an update of the analysis presented in the Consultation RIS.</w:t>
      </w:r>
    </w:p>
    <w:p w:rsidR="00691DA8" w:rsidRPr="00313AAD" w:rsidRDefault="00691DA8" w:rsidP="00263482">
      <w:pPr>
        <w:pStyle w:val="Heading2"/>
        <w:ind w:left="426"/>
      </w:pPr>
      <w:bookmarkStart w:id="94" w:name="_Toc459276914"/>
      <w:r w:rsidRPr="00313AAD">
        <w:t>Approach to measuring the impacts of the options</w:t>
      </w:r>
      <w:bookmarkEnd w:id="94"/>
    </w:p>
    <w:p w:rsidR="00691DA8" w:rsidRDefault="00691DA8" w:rsidP="00691DA8">
      <w:r>
        <w:t xml:space="preserve">The approach used to assess the proposed options is a Cost-Benefit Analysis (CBA). </w:t>
      </w:r>
    </w:p>
    <w:p w:rsidR="00691DA8" w:rsidRDefault="00691DA8" w:rsidP="00691DA8">
      <w:r>
        <w:t>CBA is an analytical tool that can be used to measure the economic and social impact of government action and measure the ‘net social benefits’ that action might produce. CBA requires that all major costs and benefits of a proposal be quantified in monetary terms. This allows the outcomes for a range of options to be translated into comparable terms in order to facilitate evaluation and decision making.</w:t>
      </w:r>
    </w:p>
    <w:p w:rsidR="00691DA8" w:rsidRDefault="00691DA8" w:rsidP="00691DA8">
      <w:r>
        <w:t>For this Decision RIS, the CBA has focussed on producing an estimate of the change in compliance costs and the risk of adverse health effects associated with each of the options. These have been estimated for the base case (Option 1: Status quo) and for each of the alternative options for blood lead levels (Options 2 and 3) and workplace exposure standard (Options 2, 3 and 4). The quantification of compliance costs has focussed on areas of difference between the options. The analysis of health impacts has focussed on how the proposed options may contribute to either an increase or a decrease in health costs associated with occupational lead exposure.</w:t>
      </w:r>
    </w:p>
    <w:p w:rsidR="00691DA8" w:rsidRPr="004C4DEF" w:rsidRDefault="00691DA8" w:rsidP="00E77182">
      <w:pPr>
        <w:pStyle w:val="Heading3"/>
      </w:pPr>
      <w:r w:rsidRPr="004C4DEF">
        <w:t>Key sources of evidence for the analysis</w:t>
      </w:r>
    </w:p>
    <w:p w:rsidR="00691DA8" w:rsidRDefault="00691DA8" w:rsidP="00691DA8">
      <w:r>
        <w:t>The analysis in this chapter incorporates information provided in the responses to the Consultation RIS, follow-up consultations with affected businesses, information provided by health agencies about occupational lead exposure and other desktop research.</w:t>
      </w:r>
    </w:p>
    <w:p w:rsidR="00691DA8" w:rsidRDefault="00691DA8" w:rsidP="00E77182">
      <w:pPr>
        <w:pStyle w:val="Heading4"/>
      </w:pPr>
      <w:r>
        <w:t>Responses to the Consultation RIS</w:t>
      </w:r>
    </w:p>
    <w:p w:rsidR="00691DA8" w:rsidRDefault="00691DA8" w:rsidP="00417EBC">
      <w:r>
        <w:t xml:space="preserve">A total of 30 submissions were provided in response to Safe Work Australia’s Consultation RIS. These submissions were provided by a combination of businesses conducting lead-risk work, occupational hygienists, unions, government agencies and regulators. A summary of these consultations is set out in Chapter </w:t>
      </w:r>
      <w:r w:rsidR="00180CA0">
        <w:t>6</w:t>
      </w:r>
      <w:r>
        <w:t xml:space="preserve"> of this document. Directed follow up interviews were conducted with a number of the businesses that provided submissions. These </w:t>
      </w:r>
      <w:r w:rsidR="00417EBC">
        <w:t>interviews</w:t>
      </w:r>
      <w:r>
        <w:t xml:space="preserve"> confirm</w:t>
      </w:r>
      <w:r w:rsidR="00417EBC">
        <w:t>ed</w:t>
      </w:r>
      <w:r>
        <w:t xml:space="preserve"> </w:t>
      </w:r>
      <w:r w:rsidR="00417EBC">
        <w:t xml:space="preserve">and clarified </w:t>
      </w:r>
      <w:r>
        <w:t xml:space="preserve">the information provided in </w:t>
      </w:r>
      <w:r w:rsidR="00027827">
        <w:t xml:space="preserve">submissions, and collected </w:t>
      </w:r>
      <w:r>
        <w:t>additional information to assist with quantifying the costs and benefits of the proposed options.</w:t>
      </w:r>
    </w:p>
    <w:p w:rsidR="00691DA8" w:rsidRDefault="00691DA8" w:rsidP="00E77182">
      <w:pPr>
        <w:pStyle w:val="Heading4"/>
      </w:pPr>
      <w:r>
        <w:t>Data from health agencies</w:t>
      </w:r>
    </w:p>
    <w:p w:rsidR="00691DA8" w:rsidRDefault="00691DA8" w:rsidP="00691DA8">
      <w:r>
        <w:t>Blood lead biological monitoring data was requested from health agencies in jurisdictions that collect this data. In the time available, Western Australia, Victoria, Queensland and New South Wales’ Health Departments provided useful data sets to inform the analysis in this RIS:</w:t>
      </w:r>
    </w:p>
    <w:p w:rsidR="00691DA8" w:rsidRDefault="00691DA8" w:rsidP="00263482">
      <w:pPr>
        <w:pStyle w:val="ListParagraph"/>
        <w:numPr>
          <w:ilvl w:val="0"/>
          <w:numId w:val="58"/>
        </w:numPr>
      </w:pPr>
      <w:r>
        <w:t>The Western Australian data contains approximately 6,700 blood lead test results from 2,500 workers from 2005 to 2016. The Western Australian data includes a unique ‘identifier’, which has allowed us to measure changes in blood lead levels of individuals between tests.</w:t>
      </w:r>
    </w:p>
    <w:p w:rsidR="00691DA8" w:rsidRDefault="00691DA8" w:rsidP="00263482">
      <w:pPr>
        <w:pStyle w:val="ListParagraph"/>
        <w:numPr>
          <w:ilvl w:val="0"/>
          <w:numId w:val="58"/>
        </w:numPr>
      </w:pPr>
      <w:r>
        <w:t xml:space="preserve">The Victorian data contains approximately 5,500 blood lead test results from 1,300 workers from 2010 to 2015. The Victorian data also includes a unique identifier, which has allowed us to measure changes in blood lead levels of individuals between tests. </w:t>
      </w:r>
    </w:p>
    <w:p w:rsidR="00691DA8" w:rsidRDefault="00691DA8" w:rsidP="00263482">
      <w:pPr>
        <w:pStyle w:val="ListParagraph"/>
        <w:numPr>
          <w:ilvl w:val="0"/>
          <w:numId w:val="58"/>
        </w:numPr>
      </w:pPr>
      <w:r>
        <w:t xml:space="preserve">The Queensland data contains approximately 4,300 blood lead test results from approximately another 1,500 workers, including 880 unique workers in 2015.  Around 80% of the Queensland data relates to the lead mining and smelting operations in and around Mount Isa. </w:t>
      </w:r>
    </w:p>
    <w:p w:rsidR="00691DA8" w:rsidRDefault="00691DA8" w:rsidP="00263482">
      <w:pPr>
        <w:pStyle w:val="ListParagraph"/>
        <w:numPr>
          <w:ilvl w:val="0"/>
          <w:numId w:val="58"/>
        </w:numPr>
      </w:pPr>
      <w:r>
        <w:t>The New South Wales data contains approximately 8,700 blood lead level test results from approximately 3,000 workers from 2010 to 2016. This includes 814 unique workers in 2015.</w:t>
      </w:r>
    </w:p>
    <w:p w:rsidR="00691DA8" w:rsidRDefault="00691DA8" w:rsidP="00691DA8">
      <w:r>
        <w:t>The Western Australian data includes all workers’ tests results. However, the Victorian, Queensland and New South Wales data only contained tests where the blood lead level was greater than 10 μg/dL (test results below this level are not recorded).</w:t>
      </w:r>
    </w:p>
    <w:p w:rsidR="00C00401" w:rsidRPr="00E1669E" w:rsidRDefault="00C00401" w:rsidP="00E77182">
      <w:pPr>
        <w:pStyle w:val="Heading4"/>
      </w:pPr>
      <w:r w:rsidRPr="00C00401">
        <w:t>Data from worker</w:t>
      </w:r>
      <w:r w:rsidRPr="00E1669E">
        <w:t>’s compensation claims</w:t>
      </w:r>
    </w:p>
    <w:p w:rsidR="00C00401" w:rsidRDefault="00E1669E" w:rsidP="004C4DEF">
      <w:pPr>
        <w:rPr>
          <w:b/>
        </w:rPr>
      </w:pPr>
      <w:r>
        <w:t xml:space="preserve">Worker’s compensation data from the Safe Work Australia National Data Set for Compensation-based Statistics (NDS) was sourced to inform the cost (and savings) of worker’s compensation claims due to exposure to lead (outlined in </w:t>
      </w:r>
      <w:r>
        <w:fldChar w:fldCharType="begin"/>
      </w:r>
      <w:r>
        <w:instrText xml:space="preserve"> REF _Ref456770726 \h </w:instrText>
      </w:r>
      <w:r>
        <w:fldChar w:fldCharType="separate"/>
      </w:r>
      <w:r w:rsidR="00052CE1">
        <w:t xml:space="preserve">Table </w:t>
      </w:r>
      <w:r w:rsidR="00052CE1">
        <w:rPr>
          <w:noProof/>
        </w:rPr>
        <w:t>3</w:t>
      </w:r>
      <w:r>
        <w:fldChar w:fldCharType="end"/>
      </w:r>
      <w:r>
        <w:t xml:space="preserve">). </w:t>
      </w:r>
    </w:p>
    <w:p w:rsidR="00691DA8" w:rsidRPr="004C4DEF" w:rsidRDefault="00691DA8" w:rsidP="00E77182">
      <w:pPr>
        <w:pStyle w:val="Heading3"/>
      </w:pPr>
      <w:r w:rsidRPr="004C4DEF">
        <w:t>Analytical approach</w:t>
      </w:r>
    </w:p>
    <w:p w:rsidR="00691DA8" w:rsidRDefault="00691DA8" w:rsidP="00691DA8">
      <w:r>
        <w:t xml:space="preserve">The benefits and costs of the proposed changes to blood lead levels and workplace exposure standards have been assessed separately. The interactions between these are discussed at the end of this chapter. </w:t>
      </w:r>
    </w:p>
    <w:p w:rsidR="00180CA0" w:rsidRDefault="00180CA0" w:rsidP="00691DA8">
      <w:r>
        <w:t>The analysis combines bot the information received during public comment and the direct consultation with key stakeholders with the data collected from jurisdictional health departments.</w:t>
      </w:r>
    </w:p>
    <w:p w:rsidR="00691DA8" w:rsidRDefault="00691DA8" w:rsidP="00E77182">
      <w:pPr>
        <w:pStyle w:val="Heading4"/>
      </w:pPr>
      <w:r>
        <w:t>Changes to blood lead levels</w:t>
      </w:r>
    </w:p>
    <w:p w:rsidR="00691DA8" w:rsidRDefault="00691DA8" w:rsidP="00691DA8">
      <w:r>
        <w:t>The analysis of the costs and benefits of the proposed options for blood lead levels has focussed on the additional compliance costs and health benefits of the proposed changes. The compliance costs that businesses incur have been identified based on the information provided in submissions and in follow-up consultations. They include:</w:t>
      </w:r>
    </w:p>
    <w:p w:rsidR="00691DA8" w:rsidRDefault="00691DA8" w:rsidP="00263482">
      <w:pPr>
        <w:pStyle w:val="ListParagraph"/>
        <w:numPr>
          <w:ilvl w:val="0"/>
          <w:numId w:val="45"/>
        </w:numPr>
      </w:pPr>
      <w:r>
        <w:t>increasing the frequency of worker’s blood lead level testing</w:t>
      </w:r>
    </w:p>
    <w:p w:rsidR="00691DA8" w:rsidRDefault="00691DA8" w:rsidP="00263482">
      <w:pPr>
        <w:pStyle w:val="ListParagraph"/>
        <w:numPr>
          <w:ilvl w:val="0"/>
          <w:numId w:val="45"/>
        </w:numPr>
      </w:pPr>
      <w:r>
        <w:t>increased administration and reporting costs (e.g. reporting test results to government)</w:t>
      </w:r>
    </w:p>
    <w:p w:rsidR="00691DA8" w:rsidRDefault="00691DA8" w:rsidP="00263482">
      <w:pPr>
        <w:pStyle w:val="ListParagraph"/>
        <w:numPr>
          <w:ilvl w:val="0"/>
          <w:numId w:val="45"/>
        </w:numPr>
      </w:pPr>
      <w:r>
        <w:t xml:space="preserve">removing workers who exceed the blood lead level thresholds </w:t>
      </w:r>
    </w:p>
    <w:p w:rsidR="00691DA8" w:rsidRDefault="00691DA8" w:rsidP="00263482">
      <w:pPr>
        <w:pStyle w:val="ListParagraph"/>
        <w:numPr>
          <w:ilvl w:val="0"/>
          <w:numId w:val="45"/>
        </w:numPr>
      </w:pPr>
      <w:r>
        <w:t>implementing additional lead controls, and</w:t>
      </w:r>
    </w:p>
    <w:p w:rsidR="00691DA8" w:rsidRDefault="00691DA8" w:rsidP="00263482">
      <w:pPr>
        <w:pStyle w:val="ListParagraph"/>
        <w:numPr>
          <w:ilvl w:val="0"/>
          <w:numId w:val="45"/>
        </w:numPr>
      </w:pPr>
      <w:r>
        <w:t>the time taken to review control measures.</w:t>
      </w:r>
    </w:p>
    <w:p w:rsidR="00691DA8" w:rsidRDefault="00691DA8" w:rsidP="00691DA8">
      <w:r>
        <w:t>The blood lead test results provided by Western Australia, Victoria, Queensland and New South Wales</w:t>
      </w:r>
      <w:r w:rsidDel="00290B4B">
        <w:t xml:space="preserve"> </w:t>
      </w:r>
      <w:r>
        <w:t>provide a strong set of data to estimate the increase in the frequency of testing and the likely number of workers that would need to be removed from lead-risk work if Options 2 or 3 were implemented. However, there is less certainty about the cost of the changes that businesses would need to make to become compliant with the proposed options. This is discussed in detail later in the chapter.</w:t>
      </w:r>
    </w:p>
    <w:p w:rsidR="00691DA8" w:rsidRDefault="00691DA8" w:rsidP="00691DA8">
      <w:r>
        <w:t>In addition, it is expected there would be an increase in costs related to the compliance activities of work health and safety regulators, whose role it would be to ensure employers comply with the new requirements.</w:t>
      </w:r>
    </w:p>
    <w:p w:rsidR="00691DA8" w:rsidRDefault="00691DA8" w:rsidP="00691DA8">
      <w:r>
        <w:t>The principal benefit from the proposed changes to the model WHS Regulations would be a reduction in the blood lead levels of lead-risk workers, which is expected to lead to benefits for workers through reduced incidence of the following adverse health conditions:</w:t>
      </w:r>
    </w:p>
    <w:p w:rsidR="00691DA8" w:rsidRDefault="00691DA8" w:rsidP="00263482">
      <w:pPr>
        <w:pStyle w:val="ListParagraph"/>
        <w:numPr>
          <w:ilvl w:val="0"/>
          <w:numId w:val="46"/>
        </w:numPr>
        <w:sectPr w:rsidR="00691DA8" w:rsidSect="00B70DBB">
          <w:headerReference w:type="default" r:id="rId26"/>
          <w:footerReference w:type="default" r:id="rId27"/>
          <w:headerReference w:type="first" r:id="rId28"/>
          <w:footerReference w:type="first" r:id="rId29"/>
          <w:type w:val="continuous"/>
          <w:pgSz w:w="11906" w:h="16838"/>
          <w:pgMar w:top="1440" w:right="1080" w:bottom="1440" w:left="1418" w:header="708" w:footer="708" w:gutter="0"/>
          <w:cols w:space="708"/>
          <w:titlePg/>
          <w:docGrid w:linePitch="360"/>
        </w:sectPr>
      </w:pPr>
    </w:p>
    <w:p w:rsidR="00691DA8" w:rsidRDefault="00691DA8" w:rsidP="00263482">
      <w:pPr>
        <w:pStyle w:val="ListParagraph"/>
        <w:numPr>
          <w:ilvl w:val="0"/>
          <w:numId w:val="46"/>
        </w:numPr>
      </w:pPr>
      <w:r>
        <w:t>cancer</w:t>
      </w:r>
    </w:p>
    <w:p w:rsidR="00691DA8" w:rsidRDefault="00691DA8" w:rsidP="00263482">
      <w:pPr>
        <w:pStyle w:val="ListParagraph"/>
        <w:numPr>
          <w:ilvl w:val="0"/>
          <w:numId w:val="46"/>
        </w:numPr>
      </w:pPr>
      <w:r>
        <w:t>effects on the nervous system</w:t>
      </w:r>
    </w:p>
    <w:p w:rsidR="00691DA8" w:rsidRDefault="00691DA8" w:rsidP="00263482">
      <w:pPr>
        <w:pStyle w:val="ListParagraph"/>
        <w:numPr>
          <w:ilvl w:val="0"/>
          <w:numId w:val="46"/>
        </w:numPr>
      </w:pPr>
      <w:r>
        <w:t>increased blood pressure</w:t>
      </w:r>
    </w:p>
    <w:p w:rsidR="00691DA8" w:rsidRDefault="00691DA8" w:rsidP="00263482">
      <w:pPr>
        <w:pStyle w:val="ListParagraph"/>
        <w:numPr>
          <w:ilvl w:val="0"/>
          <w:numId w:val="46"/>
        </w:numPr>
      </w:pPr>
      <w:r>
        <w:t>heart rate variability</w:t>
      </w:r>
    </w:p>
    <w:p w:rsidR="00691DA8" w:rsidRDefault="00691DA8" w:rsidP="00263482">
      <w:pPr>
        <w:pStyle w:val="ListParagraph"/>
        <w:numPr>
          <w:ilvl w:val="0"/>
          <w:numId w:val="46"/>
        </w:numPr>
      </w:pPr>
      <w:r>
        <w:t>kidney dysfunction</w:t>
      </w:r>
    </w:p>
    <w:p w:rsidR="00691DA8" w:rsidRDefault="00691DA8" w:rsidP="00263482">
      <w:pPr>
        <w:pStyle w:val="ListParagraph"/>
        <w:numPr>
          <w:ilvl w:val="0"/>
          <w:numId w:val="46"/>
        </w:numPr>
      </w:pPr>
      <w:r>
        <w:t>change in immune system markers</w:t>
      </w:r>
    </w:p>
    <w:p w:rsidR="00691DA8" w:rsidRDefault="00691DA8" w:rsidP="00263482">
      <w:pPr>
        <w:pStyle w:val="ListParagraph"/>
        <w:numPr>
          <w:ilvl w:val="0"/>
          <w:numId w:val="46"/>
        </w:numPr>
      </w:pPr>
      <w:r>
        <w:t>low sperm quality</w:t>
      </w:r>
    </w:p>
    <w:p w:rsidR="00691DA8" w:rsidRDefault="00691DA8" w:rsidP="00263482">
      <w:pPr>
        <w:pStyle w:val="ListParagraph"/>
        <w:numPr>
          <w:ilvl w:val="0"/>
          <w:numId w:val="46"/>
        </w:numPr>
      </w:pPr>
      <w:r>
        <w:t>haematological effects</w:t>
      </w:r>
    </w:p>
    <w:p w:rsidR="00691DA8" w:rsidRDefault="00691DA8" w:rsidP="00263482">
      <w:pPr>
        <w:pStyle w:val="ListParagraph"/>
        <w:numPr>
          <w:ilvl w:val="0"/>
          <w:numId w:val="46"/>
        </w:numPr>
      </w:pPr>
      <w:r>
        <w:t>neurobehavioral symptoms (cognitive defects, peripheral neuropathy), and</w:t>
      </w:r>
    </w:p>
    <w:p w:rsidR="00691DA8" w:rsidRDefault="00691DA8" w:rsidP="00263482">
      <w:pPr>
        <w:pStyle w:val="ListParagraph"/>
        <w:numPr>
          <w:ilvl w:val="0"/>
          <w:numId w:val="46"/>
        </w:numPr>
      </w:pPr>
      <w:r>
        <w:t xml:space="preserve">changes in thyroid and reproductive hormone levels. </w:t>
      </w:r>
    </w:p>
    <w:p w:rsidR="00691DA8" w:rsidRDefault="00691DA8" w:rsidP="00691DA8">
      <w:pPr>
        <w:sectPr w:rsidR="00691DA8" w:rsidSect="006B763B">
          <w:type w:val="continuous"/>
          <w:pgSz w:w="11906" w:h="16838"/>
          <w:pgMar w:top="1440" w:right="1080" w:bottom="1440" w:left="1418" w:header="708" w:footer="708" w:gutter="0"/>
          <w:cols w:num="2" w:space="230"/>
          <w:titlePg/>
          <w:docGrid w:linePitch="360"/>
        </w:sectPr>
      </w:pPr>
    </w:p>
    <w:p w:rsidR="00691DA8" w:rsidRDefault="00691DA8" w:rsidP="00691DA8">
      <w:r>
        <w:t xml:space="preserve">Lead risk workers bear many of the costs associated with these adverse health conditions. However, there can also be flow on effects to the workers families and the community. </w:t>
      </w:r>
    </w:p>
    <w:p w:rsidR="00691DA8" w:rsidRDefault="00691DA8" w:rsidP="00691DA8">
      <w:r>
        <w:t>There are also many examples where the presence of lead process work has resulted in contamination in the surrounding environment. Efforts to reduce worker’s blood lead levels may have a secondary effect of reducing this type of contamination in the future.</w:t>
      </w:r>
    </w:p>
    <w:p w:rsidR="00691DA8" w:rsidRDefault="00691DA8" w:rsidP="00691DA8">
      <w:r>
        <w:t xml:space="preserve">The CBA has primarily considered the economic benefits that would follow from a reduction in the incidence of lead-related diseases and illnesses. This includes reductions in financial costs such as health system expenditure, increased productivity, transfer costs and non-financial costs (e.g. ‘burden of disease’). The CBA has built on the SWA Report (2014b), to quantify and then monetise (estimate the dollar value of) the benefits of reducing workers blood lead levels. However, due to variations in the availability of data on the links between high blood lead levels and the conditions listed above, the analysis has focussed on quantifying the impacts of reductions in only four conditions: </w:t>
      </w:r>
    </w:p>
    <w:p w:rsidR="00691DA8" w:rsidRDefault="00691DA8" w:rsidP="00263482">
      <w:pPr>
        <w:pStyle w:val="ListParagraph"/>
        <w:numPr>
          <w:ilvl w:val="0"/>
          <w:numId w:val="59"/>
        </w:numPr>
        <w:sectPr w:rsidR="00691DA8" w:rsidSect="00B70DBB">
          <w:type w:val="continuous"/>
          <w:pgSz w:w="11906" w:h="16838"/>
          <w:pgMar w:top="1440" w:right="1080" w:bottom="1440" w:left="1418" w:header="708" w:footer="708" w:gutter="0"/>
          <w:cols w:space="708"/>
          <w:titlePg/>
          <w:docGrid w:linePitch="360"/>
        </w:sectPr>
      </w:pPr>
    </w:p>
    <w:p w:rsidR="00691DA8" w:rsidRDefault="00691DA8" w:rsidP="00263482">
      <w:pPr>
        <w:pStyle w:val="ListParagraph"/>
        <w:numPr>
          <w:ilvl w:val="0"/>
          <w:numId w:val="59"/>
        </w:numPr>
      </w:pPr>
      <w:r>
        <w:t>liver cancer</w:t>
      </w:r>
    </w:p>
    <w:p w:rsidR="00691DA8" w:rsidRDefault="00691DA8" w:rsidP="00263482">
      <w:pPr>
        <w:pStyle w:val="ListParagraph"/>
        <w:numPr>
          <w:ilvl w:val="0"/>
          <w:numId w:val="59"/>
        </w:numPr>
      </w:pPr>
      <w:r>
        <w:t>oesophageal cancer</w:t>
      </w:r>
    </w:p>
    <w:p w:rsidR="00691DA8" w:rsidRDefault="00691DA8" w:rsidP="00263482">
      <w:pPr>
        <w:pStyle w:val="ListParagraph"/>
        <w:numPr>
          <w:ilvl w:val="0"/>
          <w:numId w:val="59"/>
        </w:numPr>
      </w:pPr>
      <w:r>
        <w:t xml:space="preserve">stroke, and </w:t>
      </w:r>
    </w:p>
    <w:p w:rsidR="00691DA8" w:rsidRDefault="00691DA8" w:rsidP="00263482">
      <w:pPr>
        <w:pStyle w:val="ListParagraph"/>
        <w:numPr>
          <w:ilvl w:val="0"/>
          <w:numId w:val="59"/>
        </w:numPr>
      </w:pPr>
      <w:r>
        <w:t xml:space="preserve">ischemic heart disease. </w:t>
      </w:r>
    </w:p>
    <w:p w:rsidR="00691DA8" w:rsidRDefault="00691DA8" w:rsidP="00691DA8">
      <w:pPr>
        <w:sectPr w:rsidR="00691DA8" w:rsidSect="006B763B">
          <w:type w:val="continuous"/>
          <w:pgSz w:w="11906" w:h="16838"/>
          <w:pgMar w:top="1440" w:right="1080" w:bottom="1440" w:left="1418" w:header="708" w:footer="708" w:gutter="0"/>
          <w:cols w:num="2" w:space="708"/>
          <w:titlePg/>
          <w:docGrid w:linePitch="360"/>
        </w:sectPr>
      </w:pPr>
    </w:p>
    <w:p w:rsidR="00691DA8" w:rsidRDefault="00691DA8" w:rsidP="00691DA8">
      <w:r>
        <w:t xml:space="preserve">Analysis of these four lead-related </w:t>
      </w:r>
      <w:r w:rsidR="006B4FA3">
        <w:t>conditions</w:t>
      </w:r>
      <w:r>
        <w:t xml:space="preserve"> provides a good indication of the minimum quantum of benefits from reducing occupational lead exposure and a good basis to quantitatively compare the benefits of the proposed options with their costs. The other health benefits of reducing blood lead levels are discussed qualitatively.</w:t>
      </w:r>
    </w:p>
    <w:p w:rsidR="00691DA8" w:rsidRDefault="00691DA8" w:rsidP="00E77182">
      <w:pPr>
        <w:pStyle w:val="Heading4"/>
      </w:pPr>
      <w:r>
        <w:t>Changes to workplace exposure standard</w:t>
      </w:r>
    </w:p>
    <w:p w:rsidR="00691DA8" w:rsidRDefault="00691DA8" w:rsidP="00691DA8">
      <w:r>
        <w:t xml:space="preserve">The analysis of the proposed changes to the WES has followed the same process as outlined above. The additional compliance costs for businesses that would be associated with the proposed options have been quantified based on information provided by lead businesses. </w:t>
      </w:r>
    </w:p>
    <w:p w:rsidR="00691DA8" w:rsidRDefault="00691DA8" w:rsidP="00691DA8">
      <w:r>
        <w:t>The concentration of airborne lead contaminants (dusts and fumes) is an indirect indicator of the potential for adverse health impacts (i.e. if it subsequently enters a worker’s body). Modelling undertaken in the SWA Report (2014b) and evidence published by other international agencies indicates there is a correlation between the concentration of lead contaminants in the air and blood lead levels when inhalation is the primary source of exposure.</w:t>
      </w:r>
    </w:p>
    <w:p w:rsidR="00691DA8" w:rsidRDefault="00691DA8" w:rsidP="00691DA8">
      <w:r>
        <w:t xml:space="preserve">Therefore, there is an interaction between the benefits of any reduction to blood lead level thresholds and the WES for dusts and fumes of inorganic lead. This may result in double-counting some health benefits. </w:t>
      </w:r>
    </w:p>
    <w:p w:rsidR="00691DA8" w:rsidRDefault="00691DA8" w:rsidP="00691DA8">
      <w:r>
        <w:t xml:space="preserve">Therefore, the additional health benefits resulting from a reduction in the WES for lead contaminants has been assessed qualitatively, focussing on the interaction with blood lead levels. </w:t>
      </w:r>
    </w:p>
    <w:p w:rsidR="00691DA8" w:rsidRDefault="00691DA8" w:rsidP="00691DA8">
      <w:r>
        <w:t>Sensitivity testing of the overall results has also been conducted, which includes a proportional increase in the costs directly associated with undertaking air monitoring.</w:t>
      </w:r>
    </w:p>
    <w:p w:rsidR="00691DA8" w:rsidRPr="00313AAD" w:rsidRDefault="00691DA8" w:rsidP="00263482">
      <w:pPr>
        <w:pStyle w:val="Heading2"/>
        <w:ind w:left="426"/>
      </w:pPr>
      <w:bookmarkStart w:id="95" w:name="_Toc459276915"/>
      <w:r w:rsidRPr="00313AAD">
        <w:t>Key assumptions used in the analysis</w:t>
      </w:r>
      <w:bookmarkEnd w:id="95"/>
    </w:p>
    <w:p w:rsidR="00691DA8" w:rsidRDefault="00691DA8" w:rsidP="00691DA8">
      <w:r>
        <w:t>Additional information collected for the CBA has been used to update some of the assumptions presented in the Consultation RIS, these relate to the size of the industry, the costs associated with compliance and the health costs associated with occupational lead exposure.</w:t>
      </w:r>
    </w:p>
    <w:p w:rsidR="00691DA8" w:rsidRPr="004C4DEF" w:rsidRDefault="00691DA8" w:rsidP="00E77182">
      <w:pPr>
        <w:pStyle w:val="Heading3"/>
      </w:pPr>
      <w:r w:rsidRPr="004C4DEF">
        <w:t>Size of the industry</w:t>
      </w:r>
    </w:p>
    <w:p w:rsidR="00691DA8" w:rsidRDefault="00691DA8" w:rsidP="00691DA8">
      <w:r>
        <w:t>The Consultation RIS included estimates of the total number of workers undertaking lead risk work, based on the current definition in the model WHS Regulations. The estimates were provided by WHS Regulators in some states and territories, based on the number of notifications of lead risk work they had received. This data was then extrapolated to provide an estimate of the total number of workers undertaking lead risk work in Australia.</w:t>
      </w:r>
      <w:r w:rsidR="00C53753">
        <w:t xml:space="preserve"> This came to a total of 1,676</w:t>
      </w:r>
      <w:r w:rsidR="001067DD">
        <w:t> </w:t>
      </w:r>
      <w:r w:rsidR="00C53753">
        <w:t>workers.</w:t>
      </w:r>
    </w:p>
    <w:p w:rsidR="00691DA8" w:rsidRPr="00C861FE" w:rsidRDefault="00691DA8" w:rsidP="00691DA8">
      <w:r>
        <w:t>Submissions to the Consultation RIS and additional data from health agencies</w:t>
      </w:r>
      <w:r w:rsidR="00C53753">
        <w:t xml:space="preserve"> (which was available for four states)</w:t>
      </w:r>
      <w:r>
        <w:t xml:space="preserve"> shows that there is a much larger number of workers who are exposed to some level of lead in the workplace</w:t>
      </w:r>
      <w:r w:rsidR="004F3F1F">
        <w:t xml:space="preserve"> than those estimated in the Consultation RIS</w:t>
      </w:r>
      <w:r>
        <w:t>, even though not all of these workers are considered to be undertaking ‘lead risk work’ under the current definition, but whose blood lead levels are regularly tested. This is a more relevant population for measuring the impacts of the proposed regulatory changes</w:t>
      </w:r>
      <w:r w:rsidR="0048664C">
        <w:t xml:space="preserve"> </w:t>
      </w:r>
      <w:r w:rsidR="004F3F1F">
        <w:t xml:space="preserve"> and appeared consistent with the numbers of lead risk workers outlined in public comment submissions</w:t>
      </w:r>
      <w:r>
        <w:t>.</w:t>
      </w:r>
      <w:r w:rsidR="00C53753">
        <w:t xml:space="preserve"> Using this updated definition, the total size of the </w:t>
      </w:r>
      <w:r w:rsidR="00C53753" w:rsidRPr="00C61073">
        <w:t>Australia’s lead-risk workforce</w:t>
      </w:r>
      <w:r w:rsidR="00C53753">
        <w:t xml:space="preserve"> has been estimated at </w:t>
      </w:r>
      <w:r w:rsidR="00C53753" w:rsidRPr="004B21CE">
        <w:t>9,893</w:t>
      </w:r>
      <w:r w:rsidR="00C53753">
        <w:t xml:space="preserve"> workers. The calculation of this figure is set out in </w:t>
      </w:r>
      <w:r w:rsidR="00C53753">
        <w:fldChar w:fldCharType="begin"/>
      </w:r>
      <w:r w:rsidR="00C53753">
        <w:instrText xml:space="preserve"> REF _Ref456770812 \h </w:instrText>
      </w:r>
      <w:r w:rsidR="00C53753">
        <w:fldChar w:fldCharType="separate"/>
      </w:r>
      <w:r w:rsidR="00052CE1">
        <w:t xml:space="preserve">Table </w:t>
      </w:r>
      <w:r w:rsidR="00052CE1">
        <w:rPr>
          <w:noProof/>
        </w:rPr>
        <w:t>7</w:t>
      </w:r>
      <w:r w:rsidR="00C53753">
        <w:fldChar w:fldCharType="end"/>
      </w:r>
      <w:r w:rsidR="00C53753">
        <w:t>.</w:t>
      </w:r>
    </w:p>
    <w:p w:rsidR="00691DA8" w:rsidRDefault="00691DA8" w:rsidP="00691DA8">
      <w:pPr>
        <w:pStyle w:val="TableHeadingText"/>
      </w:pPr>
      <w:bookmarkStart w:id="96" w:name="_Ref456770812"/>
      <w:r>
        <w:t xml:space="preserve">Table </w:t>
      </w:r>
      <w:r w:rsidR="00CB69C0">
        <w:fldChar w:fldCharType="begin"/>
      </w:r>
      <w:r w:rsidR="00CB69C0">
        <w:instrText xml:space="preserve"> SEQ Table \* ARABIC </w:instrText>
      </w:r>
      <w:r w:rsidR="00CB69C0">
        <w:fldChar w:fldCharType="separate"/>
      </w:r>
      <w:r w:rsidR="00052CE1">
        <w:rPr>
          <w:noProof/>
        </w:rPr>
        <w:t>7</w:t>
      </w:r>
      <w:r w:rsidR="00CB69C0">
        <w:rPr>
          <w:noProof/>
        </w:rPr>
        <w:fldChar w:fldCharType="end"/>
      </w:r>
      <w:bookmarkEnd w:id="96"/>
      <w:r>
        <w:t xml:space="preserve">. </w:t>
      </w:r>
      <w:r w:rsidRPr="00263C91">
        <w:rPr>
          <w:b w:val="0"/>
        </w:rPr>
        <w:t>Updated estimate of the size of Australia’s lead-risk workforce</w:t>
      </w:r>
    </w:p>
    <w:tbl>
      <w:tblPr>
        <w:tblW w:w="5000" w:type="pct"/>
        <w:tblLayout w:type="fixed"/>
        <w:tblLook w:val="04A0" w:firstRow="1" w:lastRow="0" w:firstColumn="1" w:lastColumn="0" w:noHBand="0" w:noVBand="1"/>
      </w:tblPr>
      <w:tblGrid>
        <w:gridCol w:w="2266"/>
        <w:gridCol w:w="1473"/>
        <w:gridCol w:w="1472"/>
        <w:gridCol w:w="1474"/>
        <w:gridCol w:w="1472"/>
        <w:gridCol w:w="1467"/>
      </w:tblGrid>
      <w:tr w:rsidR="00B31477" w:rsidRPr="00A03AE6" w:rsidTr="000D0502">
        <w:trPr>
          <w:trHeight w:val="1170"/>
          <w:tblHeader/>
        </w:trPr>
        <w:tc>
          <w:tcPr>
            <w:tcW w:w="1177" w:type="pct"/>
            <w:vMerge w:val="restart"/>
            <w:tcBorders>
              <w:top w:val="single" w:sz="8" w:space="0" w:color="auto"/>
              <w:left w:val="single" w:sz="8" w:space="0" w:color="auto"/>
              <w:right w:val="single" w:sz="8" w:space="0" w:color="auto"/>
            </w:tcBorders>
            <w:shd w:val="clear" w:color="000000" w:fill="BFBFBF"/>
            <w:vAlign w:val="center"/>
            <w:hideMark/>
          </w:tcPr>
          <w:p w:rsidR="00B31477" w:rsidRPr="00A03AE6" w:rsidRDefault="00B31477" w:rsidP="00B31477">
            <w:pPr>
              <w:spacing w:after="0"/>
              <w:jc w:val="center"/>
              <w:rPr>
                <w:rFonts w:asciiTheme="majorHAnsi" w:eastAsia="Times New Roman" w:hAnsiTheme="majorHAnsi" w:cstheme="majorHAnsi"/>
                <w:b/>
                <w:bCs/>
                <w:sz w:val="20"/>
                <w:szCs w:val="20"/>
                <w:lang w:eastAsia="en-AU"/>
              </w:rPr>
            </w:pPr>
            <w:r w:rsidRPr="00A03AE6">
              <w:rPr>
                <w:rFonts w:asciiTheme="majorHAnsi" w:eastAsia="Times New Roman" w:hAnsiTheme="majorHAnsi" w:cstheme="majorHAnsi"/>
                <w:b/>
                <w:bCs/>
                <w:sz w:val="20"/>
                <w:szCs w:val="20"/>
                <w:lang w:eastAsia="en-AU"/>
              </w:rPr>
              <w:t>Jurisdiction</w:t>
            </w:r>
          </w:p>
        </w:tc>
        <w:tc>
          <w:tcPr>
            <w:tcW w:w="765" w:type="pct"/>
            <w:tcBorders>
              <w:top w:val="single" w:sz="8" w:space="0" w:color="auto"/>
              <w:left w:val="nil"/>
              <w:bottom w:val="single" w:sz="8" w:space="0" w:color="auto"/>
              <w:right w:val="single" w:sz="8" w:space="0" w:color="auto"/>
            </w:tcBorders>
            <w:shd w:val="clear" w:color="000000" w:fill="BFBFBF"/>
            <w:vAlign w:val="center"/>
            <w:hideMark/>
          </w:tcPr>
          <w:p w:rsidR="00B31477" w:rsidRPr="00A03AE6" w:rsidRDefault="00B31477" w:rsidP="00B31477">
            <w:pPr>
              <w:spacing w:after="0"/>
              <w:jc w:val="center"/>
              <w:rPr>
                <w:rFonts w:asciiTheme="majorHAnsi" w:eastAsia="Times New Roman" w:hAnsiTheme="majorHAnsi" w:cstheme="majorHAnsi"/>
                <w:b/>
                <w:bCs/>
                <w:sz w:val="20"/>
                <w:szCs w:val="20"/>
                <w:lang w:eastAsia="en-AU"/>
              </w:rPr>
            </w:pPr>
            <w:r w:rsidRPr="00A03AE6">
              <w:rPr>
                <w:rFonts w:asciiTheme="majorHAnsi" w:eastAsia="Times New Roman" w:hAnsiTheme="majorHAnsi" w:cstheme="majorHAnsi"/>
                <w:b/>
                <w:bCs/>
                <w:sz w:val="20"/>
                <w:szCs w:val="20"/>
                <w:lang w:eastAsia="en-AU"/>
              </w:rPr>
              <w:t>Workers undertaking lead risk work</w:t>
            </w:r>
          </w:p>
        </w:tc>
        <w:tc>
          <w:tcPr>
            <w:tcW w:w="765" w:type="pct"/>
            <w:tcBorders>
              <w:top w:val="single" w:sz="8" w:space="0" w:color="auto"/>
              <w:left w:val="nil"/>
              <w:bottom w:val="single" w:sz="8" w:space="0" w:color="auto"/>
              <w:right w:val="single" w:sz="8" w:space="0" w:color="auto"/>
            </w:tcBorders>
            <w:shd w:val="clear" w:color="000000" w:fill="BFBFBF"/>
            <w:vAlign w:val="center"/>
            <w:hideMark/>
          </w:tcPr>
          <w:p w:rsidR="00B31477" w:rsidRPr="00A03AE6" w:rsidRDefault="00B31477" w:rsidP="00B31477">
            <w:pPr>
              <w:spacing w:after="0"/>
              <w:jc w:val="center"/>
              <w:rPr>
                <w:rFonts w:asciiTheme="majorHAnsi" w:eastAsia="Times New Roman" w:hAnsiTheme="majorHAnsi" w:cstheme="majorHAnsi"/>
                <w:b/>
                <w:bCs/>
                <w:sz w:val="20"/>
                <w:szCs w:val="20"/>
                <w:lang w:eastAsia="en-AU"/>
              </w:rPr>
            </w:pPr>
            <w:r w:rsidRPr="00A03AE6">
              <w:rPr>
                <w:rFonts w:asciiTheme="majorHAnsi" w:eastAsia="Times New Roman" w:hAnsiTheme="majorHAnsi" w:cstheme="majorHAnsi"/>
                <w:b/>
                <w:bCs/>
                <w:sz w:val="20"/>
                <w:szCs w:val="20"/>
                <w:lang w:eastAsia="en-AU"/>
              </w:rPr>
              <w:t>Workers regularly tested for blood lead levels</w:t>
            </w:r>
          </w:p>
        </w:tc>
        <w:tc>
          <w:tcPr>
            <w:tcW w:w="766" w:type="pct"/>
            <w:tcBorders>
              <w:top w:val="single" w:sz="8" w:space="0" w:color="auto"/>
              <w:left w:val="nil"/>
              <w:bottom w:val="single" w:sz="8" w:space="0" w:color="auto"/>
              <w:right w:val="single" w:sz="8" w:space="0" w:color="auto"/>
            </w:tcBorders>
            <w:shd w:val="clear" w:color="000000" w:fill="BFBFBF"/>
            <w:vAlign w:val="center"/>
            <w:hideMark/>
          </w:tcPr>
          <w:p w:rsidR="00B31477" w:rsidRPr="00A03AE6" w:rsidRDefault="00B31477" w:rsidP="00B31477">
            <w:pPr>
              <w:spacing w:after="0"/>
              <w:jc w:val="center"/>
              <w:rPr>
                <w:rFonts w:asciiTheme="majorHAnsi" w:eastAsia="Times New Roman" w:hAnsiTheme="majorHAnsi" w:cstheme="majorHAnsi"/>
                <w:b/>
                <w:bCs/>
                <w:sz w:val="20"/>
                <w:szCs w:val="20"/>
                <w:lang w:eastAsia="en-AU"/>
              </w:rPr>
            </w:pPr>
            <w:r w:rsidRPr="00A03AE6">
              <w:rPr>
                <w:rFonts w:asciiTheme="majorHAnsi" w:eastAsia="Times New Roman" w:hAnsiTheme="majorHAnsi" w:cstheme="majorHAnsi"/>
                <w:b/>
                <w:bCs/>
                <w:sz w:val="20"/>
                <w:szCs w:val="20"/>
                <w:lang w:eastAsia="en-AU"/>
              </w:rPr>
              <w:t>Data from health authorities</w:t>
            </w:r>
          </w:p>
        </w:tc>
        <w:tc>
          <w:tcPr>
            <w:tcW w:w="765" w:type="pct"/>
            <w:tcBorders>
              <w:top w:val="single" w:sz="8" w:space="0" w:color="auto"/>
              <w:left w:val="nil"/>
              <w:bottom w:val="single" w:sz="8" w:space="0" w:color="auto"/>
              <w:right w:val="single" w:sz="8" w:space="0" w:color="auto"/>
            </w:tcBorders>
            <w:shd w:val="clear" w:color="000000" w:fill="BFBFBF"/>
            <w:vAlign w:val="center"/>
            <w:hideMark/>
          </w:tcPr>
          <w:p w:rsidR="00B31477" w:rsidRPr="00A03AE6" w:rsidRDefault="00B31477" w:rsidP="00B31477">
            <w:pPr>
              <w:spacing w:after="0"/>
              <w:jc w:val="center"/>
              <w:rPr>
                <w:rFonts w:asciiTheme="majorHAnsi" w:eastAsia="Times New Roman" w:hAnsiTheme="majorHAnsi" w:cstheme="majorHAnsi"/>
                <w:b/>
                <w:bCs/>
                <w:sz w:val="20"/>
                <w:szCs w:val="20"/>
                <w:lang w:eastAsia="en-AU"/>
              </w:rPr>
            </w:pPr>
            <w:r w:rsidRPr="00A03AE6">
              <w:rPr>
                <w:rFonts w:asciiTheme="majorHAnsi" w:eastAsia="Times New Roman" w:hAnsiTheme="majorHAnsi" w:cstheme="majorHAnsi"/>
                <w:b/>
                <w:bCs/>
                <w:sz w:val="20"/>
                <w:szCs w:val="20"/>
                <w:lang w:eastAsia="en-AU"/>
              </w:rPr>
              <w:t>Industries not incl. in submissions or CRIS</w:t>
            </w:r>
          </w:p>
        </w:tc>
        <w:tc>
          <w:tcPr>
            <w:tcW w:w="762" w:type="pct"/>
            <w:tcBorders>
              <w:top w:val="single" w:sz="8" w:space="0" w:color="auto"/>
              <w:left w:val="nil"/>
              <w:bottom w:val="single" w:sz="8" w:space="0" w:color="auto"/>
              <w:right w:val="single" w:sz="8" w:space="0" w:color="auto"/>
            </w:tcBorders>
            <w:shd w:val="clear" w:color="000000" w:fill="BFBFBF"/>
            <w:vAlign w:val="center"/>
            <w:hideMark/>
          </w:tcPr>
          <w:p w:rsidR="00B31477" w:rsidRPr="00A03AE6" w:rsidRDefault="00B31477" w:rsidP="00B31477">
            <w:pPr>
              <w:spacing w:after="0"/>
              <w:jc w:val="center"/>
              <w:rPr>
                <w:rFonts w:asciiTheme="majorHAnsi" w:eastAsia="Times New Roman" w:hAnsiTheme="majorHAnsi" w:cstheme="majorHAnsi"/>
                <w:b/>
                <w:bCs/>
                <w:sz w:val="20"/>
                <w:szCs w:val="20"/>
                <w:lang w:eastAsia="en-AU"/>
              </w:rPr>
            </w:pPr>
            <w:r w:rsidRPr="00A03AE6">
              <w:rPr>
                <w:rFonts w:asciiTheme="majorHAnsi" w:eastAsia="Times New Roman" w:hAnsiTheme="majorHAnsi" w:cstheme="majorHAnsi"/>
                <w:b/>
                <w:bCs/>
                <w:sz w:val="20"/>
                <w:szCs w:val="20"/>
                <w:lang w:eastAsia="en-AU"/>
              </w:rPr>
              <w:t>Estimate of total workers used for CBA</w:t>
            </w:r>
          </w:p>
        </w:tc>
      </w:tr>
      <w:tr w:rsidR="00691DA8" w:rsidRPr="00A03AE6" w:rsidTr="000D0502">
        <w:trPr>
          <w:trHeight w:val="141"/>
          <w:tblHeader/>
        </w:trPr>
        <w:tc>
          <w:tcPr>
            <w:tcW w:w="1177" w:type="pct"/>
            <w:vMerge/>
            <w:tcBorders>
              <w:left w:val="single" w:sz="8" w:space="0" w:color="auto"/>
              <w:bottom w:val="single" w:sz="8" w:space="0" w:color="auto"/>
              <w:right w:val="single" w:sz="8" w:space="0" w:color="auto"/>
            </w:tcBorders>
            <w:shd w:val="clear" w:color="auto" w:fill="auto"/>
            <w:vAlign w:val="center"/>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5" w:type="pct"/>
            <w:tcBorders>
              <w:top w:val="single" w:sz="8" w:space="0" w:color="auto"/>
              <w:left w:val="nil"/>
              <w:bottom w:val="single" w:sz="8" w:space="0" w:color="auto"/>
              <w:right w:val="single" w:sz="8" w:space="0" w:color="auto"/>
            </w:tcBorders>
            <w:shd w:val="clear" w:color="auto" w:fill="auto"/>
            <w:vAlign w:val="center"/>
          </w:tcPr>
          <w:p w:rsidR="00691DA8" w:rsidRPr="00EE643B"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bCs/>
                <w:sz w:val="20"/>
                <w:szCs w:val="20"/>
                <w:lang w:eastAsia="en-AU"/>
              </w:rPr>
              <w:t>(1)</w:t>
            </w:r>
          </w:p>
        </w:tc>
        <w:tc>
          <w:tcPr>
            <w:tcW w:w="765" w:type="pct"/>
            <w:tcBorders>
              <w:top w:val="single" w:sz="8" w:space="0" w:color="auto"/>
              <w:left w:val="nil"/>
              <w:bottom w:val="single" w:sz="8" w:space="0" w:color="auto"/>
              <w:right w:val="single" w:sz="8" w:space="0" w:color="auto"/>
            </w:tcBorders>
            <w:shd w:val="clear" w:color="auto" w:fill="auto"/>
            <w:vAlign w:val="center"/>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bCs/>
                <w:sz w:val="20"/>
                <w:szCs w:val="20"/>
                <w:lang w:eastAsia="en-AU"/>
              </w:rPr>
              <w:t>(2)</w:t>
            </w:r>
          </w:p>
        </w:tc>
        <w:tc>
          <w:tcPr>
            <w:tcW w:w="766" w:type="pct"/>
            <w:tcBorders>
              <w:top w:val="single" w:sz="8" w:space="0" w:color="auto"/>
              <w:left w:val="nil"/>
              <w:bottom w:val="single" w:sz="8" w:space="0" w:color="auto"/>
              <w:right w:val="single" w:sz="8" w:space="0" w:color="auto"/>
            </w:tcBorders>
            <w:shd w:val="clear" w:color="auto" w:fill="auto"/>
            <w:vAlign w:val="center"/>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bCs/>
                <w:sz w:val="20"/>
                <w:szCs w:val="20"/>
                <w:lang w:eastAsia="en-AU"/>
              </w:rPr>
              <w:t>(3)</w:t>
            </w:r>
          </w:p>
        </w:tc>
        <w:tc>
          <w:tcPr>
            <w:tcW w:w="765" w:type="pct"/>
            <w:tcBorders>
              <w:top w:val="single" w:sz="8" w:space="0" w:color="auto"/>
              <w:left w:val="nil"/>
              <w:bottom w:val="single" w:sz="8" w:space="0" w:color="auto"/>
              <w:right w:val="single" w:sz="8" w:space="0" w:color="auto"/>
            </w:tcBorders>
            <w:shd w:val="clear" w:color="auto" w:fill="auto"/>
            <w:vAlign w:val="center"/>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bCs/>
                <w:sz w:val="20"/>
                <w:szCs w:val="20"/>
                <w:lang w:eastAsia="en-AU"/>
              </w:rPr>
              <w:t>(4)</w:t>
            </w:r>
          </w:p>
        </w:tc>
        <w:tc>
          <w:tcPr>
            <w:tcW w:w="762" w:type="pct"/>
            <w:tcBorders>
              <w:top w:val="single" w:sz="8" w:space="0" w:color="auto"/>
              <w:left w:val="nil"/>
              <w:bottom w:val="single" w:sz="8" w:space="0" w:color="auto"/>
              <w:right w:val="single" w:sz="8" w:space="0" w:color="auto"/>
            </w:tcBorders>
            <w:shd w:val="clear" w:color="auto" w:fill="auto"/>
            <w:vAlign w:val="center"/>
          </w:tcPr>
          <w:p w:rsidR="00691DA8" w:rsidRPr="00EE643B"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bCs/>
                <w:sz w:val="20"/>
                <w:szCs w:val="20"/>
                <w:lang w:eastAsia="en-AU"/>
              </w:rPr>
              <w:t>(5)</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Commonwealth</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69</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69</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New South Wales</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510</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615</w:t>
            </w: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814</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814</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Victoria</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459</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45</w:t>
            </w: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986</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986</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Queensland</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198</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5,411</w:t>
            </w: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3,051</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228</w:t>
            </w: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5,639</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Western Australia</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303</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244</w:t>
            </w: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361</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361</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South Australia</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100</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1,855</w:t>
            </w: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77</w:t>
            </w: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1,932</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Tasmania</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37</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23</w:t>
            </w: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60</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Australian Capital Territory</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0</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20</w:t>
            </w: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20</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A03AE6">
              <w:rPr>
                <w:rFonts w:asciiTheme="majorHAnsi" w:eastAsia="Times New Roman" w:hAnsiTheme="majorHAnsi" w:cstheme="majorHAnsi"/>
                <w:sz w:val="20"/>
                <w:szCs w:val="20"/>
                <w:lang w:eastAsia="en-AU"/>
              </w:rPr>
              <w:t>Northern Territory</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0</w:t>
            </w: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6"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p>
        </w:tc>
        <w:tc>
          <w:tcPr>
            <w:tcW w:w="765"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12</w:t>
            </w:r>
          </w:p>
        </w:tc>
        <w:tc>
          <w:tcPr>
            <w:tcW w:w="762" w:type="pct"/>
            <w:tcBorders>
              <w:top w:val="nil"/>
              <w:left w:val="nil"/>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sz w:val="20"/>
                <w:szCs w:val="20"/>
                <w:lang w:eastAsia="en-AU"/>
              </w:rPr>
            </w:pPr>
            <w:r w:rsidRPr="00EE643B">
              <w:rPr>
                <w:rFonts w:asciiTheme="majorHAnsi" w:eastAsia="Times New Roman" w:hAnsiTheme="majorHAnsi" w:cstheme="majorHAnsi"/>
                <w:sz w:val="20"/>
                <w:szCs w:val="20"/>
                <w:lang w:eastAsia="en-AU"/>
              </w:rPr>
              <w:t>12</w:t>
            </w:r>
          </w:p>
        </w:tc>
      </w:tr>
      <w:tr w:rsidR="00691DA8" w:rsidRPr="00A03AE6" w:rsidTr="000D0502">
        <w:trPr>
          <w:trHeight w:val="141"/>
          <w:tblHeader/>
        </w:trPr>
        <w:tc>
          <w:tcPr>
            <w:tcW w:w="1177" w:type="pct"/>
            <w:tcBorders>
              <w:top w:val="nil"/>
              <w:left w:val="single" w:sz="8" w:space="0" w:color="auto"/>
              <w:bottom w:val="single" w:sz="8" w:space="0" w:color="auto"/>
              <w:right w:val="single" w:sz="8" w:space="0" w:color="auto"/>
            </w:tcBorders>
            <w:shd w:val="clear" w:color="auto" w:fill="auto"/>
            <w:vAlign w:val="center"/>
            <w:hideMark/>
          </w:tcPr>
          <w:p w:rsidR="00691DA8" w:rsidRPr="00A03AE6" w:rsidRDefault="00691DA8" w:rsidP="00B31477">
            <w:pPr>
              <w:spacing w:after="0"/>
              <w:jc w:val="center"/>
              <w:rPr>
                <w:rFonts w:asciiTheme="majorHAnsi" w:eastAsia="Times New Roman" w:hAnsiTheme="majorHAnsi" w:cstheme="majorHAnsi"/>
                <w:b/>
                <w:bCs/>
                <w:sz w:val="20"/>
                <w:szCs w:val="20"/>
                <w:lang w:eastAsia="en-AU"/>
              </w:rPr>
            </w:pPr>
            <w:r w:rsidRPr="00A03AE6">
              <w:rPr>
                <w:rFonts w:asciiTheme="majorHAnsi" w:eastAsia="Times New Roman" w:hAnsiTheme="majorHAnsi" w:cstheme="majorHAnsi"/>
                <w:b/>
                <w:bCs/>
                <w:sz w:val="20"/>
                <w:szCs w:val="20"/>
                <w:lang w:eastAsia="en-AU"/>
              </w:rPr>
              <w:t>Total</w:t>
            </w:r>
          </w:p>
        </w:tc>
        <w:tc>
          <w:tcPr>
            <w:tcW w:w="765" w:type="pct"/>
            <w:tcBorders>
              <w:top w:val="nil"/>
              <w:left w:val="nil"/>
              <w:bottom w:val="single" w:sz="8" w:space="0" w:color="auto"/>
              <w:right w:val="single" w:sz="8" w:space="0" w:color="auto"/>
            </w:tcBorders>
            <w:shd w:val="clear" w:color="auto" w:fill="auto"/>
            <w:vAlign w:val="center"/>
            <w:hideMark/>
          </w:tcPr>
          <w:p w:rsidR="00691DA8" w:rsidRPr="00D17554" w:rsidRDefault="00691DA8" w:rsidP="00B31477">
            <w:pPr>
              <w:spacing w:after="0"/>
              <w:jc w:val="center"/>
              <w:rPr>
                <w:rFonts w:asciiTheme="majorHAnsi" w:eastAsia="Times New Roman" w:hAnsiTheme="majorHAnsi" w:cstheme="majorHAnsi"/>
                <w:b/>
                <w:sz w:val="20"/>
                <w:szCs w:val="20"/>
                <w:lang w:eastAsia="en-AU"/>
              </w:rPr>
            </w:pPr>
            <w:r w:rsidRPr="00EE643B">
              <w:rPr>
                <w:rFonts w:asciiTheme="majorHAnsi" w:eastAsia="Times New Roman" w:hAnsiTheme="majorHAnsi" w:cstheme="majorHAnsi"/>
                <w:b/>
                <w:sz w:val="20"/>
                <w:szCs w:val="20"/>
                <w:lang w:eastAsia="en-AU"/>
              </w:rPr>
              <w:t>1,676</w:t>
            </w:r>
          </w:p>
        </w:tc>
        <w:tc>
          <w:tcPr>
            <w:tcW w:w="765" w:type="pct"/>
            <w:tcBorders>
              <w:top w:val="nil"/>
              <w:left w:val="nil"/>
              <w:bottom w:val="single" w:sz="8" w:space="0" w:color="auto"/>
              <w:right w:val="single" w:sz="8" w:space="0" w:color="auto"/>
            </w:tcBorders>
            <w:shd w:val="clear" w:color="auto" w:fill="auto"/>
            <w:vAlign w:val="center"/>
            <w:hideMark/>
          </w:tcPr>
          <w:p w:rsidR="00691DA8" w:rsidRPr="005A6875" w:rsidRDefault="00691DA8" w:rsidP="00B31477">
            <w:pPr>
              <w:spacing w:after="0"/>
              <w:jc w:val="center"/>
              <w:rPr>
                <w:rFonts w:asciiTheme="majorHAnsi" w:eastAsia="Times New Roman" w:hAnsiTheme="majorHAnsi" w:cstheme="majorHAnsi"/>
                <w:b/>
                <w:sz w:val="20"/>
                <w:szCs w:val="20"/>
                <w:lang w:eastAsia="en-AU"/>
              </w:rPr>
            </w:pPr>
            <w:r w:rsidRPr="00EE643B">
              <w:rPr>
                <w:rFonts w:asciiTheme="majorHAnsi" w:eastAsia="Times New Roman" w:hAnsiTheme="majorHAnsi" w:cstheme="majorHAnsi"/>
                <w:b/>
                <w:sz w:val="20"/>
                <w:szCs w:val="20"/>
                <w:lang w:eastAsia="en-AU"/>
              </w:rPr>
              <w:t>8,170</w:t>
            </w:r>
          </w:p>
        </w:tc>
        <w:tc>
          <w:tcPr>
            <w:tcW w:w="766" w:type="pct"/>
            <w:tcBorders>
              <w:top w:val="nil"/>
              <w:left w:val="nil"/>
              <w:bottom w:val="single" w:sz="8" w:space="0" w:color="auto"/>
              <w:right w:val="single" w:sz="8" w:space="0" w:color="auto"/>
            </w:tcBorders>
            <w:shd w:val="clear" w:color="auto" w:fill="auto"/>
            <w:vAlign w:val="center"/>
            <w:hideMark/>
          </w:tcPr>
          <w:p w:rsidR="00691DA8" w:rsidRPr="005A6875" w:rsidRDefault="00691DA8" w:rsidP="00B31477">
            <w:pPr>
              <w:spacing w:after="0"/>
              <w:jc w:val="center"/>
              <w:rPr>
                <w:rFonts w:asciiTheme="majorHAnsi" w:eastAsia="Times New Roman" w:hAnsiTheme="majorHAnsi" w:cstheme="majorHAnsi"/>
                <w:b/>
                <w:sz w:val="20"/>
                <w:szCs w:val="20"/>
                <w:lang w:eastAsia="en-AU"/>
              </w:rPr>
            </w:pPr>
            <w:r w:rsidRPr="00EE643B">
              <w:rPr>
                <w:rFonts w:asciiTheme="majorHAnsi" w:eastAsia="Times New Roman" w:hAnsiTheme="majorHAnsi" w:cstheme="majorHAnsi"/>
                <w:b/>
                <w:sz w:val="20"/>
                <w:szCs w:val="20"/>
                <w:lang w:eastAsia="en-AU"/>
              </w:rPr>
              <w:t>5,212</w:t>
            </w:r>
          </w:p>
        </w:tc>
        <w:tc>
          <w:tcPr>
            <w:tcW w:w="765" w:type="pct"/>
            <w:tcBorders>
              <w:top w:val="nil"/>
              <w:left w:val="nil"/>
              <w:bottom w:val="single" w:sz="8" w:space="0" w:color="auto"/>
              <w:right w:val="single" w:sz="8" w:space="0" w:color="auto"/>
            </w:tcBorders>
            <w:shd w:val="clear" w:color="auto" w:fill="auto"/>
            <w:vAlign w:val="center"/>
            <w:hideMark/>
          </w:tcPr>
          <w:p w:rsidR="00691DA8" w:rsidRPr="005A6875" w:rsidRDefault="00691DA8" w:rsidP="00B31477">
            <w:pPr>
              <w:spacing w:after="0"/>
              <w:jc w:val="center"/>
              <w:rPr>
                <w:rFonts w:asciiTheme="majorHAnsi" w:eastAsia="Times New Roman" w:hAnsiTheme="majorHAnsi" w:cstheme="majorHAnsi"/>
                <w:b/>
                <w:sz w:val="20"/>
                <w:szCs w:val="20"/>
                <w:lang w:eastAsia="en-AU"/>
              </w:rPr>
            </w:pPr>
            <w:r w:rsidRPr="00EE643B">
              <w:rPr>
                <w:rFonts w:asciiTheme="majorHAnsi" w:eastAsia="Times New Roman" w:hAnsiTheme="majorHAnsi" w:cstheme="majorHAnsi"/>
                <w:b/>
                <w:sz w:val="20"/>
                <w:szCs w:val="20"/>
                <w:lang w:eastAsia="en-AU"/>
              </w:rPr>
              <w:t>360</w:t>
            </w:r>
          </w:p>
        </w:tc>
        <w:tc>
          <w:tcPr>
            <w:tcW w:w="762" w:type="pct"/>
            <w:tcBorders>
              <w:top w:val="nil"/>
              <w:left w:val="nil"/>
              <w:bottom w:val="single" w:sz="8" w:space="0" w:color="auto"/>
              <w:right w:val="single" w:sz="8" w:space="0" w:color="auto"/>
            </w:tcBorders>
            <w:shd w:val="clear" w:color="auto" w:fill="auto"/>
            <w:vAlign w:val="center"/>
            <w:hideMark/>
          </w:tcPr>
          <w:p w:rsidR="00691DA8" w:rsidRPr="00D17554" w:rsidRDefault="00691DA8" w:rsidP="00B31477">
            <w:pPr>
              <w:spacing w:after="0"/>
              <w:jc w:val="center"/>
              <w:rPr>
                <w:rFonts w:asciiTheme="majorHAnsi" w:eastAsia="Times New Roman" w:hAnsiTheme="majorHAnsi" w:cstheme="majorHAnsi"/>
                <w:b/>
                <w:sz w:val="20"/>
                <w:szCs w:val="20"/>
                <w:lang w:eastAsia="en-AU"/>
              </w:rPr>
            </w:pPr>
            <w:r w:rsidRPr="00EE643B">
              <w:rPr>
                <w:rFonts w:asciiTheme="majorHAnsi" w:eastAsia="Times New Roman" w:hAnsiTheme="majorHAnsi" w:cstheme="majorHAnsi"/>
                <w:b/>
                <w:sz w:val="20"/>
                <w:szCs w:val="20"/>
                <w:lang w:eastAsia="en-AU"/>
              </w:rPr>
              <w:t>9,893</w:t>
            </w:r>
          </w:p>
        </w:tc>
      </w:tr>
    </w:tbl>
    <w:p w:rsidR="00691DA8" w:rsidRPr="00B16537" w:rsidRDefault="00691DA8" w:rsidP="00691DA8">
      <w:pPr>
        <w:pStyle w:val="BodyText"/>
        <w:spacing w:after="0"/>
        <w:rPr>
          <w:rFonts w:asciiTheme="majorHAnsi" w:hAnsiTheme="majorHAnsi" w:cstheme="majorHAnsi"/>
          <w:sz w:val="16"/>
        </w:rPr>
      </w:pPr>
      <w:r w:rsidRPr="00B16537">
        <w:rPr>
          <w:rFonts w:asciiTheme="majorHAnsi" w:hAnsiTheme="majorHAnsi" w:cstheme="majorHAnsi"/>
          <w:sz w:val="16"/>
        </w:rPr>
        <w:t xml:space="preserve">Notes: </w:t>
      </w:r>
      <w:r w:rsidRPr="00B16537">
        <w:rPr>
          <w:rFonts w:asciiTheme="majorHAnsi" w:hAnsiTheme="majorHAnsi" w:cstheme="majorHAnsi"/>
          <w:sz w:val="16"/>
        </w:rPr>
        <w:tab/>
        <w:t xml:space="preserve">(1) Estimate from regulators and health agencies used in the 2015 </w:t>
      </w:r>
      <w:r w:rsidR="006374CB">
        <w:rPr>
          <w:rFonts w:asciiTheme="majorHAnsi" w:hAnsiTheme="majorHAnsi" w:cstheme="majorHAnsi"/>
          <w:sz w:val="16"/>
        </w:rPr>
        <w:t>Consultation RIS (CRIS)</w:t>
      </w:r>
    </w:p>
    <w:p w:rsidR="00691DA8" w:rsidRPr="00B16537" w:rsidRDefault="00691DA8" w:rsidP="00691DA8">
      <w:pPr>
        <w:pStyle w:val="BodyText"/>
        <w:spacing w:after="0"/>
        <w:rPr>
          <w:rFonts w:asciiTheme="majorHAnsi" w:hAnsiTheme="majorHAnsi" w:cstheme="majorHAnsi"/>
          <w:sz w:val="16"/>
        </w:rPr>
      </w:pPr>
      <w:r w:rsidRPr="00B16537">
        <w:rPr>
          <w:rFonts w:asciiTheme="majorHAnsi" w:hAnsiTheme="majorHAnsi" w:cstheme="majorHAnsi"/>
          <w:sz w:val="16"/>
        </w:rPr>
        <w:tab/>
        <w:t>(2) Based on numbers provided in submissions</w:t>
      </w:r>
      <w:r w:rsidR="00C53753">
        <w:rPr>
          <w:rFonts w:asciiTheme="majorHAnsi" w:hAnsiTheme="majorHAnsi" w:cstheme="majorHAnsi"/>
          <w:sz w:val="16"/>
        </w:rPr>
        <w:t xml:space="preserve"> and subsequent consultations</w:t>
      </w:r>
    </w:p>
    <w:p w:rsidR="00691DA8" w:rsidRPr="00B16537" w:rsidRDefault="00691DA8" w:rsidP="00691DA8">
      <w:pPr>
        <w:pStyle w:val="BodyText"/>
        <w:spacing w:after="0"/>
        <w:rPr>
          <w:rFonts w:asciiTheme="majorHAnsi" w:hAnsiTheme="majorHAnsi" w:cstheme="majorHAnsi"/>
          <w:sz w:val="16"/>
        </w:rPr>
      </w:pPr>
      <w:r w:rsidRPr="00B16537">
        <w:rPr>
          <w:rFonts w:asciiTheme="majorHAnsi" w:hAnsiTheme="majorHAnsi" w:cstheme="majorHAnsi"/>
          <w:sz w:val="16"/>
        </w:rPr>
        <w:tab/>
        <w:t xml:space="preserve">(3) Data provided for </w:t>
      </w:r>
      <w:r>
        <w:rPr>
          <w:rFonts w:asciiTheme="majorHAnsi" w:hAnsiTheme="majorHAnsi" w:cstheme="majorHAnsi"/>
          <w:sz w:val="16"/>
        </w:rPr>
        <w:t xml:space="preserve">NSW, </w:t>
      </w:r>
      <w:r w:rsidRPr="00B16537">
        <w:rPr>
          <w:rFonts w:asciiTheme="majorHAnsi" w:hAnsiTheme="majorHAnsi" w:cstheme="majorHAnsi"/>
          <w:sz w:val="16"/>
        </w:rPr>
        <w:t>Vic</w:t>
      </w:r>
      <w:r>
        <w:rPr>
          <w:rFonts w:asciiTheme="majorHAnsi" w:hAnsiTheme="majorHAnsi" w:cstheme="majorHAnsi"/>
          <w:sz w:val="16"/>
        </w:rPr>
        <w:t>, Qld</w:t>
      </w:r>
      <w:r w:rsidRPr="00B16537">
        <w:rPr>
          <w:rFonts w:asciiTheme="majorHAnsi" w:hAnsiTheme="majorHAnsi" w:cstheme="majorHAnsi"/>
          <w:sz w:val="16"/>
        </w:rPr>
        <w:t xml:space="preserve"> and WA (incl. estimate of </w:t>
      </w:r>
      <w:r>
        <w:rPr>
          <w:rFonts w:asciiTheme="majorHAnsi" w:hAnsiTheme="majorHAnsi" w:cstheme="majorHAnsi"/>
          <w:sz w:val="16"/>
        </w:rPr>
        <w:t xml:space="preserve">likely number of </w:t>
      </w:r>
      <w:r w:rsidRPr="00B16537">
        <w:rPr>
          <w:rFonts w:asciiTheme="majorHAnsi" w:hAnsiTheme="majorHAnsi" w:cstheme="majorHAnsi"/>
          <w:sz w:val="16"/>
        </w:rPr>
        <w:t>Vic</w:t>
      </w:r>
      <w:r>
        <w:rPr>
          <w:rFonts w:asciiTheme="majorHAnsi" w:hAnsiTheme="majorHAnsi" w:cstheme="majorHAnsi"/>
          <w:sz w:val="16"/>
        </w:rPr>
        <w:t xml:space="preserve"> and Qld</w:t>
      </w:r>
      <w:r w:rsidRPr="00B16537">
        <w:rPr>
          <w:rFonts w:asciiTheme="majorHAnsi" w:hAnsiTheme="majorHAnsi" w:cstheme="majorHAnsi"/>
          <w:sz w:val="16"/>
        </w:rPr>
        <w:t xml:space="preserve"> tests &lt;</w:t>
      </w:r>
      <w:r>
        <w:rPr>
          <w:rFonts w:asciiTheme="majorHAnsi" w:hAnsiTheme="majorHAnsi" w:cstheme="majorHAnsi"/>
          <w:sz w:val="16"/>
        </w:rPr>
        <w:t xml:space="preserve"> </w:t>
      </w:r>
      <w:r w:rsidRPr="00B16537">
        <w:rPr>
          <w:rFonts w:asciiTheme="majorHAnsi" w:hAnsiTheme="majorHAnsi" w:cstheme="majorHAnsi"/>
          <w:sz w:val="16"/>
        </w:rPr>
        <w:t>10</w:t>
      </w:r>
      <w:r>
        <w:rPr>
          <w:rFonts w:asciiTheme="majorHAnsi" w:hAnsiTheme="majorHAnsi" w:cstheme="majorHAnsi"/>
          <w:sz w:val="16"/>
        </w:rPr>
        <w:t xml:space="preserve"> </w:t>
      </w:r>
      <w:r w:rsidRPr="00B16537">
        <w:rPr>
          <w:rFonts w:asciiTheme="majorHAnsi" w:hAnsiTheme="majorHAnsi" w:cstheme="majorHAnsi"/>
          <w:sz w:val="16"/>
        </w:rPr>
        <w:t>μg/dL)</w:t>
      </w:r>
    </w:p>
    <w:p w:rsidR="00691DA8" w:rsidRPr="00B16537" w:rsidRDefault="00691DA8" w:rsidP="00691DA8">
      <w:pPr>
        <w:pStyle w:val="BodyText"/>
        <w:spacing w:after="0"/>
        <w:ind w:left="720"/>
        <w:rPr>
          <w:rFonts w:asciiTheme="majorHAnsi" w:hAnsiTheme="majorHAnsi" w:cstheme="majorHAnsi"/>
          <w:sz w:val="16"/>
        </w:rPr>
      </w:pPr>
      <w:r w:rsidRPr="00B16537">
        <w:rPr>
          <w:rFonts w:asciiTheme="majorHAnsi" w:hAnsiTheme="majorHAnsi" w:cstheme="majorHAnsi"/>
          <w:sz w:val="16"/>
        </w:rPr>
        <w:t xml:space="preserve">(4) </w:t>
      </w:r>
      <w:r w:rsidR="00C53753">
        <w:rPr>
          <w:rFonts w:asciiTheme="majorHAnsi" w:hAnsiTheme="majorHAnsi" w:cstheme="majorHAnsi"/>
          <w:sz w:val="16"/>
        </w:rPr>
        <w:t xml:space="preserve">Health data from Victoria showed there were some </w:t>
      </w:r>
      <w:r w:rsidRPr="00B16537">
        <w:rPr>
          <w:rFonts w:asciiTheme="majorHAnsi" w:hAnsiTheme="majorHAnsi" w:cstheme="majorHAnsi"/>
          <w:sz w:val="16"/>
        </w:rPr>
        <w:t xml:space="preserve"> lead-exposed workers from occupations, which were generally under-counted in the </w:t>
      </w:r>
      <w:r w:rsidR="006374CB">
        <w:rPr>
          <w:rFonts w:asciiTheme="majorHAnsi" w:hAnsiTheme="majorHAnsi" w:cstheme="majorHAnsi"/>
          <w:sz w:val="16"/>
        </w:rPr>
        <w:t>Consultation RIS</w:t>
      </w:r>
      <w:r w:rsidRPr="00B16537">
        <w:rPr>
          <w:rFonts w:asciiTheme="majorHAnsi" w:hAnsiTheme="majorHAnsi" w:cstheme="majorHAnsi"/>
          <w:sz w:val="16"/>
        </w:rPr>
        <w:t xml:space="preserve"> (e.g. painting, plumbing, </w:t>
      </w:r>
      <w:r w:rsidR="00C53753" w:rsidRPr="00B16537">
        <w:rPr>
          <w:rFonts w:asciiTheme="majorHAnsi" w:hAnsiTheme="majorHAnsi" w:cstheme="majorHAnsi"/>
          <w:sz w:val="16"/>
        </w:rPr>
        <w:t>and decorating</w:t>
      </w:r>
      <w:r w:rsidRPr="00B16537">
        <w:rPr>
          <w:rFonts w:asciiTheme="majorHAnsi" w:hAnsiTheme="majorHAnsi" w:cstheme="majorHAnsi"/>
          <w:sz w:val="16"/>
        </w:rPr>
        <w:t>)</w:t>
      </w:r>
      <w:r w:rsidR="00C53753">
        <w:rPr>
          <w:rFonts w:asciiTheme="majorHAnsi" w:hAnsiTheme="majorHAnsi" w:cstheme="majorHAnsi"/>
          <w:sz w:val="16"/>
        </w:rPr>
        <w:t xml:space="preserve">. </w:t>
      </w:r>
    </w:p>
    <w:p w:rsidR="00217FAA" w:rsidRPr="00B16537" w:rsidRDefault="00691DA8" w:rsidP="00217FAA">
      <w:pPr>
        <w:pStyle w:val="BodyText"/>
        <w:spacing w:after="0"/>
        <w:ind w:left="720"/>
        <w:rPr>
          <w:rFonts w:asciiTheme="majorHAnsi" w:hAnsiTheme="majorHAnsi" w:cstheme="majorHAnsi"/>
          <w:sz w:val="16"/>
        </w:rPr>
      </w:pPr>
      <w:r w:rsidRPr="00B16537">
        <w:rPr>
          <w:rFonts w:asciiTheme="majorHAnsi" w:hAnsiTheme="majorHAnsi" w:cstheme="majorHAnsi"/>
          <w:sz w:val="16"/>
        </w:rPr>
        <w:t>(5) Either (3) (if available) or the greater of (1) and (2), plus (4)</w:t>
      </w:r>
      <w:r w:rsidR="00217FAA">
        <w:rPr>
          <w:rFonts w:asciiTheme="majorHAnsi" w:hAnsiTheme="majorHAnsi" w:cstheme="majorHAnsi"/>
          <w:sz w:val="16"/>
        </w:rPr>
        <w:t>. This column includes an estimate of the number of these workers in other States and Territories (where lead testing data wasn't available), based on the relative size of their workforce (additional total = 1138 workers).</w:t>
      </w:r>
    </w:p>
    <w:p w:rsidR="00691DA8" w:rsidRPr="00B16537" w:rsidRDefault="00691DA8" w:rsidP="00691DA8">
      <w:pPr>
        <w:pStyle w:val="BodyText"/>
        <w:ind w:left="720"/>
        <w:rPr>
          <w:rFonts w:asciiTheme="majorHAnsi" w:hAnsiTheme="majorHAnsi" w:cstheme="majorHAnsi"/>
          <w:sz w:val="16"/>
        </w:rPr>
      </w:pPr>
    </w:p>
    <w:p w:rsidR="00691DA8" w:rsidRDefault="00691DA8" w:rsidP="00691DA8">
      <w:r>
        <w:t>It was estimated in the Consultation RIS that there are around 582 businesses undertaking lead-risk work in Australia. Of these businesses, there are approximately five with more than 500 workers (mines and smelters) wh</w:t>
      </w:r>
      <w:r w:rsidR="0048664C">
        <w:t xml:space="preserve">o are regularly exposed to lead (see </w:t>
      </w:r>
      <w:r w:rsidR="0048664C">
        <w:fldChar w:fldCharType="begin"/>
      </w:r>
      <w:r w:rsidR="0048664C">
        <w:instrText xml:space="preserve"> REF _Ref456770922 \h </w:instrText>
      </w:r>
      <w:r w:rsidR="0048664C">
        <w:fldChar w:fldCharType="separate"/>
      </w:r>
      <w:r w:rsidR="00052CE1">
        <w:t xml:space="preserve">Table </w:t>
      </w:r>
      <w:r w:rsidR="00052CE1">
        <w:rPr>
          <w:noProof/>
        </w:rPr>
        <w:t>8</w:t>
      </w:r>
      <w:r w:rsidR="0048664C">
        <w:fldChar w:fldCharType="end"/>
      </w:r>
      <w:r w:rsidR="0048664C">
        <w:t xml:space="preserve"> below).</w:t>
      </w:r>
    </w:p>
    <w:p w:rsidR="00691DA8" w:rsidRPr="00C861FE" w:rsidRDefault="00691DA8" w:rsidP="00691DA8">
      <w:r>
        <w:t xml:space="preserve">There are likely to be around 100 medium to large businesses (including many manufacturers, recyclers) and probably around 500 small businesses (including radiator repairers, </w:t>
      </w:r>
      <w:r w:rsidR="00772554">
        <w:t>lead lighters</w:t>
      </w:r>
      <w:r>
        <w:t xml:space="preserve">, painters and other trades persons). </w:t>
      </w:r>
    </w:p>
    <w:p w:rsidR="00691DA8" w:rsidRPr="00E705D4" w:rsidRDefault="00691DA8" w:rsidP="00691DA8">
      <w:pPr>
        <w:pStyle w:val="TableHeadingText"/>
        <w:rPr>
          <w:b w:val="0"/>
        </w:rPr>
      </w:pPr>
      <w:bookmarkStart w:id="97" w:name="_Ref456770922"/>
      <w:r>
        <w:t xml:space="preserve">Table </w:t>
      </w:r>
      <w:r w:rsidR="00CB69C0">
        <w:fldChar w:fldCharType="begin"/>
      </w:r>
      <w:r w:rsidR="00CB69C0">
        <w:instrText xml:space="preserve"> SEQ Table \* ARABIC </w:instrText>
      </w:r>
      <w:r w:rsidR="00CB69C0">
        <w:fldChar w:fldCharType="separate"/>
      </w:r>
      <w:r w:rsidR="00052CE1">
        <w:rPr>
          <w:noProof/>
        </w:rPr>
        <w:t>8</w:t>
      </w:r>
      <w:r w:rsidR="00CB69C0">
        <w:rPr>
          <w:noProof/>
        </w:rPr>
        <w:fldChar w:fldCharType="end"/>
      </w:r>
      <w:bookmarkEnd w:id="97"/>
      <w:r>
        <w:t xml:space="preserve">. </w:t>
      </w:r>
      <w:r w:rsidRPr="00E705D4">
        <w:rPr>
          <w:b w:val="0"/>
        </w:rPr>
        <w:t>Indicative number of lead businesses, by number of workers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8"/>
        <w:tblDescription w:val="Table 8. Indicative number of lead businesses, by number of workers."/>
      </w:tblPr>
      <w:tblGrid>
        <w:gridCol w:w="2816"/>
        <w:gridCol w:w="2991"/>
        <w:gridCol w:w="3817"/>
      </w:tblGrid>
      <w:tr w:rsidR="00691DA8" w:rsidRPr="00A03AE6" w:rsidTr="000D0502">
        <w:trPr>
          <w:trHeight w:val="67"/>
          <w:tblHeader/>
        </w:trPr>
        <w:tc>
          <w:tcPr>
            <w:tcW w:w="1463" w:type="pct"/>
            <w:shd w:val="clear" w:color="000000" w:fill="BFBFBF"/>
            <w:vAlign w:val="center"/>
            <w:hideMark/>
          </w:tcPr>
          <w:p w:rsidR="00691DA8" w:rsidRPr="00A03AE6" w:rsidRDefault="00691DA8" w:rsidP="00691DA8">
            <w:pPr>
              <w:keepNext/>
              <w:spacing w:after="0"/>
              <w:rPr>
                <w:rFonts w:ascii="Arial" w:eastAsia="Times New Roman" w:hAnsi="Arial" w:cs="Arial"/>
                <w:b/>
                <w:bCs/>
                <w:sz w:val="20"/>
                <w:lang w:eastAsia="en-AU"/>
              </w:rPr>
            </w:pPr>
            <w:r w:rsidRPr="00A03AE6">
              <w:rPr>
                <w:rFonts w:ascii="Arial" w:eastAsia="Times New Roman" w:hAnsi="Arial" w:cs="Arial"/>
                <w:b/>
                <w:bCs/>
                <w:sz w:val="20"/>
                <w:lang w:eastAsia="en-AU"/>
              </w:rPr>
              <w:t xml:space="preserve">Businesses </w:t>
            </w:r>
          </w:p>
        </w:tc>
        <w:tc>
          <w:tcPr>
            <w:tcW w:w="1554" w:type="pct"/>
            <w:shd w:val="clear" w:color="000000" w:fill="BFBFBF"/>
            <w:vAlign w:val="center"/>
            <w:hideMark/>
          </w:tcPr>
          <w:p w:rsidR="00691DA8" w:rsidRPr="00A03AE6" w:rsidRDefault="00691DA8" w:rsidP="00691DA8">
            <w:pPr>
              <w:keepNext/>
              <w:spacing w:after="0"/>
              <w:jc w:val="center"/>
              <w:rPr>
                <w:rFonts w:ascii="Arial" w:eastAsia="Times New Roman" w:hAnsi="Arial" w:cs="Arial"/>
                <w:b/>
                <w:bCs/>
                <w:sz w:val="20"/>
                <w:lang w:eastAsia="en-AU"/>
              </w:rPr>
            </w:pPr>
            <w:r w:rsidRPr="00A03AE6">
              <w:rPr>
                <w:rFonts w:ascii="Arial" w:eastAsia="Times New Roman" w:hAnsi="Arial" w:cs="Arial"/>
                <w:b/>
                <w:bCs/>
                <w:sz w:val="20"/>
                <w:lang w:eastAsia="en-AU"/>
              </w:rPr>
              <w:t>Persons working with lead</w:t>
            </w:r>
          </w:p>
        </w:tc>
        <w:tc>
          <w:tcPr>
            <w:tcW w:w="1983" w:type="pct"/>
            <w:shd w:val="clear" w:color="000000" w:fill="BFBFBF"/>
            <w:vAlign w:val="center"/>
            <w:hideMark/>
          </w:tcPr>
          <w:p w:rsidR="00691DA8" w:rsidRPr="00A03AE6" w:rsidRDefault="00691DA8" w:rsidP="00691DA8">
            <w:pPr>
              <w:keepNext/>
              <w:spacing w:after="0"/>
              <w:jc w:val="center"/>
              <w:rPr>
                <w:rFonts w:ascii="Arial" w:eastAsia="Times New Roman" w:hAnsi="Arial" w:cs="Arial"/>
                <w:b/>
                <w:bCs/>
                <w:sz w:val="20"/>
                <w:lang w:eastAsia="en-AU"/>
              </w:rPr>
            </w:pPr>
            <w:r w:rsidRPr="00A03AE6">
              <w:rPr>
                <w:rFonts w:ascii="Arial" w:eastAsia="Times New Roman" w:hAnsi="Arial" w:cs="Arial"/>
                <w:b/>
                <w:bCs/>
                <w:sz w:val="20"/>
                <w:lang w:eastAsia="en-AU"/>
              </w:rPr>
              <w:t>Approximate number of businesses</w:t>
            </w:r>
          </w:p>
        </w:tc>
      </w:tr>
      <w:tr w:rsidR="00691DA8" w:rsidRPr="00A03AE6" w:rsidTr="000D0502">
        <w:trPr>
          <w:tblHeader/>
        </w:trPr>
        <w:tc>
          <w:tcPr>
            <w:tcW w:w="1463" w:type="pct"/>
            <w:shd w:val="clear" w:color="auto" w:fill="auto"/>
            <w:vAlign w:val="center"/>
            <w:hideMark/>
          </w:tcPr>
          <w:p w:rsidR="00691DA8" w:rsidRPr="00A03AE6" w:rsidRDefault="00691DA8" w:rsidP="00691DA8">
            <w:pPr>
              <w:keepNext/>
              <w:spacing w:after="0"/>
              <w:rPr>
                <w:rFonts w:ascii="Arial" w:eastAsia="Times New Roman" w:hAnsi="Arial" w:cs="Arial"/>
                <w:sz w:val="20"/>
                <w:lang w:eastAsia="en-AU"/>
              </w:rPr>
            </w:pPr>
            <w:r w:rsidRPr="00A03AE6">
              <w:rPr>
                <w:rFonts w:ascii="Arial" w:eastAsia="Times New Roman" w:hAnsi="Arial" w:cs="Arial"/>
                <w:sz w:val="20"/>
                <w:lang w:eastAsia="en-AU"/>
              </w:rPr>
              <w:t>Very large businesses</w:t>
            </w:r>
          </w:p>
        </w:tc>
        <w:tc>
          <w:tcPr>
            <w:tcW w:w="1554" w:type="pct"/>
            <w:shd w:val="clear" w:color="auto" w:fill="auto"/>
            <w:vAlign w:val="center"/>
            <w:hideMark/>
          </w:tcPr>
          <w:p w:rsidR="00691DA8" w:rsidRPr="00A03AE6" w:rsidRDefault="00691DA8" w:rsidP="00691DA8">
            <w:pPr>
              <w:keepNext/>
              <w:spacing w:after="0"/>
              <w:jc w:val="center"/>
              <w:rPr>
                <w:rFonts w:ascii="Arial" w:eastAsia="Times New Roman" w:hAnsi="Arial" w:cs="Arial"/>
                <w:sz w:val="20"/>
                <w:lang w:eastAsia="en-AU"/>
              </w:rPr>
            </w:pPr>
            <w:r w:rsidRPr="00A03AE6">
              <w:rPr>
                <w:rFonts w:ascii="Arial" w:eastAsia="Times New Roman" w:hAnsi="Arial" w:cs="Arial"/>
                <w:sz w:val="20"/>
                <w:lang w:eastAsia="en-AU"/>
              </w:rPr>
              <w:t>500+</w:t>
            </w:r>
          </w:p>
        </w:tc>
        <w:tc>
          <w:tcPr>
            <w:tcW w:w="1983" w:type="pct"/>
            <w:shd w:val="clear" w:color="auto" w:fill="auto"/>
            <w:vAlign w:val="center"/>
            <w:hideMark/>
          </w:tcPr>
          <w:p w:rsidR="00691DA8" w:rsidRPr="00A03AE6" w:rsidRDefault="00691DA8" w:rsidP="00691DA8">
            <w:pPr>
              <w:keepNext/>
              <w:spacing w:after="0"/>
              <w:jc w:val="center"/>
              <w:rPr>
                <w:rFonts w:ascii="Arial" w:eastAsia="Times New Roman" w:hAnsi="Arial" w:cs="Arial"/>
                <w:sz w:val="20"/>
                <w:lang w:eastAsia="en-AU"/>
              </w:rPr>
            </w:pPr>
            <w:r w:rsidRPr="00A03AE6">
              <w:rPr>
                <w:rFonts w:ascii="Arial" w:eastAsia="Times New Roman" w:hAnsi="Arial" w:cs="Arial"/>
                <w:sz w:val="20"/>
                <w:lang w:eastAsia="en-AU"/>
              </w:rPr>
              <w:t> 5</w:t>
            </w:r>
          </w:p>
        </w:tc>
      </w:tr>
      <w:tr w:rsidR="00691DA8" w:rsidRPr="00A03AE6" w:rsidTr="000D0502">
        <w:trPr>
          <w:tblHeader/>
        </w:trPr>
        <w:tc>
          <w:tcPr>
            <w:tcW w:w="1463" w:type="pct"/>
            <w:shd w:val="clear" w:color="auto" w:fill="auto"/>
            <w:vAlign w:val="center"/>
            <w:hideMark/>
          </w:tcPr>
          <w:p w:rsidR="00691DA8" w:rsidRPr="00A03AE6" w:rsidRDefault="00691DA8" w:rsidP="00691DA8">
            <w:pPr>
              <w:keepNext/>
              <w:spacing w:after="0"/>
              <w:rPr>
                <w:rFonts w:ascii="Arial" w:eastAsia="Times New Roman" w:hAnsi="Arial" w:cs="Arial"/>
                <w:sz w:val="20"/>
                <w:lang w:eastAsia="en-AU"/>
              </w:rPr>
            </w:pPr>
            <w:r w:rsidRPr="00A03AE6">
              <w:rPr>
                <w:rFonts w:ascii="Arial" w:eastAsia="Times New Roman" w:hAnsi="Arial" w:cs="Arial"/>
                <w:sz w:val="20"/>
                <w:lang w:eastAsia="en-AU"/>
              </w:rPr>
              <w:t xml:space="preserve">Medium and large business </w:t>
            </w:r>
          </w:p>
        </w:tc>
        <w:tc>
          <w:tcPr>
            <w:tcW w:w="1554" w:type="pct"/>
            <w:shd w:val="clear" w:color="auto" w:fill="auto"/>
            <w:vAlign w:val="center"/>
            <w:hideMark/>
          </w:tcPr>
          <w:p w:rsidR="00691DA8" w:rsidRPr="00A03AE6" w:rsidRDefault="00691DA8" w:rsidP="00691DA8">
            <w:pPr>
              <w:keepNext/>
              <w:spacing w:after="0"/>
              <w:jc w:val="center"/>
              <w:rPr>
                <w:rFonts w:ascii="Arial" w:eastAsia="Times New Roman" w:hAnsi="Arial" w:cs="Arial"/>
                <w:sz w:val="20"/>
                <w:lang w:eastAsia="en-AU"/>
              </w:rPr>
            </w:pPr>
            <w:r w:rsidRPr="00A03AE6">
              <w:rPr>
                <w:rFonts w:ascii="Arial" w:eastAsia="Times New Roman" w:hAnsi="Arial" w:cs="Arial"/>
                <w:sz w:val="20"/>
                <w:lang w:eastAsia="en-AU"/>
              </w:rPr>
              <w:t>20-500</w:t>
            </w:r>
          </w:p>
        </w:tc>
        <w:tc>
          <w:tcPr>
            <w:tcW w:w="1983" w:type="pct"/>
            <w:shd w:val="clear" w:color="auto" w:fill="auto"/>
            <w:vAlign w:val="center"/>
            <w:hideMark/>
          </w:tcPr>
          <w:p w:rsidR="00691DA8" w:rsidRPr="00A03AE6" w:rsidRDefault="00691DA8" w:rsidP="00691DA8">
            <w:pPr>
              <w:keepNext/>
              <w:spacing w:after="0"/>
              <w:jc w:val="center"/>
              <w:rPr>
                <w:rFonts w:ascii="Arial" w:eastAsia="Times New Roman" w:hAnsi="Arial" w:cs="Arial"/>
                <w:sz w:val="20"/>
                <w:lang w:eastAsia="en-AU"/>
              </w:rPr>
            </w:pPr>
            <w:r w:rsidRPr="00A03AE6">
              <w:rPr>
                <w:rFonts w:ascii="Arial" w:eastAsia="Times New Roman" w:hAnsi="Arial" w:cs="Arial"/>
                <w:sz w:val="20"/>
                <w:lang w:eastAsia="en-AU"/>
              </w:rPr>
              <w:t>100</w:t>
            </w:r>
          </w:p>
        </w:tc>
      </w:tr>
      <w:tr w:rsidR="00691DA8" w:rsidRPr="00A03AE6" w:rsidTr="000D0502">
        <w:trPr>
          <w:tblHeader/>
        </w:trPr>
        <w:tc>
          <w:tcPr>
            <w:tcW w:w="1463" w:type="pct"/>
            <w:shd w:val="clear" w:color="auto" w:fill="auto"/>
            <w:vAlign w:val="center"/>
            <w:hideMark/>
          </w:tcPr>
          <w:p w:rsidR="00691DA8" w:rsidRPr="00A03AE6" w:rsidRDefault="00691DA8" w:rsidP="00691DA8">
            <w:pPr>
              <w:spacing w:after="0"/>
              <w:rPr>
                <w:rFonts w:ascii="Arial" w:eastAsia="Times New Roman" w:hAnsi="Arial" w:cs="Arial"/>
                <w:sz w:val="20"/>
                <w:lang w:eastAsia="en-AU"/>
              </w:rPr>
            </w:pPr>
            <w:r w:rsidRPr="00A03AE6">
              <w:rPr>
                <w:rFonts w:ascii="Arial" w:eastAsia="Times New Roman" w:hAnsi="Arial" w:cs="Arial"/>
                <w:sz w:val="20"/>
                <w:lang w:eastAsia="en-AU"/>
              </w:rPr>
              <w:t xml:space="preserve">Small businesses </w:t>
            </w:r>
          </w:p>
        </w:tc>
        <w:tc>
          <w:tcPr>
            <w:tcW w:w="1554" w:type="pct"/>
            <w:shd w:val="clear" w:color="auto" w:fill="auto"/>
            <w:vAlign w:val="center"/>
            <w:hideMark/>
          </w:tcPr>
          <w:p w:rsidR="00691DA8" w:rsidRPr="00A03AE6" w:rsidRDefault="00691DA8" w:rsidP="00691DA8">
            <w:pPr>
              <w:spacing w:after="0"/>
              <w:jc w:val="center"/>
              <w:rPr>
                <w:rFonts w:ascii="Arial" w:eastAsia="Times New Roman" w:hAnsi="Arial" w:cs="Arial"/>
                <w:sz w:val="20"/>
                <w:lang w:eastAsia="en-AU"/>
              </w:rPr>
            </w:pPr>
            <w:r w:rsidRPr="00A03AE6">
              <w:rPr>
                <w:rFonts w:ascii="Arial" w:eastAsia="Times New Roman" w:hAnsi="Arial" w:cs="Arial"/>
                <w:sz w:val="20"/>
                <w:lang w:eastAsia="en-AU"/>
              </w:rPr>
              <w:t>&lt;20</w:t>
            </w:r>
          </w:p>
        </w:tc>
        <w:tc>
          <w:tcPr>
            <w:tcW w:w="1983" w:type="pct"/>
            <w:shd w:val="clear" w:color="auto" w:fill="auto"/>
            <w:vAlign w:val="center"/>
            <w:hideMark/>
          </w:tcPr>
          <w:p w:rsidR="00691DA8" w:rsidRPr="00A03AE6" w:rsidRDefault="00691DA8" w:rsidP="00691DA8">
            <w:pPr>
              <w:spacing w:after="0"/>
              <w:jc w:val="center"/>
              <w:rPr>
                <w:rFonts w:ascii="Arial" w:eastAsia="Times New Roman" w:hAnsi="Arial" w:cs="Arial"/>
                <w:sz w:val="20"/>
                <w:lang w:eastAsia="en-AU"/>
              </w:rPr>
            </w:pPr>
            <w:r w:rsidRPr="00A03AE6">
              <w:rPr>
                <w:rFonts w:ascii="Arial" w:eastAsia="Times New Roman" w:hAnsi="Arial" w:cs="Arial"/>
                <w:sz w:val="20"/>
                <w:lang w:eastAsia="en-AU"/>
              </w:rPr>
              <w:t>500</w:t>
            </w:r>
          </w:p>
        </w:tc>
      </w:tr>
    </w:tbl>
    <w:p w:rsidR="00691DA8" w:rsidRPr="004C4DEF" w:rsidRDefault="00691DA8" w:rsidP="004C4DEF">
      <w:pPr>
        <w:rPr>
          <w:b/>
        </w:rPr>
      </w:pPr>
      <w:r w:rsidRPr="004C4DEF">
        <w:rPr>
          <w:b/>
        </w:rPr>
        <w:t>Cost parameters</w:t>
      </w:r>
    </w:p>
    <w:p w:rsidR="00691DA8" w:rsidRDefault="00691DA8" w:rsidP="00691DA8">
      <w:r>
        <w:t>Submissions to the Consultation RIS provided information about the costs of complying with the current requirements of the model WHS regulations and estimates of the additional costs that would be incurred for the options proposed.</w:t>
      </w:r>
    </w:p>
    <w:p w:rsidR="00691DA8" w:rsidRDefault="00691DA8" w:rsidP="00E77182">
      <w:pPr>
        <w:pStyle w:val="Heading4"/>
      </w:pPr>
      <w:r>
        <w:t xml:space="preserve">Blood lead level testing </w:t>
      </w:r>
    </w:p>
    <w:p w:rsidR="00691DA8" w:rsidRDefault="00691DA8" w:rsidP="00691DA8">
      <w:r>
        <w:t>Most organisations currently undertake blood lead level testing of their workforce onsite, using an occupational health nurse, who will typically visit a work site during business hours to conduct the test. The sample is usually then sent to a pathology provider and the results sent back to the employer. The typical costs involved in this process are:</w:t>
      </w:r>
    </w:p>
    <w:p w:rsidR="00691DA8" w:rsidRDefault="00691DA8" w:rsidP="00263482">
      <w:pPr>
        <w:pStyle w:val="ListParagraph"/>
        <w:numPr>
          <w:ilvl w:val="0"/>
          <w:numId w:val="47"/>
        </w:numPr>
      </w:pPr>
      <w:r>
        <w:t>costs associated with undertaking the test (e.g. employing an occupational nurse or having one attend the workplace)</w:t>
      </w:r>
    </w:p>
    <w:p w:rsidR="00691DA8" w:rsidRDefault="00691DA8" w:rsidP="00263482">
      <w:pPr>
        <w:pStyle w:val="ListParagraph"/>
        <w:numPr>
          <w:ilvl w:val="0"/>
          <w:numId w:val="47"/>
        </w:numPr>
      </w:pPr>
      <w:r>
        <w:t>pathology costs, and</w:t>
      </w:r>
    </w:p>
    <w:p w:rsidR="00691DA8" w:rsidRDefault="00691DA8" w:rsidP="00263482">
      <w:pPr>
        <w:pStyle w:val="ListParagraph"/>
        <w:numPr>
          <w:ilvl w:val="0"/>
          <w:numId w:val="47"/>
        </w:numPr>
      </w:pPr>
      <w:r>
        <w:t>the time taken by the worker to have their test.</w:t>
      </w:r>
    </w:p>
    <w:p w:rsidR="00691DA8" w:rsidRDefault="00691DA8" w:rsidP="00691DA8">
      <w:r>
        <w:t xml:space="preserve">Estimates provided by businesses for the cost of each test varied from $30 to over $100. </w:t>
      </w:r>
    </w:p>
    <w:p w:rsidR="00691DA8" w:rsidRDefault="00691DA8" w:rsidP="00691DA8">
      <w:r>
        <w:t xml:space="preserve">The average cost has been estimated at $55 per test, plus approximately 20 minutes of lost productive time, which has been valued at $31 (including on-costs) based on an estimate of the average earnings in lead-risk workplaces. </w:t>
      </w:r>
    </w:p>
    <w:p w:rsidR="00691DA8" w:rsidRDefault="00691DA8" w:rsidP="00691DA8">
      <w:r>
        <w:t>Therefore, the total estimated cost is $86 per test.</w:t>
      </w:r>
    </w:p>
    <w:p w:rsidR="00691DA8" w:rsidRDefault="00691DA8" w:rsidP="00E77182">
      <w:pPr>
        <w:pStyle w:val="Heading4"/>
      </w:pPr>
      <w:r>
        <w:t>Removal of workers from lead-risk work</w:t>
      </w:r>
    </w:p>
    <w:p w:rsidR="00691DA8" w:rsidRDefault="00691DA8" w:rsidP="00691DA8">
      <w:r>
        <w:t>When a worker is removed from lead risk work, either as a result of exceeding the relevant mandatory removal levels or a more stringent level applied by the employer, the worker will usually be assigned to other non-lead risk duties within the organisation. The costs associated with this can include:</w:t>
      </w:r>
    </w:p>
    <w:p w:rsidR="00691DA8" w:rsidRDefault="00691DA8" w:rsidP="00263482">
      <w:pPr>
        <w:pStyle w:val="ListParagraph"/>
        <w:numPr>
          <w:ilvl w:val="0"/>
          <w:numId w:val="48"/>
        </w:numPr>
      </w:pPr>
      <w:r>
        <w:t>training the removed worker to perform their new duties</w:t>
      </w:r>
    </w:p>
    <w:p w:rsidR="00691DA8" w:rsidRDefault="00691DA8" w:rsidP="00263482">
      <w:pPr>
        <w:pStyle w:val="ListParagraph"/>
        <w:numPr>
          <w:ilvl w:val="0"/>
          <w:numId w:val="48"/>
        </w:numPr>
      </w:pPr>
      <w:r>
        <w:t>training another worker to perform the duties of the removed worker</w:t>
      </w:r>
    </w:p>
    <w:p w:rsidR="00691DA8" w:rsidRDefault="00691DA8" w:rsidP="00263482">
      <w:pPr>
        <w:pStyle w:val="ListParagraph"/>
        <w:numPr>
          <w:ilvl w:val="0"/>
          <w:numId w:val="48"/>
        </w:numPr>
      </w:pPr>
      <w:r>
        <w:t>any differences in the wage rates of the two tasks, and</w:t>
      </w:r>
    </w:p>
    <w:p w:rsidR="00691DA8" w:rsidRDefault="00691DA8" w:rsidP="00263482">
      <w:pPr>
        <w:pStyle w:val="ListParagraph"/>
        <w:numPr>
          <w:ilvl w:val="0"/>
          <w:numId w:val="48"/>
        </w:numPr>
      </w:pPr>
      <w:r>
        <w:t>reduced productivity while the two workers become proficient in their new roles.</w:t>
      </w:r>
    </w:p>
    <w:p w:rsidR="00691DA8" w:rsidRDefault="00691DA8" w:rsidP="00691DA8">
      <w:r>
        <w:t xml:space="preserve">The quantum of these costs can vary depending on the role the removed worker was performing and the business they work for. Where the removed worker was performing a highly skilled role or was working in a remote area, the costs can be higher. </w:t>
      </w:r>
    </w:p>
    <w:p w:rsidR="00691DA8" w:rsidRDefault="00691DA8" w:rsidP="00691DA8">
      <w:r>
        <w:t>Large businesses, such as lead smelters and mining operations, may have greater capacity to move workers between lead-risk and non-lead risk roles. This can reduce the costs associated with removing workers. However, feedback has indicated that these businesses are generally located regional, rural or remote areas, which then has an offsetting effect on the predicted reduced costs due to additional travel costs for back filling a position or the inability to backfill a vacated position due to skills shortages. Taking these factors into account, the costs of removing workers from lead risk work is assumed to be similar for all businesses regardless of their size.</w:t>
      </w:r>
    </w:p>
    <w:p w:rsidR="00691DA8" w:rsidRDefault="00691DA8" w:rsidP="00691DA8">
      <w:r>
        <w:t>The costs of removing a worker are also driven by the length of time the worker is removed from lead risk work. Businesses reported that it can take between one week and six months for a removed worker’s blood lead levels to fall back below the relevant thresholds. Businesses reported that it generally takes longer for the blood lead levels of older workers with extensive industry experience to reduce than younger workers or those newer to the industry. This can contribute to higher costs, as older workers often undertaking the most skilled work. The most common length of time that a worker is removed form lead risk work is two months.</w:t>
      </w:r>
    </w:p>
    <w:p w:rsidR="00691DA8" w:rsidRDefault="00691DA8" w:rsidP="00691DA8">
      <w:r>
        <w:t xml:space="preserve">The cost of removing a worker from lead risk work is estimated to be $3,240. This is based on businesses needing to: </w:t>
      </w:r>
    </w:p>
    <w:p w:rsidR="00691DA8" w:rsidRDefault="00691DA8" w:rsidP="00263482">
      <w:pPr>
        <w:pStyle w:val="ListParagraph"/>
        <w:numPr>
          <w:ilvl w:val="0"/>
          <w:numId w:val="60"/>
        </w:numPr>
      </w:pPr>
      <w:r>
        <w:t>undertake three hours of training for both the removed worker (to undertake their new role) and their replacement</w:t>
      </w:r>
    </w:p>
    <w:p w:rsidR="00691DA8" w:rsidRDefault="00691DA8" w:rsidP="00263482">
      <w:pPr>
        <w:pStyle w:val="ListParagraph"/>
        <w:numPr>
          <w:ilvl w:val="0"/>
          <w:numId w:val="60"/>
        </w:numPr>
      </w:pPr>
      <w:r>
        <w:t xml:space="preserve">pay a 10 per cent wage premium paid for an average of two months that a worker is removed, and </w:t>
      </w:r>
    </w:p>
    <w:p w:rsidR="00691DA8" w:rsidRDefault="00691DA8" w:rsidP="00263482">
      <w:pPr>
        <w:pStyle w:val="ListParagraph"/>
        <w:numPr>
          <w:ilvl w:val="0"/>
          <w:numId w:val="60"/>
        </w:numPr>
      </w:pPr>
      <w:r>
        <w:t xml:space="preserve">a modest estimate of lost productivity. </w:t>
      </w:r>
    </w:p>
    <w:p w:rsidR="00691DA8" w:rsidRPr="00C861FE" w:rsidRDefault="00691DA8" w:rsidP="00691DA8">
      <w:r>
        <w:t xml:space="preserve">The calculations behind these figures are shown in </w:t>
      </w:r>
      <w:r>
        <w:fldChar w:fldCharType="begin"/>
      </w:r>
      <w:r>
        <w:instrText xml:space="preserve"> REF _Ref455489129 \h </w:instrText>
      </w:r>
      <w:r>
        <w:fldChar w:fldCharType="separate"/>
      </w:r>
      <w:r w:rsidR="00052CE1">
        <w:t xml:space="preserve">Table </w:t>
      </w:r>
      <w:r w:rsidR="00052CE1">
        <w:rPr>
          <w:noProof/>
        </w:rPr>
        <w:t>9</w:t>
      </w:r>
      <w:r>
        <w:fldChar w:fldCharType="end"/>
      </w:r>
      <w:r>
        <w:t xml:space="preserve"> and </w:t>
      </w:r>
      <w:r>
        <w:fldChar w:fldCharType="begin"/>
      </w:r>
      <w:r>
        <w:instrText xml:space="preserve"> REF _Ref455489136 \h </w:instrText>
      </w:r>
      <w:r>
        <w:fldChar w:fldCharType="separate"/>
      </w:r>
      <w:r w:rsidR="00052CE1">
        <w:t xml:space="preserve">Table </w:t>
      </w:r>
      <w:r w:rsidR="00052CE1">
        <w:rPr>
          <w:noProof/>
        </w:rPr>
        <w:t>10</w:t>
      </w:r>
      <w:r>
        <w:fldChar w:fldCharType="end"/>
      </w:r>
      <w:r>
        <w:t xml:space="preserve"> below. </w:t>
      </w:r>
    </w:p>
    <w:p w:rsidR="00691DA8" w:rsidRDefault="00691DA8" w:rsidP="00691DA8">
      <w:pPr>
        <w:pStyle w:val="TableHeadingText"/>
      </w:pPr>
      <w:bookmarkStart w:id="98" w:name="_Ref455489129"/>
      <w:r>
        <w:t xml:space="preserve">Table </w:t>
      </w:r>
      <w:r w:rsidR="00CB69C0">
        <w:fldChar w:fldCharType="begin"/>
      </w:r>
      <w:r w:rsidR="00CB69C0">
        <w:instrText xml:space="preserve"> SEQ Table \* ARABIC </w:instrText>
      </w:r>
      <w:r w:rsidR="00CB69C0">
        <w:fldChar w:fldCharType="separate"/>
      </w:r>
      <w:r w:rsidR="00052CE1">
        <w:rPr>
          <w:noProof/>
        </w:rPr>
        <w:t>9</w:t>
      </w:r>
      <w:r w:rsidR="00CB69C0">
        <w:rPr>
          <w:noProof/>
        </w:rPr>
        <w:fldChar w:fldCharType="end"/>
      </w:r>
      <w:bookmarkEnd w:id="98"/>
      <w:r>
        <w:t xml:space="preserve">. </w:t>
      </w:r>
      <w:r w:rsidRPr="00263C91">
        <w:rPr>
          <w:b w:val="0"/>
        </w:rPr>
        <w:t>Calculation of wage rates for the lead workforce</w:t>
      </w:r>
    </w:p>
    <w:tbl>
      <w:tblPr>
        <w:tblStyle w:val="TableGrid"/>
        <w:tblW w:w="5000" w:type="pct"/>
        <w:tblLook w:val="04A0" w:firstRow="1" w:lastRow="0" w:firstColumn="1" w:lastColumn="0" w:noHBand="0" w:noVBand="1"/>
        <w:tblCaption w:val="Table 9"/>
        <w:tblDescription w:val="Table 9. Calculation of wage rates for the lead workforce."/>
      </w:tblPr>
      <w:tblGrid>
        <w:gridCol w:w="3101"/>
        <w:gridCol w:w="1709"/>
        <w:gridCol w:w="4814"/>
      </w:tblGrid>
      <w:tr w:rsidR="00691DA8" w:rsidRPr="00A03AE6" w:rsidTr="00691DA8">
        <w:trPr>
          <w:cantSplit/>
          <w:tblHeader/>
        </w:trPr>
        <w:tc>
          <w:tcPr>
            <w:tcW w:w="1611" w:type="pct"/>
            <w:shd w:val="clear" w:color="auto" w:fill="BFBFBF" w:themeFill="background1" w:themeFillShade="BF"/>
            <w:vAlign w:val="center"/>
          </w:tcPr>
          <w:p w:rsidR="00691DA8" w:rsidRPr="00A03AE6" w:rsidRDefault="00691DA8" w:rsidP="00A1462F">
            <w:pPr>
              <w:pStyle w:val="BodyText"/>
              <w:keepNext/>
              <w:spacing w:line="240" w:lineRule="auto"/>
              <w:rPr>
                <w:rFonts w:asciiTheme="majorHAnsi" w:hAnsiTheme="majorHAnsi" w:cstheme="majorHAnsi"/>
                <w:b/>
                <w:sz w:val="20"/>
              </w:rPr>
            </w:pPr>
            <w:r>
              <w:rPr>
                <w:rFonts w:asciiTheme="majorHAnsi" w:hAnsiTheme="majorHAnsi" w:cstheme="majorHAnsi"/>
                <w:b/>
                <w:sz w:val="20"/>
              </w:rPr>
              <w:t>Wage costs</w:t>
            </w:r>
          </w:p>
        </w:tc>
        <w:tc>
          <w:tcPr>
            <w:tcW w:w="888" w:type="pct"/>
            <w:shd w:val="clear" w:color="auto" w:fill="BFBFBF" w:themeFill="background1" w:themeFillShade="BF"/>
            <w:vAlign w:val="center"/>
          </w:tcPr>
          <w:p w:rsidR="00691DA8" w:rsidRPr="00A03AE6" w:rsidRDefault="00691DA8" w:rsidP="00A1462F">
            <w:pPr>
              <w:pStyle w:val="BodyText"/>
              <w:keepNext/>
              <w:spacing w:line="240" w:lineRule="auto"/>
              <w:jc w:val="center"/>
              <w:rPr>
                <w:rFonts w:asciiTheme="majorHAnsi" w:hAnsiTheme="majorHAnsi" w:cstheme="majorHAnsi"/>
                <w:b/>
                <w:sz w:val="20"/>
              </w:rPr>
            </w:pPr>
            <w:r>
              <w:rPr>
                <w:rFonts w:asciiTheme="majorHAnsi" w:hAnsiTheme="majorHAnsi" w:cstheme="majorHAnsi"/>
                <w:b/>
                <w:sz w:val="20"/>
              </w:rPr>
              <w:t>Value</w:t>
            </w:r>
          </w:p>
        </w:tc>
        <w:tc>
          <w:tcPr>
            <w:tcW w:w="2501" w:type="pct"/>
            <w:shd w:val="clear" w:color="auto" w:fill="BFBFBF" w:themeFill="background1" w:themeFillShade="BF"/>
            <w:vAlign w:val="center"/>
          </w:tcPr>
          <w:p w:rsidR="00691DA8" w:rsidRPr="00A03AE6" w:rsidRDefault="00691DA8" w:rsidP="00A1462F">
            <w:pPr>
              <w:pStyle w:val="BodyText"/>
              <w:keepNext/>
              <w:spacing w:line="240" w:lineRule="auto"/>
              <w:rPr>
                <w:rFonts w:asciiTheme="majorHAnsi" w:hAnsiTheme="majorHAnsi" w:cstheme="majorHAnsi"/>
                <w:b/>
                <w:sz w:val="20"/>
              </w:rPr>
            </w:pPr>
            <w:r>
              <w:rPr>
                <w:rFonts w:asciiTheme="majorHAnsi" w:hAnsiTheme="majorHAnsi" w:cstheme="majorHAnsi"/>
                <w:b/>
                <w:sz w:val="20"/>
              </w:rPr>
              <w:t>Assumptions</w:t>
            </w:r>
          </w:p>
        </w:tc>
      </w:tr>
      <w:tr w:rsidR="00691DA8" w:rsidRPr="00A03AE6" w:rsidTr="00691DA8">
        <w:trPr>
          <w:cantSplit/>
        </w:trPr>
        <w:tc>
          <w:tcPr>
            <w:tcW w:w="1611" w:type="pct"/>
            <w:vAlign w:val="center"/>
          </w:tcPr>
          <w:p w:rsidR="00691DA8" w:rsidRPr="00A03AE6" w:rsidRDefault="00691DA8" w:rsidP="00A1462F">
            <w:pPr>
              <w:keepNext/>
              <w:rPr>
                <w:rFonts w:asciiTheme="majorHAnsi" w:hAnsiTheme="majorHAnsi" w:cstheme="majorHAnsi"/>
                <w:color w:val="000000"/>
                <w:sz w:val="20"/>
              </w:rPr>
            </w:pPr>
            <w:r>
              <w:rPr>
                <w:rFonts w:asciiTheme="majorHAnsi" w:hAnsiTheme="majorHAnsi" w:cstheme="majorHAnsi"/>
                <w:color w:val="000000"/>
                <w:sz w:val="20"/>
              </w:rPr>
              <w:t>Average wage costs (per hour)</w:t>
            </w:r>
          </w:p>
        </w:tc>
        <w:tc>
          <w:tcPr>
            <w:tcW w:w="888" w:type="pct"/>
            <w:vAlign w:val="center"/>
          </w:tcPr>
          <w:p w:rsidR="00691DA8" w:rsidRPr="00A03AE6" w:rsidRDefault="00691DA8" w:rsidP="00A1462F">
            <w:pPr>
              <w:keepNext/>
              <w:jc w:val="center"/>
              <w:rPr>
                <w:rFonts w:asciiTheme="majorHAnsi" w:hAnsiTheme="majorHAnsi" w:cstheme="majorHAnsi"/>
                <w:color w:val="000000"/>
                <w:sz w:val="20"/>
              </w:rPr>
            </w:pPr>
            <w:r w:rsidRPr="00A03AE6">
              <w:rPr>
                <w:rFonts w:asciiTheme="majorHAnsi" w:hAnsiTheme="majorHAnsi" w:cstheme="majorHAnsi"/>
                <w:color w:val="000000"/>
                <w:sz w:val="20"/>
              </w:rPr>
              <w:t>$</w:t>
            </w:r>
            <w:r>
              <w:rPr>
                <w:rFonts w:asciiTheme="majorHAnsi" w:hAnsiTheme="majorHAnsi" w:cstheme="majorHAnsi"/>
                <w:color w:val="000000"/>
                <w:sz w:val="20"/>
              </w:rPr>
              <w:t>53.41</w:t>
            </w:r>
          </w:p>
        </w:tc>
        <w:tc>
          <w:tcPr>
            <w:tcW w:w="2501" w:type="pct"/>
            <w:vAlign w:val="center"/>
          </w:tcPr>
          <w:p w:rsidR="00691DA8" w:rsidRPr="00A03AE6" w:rsidRDefault="00691DA8" w:rsidP="00A1462F">
            <w:pPr>
              <w:keepNext/>
              <w:rPr>
                <w:rFonts w:asciiTheme="majorHAnsi" w:hAnsiTheme="majorHAnsi" w:cstheme="majorHAnsi"/>
                <w:color w:val="000000"/>
                <w:sz w:val="20"/>
              </w:rPr>
            </w:pPr>
            <w:r>
              <w:rPr>
                <w:rFonts w:asciiTheme="majorHAnsi" w:hAnsiTheme="majorHAnsi" w:cstheme="majorHAnsi"/>
                <w:color w:val="000000"/>
                <w:sz w:val="20"/>
              </w:rPr>
              <w:t>Based on ABS wage figures, for the industries that make up the lead workforce</w:t>
            </w:r>
          </w:p>
        </w:tc>
      </w:tr>
      <w:tr w:rsidR="00691DA8" w:rsidRPr="00A03AE6" w:rsidTr="00691DA8">
        <w:trPr>
          <w:cantSplit/>
        </w:trPr>
        <w:tc>
          <w:tcPr>
            <w:tcW w:w="1611" w:type="pct"/>
            <w:vAlign w:val="center"/>
          </w:tcPr>
          <w:p w:rsidR="00691DA8" w:rsidRPr="00A03AE6" w:rsidRDefault="00691DA8" w:rsidP="00691DA8">
            <w:pPr>
              <w:rPr>
                <w:rFonts w:asciiTheme="majorHAnsi" w:hAnsiTheme="majorHAnsi" w:cstheme="majorHAnsi"/>
                <w:color w:val="000000"/>
                <w:sz w:val="20"/>
              </w:rPr>
            </w:pPr>
            <w:r>
              <w:rPr>
                <w:rFonts w:asciiTheme="majorHAnsi" w:hAnsiTheme="majorHAnsi" w:cstheme="majorHAnsi"/>
                <w:color w:val="000000"/>
                <w:sz w:val="20"/>
              </w:rPr>
              <w:t>N</w:t>
            </w:r>
            <w:r w:rsidRPr="00116C34">
              <w:rPr>
                <w:rFonts w:asciiTheme="majorHAnsi" w:hAnsiTheme="majorHAnsi" w:cstheme="majorHAnsi"/>
                <w:color w:val="000000"/>
                <w:sz w:val="20"/>
              </w:rPr>
              <w:t>on-wage labour on-costs and overheads</w:t>
            </w:r>
          </w:p>
        </w:tc>
        <w:tc>
          <w:tcPr>
            <w:tcW w:w="888" w:type="pct"/>
            <w:vAlign w:val="center"/>
          </w:tcPr>
          <w:p w:rsidR="00691DA8" w:rsidRPr="00A03AE6" w:rsidRDefault="00691DA8" w:rsidP="00691DA8">
            <w:pPr>
              <w:jc w:val="center"/>
              <w:rPr>
                <w:rFonts w:asciiTheme="majorHAnsi" w:hAnsiTheme="majorHAnsi" w:cstheme="majorHAnsi"/>
                <w:color w:val="000000"/>
                <w:sz w:val="20"/>
              </w:rPr>
            </w:pPr>
            <w:r>
              <w:rPr>
                <w:rFonts w:asciiTheme="majorHAnsi" w:hAnsiTheme="majorHAnsi" w:cstheme="majorHAnsi"/>
                <w:color w:val="000000"/>
                <w:sz w:val="20"/>
              </w:rPr>
              <w:t>75%</w:t>
            </w:r>
          </w:p>
        </w:tc>
        <w:tc>
          <w:tcPr>
            <w:tcW w:w="2501" w:type="pct"/>
            <w:vAlign w:val="center"/>
          </w:tcPr>
          <w:p w:rsidR="00691DA8" w:rsidRPr="00A03AE6" w:rsidRDefault="00691DA8" w:rsidP="00691DA8">
            <w:pPr>
              <w:rPr>
                <w:rFonts w:asciiTheme="majorHAnsi" w:hAnsiTheme="majorHAnsi" w:cstheme="majorHAnsi"/>
                <w:color w:val="000000"/>
                <w:sz w:val="20"/>
              </w:rPr>
            </w:pPr>
            <w:r>
              <w:rPr>
                <w:rFonts w:asciiTheme="majorHAnsi" w:hAnsiTheme="majorHAnsi" w:cstheme="majorHAnsi"/>
                <w:color w:val="000000"/>
                <w:sz w:val="20"/>
              </w:rPr>
              <w:t>This rate is c</w:t>
            </w:r>
            <w:r w:rsidRPr="007B05BF">
              <w:rPr>
                <w:rFonts w:asciiTheme="majorHAnsi" w:hAnsiTheme="majorHAnsi" w:cstheme="majorHAnsi"/>
                <w:color w:val="000000"/>
                <w:sz w:val="20"/>
              </w:rPr>
              <w:t xml:space="preserve">onsistent with the </w:t>
            </w:r>
            <w:hyperlink r:id="rId30" w:history="1">
              <w:r w:rsidRPr="00596395">
                <w:rPr>
                  <w:rStyle w:val="Hyperlink"/>
                  <w:rFonts w:asciiTheme="majorHAnsi" w:hAnsiTheme="majorHAnsi" w:cstheme="majorHAnsi"/>
                  <w:sz w:val="20"/>
                </w:rPr>
                <w:t>guidance note</w:t>
              </w:r>
            </w:hyperlink>
            <w:r w:rsidRPr="007B05BF">
              <w:rPr>
                <w:rFonts w:asciiTheme="majorHAnsi" w:hAnsiTheme="majorHAnsi" w:cstheme="majorHAnsi"/>
                <w:color w:val="000000"/>
                <w:sz w:val="20"/>
              </w:rPr>
              <w:t xml:space="preserve"> on the Regulatory Burden Measurement Framework from the OBPR</w:t>
            </w:r>
          </w:p>
        </w:tc>
      </w:tr>
      <w:tr w:rsidR="00691DA8" w:rsidRPr="00B16537" w:rsidTr="004B1AD5">
        <w:trPr>
          <w:cantSplit/>
        </w:trPr>
        <w:tc>
          <w:tcPr>
            <w:tcW w:w="1611" w:type="pct"/>
            <w:shd w:val="clear" w:color="auto" w:fill="D9D9D9" w:themeFill="background1" w:themeFillShade="D9"/>
            <w:vAlign w:val="center"/>
          </w:tcPr>
          <w:p w:rsidR="00691DA8" w:rsidRPr="00B16537" w:rsidRDefault="00691DA8" w:rsidP="00691DA8">
            <w:pPr>
              <w:rPr>
                <w:rFonts w:asciiTheme="majorHAnsi" w:hAnsiTheme="majorHAnsi" w:cstheme="majorHAnsi"/>
                <w:b/>
                <w:color w:val="000000"/>
                <w:sz w:val="20"/>
              </w:rPr>
            </w:pPr>
            <w:r w:rsidRPr="00B16537">
              <w:rPr>
                <w:rFonts w:asciiTheme="majorHAnsi" w:hAnsiTheme="majorHAnsi" w:cstheme="majorHAnsi"/>
                <w:b/>
                <w:color w:val="000000"/>
                <w:sz w:val="20"/>
              </w:rPr>
              <w:t>Total wage costs (per hour)</w:t>
            </w:r>
          </w:p>
        </w:tc>
        <w:tc>
          <w:tcPr>
            <w:tcW w:w="3389" w:type="pct"/>
            <w:gridSpan w:val="2"/>
            <w:shd w:val="clear" w:color="auto" w:fill="D9D9D9" w:themeFill="background1" w:themeFillShade="D9"/>
            <w:vAlign w:val="center"/>
          </w:tcPr>
          <w:p w:rsidR="00691DA8" w:rsidRPr="00B16537" w:rsidRDefault="00691DA8" w:rsidP="00691DA8">
            <w:pPr>
              <w:jc w:val="center"/>
              <w:rPr>
                <w:rFonts w:asciiTheme="majorHAnsi" w:hAnsiTheme="majorHAnsi" w:cstheme="majorHAnsi"/>
                <w:b/>
                <w:color w:val="000000"/>
                <w:sz w:val="20"/>
              </w:rPr>
            </w:pPr>
            <w:r w:rsidRPr="00B16537">
              <w:rPr>
                <w:rFonts w:asciiTheme="majorHAnsi" w:hAnsiTheme="majorHAnsi" w:cstheme="majorHAnsi"/>
                <w:b/>
                <w:color w:val="000000"/>
                <w:sz w:val="20"/>
              </w:rPr>
              <w:t>$93.46</w:t>
            </w:r>
          </w:p>
        </w:tc>
      </w:tr>
    </w:tbl>
    <w:p w:rsidR="00691DA8" w:rsidRDefault="00691DA8" w:rsidP="00691DA8">
      <w:pPr>
        <w:pStyle w:val="TableHeadingText"/>
      </w:pPr>
    </w:p>
    <w:p w:rsidR="00691DA8" w:rsidRPr="00263C91" w:rsidRDefault="00691DA8" w:rsidP="00691DA8">
      <w:pPr>
        <w:pStyle w:val="TableHeadingText"/>
        <w:rPr>
          <w:b w:val="0"/>
        </w:rPr>
      </w:pPr>
      <w:bookmarkStart w:id="99" w:name="_Ref455489136"/>
      <w:r>
        <w:t xml:space="preserve">Table </w:t>
      </w:r>
      <w:r w:rsidR="00CB69C0">
        <w:fldChar w:fldCharType="begin"/>
      </w:r>
      <w:r w:rsidR="00CB69C0">
        <w:instrText xml:space="preserve"> SEQ Table \* ARABIC </w:instrText>
      </w:r>
      <w:r w:rsidR="00CB69C0">
        <w:fldChar w:fldCharType="separate"/>
      </w:r>
      <w:r w:rsidR="00052CE1">
        <w:rPr>
          <w:noProof/>
        </w:rPr>
        <w:t>10</w:t>
      </w:r>
      <w:r w:rsidR="00CB69C0">
        <w:rPr>
          <w:noProof/>
        </w:rPr>
        <w:fldChar w:fldCharType="end"/>
      </w:r>
      <w:bookmarkEnd w:id="99"/>
      <w:r>
        <w:t xml:space="preserve">. </w:t>
      </w:r>
      <w:r w:rsidRPr="00263C91">
        <w:rPr>
          <w:b w:val="0"/>
        </w:rPr>
        <w:t>Calculation of the cost of removing workers from lead-risk work</w:t>
      </w:r>
    </w:p>
    <w:tbl>
      <w:tblPr>
        <w:tblStyle w:val="TableGrid"/>
        <w:tblW w:w="5000" w:type="pct"/>
        <w:tblLook w:val="04A0" w:firstRow="1" w:lastRow="0" w:firstColumn="1" w:lastColumn="0" w:noHBand="0" w:noVBand="1"/>
        <w:tblCaption w:val="Table 10"/>
        <w:tblDescription w:val="Table 10. Calculation of the cost of removing workers from lead-risk work"/>
      </w:tblPr>
      <w:tblGrid>
        <w:gridCol w:w="3386"/>
        <w:gridCol w:w="1424"/>
        <w:gridCol w:w="4814"/>
      </w:tblGrid>
      <w:tr w:rsidR="00691DA8" w:rsidRPr="00A03AE6" w:rsidTr="00691DA8">
        <w:trPr>
          <w:cantSplit/>
          <w:tblHeader/>
        </w:trPr>
        <w:tc>
          <w:tcPr>
            <w:tcW w:w="1759" w:type="pct"/>
            <w:shd w:val="clear" w:color="auto" w:fill="BFBFBF" w:themeFill="background1" w:themeFillShade="BF"/>
            <w:vAlign w:val="center"/>
          </w:tcPr>
          <w:p w:rsidR="00691DA8" w:rsidRPr="00A03AE6" w:rsidRDefault="00691DA8" w:rsidP="00691DA8">
            <w:pPr>
              <w:pStyle w:val="BodyText"/>
              <w:keepNext/>
              <w:rPr>
                <w:rFonts w:asciiTheme="majorHAnsi" w:hAnsiTheme="majorHAnsi" w:cstheme="majorHAnsi"/>
                <w:b/>
                <w:sz w:val="20"/>
              </w:rPr>
            </w:pPr>
            <w:r>
              <w:rPr>
                <w:rFonts w:asciiTheme="majorHAnsi" w:hAnsiTheme="majorHAnsi" w:cstheme="majorHAnsi"/>
                <w:b/>
                <w:sz w:val="20"/>
              </w:rPr>
              <w:t>Wage costs</w:t>
            </w:r>
          </w:p>
        </w:tc>
        <w:tc>
          <w:tcPr>
            <w:tcW w:w="740" w:type="pct"/>
            <w:shd w:val="clear" w:color="auto" w:fill="BFBFBF" w:themeFill="background1" w:themeFillShade="BF"/>
            <w:vAlign w:val="center"/>
          </w:tcPr>
          <w:p w:rsidR="00691DA8" w:rsidRPr="00A03AE6" w:rsidRDefault="00691DA8" w:rsidP="00691DA8">
            <w:pPr>
              <w:pStyle w:val="BodyText"/>
              <w:keepNext/>
              <w:jc w:val="center"/>
              <w:rPr>
                <w:rFonts w:asciiTheme="majorHAnsi" w:hAnsiTheme="majorHAnsi" w:cstheme="majorHAnsi"/>
                <w:b/>
                <w:sz w:val="20"/>
              </w:rPr>
            </w:pPr>
            <w:r>
              <w:rPr>
                <w:rFonts w:asciiTheme="majorHAnsi" w:hAnsiTheme="majorHAnsi" w:cstheme="majorHAnsi"/>
                <w:b/>
                <w:sz w:val="20"/>
              </w:rPr>
              <w:t>Value</w:t>
            </w:r>
          </w:p>
        </w:tc>
        <w:tc>
          <w:tcPr>
            <w:tcW w:w="2501" w:type="pct"/>
            <w:shd w:val="clear" w:color="auto" w:fill="BFBFBF" w:themeFill="background1" w:themeFillShade="BF"/>
            <w:vAlign w:val="center"/>
          </w:tcPr>
          <w:p w:rsidR="00691DA8" w:rsidRPr="00A03AE6" w:rsidRDefault="00691DA8" w:rsidP="00691DA8">
            <w:pPr>
              <w:pStyle w:val="BodyText"/>
              <w:keepNext/>
              <w:rPr>
                <w:rFonts w:asciiTheme="majorHAnsi" w:hAnsiTheme="majorHAnsi" w:cstheme="majorHAnsi"/>
                <w:b/>
                <w:sz w:val="20"/>
              </w:rPr>
            </w:pPr>
            <w:r>
              <w:rPr>
                <w:rFonts w:asciiTheme="majorHAnsi" w:hAnsiTheme="majorHAnsi" w:cstheme="majorHAnsi"/>
                <w:b/>
                <w:sz w:val="20"/>
              </w:rPr>
              <w:t>Assumptions</w:t>
            </w:r>
          </w:p>
        </w:tc>
      </w:tr>
      <w:tr w:rsidR="00691DA8" w:rsidRPr="00A03AE6" w:rsidTr="00691DA8">
        <w:trPr>
          <w:cantSplit/>
        </w:trPr>
        <w:tc>
          <w:tcPr>
            <w:tcW w:w="1759" w:type="pct"/>
            <w:vAlign w:val="center"/>
          </w:tcPr>
          <w:p w:rsidR="00691DA8" w:rsidRDefault="00691DA8" w:rsidP="00691DA8">
            <w:pPr>
              <w:rPr>
                <w:rFonts w:asciiTheme="majorHAnsi" w:hAnsiTheme="majorHAnsi" w:cstheme="majorHAnsi"/>
                <w:color w:val="000000"/>
                <w:sz w:val="20"/>
              </w:rPr>
            </w:pPr>
            <w:r>
              <w:rPr>
                <w:rFonts w:asciiTheme="majorHAnsi" w:hAnsiTheme="majorHAnsi" w:cstheme="majorHAnsi"/>
                <w:color w:val="000000"/>
                <w:sz w:val="20"/>
              </w:rPr>
              <w:t xml:space="preserve">Training costs </w:t>
            </w:r>
          </w:p>
          <w:p w:rsidR="00691DA8" w:rsidRPr="00A03AE6" w:rsidRDefault="00691DA8" w:rsidP="00691DA8">
            <w:pPr>
              <w:rPr>
                <w:rFonts w:asciiTheme="majorHAnsi" w:hAnsiTheme="majorHAnsi" w:cstheme="majorHAnsi"/>
                <w:color w:val="000000"/>
                <w:sz w:val="20"/>
              </w:rPr>
            </w:pPr>
            <w:r>
              <w:rPr>
                <w:rFonts w:asciiTheme="majorHAnsi" w:hAnsiTheme="majorHAnsi" w:cstheme="majorHAnsi"/>
                <w:color w:val="000000"/>
                <w:sz w:val="20"/>
              </w:rPr>
              <w:t>(12 hrs)</w:t>
            </w:r>
          </w:p>
        </w:tc>
        <w:tc>
          <w:tcPr>
            <w:tcW w:w="740" w:type="pct"/>
            <w:vAlign w:val="center"/>
          </w:tcPr>
          <w:p w:rsidR="00691DA8" w:rsidRPr="00A03AE6" w:rsidRDefault="00691DA8" w:rsidP="00691DA8">
            <w:pPr>
              <w:jc w:val="center"/>
              <w:rPr>
                <w:rFonts w:asciiTheme="majorHAnsi" w:hAnsiTheme="majorHAnsi" w:cstheme="majorHAnsi"/>
                <w:color w:val="000000"/>
                <w:sz w:val="20"/>
              </w:rPr>
            </w:pPr>
            <w:r>
              <w:rPr>
                <w:rFonts w:asciiTheme="majorHAnsi" w:hAnsiTheme="majorHAnsi" w:cstheme="majorHAnsi"/>
                <w:color w:val="000000"/>
                <w:sz w:val="20"/>
              </w:rPr>
              <w:t>$1,120</w:t>
            </w:r>
          </w:p>
        </w:tc>
        <w:tc>
          <w:tcPr>
            <w:tcW w:w="2501" w:type="pct"/>
            <w:vAlign w:val="center"/>
          </w:tcPr>
          <w:p w:rsidR="00691DA8" w:rsidRPr="00A03AE6" w:rsidRDefault="00691DA8" w:rsidP="00691DA8">
            <w:pPr>
              <w:rPr>
                <w:rFonts w:asciiTheme="majorHAnsi" w:hAnsiTheme="majorHAnsi" w:cstheme="majorHAnsi"/>
                <w:color w:val="000000"/>
                <w:sz w:val="20"/>
              </w:rPr>
            </w:pPr>
            <w:r>
              <w:rPr>
                <w:rFonts w:asciiTheme="majorHAnsi" w:hAnsiTheme="majorHAnsi" w:cstheme="majorHAnsi"/>
                <w:color w:val="000000"/>
                <w:sz w:val="20"/>
              </w:rPr>
              <w:t xml:space="preserve">Based on providing an average of 3 hrs of training to the removed worker and their replacement, as well as the trainer’s time (i.e. 3 hrs x 4 people). </w:t>
            </w:r>
          </w:p>
        </w:tc>
      </w:tr>
      <w:tr w:rsidR="00691DA8" w:rsidRPr="00A03AE6" w:rsidTr="00691DA8">
        <w:trPr>
          <w:cantSplit/>
        </w:trPr>
        <w:tc>
          <w:tcPr>
            <w:tcW w:w="1759" w:type="pct"/>
            <w:vAlign w:val="center"/>
          </w:tcPr>
          <w:p w:rsidR="00691DA8" w:rsidRDefault="00691DA8" w:rsidP="00691DA8">
            <w:pPr>
              <w:rPr>
                <w:rFonts w:asciiTheme="majorHAnsi" w:hAnsiTheme="majorHAnsi" w:cstheme="majorHAnsi"/>
                <w:color w:val="000000"/>
                <w:sz w:val="20"/>
              </w:rPr>
            </w:pPr>
            <w:r>
              <w:rPr>
                <w:rFonts w:asciiTheme="majorHAnsi" w:hAnsiTheme="majorHAnsi" w:cstheme="majorHAnsi"/>
                <w:color w:val="000000"/>
                <w:sz w:val="20"/>
              </w:rPr>
              <w:t xml:space="preserve">Additional wages </w:t>
            </w:r>
          </w:p>
          <w:p w:rsidR="00691DA8" w:rsidRDefault="00691DA8" w:rsidP="00691DA8">
            <w:pPr>
              <w:rPr>
                <w:rFonts w:asciiTheme="majorHAnsi" w:hAnsiTheme="majorHAnsi" w:cstheme="majorHAnsi"/>
                <w:color w:val="000000"/>
                <w:sz w:val="20"/>
              </w:rPr>
            </w:pPr>
            <w:r>
              <w:rPr>
                <w:rFonts w:asciiTheme="majorHAnsi" w:hAnsiTheme="majorHAnsi" w:cstheme="majorHAnsi"/>
                <w:color w:val="000000"/>
                <w:sz w:val="20"/>
              </w:rPr>
              <w:t>(10% for two months)</w:t>
            </w:r>
          </w:p>
        </w:tc>
        <w:tc>
          <w:tcPr>
            <w:tcW w:w="740" w:type="pct"/>
            <w:vAlign w:val="center"/>
          </w:tcPr>
          <w:p w:rsidR="00691DA8" w:rsidRPr="00A03AE6" w:rsidRDefault="00691DA8" w:rsidP="00691DA8">
            <w:pPr>
              <w:jc w:val="center"/>
              <w:rPr>
                <w:rFonts w:asciiTheme="majorHAnsi" w:hAnsiTheme="majorHAnsi" w:cstheme="majorHAnsi"/>
                <w:color w:val="000000"/>
                <w:sz w:val="20"/>
              </w:rPr>
            </w:pPr>
            <w:r>
              <w:rPr>
                <w:rFonts w:asciiTheme="majorHAnsi" w:hAnsiTheme="majorHAnsi" w:cstheme="majorHAnsi"/>
                <w:color w:val="000000"/>
                <w:sz w:val="20"/>
              </w:rPr>
              <w:t>$1,620</w:t>
            </w:r>
          </w:p>
        </w:tc>
        <w:tc>
          <w:tcPr>
            <w:tcW w:w="2501" w:type="pct"/>
            <w:vAlign w:val="center"/>
          </w:tcPr>
          <w:p w:rsidR="00691DA8" w:rsidRPr="00A03AE6" w:rsidRDefault="00691DA8" w:rsidP="00691DA8">
            <w:pPr>
              <w:rPr>
                <w:rFonts w:asciiTheme="majorHAnsi" w:hAnsiTheme="majorHAnsi" w:cstheme="majorHAnsi"/>
                <w:color w:val="000000"/>
                <w:sz w:val="20"/>
              </w:rPr>
            </w:pPr>
            <w:r>
              <w:rPr>
                <w:rFonts w:asciiTheme="majorHAnsi" w:hAnsiTheme="majorHAnsi" w:cstheme="majorHAnsi"/>
                <w:color w:val="000000"/>
                <w:sz w:val="20"/>
              </w:rPr>
              <w:t xml:space="preserve">An estimate of the extra wages that businesses pay when workers are removed from lead risk worker (e.g. as a result of paying their replacement casual rates, or temporary higher duties), incurred for </w:t>
            </w:r>
          </w:p>
        </w:tc>
      </w:tr>
      <w:tr w:rsidR="00691DA8" w:rsidRPr="00A03AE6" w:rsidTr="00691DA8">
        <w:trPr>
          <w:cantSplit/>
        </w:trPr>
        <w:tc>
          <w:tcPr>
            <w:tcW w:w="1759" w:type="pct"/>
            <w:vAlign w:val="center"/>
          </w:tcPr>
          <w:p w:rsidR="00691DA8" w:rsidRDefault="00691DA8" w:rsidP="00691DA8">
            <w:pPr>
              <w:rPr>
                <w:rFonts w:asciiTheme="majorHAnsi" w:hAnsiTheme="majorHAnsi" w:cstheme="majorHAnsi"/>
                <w:color w:val="000000"/>
                <w:sz w:val="20"/>
              </w:rPr>
            </w:pPr>
            <w:r>
              <w:rPr>
                <w:rFonts w:asciiTheme="majorHAnsi" w:hAnsiTheme="majorHAnsi" w:cstheme="majorHAnsi"/>
                <w:color w:val="000000"/>
                <w:sz w:val="20"/>
              </w:rPr>
              <w:t>Lost productivity</w:t>
            </w:r>
          </w:p>
        </w:tc>
        <w:tc>
          <w:tcPr>
            <w:tcW w:w="740" w:type="pct"/>
            <w:vAlign w:val="center"/>
          </w:tcPr>
          <w:p w:rsidR="00691DA8" w:rsidRPr="00A03AE6" w:rsidRDefault="00691DA8" w:rsidP="00691DA8">
            <w:pPr>
              <w:jc w:val="center"/>
              <w:rPr>
                <w:rFonts w:asciiTheme="majorHAnsi" w:hAnsiTheme="majorHAnsi" w:cstheme="majorHAnsi"/>
                <w:color w:val="000000"/>
                <w:sz w:val="20"/>
              </w:rPr>
            </w:pPr>
            <w:r>
              <w:rPr>
                <w:rFonts w:asciiTheme="majorHAnsi" w:hAnsiTheme="majorHAnsi" w:cstheme="majorHAnsi"/>
                <w:color w:val="000000"/>
                <w:sz w:val="20"/>
              </w:rPr>
              <w:t>$500</w:t>
            </w:r>
          </w:p>
        </w:tc>
        <w:tc>
          <w:tcPr>
            <w:tcW w:w="2501" w:type="pct"/>
            <w:vAlign w:val="center"/>
          </w:tcPr>
          <w:p w:rsidR="00691DA8" w:rsidRPr="00A03AE6" w:rsidRDefault="00691DA8" w:rsidP="00691DA8">
            <w:pPr>
              <w:rPr>
                <w:rFonts w:asciiTheme="majorHAnsi" w:hAnsiTheme="majorHAnsi" w:cstheme="majorHAnsi"/>
                <w:color w:val="000000"/>
                <w:sz w:val="20"/>
              </w:rPr>
            </w:pPr>
            <w:r>
              <w:rPr>
                <w:rFonts w:asciiTheme="majorHAnsi" w:hAnsiTheme="majorHAnsi" w:cstheme="majorHAnsi"/>
                <w:color w:val="000000"/>
                <w:sz w:val="20"/>
              </w:rPr>
              <w:t>Represents the lost productivity while the removed worker and their replacement  become proficient in their new roles</w:t>
            </w:r>
          </w:p>
        </w:tc>
      </w:tr>
      <w:tr w:rsidR="00691DA8" w:rsidRPr="00A03AE6" w:rsidTr="004B1AD5">
        <w:trPr>
          <w:cantSplit/>
        </w:trPr>
        <w:tc>
          <w:tcPr>
            <w:tcW w:w="1759" w:type="pct"/>
            <w:shd w:val="clear" w:color="auto" w:fill="D9D9D9" w:themeFill="background1" w:themeFillShade="D9"/>
            <w:vAlign w:val="center"/>
          </w:tcPr>
          <w:p w:rsidR="00691DA8" w:rsidRPr="00B16537" w:rsidRDefault="00691DA8" w:rsidP="00691DA8">
            <w:pPr>
              <w:rPr>
                <w:rFonts w:asciiTheme="majorHAnsi" w:hAnsiTheme="majorHAnsi" w:cstheme="majorHAnsi"/>
                <w:b/>
                <w:color w:val="000000"/>
                <w:sz w:val="20"/>
              </w:rPr>
            </w:pPr>
            <w:r w:rsidRPr="00B16537">
              <w:rPr>
                <w:rFonts w:asciiTheme="majorHAnsi" w:hAnsiTheme="majorHAnsi" w:cstheme="majorHAnsi"/>
                <w:b/>
                <w:color w:val="000000"/>
                <w:sz w:val="20"/>
              </w:rPr>
              <w:t xml:space="preserve">Total costs </w:t>
            </w:r>
            <w:r>
              <w:rPr>
                <w:rFonts w:asciiTheme="majorHAnsi" w:hAnsiTheme="majorHAnsi" w:cstheme="majorHAnsi"/>
                <w:b/>
                <w:color w:val="000000"/>
                <w:sz w:val="20"/>
              </w:rPr>
              <w:t>per removed worker</w:t>
            </w:r>
          </w:p>
        </w:tc>
        <w:tc>
          <w:tcPr>
            <w:tcW w:w="3241" w:type="pct"/>
            <w:gridSpan w:val="2"/>
            <w:shd w:val="clear" w:color="auto" w:fill="D9D9D9" w:themeFill="background1" w:themeFillShade="D9"/>
            <w:vAlign w:val="center"/>
          </w:tcPr>
          <w:p w:rsidR="00691DA8" w:rsidRPr="00B16537" w:rsidRDefault="00691DA8" w:rsidP="00691DA8">
            <w:pPr>
              <w:jc w:val="center"/>
              <w:rPr>
                <w:rFonts w:asciiTheme="majorHAnsi" w:hAnsiTheme="majorHAnsi" w:cstheme="majorHAnsi"/>
                <w:b/>
                <w:color w:val="000000"/>
                <w:sz w:val="20"/>
              </w:rPr>
            </w:pPr>
            <w:r>
              <w:rPr>
                <w:rFonts w:asciiTheme="majorHAnsi" w:hAnsiTheme="majorHAnsi" w:cstheme="majorHAnsi"/>
                <w:b/>
                <w:color w:val="000000"/>
                <w:sz w:val="20"/>
              </w:rPr>
              <w:t>$3,240</w:t>
            </w:r>
          </w:p>
        </w:tc>
      </w:tr>
    </w:tbl>
    <w:p w:rsidR="00691DA8" w:rsidRPr="00C861FE" w:rsidRDefault="00691DA8" w:rsidP="00691DA8">
      <w:pPr>
        <w:spacing w:before="120"/>
      </w:pPr>
      <w:r>
        <w:t>Many businesses have highlighted that they only have a very limited number of non-lead risk jobs to reassign workers to. If a large number of workers were reassigned at the same time they would most likely not be able to find another role for all them. Hence, the business case has assumed the additional wage costs and productivity losses from removing workers will be 50 per cent higher for Option 2 and 1</w:t>
      </w:r>
      <w:r w:rsidR="0048664C">
        <w:t xml:space="preserve">00 per cent higher for Option 3 (see </w:t>
      </w:r>
      <w:r w:rsidR="0048664C">
        <w:fldChar w:fldCharType="begin"/>
      </w:r>
      <w:r w:rsidR="0048664C">
        <w:instrText xml:space="preserve"> REF _Ref456770967 \h </w:instrText>
      </w:r>
      <w:r w:rsidR="0048664C">
        <w:fldChar w:fldCharType="separate"/>
      </w:r>
      <w:r w:rsidR="00052CE1">
        <w:t xml:space="preserve">Table </w:t>
      </w:r>
      <w:r w:rsidR="00052CE1">
        <w:rPr>
          <w:noProof/>
        </w:rPr>
        <w:t>11</w:t>
      </w:r>
      <w:r w:rsidR="0048664C">
        <w:fldChar w:fldCharType="end"/>
      </w:r>
      <w:r w:rsidR="0048664C">
        <w:t xml:space="preserve"> below).</w:t>
      </w:r>
    </w:p>
    <w:p w:rsidR="00691DA8" w:rsidRDefault="00691DA8" w:rsidP="00691DA8">
      <w:pPr>
        <w:pStyle w:val="TableHeadingText"/>
      </w:pPr>
      <w:bookmarkStart w:id="100" w:name="_Ref456770967"/>
      <w:r>
        <w:t xml:space="preserve">Table </w:t>
      </w:r>
      <w:r w:rsidR="00CB69C0">
        <w:fldChar w:fldCharType="begin"/>
      </w:r>
      <w:r w:rsidR="00CB69C0">
        <w:instrText xml:space="preserve"> SEQ Table \* ARABIC </w:instrText>
      </w:r>
      <w:r w:rsidR="00CB69C0">
        <w:fldChar w:fldCharType="separate"/>
      </w:r>
      <w:r w:rsidR="00052CE1">
        <w:rPr>
          <w:noProof/>
        </w:rPr>
        <w:t>11</w:t>
      </w:r>
      <w:r w:rsidR="00CB69C0">
        <w:rPr>
          <w:noProof/>
        </w:rPr>
        <w:fldChar w:fldCharType="end"/>
      </w:r>
      <w:bookmarkEnd w:id="100"/>
      <w:r>
        <w:t xml:space="preserve">. </w:t>
      </w:r>
      <w:r w:rsidRPr="00263C91">
        <w:rPr>
          <w:b w:val="0"/>
        </w:rPr>
        <w:t xml:space="preserve">Estimated cost of removing workers from lead-risk work, </w:t>
      </w:r>
      <w:r w:rsidR="003E51AA" w:rsidRPr="00263C91">
        <w:rPr>
          <w:b w:val="0"/>
        </w:rPr>
        <w:t xml:space="preserve">blood lead level </w:t>
      </w:r>
      <w:r w:rsidRPr="00263C91">
        <w:rPr>
          <w:b w:val="0"/>
        </w:rPr>
        <w:t>Options 1, 2 and 3</w:t>
      </w:r>
    </w:p>
    <w:tbl>
      <w:tblPr>
        <w:tblStyle w:val="TableGrid"/>
        <w:tblW w:w="5000" w:type="pct"/>
        <w:tblLook w:val="04A0" w:firstRow="1" w:lastRow="0" w:firstColumn="1" w:lastColumn="0" w:noHBand="0" w:noVBand="1"/>
        <w:tblCaption w:val="Table 11"/>
        <w:tblDescription w:val="Table 11. Estimated cost of removing workers from lead-risk work, blood lead level Options 1, 2 and 3."/>
      </w:tblPr>
      <w:tblGrid>
        <w:gridCol w:w="4128"/>
        <w:gridCol w:w="1834"/>
        <w:gridCol w:w="1832"/>
        <w:gridCol w:w="1830"/>
      </w:tblGrid>
      <w:tr w:rsidR="00691DA8" w:rsidRPr="00A03AE6" w:rsidTr="00691DA8">
        <w:trPr>
          <w:cantSplit/>
          <w:tblHeader/>
        </w:trPr>
        <w:tc>
          <w:tcPr>
            <w:tcW w:w="2144" w:type="pct"/>
            <w:shd w:val="clear" w:color="auto" w:fill="BFBFBF" w:themeFill="background1" w:themeFillShade="BF"/>
            <w:vAlign w:val="center"/>
          </w:tcPr>
          <w:p w:rsidR="00691DA8" w:rsidRPr="00A03AE6" w:rsidRDefault="00691DA8" w:rsidP="00691DA8">
            <w:pPr>
              <w:pStyle w:val="BodyText"/>
              <w:rPr>
                <w:rFonts w:asciiTheme="majorHAnsi" w:hAnsiTheme="majorHAnsi" w:cstheme="majorHAnsi"/>
                <w:b/>
                <w:sz w:val="20"/>
              </w:rPr>
            </w:pPr>
            <w:r w:rsidRPr="00A03AE6">
              <w:rPr>
                <w:rFonts w:asciiTheme="majorHAnsi" w:hAnsiTheme="majorHAnsi" w:cstheme="majorHAnsi"/>
                <w:b/>
                <w:sz w:val="20"/>
              </w:rPr>
              <w:t>Costs of removing workers</w:t>
            </w:r>
          </w:p>
        </w:tc>
        <w:tc>
          <w:tcPr>
            <w:tcW w:w="953" w:type="pct"/>
            <w:shd w:val="clear" w:color="auto" w:fill="BFBFBF" w:themeFill="background1" w:themeFillShade="BF"/>
            <w:vAlign w:val="center"/>
          </w:tcPr>
          <w:p w:rsidR="00691DA8" w:rsidRPr="00A03AE6" w:rsidRDefault="00691DA8" w:rsidP="00691DA8">
            <w:pPr>
              <w:pStyle w:val="BodyText"/>
              <w:jc w:val="center"/>
              <w:rPr>
                <w:rFonts w:asciiTheme="majorHAnsi" w:hAnsiTheme="majorHAnsi" w:cstheme="majorHAnsi"/>
                <w:b/>
                <w:sz w:val="20"/>
              </w:rPr>
            </w:pPr>
            <w:r w:rsidRPr="00A03AE6">
              <w:rPr>
                <w:rFonts w:asciiTheme="majorHAnsi" w:hAnsiTheme="majorHAnsi" w:cstheme="majorHAnsi"/>
                <w:b/>
                <w:sz w:val="20"/>
              </w:rPr>
              <w:t>Option 1</w:t>
            </w:r>
          </w:p>
        </w:tc>
        <w:tc>
          <w:tcPr>
            <w:tcW w:w="952" w:type="pct"/>
            <w:shd w:val="clear" w:color="auto" w:fill="BFBFBF" w:themeFill="background1" w:themeFillShade="BF"/>
            <w:vAlign w:val="center"/>
          </w:tcPr>
          <w:p w:rsidR="00691DA8" w:rsidRPr="00A03AE6" w:rsidRDefault="00691DA8" w:rsidP="00691DA8">
            <w:pPr>
              <w:pStyle w:val="BodyText"/>
              <w:jc w:val="center"/>
              <w:rPr>
                <w:rFonts w:asciiTheme="majorHAnsi" w:hAnsiTheme="majorHAnsi" w:cstheme="majorHAnsi"/>
                <w:b/>
                <w:sz w:val="20"/>
              </w:rPr>
            </w:pPr>
            <w:r w:rsidRPr="00A03AE6">
              <w:rPr>
                <w:rFonts w:asciiTheme="majorHAnsi" w:hAnsiTheme="majorHAnsi" w:cstheme="majorHAnsi"/>
                <w:b/>
                <w:sz w:val="20"/>
              </w:rPr>
              <w:t>Option 2</w:t>
            </w:r>
          </w:p>
        </w:tc>
        <w:tc>
          <w:tcPr>
            <w:tcW w:w="952" w:type="pct"/>
            <w:shd w:val="clear" w:color="auto" w:fill="BFBFBF" w:themeFill="background1" w:themeFillShade="BF"/>
            <w:vAlign w:val="center"/>
          </w:tcPr>
          <w:p w:rsidR="00691DA8" w:rsidRPr="00A03AE6" w:rsidRDefault="00691DA8" w:rsidP="00691DA8">
            <w:pPr>
              <w:pStyle w:val="BodyText"/>
              <w:jc w:val="center"/>
              <w:rPr>
                <w:rFonts w:asciiTheme="majorHAnsi" w:hAnsiTheme="majorHAnsi" w:cstheme="majorHAnsi"/>
                <w:b/>
                <w:sz w:val="20"/>
              </w:rPr>
            </w:pPr>
            <w:r w:rsidRPr="00A03AE6">
              <w:rPr>
                <w:rFonts w:asciiTheme="majorHAnsi" w:hAnsiTheme="majorHAnsi" w:cstheme="majorHAnsi"/>
                <w:b/>
                <w:sz w:val="20"/>
              </w:rPr>
              <w:t>Option 3</w:t>
            </w:r>
          </w:p>
        </w:tc>
      </w:tr>
      <w:tr w:rsidR="00691DA8" w:rsidRPr="00A03AE6" w:rsidTr="00691DA8">
        <w:trPr>
          <w:cantSplit/>
        </w:trPr>
        <w:tc>
          <w:tcPr>
            <w:tcW w:w="2144" w:type="pct"/>
            <w:vAlign w:val="center"/>
          </w:tcPr>
          <w:p w:rsidR="00691DA8" w:rsidRPr="00A03AE6" w:rsidRDefault="00691DA8" w:rsidP="00691DA8">
            <w:pPr>
              <w:rPr>
                <w:rFonts w:asciiTheme="majorHAnsi" w:hAnsiTheme="majorHAnsi" w:cstheme="majorHAnsi"/>
                <w:color w:val="000000"/>
                <w:sz w:val="20"/>
              </w:rPr>
            </w:pPr>
            <w:r w:rsidRPr="00A03AE6">
              <w:rPr>
                <w:rFonts w:asciiTheme="majorHAnsi" w:hAnsiTheme="majorHAnsi" w:cstheme="majorHAnsi"/>
                <w:color w:val="000000"/>
                <w:sz w:val="20"/>
              </w:rPr>
              <w:t>Training costs</w:t>
            </w:r>
          </w:p>
        </w:tc>
        <w:tc>
          <w:tcPr>
            <w:tcW w:w="953"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$1,120</w:t>
            </w:r>
          </w:p>
        </w:tc>
        <w:tc>
          <w:tcPr>
            <w:tcW w:w="952"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$1,120</w:t>
            </w:r>
          </w:p>
        </w:tc>
        <w:tc>
          <w:tcPr>
            <w:tcW w:w="952"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$1,120</w:t>
            </w:r>
          </w:p>
        </w:tc>
      </w:tr>
      <w:tr w:rsidR="00691DA8" w:rsidRPr="00A03AE6" w:rsidTr="00691DA8">
        <w:trPr>
          <w:cantSplit/>
        </w:trPr>
        <w:tc>
          <w:tcPr>
            <w:tcW w:w="2144" w:type="pct"/>
            <w:vAlign w:val="center"/>
          </w:tcPr>
          <w:p w:rsidR="00691DA8" w:rsidRPr="00A03AE6" w:rsidRDefault="00691DA8" w:rsidP="00691DA8">
            <w:pPr>
              <w:rPr>
                <w:rFonts w:asciiTheme="majorHAnsi" w:hAnsiTheme="majorHAnsi" w:cstheme="majorHAnsi"/>
                <w:color w:val="000000"/>
                <w:sz w:val="20"/>
              </w:rPr>
            </w:pPr>
            <w:r w:rsidRPr="00A03AE6">
              <w:rPr>
                <w:rFonts w:asciiTheme="majorHAnsi" w:hAnsiTheme="majorHAnsi" w:cstheme="majorHAnsi"/>
                <w:color w:val="000000"/>
                <w:sz w:val="20"/>
              </w:rPr>
              <w:t>Additional wage costs</w:t>
            </w:r>
          </w:p>
          <w:p w:rsidR="00691DA8" w:rsidRPr="00A03AE6" w:rsidRDefault="00691DA8" w:rsidP="00691DA8">
            <w:pPr>
              <w:rPr>
                <w:rFonts w:asciiTheme="majorHAnsi" w:hAnsiTheme="majorHAnsi" w:cstheme="majorHAnsi"/>
                <w:i/>
                <w:color w:val="000000"/>
                <w:sz w:val="20"/>
              </w:rPr>
            </w:pPr>
            <w:r w:rsidRPr="00A03AE6">
              <w:rPr>
                <w:rFonts w:asciiTheme="majorHAnsi" w:hAnsiTheme="majorHAnsi" w:cstheme="majorHAnsi"/>
                <w:i/>
                <w:color w:val="000000"/>
                <w:sz w:val="20"/>
              </w:rPr>
              <w:t>Change from base case</w:t>
            </w:r>
          </w:p>
        </w:tc>
        <w:tc>
          <w:tcPr>
            <w:tcW w:w="953"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$1,620</w:t>
            </w:r>
          </w:p>
          <w:p w:rsidR="00691DA8" w:rsidRPr="00A03AE6" w:rsidRDefault="00691DA8" w:rsidP="00691DA8">
            <w:pPr>
              <w:jc w:val="center"/>
              <w:rPr>
                <w:rFonts w:asciiTheme="majorHAnsi" w:hAnsiTheme="majorHAnsi" w:cstheme="majorHAnsi"/>
                <w:color w:val="000000"/>
                <w:sz w:val="20"/>
              </w:rPr>
            </w:pPr>
          </w:p>
        </w:tc>
        <w:tc>
          <w:tcPr>
            <w:tcW w:w="952"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$2,430</w:t>
            </w:r>
          </w:p>
          <w:p w:rsidR="00691DA8" w:rsidRPr="00A03AE6" w:rsidRDefault="00691DA8" w:rsidP="00691DA8">
            <w:pPr>
              <w:jc w:val="center"/>
              <w:rPr>
                <w:rFonts w:asciiTheme="majorHAnsi" w:hAnsiTheme="majorHAnsi" w:cstheme="majorHAnsi"/>
                <w:i/>
                <w:color w:val="000000"/>
                <w:sz w:val="20"/>
              </w:rPr>
            </w:pPr>
            <w:r w:rsidRPr="00A03AE6">
              <w:rPr>
                <w:rFonts w:asciiTheme="majorHAnsi" w:hAnsiTheme="majorHAnsi" w:cstheme="majorHAnsi"/>
                <w:i/>
                <w:color w:val="000000"/>
                <w:sz w:val="20"/>
              </w:rPr>
              <w:t>+50%</w:t>
            </w:r>
          </w:p>
        </w:tc>
        <w:tc>
          <w:tcPr>
            <w:tcW w:w="952"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$3,240</w:t>
            </w:r>
          </w:p>
          <w:p w:rsidR="00691DA8" w:rsidRPr="00A03AE6" w:rsidRDefault="00691DA8" w:rsidP="00691DA8">
            <w:pPr>
              <w:jc w:val="center"/>
              <w:rPr>
                <w:rFonts w:asciiTheme="majorHAnsi" w:hAnsiTheme="majorHAnsi" w:cstheme="majorHAnsi"/>
                <w:i/>
                <w:color w:val="000000"/>
                <w:sz w:val="20"/>
              </w:rPr>
            </w:pPr>
            <w:r w:rsidRPr="00A03AE6">
              <w:rPr>
                <w:rFonts w:asciiTheme="majorHAnsi" w:hAnsiTheme="majorHAnsi" w:cstheme="majorHAnsi"/>
                <w:i/>
                <w:color w:val="000000"/>
                <w:sz w:val="20"/>
              </w:rPr>
              <w:t>+100%</w:t>
            </w:r>
          </w:p>
        </w:tc>
      </w:tr>
      <w:tr w:rsidR="00691DA8" w:rsidRPr="00A03AE6" w:rsidTr="00691DA8">
        <w:trPr>
          <w:cantSplit/>
        </w:trPr>
        <w:tc>
          <w:tcPr>
            <w:tcW w:w="2144" w:type="pct"/>
            <w:vAlign w:val="center"/>
          </w:tcPr>
          <w:p w:rsidR="00691DA8" w:rsidRPr="00A03AE6" w:rsidRDefault="00691DA8" w:rsidP="00691DA8">
            <w:pPr>
              <w:rPr>
                <w:rFonts w:asciiTheme="majorHAnsi" w:hAnsiTheme="majorHAnsi" w:cstheme="majorHAnsi"/>
                <w:color w:val="000000"/>
                <w:sz w:val="20"/>
              </w:rPr>
            </w:pPr>
            <w:r w:rsidRPr="00A03AE6">
              <w:rPr>
                <w:rFonts w:asciiTheme="majorHAnsi" w:hAnsiTheme="majorHAnsi" w:cstheme="majorHAnsi"/>
                <w:color w:val="000000"/>
                <w:sz w:val="20"/>
              </w:rPr>
              <w:t>Productivity losses</w:t>
            </w:r>
          </w:p>
          <w:p w:rsidR="00691DA8" w:rsidRPr="00A03AE6" w:rsidRDefault="00691DA8" w:rsidP="00691DA8">
            <w:pPr>
              <w:rPr>
                <w:rFonts w:asciiTheme="majorHAnsi" w:hAnsiTheme="majorHAnsi" w:cstheme="majorHAnsi"/>
                <w:color w:val="000000"/>
                <w:sz w:val="20"/>
              </w:rPr>
            </w:pPr>
            <w:r w:rsidRPr="00A03AE6">
              <w:rPr>
                <w:rFonts w:asciiTheme="majorHAnsi" w:hAnsiTheme="majorHAnsi" w:cstheme="majorHAnsi"/>
                <w:i/>
                <w:color w:val="000000"/>
                <w:sz w:val="20"/>
              </w:rPr>
              <w:t>Change from base case</w:t>
            </w:r>
          </w:p>
        </w:tc>
        <w:tc>
          <w:tcPr>
            <w:tcW w:w="953"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$500</w:t>
            </w:r>
          </w:p>
          <w:p w:rsidR="00691DA8" w:rsidRPr="00A03AE6" w:rsidRDefault="00691DA8" w:rsidP="00691DA8">
            <w:pPr>
              <w:jc w:val="center"/>
              <w:rPr>
                <w:rFonts w:asciiTheme="majorHAnsi" w:hAnsiTheme="majorHAnsi" w:cstheme="majorHAnsi"/>
                <w:color w:val="000000"/>
                <w:sz w:val="20"/>
              </w:rPr>
            </w:pPr>
          </w:p>
        </w:tc>
        <w:tc>
          <w:tcPr>
            <w:tcW w:w="952"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$750</w:t>
            </w:r>
          </w:p>
          <w:p w:rsidR="00691DA8" w:rsidRPr="00A03AE6" w:rsidRDefault="00691DA8" w:rsidP="00691DA8">
            <w:pPr>
              <w:jc w:val="center"/>
              <w:rPr>
                <w:rFonts w:asciiTheme="majorHAnsi" w:hAnsiTheme="majorHAnsi" w:cstheme="majorHAnsi"/>
                <w:i/>
                <w:color w:val="000000"/>
                <w:sz w:val="20"/>
              </w:rPr>
            </w:pPr>
            <w:r w:rsidRPr="00A03AE6">
              <w:rPr>
                <w:rFonts w:asciiTheme="majorHAnsi" w:hAnsiTheme="majorHAnsi" w:cstheme="majorHAnsi"/>
                <w:i/>
                <w:color w:val="000000"/>
                <w:sz w:val="20"/>
              </w:rPr>
              <w:t>+50%</w:t>
            </w:r>
          </w:p>
        </w:tc>
        <w:tc>
          <w:tcPr>
            <w:tcW w:w="952" w:type="pct"/>
            <w:vAlign w:val="center"/>
          </w:tcPr>
          <w:p w:rsidR="00691DA8" w:rsidRPr="00A03AE6" w:rsidRDefault="00691DA8" w:rsidP="00691DA8">
            <w:pPr>
              <w:jc w:val="center"/>
              <w:rPr>
                <w:rFonts w:asciiTheme="majorHAnsi" w:hAnsiTheme="majorHAnsi" w:cstheme="majorHAnsi"/>
                <w:color w:val="000000"/>
                <w:sz w:val="20"/>
              </w:rPr>
            </w:pPr>
            <w:r w:rsidRPr="00A03AE6">
              <w:rPr>
                <w:rFonts w:asciiTheme="majorHAnsi" w:hAnsiTheme="majorHAnsi" w:cstheme="majorHAnsi"/>
                <w:color w:val="000000"/>
                <w:sz w:val="20"/>
              </w:rPr>
              <w:t>$1,000</w:t>
            </w:r>
          </w:p>
          <w:p w:rsidR="00691DA8" w:rsidRPr="00A03AE6" w:rsidRDefault="00691DA8" w:rsidP="00691DA8">
            <w:pPr>
              <w:jc w:val="center"/>
              <w:rPr>
                <w:rFonts w:asciiTheme="majorHAnsi" w:hAnsiTheme="majorHAnsi" w:cstheme="majorHAnsi"/>
                <w:i/>
                <w:color w:val="000000"/>
                <w:sz w:val="20"/>
              </w:rPr>
            </w:pPr>
            <w:r w:rsidRPr="00A03AE6">
              <w:rPr>
                <w:rFonts w:asciiTheme="majorHAnsi" w:hAnsiTheme="majorHAnsi" w:cstheme="majorHAnsi"/>
                <w:i/>
                <w:color w:val="000000"/>
                <w:sz w:val="20"/>
              </w:rPr>
              <w:t>+100%</w:t>
            </w:r>
          </w:p>
        </w:tc>
      </w:tr>
      <w:tr w:rsidR="00691DA8" w:rsidRPr="00A03AE6" w:rsidTr="004B1AD5">
        <w:trPr>
          <w:cantSplit/>
        </w:trPr>
        <w:tc>
          <w:tcPr>
            <w:tcW w:w="2144" w:type="pct"/>
            <w:shd w:val="clear" w:color="auto" w:fill="D9D9D9" w:themeFill="background1" w:themeFillShade="D9"/>
            <w:vAlign w:val="center"/>
          </w:tcPr>
          <w:p w:rsidR="00691DA8" w:rsidRPr="00A03AE6" w:rsidRDefault="00691DA8" w:rsidP="00691DA8">
            <w:pPr>
              <w:rPr>
                <w:rFonts w:asciiTheme="majorHAnsi" w:hAnsiTheme="majorHAnsi" w:cstheme="majorHAnsi"/>
                <w:b/>
                <w:color w:val="000000"/>
                <w:sz w:val="20"/>
              </w:rPr>
            </w:pPr>
            <w:r w:rsidRPr="00A03AE6">
              <w:rPr>
                <w:rFonts w:asciiTheme="majorHAnsi" w:hAnsiTheme="majorHAnsi" w:cstheme="majorHAnsi"/>
                <w:b/>
                <w:color w:val="000000"/>
                <w:sz w:val="20"/>
              </w:rPr>
              <w:t> Total costs</w:t>
            </w:r>
          </w:p>
        </w:tc>
        <w:tc>
          <w:tcPr>
            <w:tcW w:w="953" w:type="pct"/>
            <w:shd w:val="clear" w:color="auto" w:fill="D9D9D9" w:themeFill="background1" w:themeFillShade="D9"/>
            <w:vAlign w:val="center"/>
          </w:tcPr>
          <w:p w:rsidR="00691DA8" w:rsidRPr="00A03AE6" w:rsidRDefault="00691DA8" w:rsidP="00691DA8">
            <w:pPr>
              <w:jc w:val="center"/>
              <w:rPr>
                <w:rFonts w:asciiTheme="majorHAnsi" w:hAnsiTheme="majorHAnsi" w:cstheme="majorHAnsi"/>
                <w:b/>
                <w:color w:val="000000"/>
                <w:sz w:val="20"/>
              </w:rPr>
            </w:pPr>
            <w:r w:rsidRPr="00A03AE6">
              <w:rPr>
                <w:rFonts w:asciiTheme="majorHAnsi" w:hAnsiTheme="majorHAnsi" w:cstheme="majorHAnsi"/>
                <w:b/>
                <w:color w:val="000000"/>
                <w:sz w:val="20"/>
              </w:rPr>
              <w:t>$3,240</w:t>
            </w:r>
          </w:p>
        </w:tc>
        <w:tc>
          <w:tcPr>
            <w:tcW w:w="952" w:type="pct"/>
            <w:shd w:val="clear" w:color="auto" w:fill="D9D9D9" w:themeFill="background1" w:themeFillShade="D9"/>
            <w:vAlign w:val="center"/>
          </w:tcPr>
          <w:p w:rsidR="00691DA8" w:rsidRPr="00A03AE6" w:rsidRDefault="00691DA8" w:rsidP="00691DA8">
            <w:pPr>
              <w:jc w:val="center"/>
              <w:rPr>
                <w:rFonts w:asciiTheme="majorHAnsi" w:hAnsiTheme="majorHAnsi" w:cstheme="majorHAnsi"/>
                <w:b/>
                <w:color w:val="000000"/>
                <w:sz w:val="20"/>
              </w:rPr>
            </w:pPr>
            <w:r w:rsidRPr="00A03AE6">
              <w:rPr>
                <w:rFonts w:asciiTheme="majorHAnsi" w:hAnsiTheme="majorHAnsi" w:cstheme="majorHAnsi"/>
                <w:b/>
                <w:color w:val="000000"/>
                <w:sz w:val="20"/>
              </w:rPr>
              <w:t>$4,300</w:t>
            </w:r>
          </w:p>
        </w:tc>
        <w:tc>
          <w:tcPr>
            <w:tcW w:w="952" w:type="pct"/>
            <w:shd w:val="clear" w:color="auto" w:fill="D9D9D9" w:themeFill="background1" w:themeFillShade="D9"/>
            <w:vAlign w:val="center"/>
          </w:tcPr>
          <w:p w:rsidR="00691DA8" w:rsidRPr="00A03AE6" w:rsidRDefault="00691DA8" w:rsidP="00691DA8">
            <w:pPr>
              <w:jc w:val="center"/>
              <w:rPr>
                <w:rFonts w:asciiTheme="majorHAnsi" w:hAnsiTheme="majorHAnsi" w:cstheme="majorHAnsi"/>
                <w:b/>
                <w:color w:val="000000"/>
                <w:sz w:val="20"/>
              </w:rPr>
            </w:pPr>
            <w:r w:rsidRPr="00A03AE6">
              <w:rPr>
                <w:rFonts w:asciiTheme="majorHAnsi" w:hAnsiTheme="majorHAnsi" w:cstheme="majorHAnsi"/>
                <w:b/>
                <w:color w:val="000000"/>
                <w:sz w:val="20"/>
              </w:rPr>
              <w:t>$5,360</w:t>
            </w:r>
          </w:p>
        </w:tc>
      </w:tr>
    </w:tbl>
    <w:p w:rsidR="00691DA8" w:rsidRDefault="00691DA8" w:rsidP="00E77182">
      <w:pPr>
        <w:pStyle w:val="Heading4"/>
      </w:pPr>
      <w:r>
        <w:t>Reviewing lead control measures</w:t>
      </w:r>
    </w:p>
    <w:p w:rsidR="00691DA8" w:rsidRDefault="00691DA8" w:rsidP="00691DA8">
      <w:r>
        <w:t xml:space="preserve">The model WHS regulations require a review of lead control measures under certain circumstances, including when a worker’s blood lead levels have exceeded the relevant removal thresholds. </w:t>
      </w:r>
    </w:p>
    <w:p w:rsidR="00691DA8" w:rsidRDefault="00691DA8" w:rsidP="00691DA8">
      <w:r>
        <w:t xml:space="preserve">The scale and scope of these reviews can involve a full review of all possible sources of lead exposure in the workplace; but are more likely to involve a review of the specific circumstances that led to the worker’s blood lead levels exceeding the relevant threshold (e.g. failure to follow hygiene procedures) and subsequent liaison with the relevant WHS Regulator. </w:t>
      </w:r>
    </w:p>
    <w:p w:rsidR="00691DA8" w:rsidRDefault="00691DA8" w:rsidP="00691DA8">
      <w:r>
        <w:t xml:space="preserve">Only a small number of workers exceed the current removal levels each year (around six), so there is limited information available about the costs of conducting the subsequent review of measures. Based on feedback from the industry, for the purposes of the CBA, these costs are assumed to be around $2,000 per worker who exceeds the relevant threshold. This includes around 16 hours of time spent investigating the exceedance and meeting with regulators and $500 of fixed costs, such as additional testing that may be required. </w:t>
      </w:r>
    </w:p>
    <w:p w:rsidR="00691DA8" w:rsidRDefault="00C53753" w:rsidP="00691DA8">
      <w:r>
        <w:t xml:space="preserve">Based on feedback from </w:t>
      </w:r>
      <w:r w:rsidR="00691DA8">
        <w:t>Regulators</w:t>
      </w:r>
      <w:r>
        <w:t>, they</w:t>
      </w:r>
      <w:r w:rsidR="00691DA8">
        <w:t xml:space="preserve"> are also assumed to spend around 25 hours of work in relation </w:t>
      </w:r>
      <w:r w:rsidR="004B287F">
        <w:t xml:space="preserve">notifications and compliance activities </w:t>
      </w:r>
      <w:r w:rsidR="00691DA8">
        <w:t>to each work</w:t>
      </w:r>
      <w:r w:rsidR="00596395">
        <w:t>place</w:t>
      </w:r>
      <w:r w:rsidR="00691DA8">
        <w:t xml:space="preserve"> (which </w:t>
      </w:r>
      <w:r>
        <w:t>may</w:t>
      </w:r>
      <w:r w:rsidR="00691DA8">
        <w:t xml:space="preserve"> require travel to remote locations), at a further cost of approximately $2,000 per case.</w:t>
      </w:r>
      <w:r>
        <w:t xml:space="preserve"> This amount is based the A</w:t>
      </w:r>
      <w:r w:rsidR="003E51AA">
        <w:t xml:space="preserve">ustralian </w:t>
      </w:r>
      <w:r w:rsidR="001067DD">
        <w:t>Bureau</w:t>
      </w:r>
      <w:r w:rsidR="003E51AA">
        <w:t xml:space="preserve"> of </w:t>
      </w:r>
      <w:r>
        <w:t>S</w:t>
      </w:r>
      <w:r w:rsidR="003E51AA">
        <w:t>tatistic</w:t>
      </w:r>
      <w:r>
        <w:t xml:space="preserve">s public sector average weekly earnings series (cat no. </w:t>
      </w:r>
      <w:r w:rsidRPr="00755C09">
        <w:t>6302.0</w:t>
      </w:r>
      <w:r>
        <w:t xml:space="preserve">), with the addition of on-costs (calculated as per </w:t>
      </w:r>
      <w:r>
        <w:fldChar w:fldCharType="begin"/>
      </w:r>
      <w:r>
        <w:instrText xml:space="preserve"> REF _Ref455489129 \h </w:instrText>
      </w:r>
      <w:r>
        <w:fldChar w:fldCharType="separate"/>
      </w:r>
      <w:r w:rsidR="00052CE1">
        <w:t xml:space="preserve">Table </w:t>
      </w:r>
      <w:r w:rsidR="00052CE1">
        <w:rPr>
          <w:noProof/>
        </w:rPr>
        <w:t>9</w:t>
      </w:r>
      <w:r>
        <w:fldChar w:fldCharType="end"/>
      </w:r>
      <w:r>
        <w:t>).</w:t>
      </w:r>
    </w:p>
    <w:p w:rsidR="00691DA8" w:rsidRPr="00B13500" w:rsidRDefault="00691DA8" w:rsidP="00B13500">
      <w:pPr>
        <w:pStyle w:val="Heading4"/>
      </w:pPr>
      <w:r w:rsidRPr="00B13500">
        <w:t>Costs associated with controlling lead exposure</w:t>
      </w:r>
    </w:p>
    <w:p w:rsidR="00691DA8" w:rsidRDefault="00691DA8" w:rsidP="00691DA8">
      <w:r>
        <w:t>The methods and costs of controlling occupational lead exposure vary considerably, depending on the type of lead-risk work an organisation is undertaking. However, the common ongoing or operational costs include:</w:t>
      </w:r>
    </w:p>
    <w:p w:rsidR="00691DA8" w:rsidRDefault="00691DA8" w:rsidP="00263482">
      <w:pPr>
        <w:pStyle w:val="ListParagraph"/>
        <w:numPr>
          <w:ilvl w:val="0"/>
          <w:numId w:val="49"/>
        </w:numPr>
      </w:pPr>
      <w:r>
        <w:t>Basic Personal Protective Equipment (PPE), such as face masks, coats and gloves</w:t>
      </w:r>
    </w:p>
    <w:p w:rsidR="00691DA8" w:rsidRDefault="00691DA8" w:rsidP="00263482">
      <w:pPr>
        <w:pStyle w:val="ListParagraph"/>
        <w:numPr>
          <w:ilvl w:val="0"/>
          <w:numId w:val="49"/>
        </w:numPr>
      </w:pPr>
      <w:r>
        <w:t>More advanced PPE such as respirators or coveralls</w:t>
      </w:r>
    </w:p>
    <w:p w:rsidR="00691DA8" w:rsidRDefault="00691DA8" w:rsidP="00263482">
      <w:pPr>
        <w:pStyle w:val="ListParagraph"/>
        <w:numPr>
          <w:ilvl w:val="0"/>
          <w:numId w:val="49"/>
        </w:numPr>
      </w:pPr>
      <w:r>
        <w:t>Laundering of all lead-contaminated clothing</w:t>
      </w:r>
    </w:p>
    <w:p w:rsidR="00691DA8" w:rsidRDefault="00691DA8" w:rsidP="00263482">
      <w:pPr>
        <w:pStyle w:val="ListParagraph"/>
        <w:numPr>
          <w:ilvl w:val="0"/>
          <w:numId w:val="49"/>
        </w:numPr>
      </w:pPr>
      <w:r>
        <w:t>Washing or hosing down surfaces, including the hiring or employment of cleaners whose specific role is to clean for lead residues</w:t>
      </w:r>
    </w:p>
    <w:p w:rsidR="00691DA8" w:rsidRDefault="00691DA8" w:rsidP="00263482">
      <w:pPr>
        <w:pStyle w:val="ListParagraph"/>
        <w:numPr>
          <w:ilvl w:val="0"/>
          <w:numId w:val="49"/>
        </w:numPr>
      </w:pPr>
      <w:r>
        <w:t>Using vacuums with high  efficiency  particulate air  (HEPA)  filters</w:t>
      </w:r>
    </w:p>
    <w:p w:rsidR="00691DA8" w:rsidRDefault="00691DA8" w:rsidP="00263482">
      <w:pPr>
        <w:pStyle w:val="ListParagraph"/>
        <w:numPr>
          <w:ilvl w:val="0"/>
          <w:numId w:val="49"/>
        </w:numPr>
      </w:pPr>
      <w:r>
        <w:t xml:space="preserve">Controlling exposure to settled lead dust, including surface wipe testing, training for workers in basic hygiene and housekeeping (washing hands, washing clothes, eating and drinking habits), and </w:t>
      </w:r>
    </w:p>
    <w:p w:rsidR="00691DA8" w:rsidRDefault="00691DA8" w:rsidP="00263482">
      <w:pPr>
        <w:pStyle w:val="ListParagraph"/>
        <w:numPr>
          <w:ilvl w:val="0"/>
          <w:numId w:val="49"/>
        </w:numPr>
      </w:pPr>
      <w:r>
        <w:t xml:space="preserve">additional refresher training that is often provided to workers with high blood lead level test results. </w:t>
      </w:r>
    </w:p>
    <w:p w:rsidR="00691DA8" w:rsidRDefault="00691DA8" w:rsidP="00691DA8">
      <w:r>
        <w:t xml:space="preserve">Other one-off or capital costs that were identified by businesses as being associated with controlling occupational lead exposure included: </w:t>
      </w:r>
    </w:p>
    <w:p w:rsidR="00691DA8" w:rsidRDefault="00691DA8" w:rsidP="00263482">
      <w:pPr>
        <w:pStyle w:val="ListParagraph"/>
        <w:numPr>
          <w:ilvl w:val="0"/>
          <w:numId w:val="50"/>
        </w:numPr>
      </w:pPr>
      <w:r>
        <w:t>Installing or upgrading:</w:t>
      </w:r>
    </w:p>
    <w:p w:rsidR="00691DA8" w:rsidRDefault="00691DA8" w:rsidP="00263482">
      <w:pPr>
        <w:pStyle w:val="ListParagraph"/>
        <w:numPr>
          <w:ilvl w:val="1"/>
          <w:numId w:val="50"/>
        </w:numPr>
      </w:pPr>
      <w:r>
        <w:t>Wash facilities;</w:t>
      </w:r>
    </w:p>
    <w:p w:rsidR="00691DA8" w:rsidRDefault="00691DA8" w:rsidP="00263482">
      <w:pPr>
        <w:pStyle w:val="ListParagraph"/>
        <w:numPr>
          <w:ilvl w:val="1"/>
          <w:numId w:val="50"/>
        </w:numPr>
      </w:pPr>
      <w:r>
        <w:t>Extraction fans and their bag houses;</w:t>
      </w:r>
    </w:p>
    <w:p w:rsidR="00691DA8" w:rsidRDefault="00691DA8" w:rsidP="00263482">
      <w:pPr>
        <w:pStyle w:val="ListParagraph"/>
        <w:numPr>
          <w:ilvl w:val="1"/>
          <w:numId w:val="50"/>
        </w:numPr>
      </w:pPr>
      <w:r>
        <w:t>Dust suppression sprinklers; and</w:t>
      </w:r>
    </w:p>
    <w:p w:rsidR="00691DA8" w:rsidRDefault="00691DA8" w:rsidP="00263482">
      <w:pPr>
        <w:pStyle w:val="ListParagraph"/>
        <w:numPr>
          <w:ilvl w:val="0"/>
          <w:numId w:val="50"/>
        </w:numPr>
      </w:pPr>
      <w:r>
        <w:t>Fully enclosing or automating lead risk work.</w:t>
      </w:r>
    </w:p>
    <w:p w:rsidR="00691DA8" w:rsidRDefault="00691DA8" w:rsidP="00691DA8">
      <w:r>
        <w:t>The costs of these measures varied greatly depending on the scale of the lead-risk work being undertaken. For example, the cost of upgrading extraction fans at a small radiator repair or leadlight window may be several thousands of dollars; whereas the cost of changing bags in a bag house at a larger production facility can be in excess of $100,000 per change. The costs involved with automating or enclosing lead risk processes at major mining or smelter operations could cost in the hundreds of millions of dollars.</w:t>
      </w:r>
    </w:p>
    <w:p w:rsidR="00691DA8" w:rsidRPr="00313AAD" w:rsidRDefault="00691DA8" w:rsidP="00263482">
      <w:pPr>
        <w:pStyle w:val="Heading2"/>
        <w:ind w:left="426"/>
      </w:pPr>
      <w:bookmarkStart w:id="101" w:name="_Toc459276916"/>
      <w:r w:rsidRPr="00313AAD">
        <w:t>Impact of the proposed options for blood lead levels</w:t>
      </w:r>
      <w:bookmarkEnd w:id="101"/>
    </w:p>
    <w:p w:rsidR="00691DA8" w:rsidRPr="004C4DEF" w:rsidRDefault="003E51AA" w:rsidP="00B13500">
      <w:pPr>
        <w:pStyle w:val="Heading3"/>
      </w:pPr>
      <w:r>
        <w:t xml:space="preserve">Blood lead </w:t>
      </w:r>
      <w:r w:rsidRPr="00B13500">
        <w:t>level</w:t>
      </w:r>
      <w:r>
        <w:t xml:space="preserve"> </w:t>
      </w:r>
      <w:r w:rsidR="00691DA8" w:rsidRPr="004C4DEF">
        <w:t xml:space="preserve">Option 2 </w:t>
      </w:r>
    </w:p>
    <w:p w:rsidR="00691DA8" w:rsidRDefault="00691DA8" w:rsidP="00691DA8">
      <w:r>
        <w:t xml:space="preserve">Some lead businesses have indicated they already meet the thresholds proposed for Option 2 and therefore there would be no change in ongoing expenditure if this option was implemented. However, others indicated they would need to increase their ongoing expenditure or make capital investments to improve lead processes to comply. In direct consultations, some businesses indicated that if Option 2 was implemented, they would make changes to their operations to ensure workers blood lead levels were well-below the new removal level. </w:t>
      </w:r>
    </w:p>
    <w:p w:rsidR="00691DA8" w:rsidRDefault="00C53753" w:rsidP="00691DA8">
      <w:r>
        <w:t xml:space="preserve">Based on </w:t>
      </w:r>
      <w:r w:rsidR="001067DD">
        <w:t>public feedback from Regulators and confirmed by direct</w:t>
      </w:r>
      <w:r>
        <w:t xml:space="preserve"> consultation, it has been assumed that all very large businesses would incur some costs as a result of Option 2</w:t>
      </w:r>
      <w:r w:rsidR="001067DD">
        <w:t>, and</w:t>
      </w:r>
      <w:r>
        <w:t xml:space="preserve"> only 30</w:t>
      </w:r>
      <w:r w:rsidR="001067DD">
        <w:t> </w:t>
      </w:r>
      <w:r>
        <w:t>per cent of small, medium and large businesses would incur costs. The remaining 70 per cent of businesses are assumed to be unaffected</w:t>
      </w:r>
      <w:r w:rsidR="001067DD">
        <w:t xml:space="preserve"> by the reduction in blood lead levels specified by Option 2</w:t>
      </w:r>
      <w:r>
        <w:t xml:space="preserve">. This assumption is </w:t>
      </w:r>
      <w:r w:rsidR="001067DD">
        <w:t>further confirmed by</w:t>
      </w:r>
      <w:r w:rsidR="00691DA8">
        <w:t xml:space="preserve"> Victorian data </w:t>
      </w:r>
      <w:r>
        <w:t>from</w:t>
      </w:r>
      <w:r w:rsidR="00691DA8">
        <w:t xml:space="preserve"> 2015, </w:t>
      </w:r>
      <w:r>
        <w:t xml:space="preserve">which showed that only </w:t>
      </w:r>
      <w:r w:rsidR="00691DA8">
        <w:t xml:space="preserve">30 per cent of businesses undertaking lead risk work </w:t>
      </w:r>
      <w:r>
        <w:t xml:space="preserve">had </w:t>
      </w:r>
      <w:r w:rsidR="00691DA8">
        <w:t xml:space="preserve">reported </w:t>
      </w:r>
      <w:r w:rsidR="000A72CA">
        <w:t xml:space="preserve">having </w:t>
      </w:r>
      <w:r w:rsidR="00691DA8">
        <w:t xml:space="preserve">at least one worker with a blood lead level above the 30 μg/dL removal level proposed for Option 2. </w:t>
      </w:r>
    </w:p>
    <w:p w:rsidR="00691DA8" w:rsidRPr="004C4DEF" w:rsidRDefault="003E51AA" w:rsidP="00E77182">
      <w:pPr>
        <w:pStyle w:val="Heading3"/>
      </w:pPr>
      <w:r>
        <w:t xml:space="preserve">Blood lead level </w:t>
      </w:r>
      <w:r w:rsidR="00691DA8" w:rsidRPr="004C4DEF">
        <w:t xml:space="preserve">Option 3 </w:t>
      </w:r>
    </w:p>
    <w:p w:rsidR="00691DA8" w:rsidRDefault="00691DA8" w:rsidP="00691DA8">
      <w:r>
        <w:t xml:space="preserve">Submissions and interviews with businesses have indicated that Option 3 would require significant changes. </w:t>
      </w:r>
    </w:p>
    <w:p w:rsidR="00691DA8" w:rsidRDefault="00691DA8" w:rsidP="00691DA8">
      <w:r>
        <w:t xml:space="preserve">In many cases, businesses have indicated it would either not be possible to comply with the blood lead levels proposed for Option 3, or that the cost of doing so would be so prohibitive as to result in the closure of the business. In many of these cases, the business was unable to provide an estimate of the costs of meeting the requirements because the targets were deemed to be infeasible. It is assumed all businesses undertaking lead risk work would be affected by </w:t>
      </w:r>
      <w:r w:rsidR="000A72CA">
        <w:t>Option </w:t>
      </w:r>
      <w:r>
        <w:t>3.</w:t>
      </w:r>
    </w:p>
    <w:p w:rsidR="00691DA8" w:rsidRPr="00C861FE" w:rsidRDefault="00691DA8" w:rsidP="00691DA8">
      <w:r>
        <w:t xml:space="preserve">The table below </w:t>
      </w:r>
      <w:r w:rsidR="0048664C">
        <w:t>(</w:t>
      </w:r>
      <w:r w:rsidR="0048664C">
        <w:fldChar w:fldCharType="begin"/>
      </w:r>
      <w:r w:rsidR="0048664C">
        <w:instrText xml:space="preserve"> REF _Ref456770996 \h </w:instrText>
      </w:r>
      <w:r w:rsidR="0048664C">
        <w:fldChar w:fldCharType="separate"/>
      </w:r>
      <w:r w:rsidR="00052CE1">
        <w:t xml:space="preserve">Table </w:t>
      </w:r>
      <w:r w:rsidR="00052CE1">
        <w:rPr>
          <w:noProof/>
        </w:rPr>
        <w:t>12</w:t>
      </w:r>
      <w:r w:rsidR="0048664C">
        <w:fldChar w:fldCharType="end"/>
      </w:r>
      <w:r w:rsidR="0048664C">
        <w:t xml:space="preserve">) </w:t>
      </w:r>
      <w:r>
        <w:t>sets out the basis of the cost assumptions that have used for the CBA. The Option 2 costs would only apply to the 30 per cent of businesses assumed to be impacted by the changes.</w:t>
      </w:r>
    </w:p>
    <w:p w:rsidR="00691DA8" w:rsidRDefault="00691DA8" w:rsidP="00691DA8">
      <w:pPr>
        <w:pStyle w:val="TableHeadingText"/>
      </w:pPr>
      <w:bookmarkStart w:id="102" w:name="_Ref456770996"/>
      <w:r>
        <w:t xml:space="preserve">Table </w:t>
      </w:r>
      <w:r w:rsidR="00CB69C0">
        <w:fldChar w:fldCharType="begin"/>
      </w:r>
      <w:r w:rsidR="00CB69C0">
        <w:instrText xml:space="preserve"> SEQ Table \* ARABIC </w:instrText>
      </w:r>
      <w:r w:rsidR="00CB69C0">
        <w:fldChar w:fldCharType="separate"/>
      </w:r>
      <w:r w:rsidR="00052CE1">
        <w:rPr>
          <w:noProof/>
        </w:rPr>
        <w:t>12</w:t>
      </w:r>
      <w:r w:rsidR="00CB69C0">
        <w:rPr>
          <w:noProof/>
        </w:rPr>
        <w:fldChar w:fldCharType="end"/>
      </w:r>
      <w:bookmarkEnd w:id="102"/>
      <w:r>
        <w:t xml:space="preserve">. </w:t>
      </w:r>
      <w:r w:rsidRPr="00263C91">
        <w:rPr>
          <w:b w:val="0"/>
        </w:rPr>
        <w:t xml:space="preserve">Estimated increase in operating and capital costs to comply with </w:t>
      </w:r>
      <w:r w:rsidR="003E51AA" w:rsidRPr="00263C91">
        <w:rPr>
          <w:b w:val="0"/>
        </w:rPr>
        <w:t xml:space="preserve">blood lead level </w:t>
      </w:r>
      <w:r w:rsidR="00C00401" w:rsidRPr="00263C91">
        <w:rPr>
          <w:b w:val="0"/>
        </w:rPr>
        <w:t>o</w:t>
      </w:r>
      <w:r w:rsidRPr="00263C91">
        <w:rPr>
          <w:b w:val="0"/>
        </w:rPr>
        <w:t>ptions 2 and 3</w:t>
      </w:r>
    </w:p>
    <w:tbl>
      <w:tblPr>
        <w:tblW w:w="5000" w:type="pct"/>
        <w:tblLook w:val="04A0" w:firstRow="1" w:lastRow="0" w:firstColumn="1" w:lastColumn="0" w:noHBand="0" w:noVBand="1"/>
      </w:tblPr>
      <w:tblGrid>
        <w:gridCol w:w="4324"/>
        <w:gridCol w:w="2650"/>
        <w:gridCol w:w="2650"/>
      </w:tblGrid>
      <w:tr w:rsidR="00691DA8" w:rsidRPr="00A03AE6" w:rsidTr="00691DA8">
        <w:trPr>
          <w:tblHeader/>
        </w:trPr>
        <w:tc>
          <w:tcPr>
            <w:tcW w:w="2246" w:type="pct"/>
            <w:tcBorders>
              <w:top w:val="single" w:sz="8" w:space="0" w:color="auto"/>
              <w:left w:val="single" w:sz="8" w:space="0" w:color="auto"/>
              <w:bottom w:val="single" w:sz="4" w:space="0" w:color="auto"/>
              <w:right w:val="single" w:sz="8" w:space="0" w:color="auto"/>
            </w:tcBorders>
            <w:shd w:val="clear" w:color="000000" w:fill="BFBFBF"/>
            <w:vAlign w:val="center"/>
            <w:hideMark/>
          </w:tcPr>
          <w:p w:rsidR="00691DA8" w:rsidRPr="00A03AE6" w:rsidRDefault="00691DA8" w:rsidP="00691DA8">
            <w:pPr>
              <w:spacing w:after="0"/>
              <w:rPr>
                <w:rFonts w:asciiTheme="majorHAnsi" w:eastAsia="Times New Roman" w:hAnsiTheme="majorHAnsi" w:cstheme="majorHAnsi"/>
                <w:b/>
                <w:bCs/>
                <w:sz w:val="20"/>
                <w:lang w:eastAsia="en-AU"/>
              </w:rPr>
            </w:pPr>
            <w:r w:rsidRPr="00A03AE6">
              <w:rPr>
                <w:rFonts w:asciiTheme="majorHAnsi" w:eastAsia="Times New Roman" w:hAnsiTheme="majorHAnsi" w:cstheme="majorHAnsi"/>
                <w:b/>
                <w:bCs/>
                <w:sz w:val="20"/>
                <w:lang w:eastAsia="en-AU"/>
              </w:rPr>
              <w:t>Cost type</w:t>
            </w:r>
          </w:p>
        </w:tc>
        <w:tc>
          <w:tcPr>
            <w:tcW w:w="1377" w:type="pct"/>
            <w:tcBorders>
              <w:top w:val="single" w:sz="8" w:space="0" w:color="auto"/>
              <w:left w:val="nil"/>
              <w:bottom w:val="single" w:sz="4" w:space="0" w:color="auto"/>
              <w:right w:val="single" w:sz="8" w:space="0" w:color="auto"/>
            </w:tcBorders>
            <w:shd w:val="clear" w:color="000000" w:fill="BFBFBF"/>
            <w:vAlign w:val="center"/>
            <w:hideMark/>
          </w:tcPr>
          <w:p w:rsidR="00691DA8" w:rsidRPr="00A03AE6" w:rsidRDefault="00691DA8" w:rsidP="00691DA8">
            <w:pPr>
              <w:spacing w:after="0"/>
              <w:jc w:val="center"/>
              <w:rPr>
                <w:rFonts w:asciiTheme="majorHAnsi" w:eastAsia="Times New Roman" w:hAnsiTheme="majorHAnsi" w:cstheme="majorHAnsi"/>
                <w:b/>
                <w:bCs/>
                <w:sz w:val="20"/>
                <w:lang w:eastAsia="en-AU"/>
              </w:rPr>
            </w:pPr>
            <w:r w:rsidRPr="00A03AE6">
              <w:rPr>
                <w:rFonts w:asciiTheme="majorHAnsi" w:eastAsia="Times New Roman" w:hAnsiTheme="majorHAnsi" w:cstheme="majorHAnsi"/>
                <w:b/>
                <w:sz w:val="20"/>
                <w:lang w:eastAsia="en-AU"/>
              </w:rPr>
              <w:t>Option 2</w:t>
            </w:r>
          </w:p>
        </w:tc>
        <w:tc>
          <w:tcPr>
            <w:tcW w:w="1377" w:type="pct"/>
            <w:tcBorders>
              <w:top w:val="single" w:sz="8" w:space="0" w:color="auto"/>
              <w:left w:val="nil"/>
              <w:bottom w:val="single" w:sz="4" w:space="0" w:color="auto"/>
              <w:right w:val="single" w:sz="8" w:space="0" w:color="auto"/>
            </w:tcBorders>
            <w:shd w:val="clear" w:color="000000" w:fill="BFBFBF"/>
          </w:tcPr>
          <w:p w:rsidR="00691DA8" w:rsidRPr="00A03AE6" w:rsidRDefault="00691DA8" w:rsidP="00691DA8">
            <w:pPr>
              <w:spacing w:after="0"/>
              <w:jc w:val="center"/>
              <w:rPr>
                <w:rFonts w:asciiTheme="majorHAnsi" w:eastAsia="Times New Roman" w:hAnsiTheme="majorHAnsi" w:cstheme="majorHAnsi"/>
                <w:b/>
                <w:bCs/>
                <w:sz w:val="20"/>
                <w:lang w:eastAsia="en-AU"/>
              </w:rPr>
            </w:pPr>
            <w:r w:rsidRPr="00A03AE6">
              <w:rPr>
                <w:rFonts w:asciiTheme="majorHAnsi" w:eastAsia="Times New Roman" w:hAnsiTheme="majorHAnsi" w:cstheme="majorHAnsi"/>
                <w:b/>
                <w:sz w:val="20"/>
                <w:lang w:eastAsia="en-AU"/>
              </w:rPr>
              <w:t>Option 3</w:t>
            </w:r>
          </w:p>
        </w:tc>
      </w:tr>
      <w:tr w:rsidR="00691DA8" w:rsidRPr="00A03AE6" w:rsidTr="00691DA8">
        <w:tc>
          <w:tcPr>
            <w:tcW w:w="5000" w:type="pct"/>
            <w:gridSpan w:val="3"/>
            <w:tcBorders>
              <w:top w:val="single" w:sz="4" w:space="0" w:color="auto"/>
              <w:left w:val="single" w:sz="8" w:space="0" w:color="auto"/>
              <w:bottom w:val="single" w:sz="8" w:space="0" w:color="auto"/>
              <w:right w:val="single" w:sz="8" w:space="0" w:color="auto"/>
            </w:tcBorders>
            <w:shd w:val="clear" w:color="auto" w:fill="auto"/>
            <w:vAlign w:val="center"/>
          </w:tcPr>
          <w:p w:rsidR="00691DA8" w:rsidRPr="00A03AE6" w:rsidRDefault="00691DA8" w:rsidP="00691DA8">
            <w:pPr>
              <w:spacing w:after="0"/>
              <w:rPr>
                <w:rFonts w:asciiTheme="majorHAnsi" w:eastAsia="Times New Roman" w:hAnsiTheme="majorHAnsi" w:cstheme="majorHAnsi"/>
                <w:sz w:val="20"/>
                <w:lang w:eastAsia="en-AU"/>
              </w:rPr>
            </w:pPr>
            <w:r w:rsidRPr="00A03AE6">
              <w:rPr>
                <w:rFonts w:asciiTheme="majorHAnsi" w:eastAsia="Times New Roman" w:hAnsiTheme="majorHAnsi" w:cstheme="majorHAnsi"/>
                <w:b/>
                <w:sz w:val="20"/>
                <w:lang w:eastAsia="en-AU"/>
              </w:rPr>
              <w:t>Increase in operating costs</w:t>
            </w:r>
          </w:p>
        </w:tc>
      </w:tr>
      <w:tr w:rsidR="00691DA8" w:rsidRPr="00A03AE6" w:rsidTr="00691DA8">
        <w:tc>
          <w:tcPr>
            <w:tcW w:w="2246" w:type="pct"/>
            <w:tcBorders>
              <w:top w:val="nil"/>
              <w:left w:val="single" w:sz="8" w:space="0" w:color="auto"/>
              <w:bottom w:val="single" w:sz="8" w:space="0" w:color="auto"/>
              <w:right w:val="single" w:sz="8" w:space="0" w:color="auto"/>
            </w:tcBorders>
            <w:shd w:val="clear" w:color="auto" w:fill="auto"/>
            <w:vAlign w:val="center"/>
          </w:tcPr>
          <w:p w:rsidR="00691DA8" w:rsidRPr="00A03AE6" w:rsidRDefault="00691DA8"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Very large businesses</w:t>
            </w:r>
          </w:p>
        </w:tc>
        <w:tc>
          <w:tcPr>
            <w:tcW w:w="1377" w:type="pct"/>
            <w:tcBorders>
              <w:top w:val="nil"/>
              <w:left w:val="nil"/>
              <w:bottom w:val="single" w:sz="8" w:space="0" w:color="auto"/>
              <w:right w:val="single" w:sz="8" w:space="0" w:color="auto"/>
            </w:tcBorders>
            <w:shd w:val="clear" w:color="auto" w:fill="auto"/>
            <w:vAlign w:val="center"/>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$100,000*</w:t>
            </w:r>
          </w:p>
        </w:tc>
        <w:tc>
          <w:tcPr>
            <w:tcW w:w="1377" w:type="pct"/>
            <w:tcBorders>
              <w:top w:val="nil"/>
              <w:left w:val="nil"/>
              <w:bottom w:val="single" w:sz="8" w:space="0" w:color="auto"/>
              <w:right w:val="single" w:sz="8" w:space="0" w:color="auto"/>
            </w:tcBorders>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Not feasible</w:t>
            </w:r>
          </w:p>
        </w:tc>
      </w:tr>
      <w:tr w:rsidR="00691DA8" w:rsidRPr="00A03AE6" w:rsidTr="00691DA8">
        <w:tc>
          <w:tcPr>
            <w:tcW w:w="2246" w:type="pct"/>
            <w:tcBorders>
              <w:top w:val="single" w:sz="8" w:space="0" w:color="auto"/>
              <w:left w:val="single" w:sz="8" w:space="0" w:color="auto"/>
              <w:bottom w:val="single" w:sz="8" w:space="0" w:color="auto"/>
              <w:right w:val="single" w:sz="8" w:space="0" w:color="auto"/>
            </w:tcBorders>
            <w:shd w:val="clear" w:color="auto" w:fill="auto"/>
            <w:vAlign w:val="center"/>
          </w:tcPr>
          <w:p w:rsidR="00691DA8" w:rsidRPr="00A03AE6" w:rsidRDefault="00691DA8"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 xml:space="preserve">Medium and large business </w:t>
            </w:r>
          </w:p>
        </w:tc>
        <w:tc>
          <w:tcPr>
            <w:tcW w:w="1377" w:type="pct"/>
            <w:tcBorders>
              <w:top w:val="single" w:sz="8" w:space="0" w:color="auto"/>
              <w:left w:val="nil"/>
              <w:bottom w:val="single" w:sz="8" w:space="0" w:color="auto"/>
              <w:right w:val="single" w:sz="8" w:space="0" w:color="auto"/>
            </w:tcBorders>
            <w:shd w:val="clear" w:color="auto" w:fill="auto"/>
            <w:vAlign w:val="center"/>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$5,000</w:t>
            </w:r>
          </w:p>
        </w:tc>
        <w:tc>
          <w:tcPr>
            <w:tcW w:w="1377" w:type="pct"/>
            <w:tcBorders>
              <w:top w:val="single" w:sz="8" w:space="0" w:color="auto"/>
              <w:left w:val="nil"/>
              <w:bottom w:val="single" w:sz="8" w:space="0" w:color="auto"/>
              <w:right w:val="single" w:sz="8" w:space="0" w:color="auto"/>
            </w:tcBorders>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Not feasible</w:t>
            </w:r>
          </w:p>
        </w:tc>
      </w:tr>
      <w:tr w:rsidR="00691DA8" w:rsidRPr="00A03AE6" w:rsidTr="00691DA8">
        <w:tc>
          <w:tcPr>
            <w:tcW w:w="2246" w:type="pct"/>
            <w:tcBorders>
              <w:top w:val="single" w:sz="8" w:space="0" w:color="auto"/>
              <w:left w:val="single" w:sz="8" w:space="0" w:color="auto"/>
              <w:bottom w:val="single" w:sz="8" w:space="0" w:color="auto"/>
              <w:right w:val="single" w:sz="8" w:space="0" w:color="auto"/>
            </w:tcBorders>
            <w:shd w:val="clear" w:color="auto" w:fill="auto"/>
            <w:vAlign w:val="center"/>
          </w:tcPr>
          <w:p w:rsidR="00691DA8" w:rsidRPr="00A03AE6" w:rsidRDefault="00691DA8"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 xml:space="preserve">Small businesses </w:t>
            </w:r>
          </w:p>
        </w:tc>
        <w:tc>
          <w:tcPr>
            <w:tcW w:w="1377" w:type="pct"/>
            <w:tcBorders>
              <w:top w:val="single" w:sz="8" w:space="0" w:color="auto"/>
              <w:left w:val="nil"/>
              <w:bottom w:val="single" w:sz="8" w:space="0" w:color="auto"/>
              <w:right w:val="single" w:sz="8" w:space="0" w:color="auto"/>
            </w:tcBorders>
            <w:shd w:val="clear" w:color="auto" w:fill="auto"/>
            <w:vAlign w:val="center"/>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$1,000</w:t>
            </w:r>
          </w:p>
        </w:tc>
        <w:tc>
          <w:tcPr>
            <w:tcW w:w="1377" w:type="pct"/>
            <w:tcBorders>
              <w:top w:val="single" w:sz="8" w:space="0" w:color="auto"/>
              <w:left w:val="nil"/>
              <w:bottom w:val="single" w:sz="8" w:space="0" w:color="auto"/>
              <w:right w:val="single" w:sz="8" w:space="0" w:color="auto"/>
            </w:tcBorders>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Not feasible</w:t>
            </w:r>
          </w:p>
        </w:tc>
      </w:tr>
      <w:tr w:rsidR="00691DA8" w:rsidRPr="00A03AE6" w:rsidTr="00691DA8">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691DA8" w:rsidRPr="00A03AE6" w:rsidRDefault="00691DA8" w:rsidP="00691DA8">
            <w:pPr>
              <w:spacing w:after="0"/>
              <w:rPr>
                <w:rFonts w:asciiTheme="majorHAnsi" w:eastAsia="Times New Roman" w:hAnsiTheme="majorHAnsi" w:cstheme="majorHAnsi"/>
                <w:sz w:val="20"/>
                <w:lang w:eastAsia="en-AU"/>
              </w:rPr>
            </w:pPr>
            <w:r w:rsidRPr="00A03AE6">
              <w:rPr>
                <w:rFonts w:asciiTheme="majorHAnsi" w:eastAsia="Times New Roman" w:hAnsiTheme="majorHAnsi" w:cstheme="majorHAnsi"/>
                <w:b/>
                <w:sz w:val="20"/>
                <w:lang w:eastAsia="en-AU"/>
              </w:rPr>
              <w:t>Capital expenditure (implementation costs)</w:t>
            </w:r>
          </w:p>
        </w:tc>
      </w:tr>
      <w:tr w:rsidR="00691DA8" w:rsidRPr="00A03AE6" w:rsidTr="00691DA8">
        <w:tc>
          <w:tcPr>
            <w:tcW w:w="2246" w:type="pct"/>
            <w:tcBorders>
              <w:top w:val="single" w:sz="8" w:space="0" w:color="auto"/>
              <w:left w:val="single" w:sz="8" w:space="0" w:color="auto"/>
              <w:bottom w:val="single" w:sz="8" w:space="0" w:color="auto"/>
              <w:right w:val="single" w:sz="8" w:space="0" w:color="auto"/>
            </w:tcBorders>
            <w:shd w:val="clear" w:color="auto" w:fill="auto"/>
            <w:vAlign w:val="center"/>
          </w:tcPr>
          <w:p w:rsidR="00691DA8" w:rsidRPr="00A03AE6" w:rsidRDefault="00691DA8"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Very large businesses</w:t>
            </w:r>
          </w:p>
        </w:tc>
        <w:tc>
          <w:tcPr>
            <w:tcW w:w="1377" w:type="pct"/>
            <w:tcBorders>
              <w:top w:val="single" w:sz="8" w:space="0" w:color="auto"/>
              <w:left w:val="nil"/>
              <w:bottom w:val="single" w:sz="8" w:space="0" w:color="auto"/>
              <w:right w:val="single" w:sz="8" w:space="0" w:color="auto"/>
            </w:tcBorders>
            <w:shd w:val="clear" w:color="auto" w:fill="auto"/>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$1 million*</w:t>
            </w:r>
          </w:p>
        </w:tc>
        <w:tc>
          <w:tcPr>
            <w:tcW w:w="1377" w:type="pct"/>
            <w:tcBorders>
              <w:top w:val="single" w:sz="8" w:space="0" w:color="auto"/>
              <w:left w:val="nil"/>
              <w:bottom w:val="single" w:sz="8" w:space="0" w:color="auto"/>
              <w:right w:val="single" w:sz="8" w:space="0" w:color="auto"/>
            </w:tcBorders>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$100 million +</w:t>
            </w:r>
          </w:p>
        </w:tc>
      </w:tr>
      <w:tr w:rsidR="00691DA8" w:rsidRPr="00A03AE6" w:rsidTr="00691DA8">
        <w:tc>
          <w:tcPr>
            <w:tcW w:w="2246" w:type="pct"/>
            <w:tcBorders>
              <w:top w:val="single" w:sz="8" w:space="0" w:color="auto"/>
              <w:left w:val="single" w:sz="8" w:space="0" w:color="auto"/>
              <w:bottom w:val="single" w:sz="8" w:space="0" w:color="auto"/>
              <w:right w:val="single" w:sz="8" w:space="0" w:color="auto"/>
            </w:tcBorders>
            <w:shd w:val="clear" w:color="auto" w:fill="auto"/>
            <w:vAlign w:val="center"/>
          </w:tcPr>
          <w:p w:rsidR="00691DA8" w:rsidRPr="00A03AE6" w:rsidRDefault="00691DA8"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 xml:space="preserve">Medium and large business </w:t>
            </w:r>
          </w:p>
        </w:tc>
        <w:tc>
          <w:tcPr>
            <w:tcW w:w="1377" w:type="pct"/>
            <w:tcBorders>
              <w:top w:val="single" w:sz="8" w:space="0" w:color="auto"/>
              <w:left w:val="nil"/>
              <w:bottom w:val="single" w:sz="8" w:space="0" w:color="auto"/>
              <w:right w:val="single" w:sz="8" w:space="0" w:color="auto"/>
            </w:tcBorders>
            <w:shd w:val="clear" w:color="auto" w:fill="auto"/>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$20,000</w:t>
            </w:r>
          </w:p>
        </w:tc>
        <w:tc>
          <w:tcPr>
            <w:tcW w:w="1377" w:type="pct"/>
            <w:tcBorders>
              <w:top w:val="single" w:sz="8" w:space="0" w:color="auto"/>
              <w:left w:val="nil"/>
              <w:bottom w:val="single" w:sz="8" w:space="0" w:color="auto"/>
              <w:right w:val="single" w:sz="8" w:space="0" w:color="auto"/>
            </w:tcBorders>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$1 million</w:t>
            </w:r>
          </w:p>
        </w:tc>
      </w:tr>
      <w:tr w:rsidR="00691DA8" w:rsidRPr="00A03AE6" w:rsidTr="00CA7EBB">
        <w:tc>
          <w:tcPr>
            <w:tcW w:w="2246" w:type="pct"/>
            <w:tcBorders>
              <w:top w:val="single" w:sz="8" w:space="0" w:color="auto"/>
              <w:left w:val="single" w:sz="8" w:space="0" w:color="auto"/>
              <w:bottom w:val="single" w:sz="8" w:space="0" w:color="auto"/>
              <w:right w:val="single" w:sz="8" w:space="0" w:color="auto"/>
            </w:tcBorders>
            <w:shd w:val="clear" w:color="auto" w:fill="auto"/>
            <w:vAlign w:val="center"/>
          </w:tcPr>
          <w:p w:rsidR="00691DA8" w:rsidRPr="00A03AE6" w:rsidRDefault="00691DA8"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 xml:space="preserve">Small businesses </w:t>
            </w:r>
          </w:p>
        </w:tc>
        <w:tc>
          <w:tcPr>
            <w:tcW w:w="1377" w:type="pct"/>
            <w:tcBorders>
              <w:top w:val="single" w:sz="8" w:space="0" w:color="auto"/>
              <w:left w:val="nil"/>
              <w:bottom w:val="single" w:sz="8" w:space="0" w:color="auto"/>
              <w:right w:val="single" w:sz="8" w:space="0" w:color="auto"/>
            </w:tcBorders>
            <w:shd w:val="clear" w:color="auto" w:fill="auto"/>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$5,000</w:t>
            </w:r>
          </w:p>
        </w:tc>
        <w:tc>
          <w:tcPr>
            <w:tcW w:w="1377" w:type="pct"/>
            <w:tcBorders>
              <w:top w:val="single" w:sz="8" w:space="0" w:color="auto"/>
              <w:left w:val="nil"/>
              <w:bottom w:val="single" w:sz="8" w:space="0" w:color="auto"/>
              <w:right w:val="single" w:sz="8" w:space="0" w:color="auto"/>
            </w:tcBorders>
          </w:tcPr>
          <w:p w:rsidR="00691DA8" w:rsidRPr="00A03AE6" w:rsidRDefault="00691DA8" w:rsidP="00691DA8">
            <w:pPr>
              <w:spacing w:after="0"/>
              <w:jc w:val="center"/>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$10,000</w:t>
            </w:r>
          </w:p>
        </w:tc>
      </w:tr>
      <w:tr w:rsidR="000A72CA" w:rsidRPr="00A03AE6" w:rsidTr="009868E7">
        <w:tc>
          <w:tcPr>
            <w:tcW w:w="2246" w:type="pct"/>
            <w:tcBorders>
              <w:top w:val="single" w:sz="8" w:space="0" w:color="auto"/>
              <w:left w:val="single" w:sz="8" w:space="0" w:color="auto"/>
              <w:bottom w:val="single" w:sz="8" w:space="0" w:color="auto"/>
              <w:right w:val="single" w:sz="8" w:space="0" w:color="auto"/>
            </w:tcBorders>
            <w:shd w:val="clear" w:color="auto" w:fill="auto"/>
            <w:vAlign w:val="center"/>
          </w:tcPr>
          <w:p w:rsidR="000A72CA" w:rsidRPr="00A03AE6" w:rsidRDefault="000A72CA" w:rsidP="009868E7">
            <w:pPr>
              <w:spacing w:after="0"/>
              <w:rPr>
                <w:rFonts w:asciiTheme="majorHAnsi" w:eastAsia="Times New Roman" w:hAnsiTheme="majorHAnsi" w:cstheme="majorHAnsi"/>
                <w:sz w:val="20"/>
                <w:lang w:eastAsia="en-AU"/>
              </w:rPr>
            </w:pPr>
            <w:r>
              <w:rPr>
                <w:rFonts w:asciiTheme="majorHAnsi" w:eastAsia="Times New Roman" w:hAnsiTheme="majorHAnsi" w:cstheme="majorHAnsi"/>
                <w:b/>
                <w:sz w:val="20"/>
                <w:lang w:eastAsia="en-AU"/>
              </w:rPr>
              <w:t>Percentage of businesses affected</w:t>
            </w:r>
          </w:p>
        </w:tc>
        <w:tc>
          <w:tcPr>
            <w:tcW w:w="1377" w:type="pct"/>
            <w:tcBorders>
              <w:top w:val="single" w:sz="8" w:space="0" w:color="auto"/>
              <w:left w:val="nil"/>
              <w:bottom w:val="single" w:sz="8" w:space="0" w:color="auto"/>
              <w:right w:val="single" w:sz="8" w:space="0" w:color="auto"/>
            </w:tcBorders>
            <w:shd w:val="clear" w:color="auto" w:fill="auto"/>
          </w:tcPr>
          <w:p w:rsidR="000A72CA" w:rsidRPr="00A03AE6" w:rsidRDefault="000A72CA" w:rsidP="009868E7">
            <w:pPr>
              <w:spacing w:after="0"/>
              <w:jc w:val="center"/>
              <w:rPr>
                <w:rFonts w:asciiTheme="majorHAnsi" w:eastAsia="Times New Roman" w:hAnsiTheme="majorHAnsi" w:cstheme="majorHAnsi"/>
                <w:sz w:val="20"/>
                <w:lang w:eastAsia="en-AU"/>
              </w:rPr>
            </w:pPr>
          </w:p>
        </w:tc>
        <w:tc>
          <w:tcPr>
            <w:tcW w:w="1377" w:type="pct"/>
            <w:tcBorders>
              <w:top w:val="single" w:sz="8" w:space="0" w:color="auto"/>
              <w:left w:val="nil"/>
              <w:bottom w:val="single" w:sz="8" w:space="0" w:color="auto"/>
              <w:right w:val="single" w:sz="8" w:space="0" w:color="auto"/>
            </w:tcBorders>
          </w:tcPr>
          <w:p w:rsidR="000A72CA" w:rsidRPr="00A03AE6" w:rsidRDefault="000A72CA" w:rsidP="009868E7">
            <w:pPr>
              <w:spacing w:after="0"/>
              <w:jc w:val="center"/>
              <w:rPr>
                <w:rFonts w:asciiTheme="majorHAnsi" w:eastAsia="Times New Roman" w:hAnsiTheme="majorHAnsi" w:cstheme="majorHAnsi"/>
                <w:sz w:val="20"/>
                <w:lang w:eastAsia="en-AU"/>
              </w:rPr>
            </w:pPr>
          </w:p>
        </w:tc>
      </w:tr>
      <w:tr w:rsidR="000A72CA" w:rsidRPr="00A03AE6" w:rsidTr="009868E7">
        <w:tc>
          <w:tcPr>
            <w:tcW w:w="2246" w:type="pct"/>
            <w:tcBorders>
              <w:top w:val="single" w:sz="8" w:space="0" w:color="auto"/>
              <w:left w:val="single" w:sz="8" w:space="0" w:color="auto"/>
              <w:bottom w:val="single" w:sz="8" w:space="0" w:color="auto"/>
              <w:right w:val="single" w:sz="8" w:space="0" w:color="auto"/>
            </w:tcBorders>
            <w:shd w:val="clear" w:color="auto" w:fill="auto"/>
            <w:vAlign w:val="center"/>
          </w:tcPr>
          <w:p w:rsidR="000A72CA" w:rsidRPr="00A03AE6" w:rsidRDefault="000A72CA"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Very large businesses</w:t>
            </w:r>
          </w:p>
        </w:tc>
        <w:tc>
          <w:tcPr>
            <w:tcW w:w="1377" w:type="pct"/>
            <w:tcBorders>
              <w:top w:val="single" w:sz="8" w:space="0" w:color="auto"/>
              <w:left w:val="nil"/>
              <w:bottom w:val="single" w:sz="8" w:space="0" w:color="auto"/>
              <w:right w:val="single" w:sz="8" w:space="0" w:color="auto"/>
            </w:tcBorders>
            <w:shd w:val="clear" w:color="auto" w:fill="auto"/>
            <w:vAlign w:val="center"/>
          </w:tcPr>
          <w:p w:rsidR="000A72CA" w:rsidRPr="00A03AE6" w:rsidRDefault="000A72CA" w:rsidP="009868E7">
            <w:pPr>
              <w:spacing w:after="0"/>
              <w:jc w:val="center"/>
              <w:rPr>
                <w:rFonts w:asciiTheme="majorHAnsi" w:eastAsia="Times New Roman" w:hAnsiTheme="majorHAnsi" w:cstheme="majorHAnsi"/>
                <w:sz w:val="20"/>
                <w:lang w:eastAsia="en-AU"/>
              </w:rPr>
            </w:pPr>
            <w:r>
              <w:rPr>
                <w:rFonts w:asciiTheme="majorHAnsi" w:eastAsia="Times New Roman" w:hAnsiTheme="majorHAnsi" w:cstheme="majorHAnsi"/>
                <w:sz w:val="20"/>
                <w:lang w:eastAsia="en-AU"/>
              </w:rPr>
              <w:t>100%</w:t>
            </w:r>
          </w:p>
        </w:tc>
        <w:tc>
          <w:tcPr>
            <w:tcW w:w="1377" w:type="pct"/>
            <w:tcBorders>
              <w:top w:val="single" w:sz="8" w:space="0" w:color="auto"/>
              <w:left w:val="nil"/>
              <w:bottom w:val="single" w:sz="8" w:space="0" w:color="auto"/>
              <w:right w:val="single" w:sz="8" w:space="0" w:color="auto"/>
            </w:tcBorders>
          </w:tcPr>
          <w:p w:rsidR="000A72CA" w:rsidRPr="00A03AE6" w:rsidRDefault="000A72CA" w:rsidP="009868E7">
            <w:pPr>
              <w:spacing w:after="0"/>
              <w:jc w:val="center"/>
              <w:rPr>
                <w:rFonts w:asciiTheme="majorHAnsi" w:eastAsia="Times New Roman" w:hAnsiTheme="majorHAnsi" w:cstheme="majorHAnsi"/>
                <w:sz w:val="20"/>
                <w:lang w:eastAsia="en-AU"/>
              </w:rPr>
            </w:pPr>
            <w:r w:rsidRPr="006C1313">
              <w:rPr>
                <w:rFonts w:asciiTheme="majorHAnsi" w:eastAsia="Times New Roman" w:hAnsiTheme="majorHAnsi" w:cstheme="majorHAnsi"/>
                <w:sz w:val="20"/>
                <w:lang w:eastAsia="en-AU"/>
              </w:rPr>
              <w:t>100%</w:t>
            </w:r>
          </w:p>
        </w:tc>
      </w:tr>
      <w:tr w:rsidR="000A72CA" w:rsidRPr="00A03AE6" w:rsidTr="009868E7">
        <w:tc>
          <w:tcPr>
            <w:tcW w:w="2246" w:type="pct"/>
            <w:tcBorders>
              <w:top w:val="single" w:sz="8" w:space="0" w:color="auto"/>
              <w:left w:val="single" w:sz="8" w:space="0" w:color="auto"/>
              <w:bottom w:val="single" w:sz="8" w:space="0" w:color="auto"/>
              <w:right w:val="single" w:sz="8" w:space="0" w:color="auto"/>
            </w:tcBorders>
            <w:shd w:val="clear" w:color="auto" w:fill="auto"/>
            <w:vAlign w:val="center"/>
          </w:tcPr>
          <w:p w:rsidR="000A72CA" w:rsidRPr="00A03AE6" w:rsidRDefault="000A72CA"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 xml:space="preserve">Medium and large business </w:t>
            </w:r>
          </w:p>
        </w:tc>
        <w:tc>
          <w:tcPr>
            <w:tcW w:w="1377" w:type="pct"/>
            <w:tcBorders>
              <w:top w:val="single" w:sz="8" w:space="0" w:color="auto"/>
              <w:left w:val="nil"/>
              <w:bottom w:val="single" w:sz="8" w:space="0" w:color="auto"/>
              <w:right w:val="single" w:sz="8" w:space="0" w:color="auto"/>
            </w:tcBorders>
            <w:shd w:val="clear" w:color="auto" w:fill="auto"/>
            <w:vAlign w:val="center"/>
          </w:tcPr>
          <w:p w:rsidR="000A72CA" w:rsidRPr="00A03AE6" w:rsidRDefault="000A72CA" w:rsidP="009868E7">
            <w:pPr>
              <w:spacing w:after="0"/>
              <w:jc w:val="center"/>
              <w:rPr>
                <w:rFonts w:asciiTheme="majorHAnsi" w:eastAsia="Times New Roman" w:hAnsiTheme="majorHAnsi" w:cstheme="majorHAnsi"/>
                <w:sz w:val="20"/>
                <w:lang w:eastAsia="en-AU"/>
              </w:rPr>
            </w:pPr>
            <w:r>
              <w:rPr>
                <w:rFonts w:asciiTheme="majorHAnsi" w:eastAsia="Times New Roman" w:hAnsiTheme="majorHAnsi" w:cstheme="majorHAnsi"/>
                <w:sz w:val="20"/>
                <w:lang w:eastAsia="en-AU"/>
              </w:rPr>
              <w:t>30%</w:t>
            </w:r>
          </w:p>
        </w:tc>
        <w:tc>
          <w:tcPr>
            <w:tcW w:w="1377" w:type="pct"/>
            <w:tcBorders>
              <w:top w:val="single" w:sz="8" w:space="0" w:color="auto"/>
              <w:left w:val="nil"/>
              <w:bottom w:val="single" w:sz="8" w:space="0" w:color="auto"/>
              <w:right w:val="single" w:sz="8" w:space="0" w:color="auto"/>
            </w:tcBorders>
          </w:tcPr>
          <w:p w:rsidR="000A72CA" w:rsidRPr="00A03AE6" w:rsidRDefault="000A72CA" w:rsidP="009868E7">
            <w:pPr>
              <w:spacing w:after="0"/>
              <w:jc w:val="center"/>
              <w:rPr>
                <w:rFonts w:asciiTheme="majorHAnsi" w:eastAsia="Times New Roman" w:hAnsiTheme="majorHAnsi" w:cstheme="majorHAnsi"/>
                <w:sz w:val="20"/>
                <w:lang w:eastAsia="en-AU"/>
              </w:rPr>
            </w:pPr>
            <w:r w:rsidRPr="006C1313">
              <w:rPr>
                <w:rFonts w:asciiTheme="majorHAnsi" w:eastAsia="Times New Roman" w:hAnsiTheme="majorHAnsi" w:cstheme="majorHAnsi"/>
                <w:sz w:val="20"/>
                <w:lang w:eastAsia="en-AU"/>
              </w:rPr>
              <w:t>100%</w:t>
            </w:r>
          </w:p>
        </w:tc>
      </w:tr>
      <w:tr w:rsidR="000A72CA" w:rsidRPr="00A03AE6" w:rsidTr="009868E7">
        <w:tc>
          <w:tcPr>
            <w:tcW w:w="2246" w:type="pct"/>
            <w:tcBorders>
              <w:top w:val="single" w:sz="8" w:space="0" w:color="auto"/>
              <w:left w:val="single" w:sz="8" w:space="0" w:color="auto"/>
              <w:bottom w:val="single" w:sz="4" w:space="0" w:color="auto"/>
              <w:right w:val="single" w:sz="8" w:space="0" w:color="auto"/>
            </w:tcBorders>
            <w:shd w:val="clear" w:color="auto" w:fill="auto"/>
            <w:vAlign w:val="center"/>
          </w:tcPr>
          <w:p w:rsidR="000A72CA" w:rsidRPr="00A03AE6" w:rsidRDefault="000A72CA" w:rsidP="00C82781">
            <w:pPr>
              <w:spacing w:after="0"/>
              <w:ind w:left="284"/>
              <w:rPr>
                <w:rFonts w:asciiTheme="majorHAnsi" w:eastAsia="Times New Roman" w:hAnsiTheme="majorHAnsi" w:cstheme="majorHAnsi"/>
                <w:sz w:val="20"/>
                <w:lang w:eastAsia="en-AU"/>
              </w:rPr>
            </w:pPr>
            <w:r w:rsidRPr="00A03AE6">
              <w:rPr>
                <w:rFonts w:asciiTheme="majorHAnsi" w:eastAsia="Times New Roman" w:hAnsiTheme="majorHAnsi" w:cstheme="majorHAnsi"/>
                <w:sz w:val="20"/>
                <w:lang w:eastAsia="en-AU"/>
              </w:rPr>
              <w:t xml:space="preserve">Small businesses </w:t>
            </w:r>
          </w:p>
        </w:tc>
        <w:tc>
          <w:tcPr>
            <w:tcW w:w="1377" w:type="pct"/>
            <w:tcBorders>
              <w:top w:val="single" w:sz="8" w:space="0" w:color="auto"/>
              <w:left w:val="nil"/>
              <w:bottom w:val="single" w:sz="4" w:space="0" w:color="auto"/>
              <w:right w:val="single" w:sz="8" w:space="0" w:color="auto"/>
            </w:tcBorders>
            <w:shd w:val="clear" w:color="auto" w:fill="auto"/>
            <w:vAlign w:val="center"/>
          </w:tcPr>
          <w:p w:rsidR="000A72CA" w:rsidRPr="00A03AE6" w:rsidRDefault="000A72CA" w:rsidP="009868E7">
            <w:pPr>
              <w:spacing w:after="0"/>
              <w:jc w:val="center"/>
              <w:rPr>
                <w:rFonts w:asciiTheme="majorHAnsi" w:eastAsia="Times New Roman" w:hAnsiTheme="majorHAnsi" w:cstheme="majorHAnsi"/>
                <w:sz w:val="20"/>
                <w:lang w:eastAsia="en-AU"/>
              </w:rPr>
            </w:pPr>
            <w:r>
              <w:rPr>
                <w:rFonts w:asciiTheme="majorHAnsi" w:eastAsia="Times New Roman" w:hAnsiTheme="majorHAnsi" w:cstheme="majorHAnsi"/>
                <w:sz w:val="20"/>
                <w:lang w:eastAsia="en-AU"/>
              </w:rPr>
              <w:t>30%</w:t>
            </w:r>
          </w:p>
        </w:tc>
        <w:tc>
          <w:tcPr>
            <w:tcW w:w="1377" w:type="pct"/>
            <w:tcBorders>
              <w:top w:val="single" w:sz="8" w:space="0" w:color="auto"/>
              <w:left w:val="nil"/>
              <w:bottom w:val="single" w:sz="4" w:space="0" w:color="auto"/>
              <w:right w:val="single" w:sz="8" w:space="0" w:color="auto"/>
            </w:tcBorders>
          </w:tcPr>
          <w:p w:rsidR="000A72CA" w:rsidRPr="00A03AE6" w:rsidRDefault="000A72CA" w:rsidP="009868E7">
            <w:pPr>
              <w:spacing w:after="0"/>
              <w:jc w:val="center"/>
              <w:rPr>
                <w:rFonts w:asciiTheme="majorHAnsi" w:eastAsia="Times New Roman" w:hAnsiTheme="majorHAnsi" w:cstheme="majorHAnsi"/>
                <w:sz w:val="20"/>
                <w:lang w:eastAsia="en-AU"/>
              </w:rPr>
            </w:pPr>
            <w:r w:rsidRPr="006C1313">
              <w:rPr>
                <w:rFonts w:asciiTheme="majorHAnsi" w:eastAsia="Times New Roman" w:hAnsiTheme="majorHAnsi" w:cstheme="majorHAnsi"/>
                <w:sz w:val="20"/>
                <w:lang w:eastAsia="en-AU"/>
              </w:rPr>
              <w:t>100%</w:t>
            </w:r>
          </w:p>
        </w:tc>
      </w:tr>
    </w:tbl>
    <w:p w:rsidR="00691DA8" w:rsidRPr="004B1AD5" w:rsidRDefault="00691DA8" w:rsidP="004B1AD5">
      <w:pPr>
        <w:rPr>
          <w:sz w:val="18"/>
        </w:rPr>
      </w:pPr>
      <w:r w:rsidRPr="004B1AD5">
        <w:rPr>
          <w:sz w:val="18"/>
        </w:rPr>
        <w:t>* There are up to five very large businesses which employ around two-thirds of th</w:t>
      </w:r>
      <w:r w:rsidR="004B1AD5">
        <w:rPr>
          <w:sz w:val="18"/>
        </w:rPr>
        <w:t>e lead-risk workforce. Some of t</w:t>
      </w:r>
      <w:r w:rsidRPr="004B1AD5">
        <w:rPr>
          <w:sz w:val="18"/>
        </w:rPr>
        <w:t xml:space="preserve">hese </w:t>
      </w:r>
      <w:r w:rsidR="004B1AD5">
        <w:rPr>
          <w:sz w:val="18"/>
        </w:rPr>
        <w:t xml:space="preserve">large </w:t>
      </w:r>
      <w:r w:rsidRPr="004B1AD5">
        <w:rPr>
          <w:sz w:val="18"/>
        </w:rPr>
        <w:t xml:space="preserve">businesses have reported </w:t>
      </w:r>
      <w:r w:rsidR="00502EC3">
        <w:rPr>
          <w:sz w:val="18"/>
        </w:rPr>
        <w:t>significant</w:t>
      </w:r>
      <w:r w:rsidRPr="004B1AD5">
        <w:rPr>
          <w:sz w:val="18"/>
        </w:rPr>
        <w:t xml:space="preserve"> compliance costs associated with implementing Option 2, but the available data from health agencies indicates they are largely already compliant. For example, there were 550 mining workers tested in Qld in 2015, of which only two had a test with a blood lead level above the 30 μg/dL removal level proposed for Option 2. This would suggest the businesses may have over-estimated their costs. However, if the costs were as high as some have suggested, businesses have an option of seeking an exemption from their WHS regulator, which may be used in some cases.</w:t>
      </w:r>
    </w:p>
    <w:p w:rsidR="00691DA8" w:rsidRPr="004C4DEF" w:rsidRDefault="00691DA8" w:rsidP="00E77182">
      <w:pPr>
        <w:pStyle w:val="Heading3"/>
      </w:pPr>
      <w:r w:rsidRPr="004C4DEF">
        <w:t xml:space="preserve">Increase in the frequency of blood lead level testing </w:t>
      </w:r>
    </w:p>
    <w:p w:rsidR="00691DA8" w:rsidRDefault="00691DA8" w:rsidP="00691DA8">
      <w:r>
        <w:t>Based on the available blood lead test results in 2015, the average lead-risk worker is required by the regulations to be tested approximately 2.13 times per year. This would increase to 3.01 times if Option 2 is implemented. It would almost triple to 6.01 times if Option 3 is implemented.</w:t>
      </w:r>
    </w:p>
    <w:p w:rsidR="00691DA8" w:rsidRDefault="00691DA8" w:rsidP="00691DA8">
      <w:r>
        <w:t>However, in submissions to the Consultation RIS, many businesses indicated that they undertake blood lead level testing more frequently than they are required to, so the actual increase in costs required to be compliant will be less than this.</w:t>
      </w:r>
      <w:r w:rsidR="0048664C">
        <w:t xml:space="preserve"> The testing frequencies modelled are outlined in </w:t>
      </w:r>
      <w:r w:rsidR="0048664C">
        <w:fldChar w:fldCharType="begin"/>
      </w:r>
      <w:r w:rsidR="0048664C">
        <w:instrText xml:space="preserve"> REF _Ref456701719 \h </w:instrText>
      </w:r>
      <w:r w:rsidR="0048664C">
        <w:fldChar w:fldCharType="separate"/>
      </w:r>
      <w:r w:rsidR="00052CE1">
        <w:t xml:space="preserve">Table </w:t>
      </w:r>
      <w:r w:rsidR="00052CE1">
        <w:rPr>
          <w:noProof/>
        </w:rPr>
        <w:t>13</w:t>
      </w:r>
      <w:r w:rsidR="0048664C">
        <w:fldChar w:fldCharType="end"/>
      </w:r>
    </w:p>
    <w:p w:rsidR="00691DA8" w:rsidRDefault="00691DA8" w:rsidP="00691DA8">
      <w:pPr>
        <w:pStyle w:val="TableHeadingText"/>
      </w:pPr>
      <w:bookmarkStart w:id="103" w:name="_Ref456701719"/>
      <w:r>
        <w:t xml:space="preserve">Table </w:t>
      </w:r>
      <w:r w:rsidR="00CB69C0">
        <w:fldChar w:fldCharType="begin"/>
      </w:r>
      <w:r w:rsidR="00CB69C0">
        <w:instrText xml:space="preserve"> SEQ Table \* ARABIC </w:instrText>
      </w:r>
      <w:r w:rsidR="00CB69C0">
        <w:fldChar w:fldCharType="separate"/>
      </w:r>
      <w:r w:rsidR="00052CE1">
        <w:rPr>
          <w:noProof/>
        </w:rPr>
        <w:t>13</w:t>
      </w:r>
      <w:r w:rsidR="00CB69C0">
        <w:rPr>
          <w:noProof/>
        </w:rPr>
        <w:fldChar w:fldCharType="end"/>
      </w:r>
      <w:bookmarkEnd w:id="103"/>
      <w:r>
        <w:t xml:space="preserve">. </w:t>
      </w:r>
      <w:r w:rsidRPr="00263C91">
        <w:rPr>
          <w:b w:val="0"/>
        </w:rPr>
        <w:t>Estimated increase in the frequency of blood lead level testing</w:t>
      </w:r>
    </w:p>
    <w:tbl>
      <w:tblPr>
        <w:tblStyle w:val="TableGrid"/>
        <w:tblW w:w="5000" w:type="pct"/>
        <w:tblLook w:val="04A0" w:firstRow="1" w:lastRow="0" w:firstColumn="1" w:lastColumn="0" w:noHBand="0" w:noVBand="1"/>
        <w:tblCaption w:val="Table 13"/>
        <w:tblDescription w:val="Table 13. Estimated increase in the frequency of blood lead level testing."/>
      </w:tblPr>
      <w:tblGrid>
        <w:gridCol w:w="1532"/>
        <w:gridCol w:w="2217"/>
        <w:gridCol w:w="1959"/>
        <w:gridCol w:w="1958"/>
        <w:gridCol w:w="1958"/>
      </w:tblGrid>
      <w:tr w:rsidR="00691DA8" w:rsidRPr="00A03AE6" w:rsidTr="00691DA8">
        <w:trPr>
          <w:cantSplit/>
          <w:tblHeader/>
        </w:trPr>
        <w:tc>
          <w:tcPr>
            <w:tcW w:w="796" w:type="pct"/>
            <w:vMerge w:val="restart"/>
            <w:shd w:val="clear" w:color="auto" w:fill="BFBFBF" w:themeFill="background1" w:themeFillShade="BF"/>
            <w:vAlign w:val="center"/>
          </w:tcPr>
          <w:p w:rsidR="00691DA8" w:rsidRPr="00A03AE6" w:rsidRDefault="00691DA8" w:rsidP="00691DA8">
            <w:pPr>
              <w:pStyle w:val="BodyText"/>
              <w:keepNext/>
              <w:spacing w:line="240" w:lineRule="auto"/>
              <w:rPr>
                <w:rFonts w:ascii="Arial" w:hAnsi="Arial" w:cs="Arial"/>
                <w:b/>
                <w:sz w:val="20"/>
                <w:szCs w:val="20"/>
              </w:rPr>
            </w:pPr>
            <w:r w:rsidRPr="00A03AE6">
              <w:rPr>
                <w:rFonts w:ascii="Arial" w:hAnsi="Arial" w:cs="Arial"/>
                <w:b/>
                <w:sz w:val="20"/>
                <w:szCs w:val="20"/>
              </w:rPr>
              <w:t>Blood lead level (</w:t>
            </w:r>
            <w:r w:rsidRPr="00A03AE6">
              <w:rPr>
                <w:rFonts w:ascii="Arial" w:hAnsi="Arial" w:cs="Arial"/>
                <w:b/>
                <w:color w:val="000000"/>
                <w:sz w:val="20"/>
                <w:szCs w:val="20"/>
              </w:rPr>
              <w:t>μg/dL)</w:t>
            </w:r>
          </w:p>
        </w:tc>
        <w:tc>
          <w:tcPr>
            <w:tcW w:w="1152" w:type="pct"/>
            <w:vMerge w:val="restart"/>
            <w:shd w:val="clear" w:color="auto" w:fill="BFBFBF" w:themeFill="background1" w:themeFillShade="BF"/>
            <w:vAlign w:val="center"/>
          </w:tcPr>
          <w:p w:rsidR="00691DA8" w:rsidRPr="00A03AE6" w:rsidRDefault="00691DA8" w:rsidP="00691DA8">
            <w:pPr>
              <w:pStyle w:val="BodyText"/>
              <w:keepNext/>
              <w:spacing w:line="240" w:lineRule="auto"/>
              <w:jc w:val="center"/>
              <w:rPr>
                <w:rFonts w:ascii="Arial" w:hAnsi="Arial" w:cs="Arial"/>
                <w:b/>
                <w:sz w:val="20"/>
                <w:szCs w:val="20"/>
              </w:rPr>
            </w:pPr>
            <w:r w:rsidRPr="00A03AE6">
              <w:rPr>
                <w:rFonts w:ascii="Arial" w:hAnsi="Arial" w:cs="Arial"/>
                <w:b/>
                <w:sz w:val="20"/>
                <w:szCs w:val="20"/>
              </w:rPr>
              <w:t>Estimated frequency of test results</w:t>
            </w:r>
          </w:p>
        </w:tc>
        <w:tc>
          <w:tcPr>
            <w:tcW w:w="3052" w:type="pct"/>
            <w:gridSpan w:val="3"/>
            <w:shd w:val="clear" w:color="auto" w:fill="BFBFBF" w:themeFill="background1" w:themeFillShade="BF"/>
          </w:tcPr>
          <w:p w:rsidR="00691DA8" w:rsidRPr="00A03AE6" w:rsidRDefault="00691DA8" w:rsidP="00691DA8">
            <w:pPr>
              <w:pStyle w:val="BodyText"/>
              <w:keepNext/>
              <w:spacing w:line="240" w:lineRule="auto"/>
              <w:jc w:val="center"/>
              <w:rPr>
                <w:rFonts w:ascii="Arial" w:hAnsi="Arial" w:cs="Arial"/>
                <w:b/>
                <w:sz w:val="20"/>
                <w:szCs w:val="20"/>
              </w:rPr>
            </w:pPr>
            <w:r w:rsidRPr="00A03AE6">
              <w:rPr>
                <w:rFonts w:ascii="Arial" w:hAnsi="Arial" w:cs="Arial"/>
                <w:b/>
                <w:sz w:val="20"/>
                <w:szCs w:val="20"/>
              </w:rPr>
              <w:t>Frequency of testing (per annum), males and FNRC</w:t>
            </w:r>
            <w:r w:rsidR="00A5065F">
              <w:rPr>
                <w:rFonts w:ascii="Arial" w:hAnsi="Arial" w:cs="Arial"/>
                <w:b/>
                <w:sz w:val="20"/>
                <w:szCs w:val="20"/>
              </w:rPr>
              <w:t>*</w:t>
            </w:r>
          </w:p>
        </w:tc>
      </w:tr>
      <w:tr w:rsidR="00691DA8" w:rsidRPr="00A03AE6" w:rsidTr="00691DA8">
        <w:trPr>
          <w:cantSplit/>
          <w:trHeight w:val="316"/>
          <w:tblHeader/>
        </w:trPr>
        <w:tc>
          <w:tcPr>
            <w:tcW w:w="796" w:type="pct"/>
            <w:vMerge/>
            <w:shd w:val="clear" w:color="auto" w:fill="BFBFBF" w:themeFill="background1" w:themeFillShade="BF"/>
            <w:vAlign w:val="center"/>
          </w:tcPr>
          <w:p w:rsidR="00691DA8" w:rsidRPr="00A03AE6" w:rsidRDefault="00691DA8" w:rsidP="00691DA8">
            <w:pPr>
              <w:pStyle w:val="BodyText"/>
              <w:keepNext/>
              <w:rPr>
                <w:rFonts w:ascii="Arial" w:hAnsi="Arial" w:cs="Arial"/>
                <w:b/>
                <w:sz w:val="20"/>
                <w:szCs w:val="20"/>
              </w:rPr>
            </w:pPr>
          </w:p>
        </w:tc>
        <w:tc>
          <w:tcPr>
            <w:tcW w:w="1152" w:type="pct"/>
            <w:vMerge/>
            <w:shd w:val="clear" w:color="auto" w:fill="BFBFBF" w:themeFill="background1" w:themeFillShade="BF"/>
          </w:tcPr>
          <w:p w:rsidR="00691DA8" w:rsidRPr="00A03AE6" w:rsidRDefault="00691DA8" w:rsidP="00691DA8">
            <w:pPr>
              <w:pStyle w:val="BodyText"/>
              <w:keepNext/>
              <w:jc w:val="center"/>
              <w:rPr>
                <w:rFonts w:ascii="Arial" w:hAnsi="Arial" w:cs="Arial"/>
                <w:b/>
                <w:sz w:val="20"/>
                <w:szCs w:val="20"/>
              </w:rPr>
            </w:pPr>
          </w:p>
        </w:tc>
        <w:tc>
          <w:tcPr>
            <w:tcW w:w="1017" w:type="pct"/>
            <w:shd w:val="clear" w:color="auto" w:fill="BFBFBF" w:themeFill="background1" w:themeFillShade="BF"/>
            <w:vAlign w:val="center"/>
          </w:tcPr>
          <w:p w:rsidR="00691DA8" w:rsidRPr="00A03AE6" w:rsidRDefault="00691DA8" w:rsidP="00691DA8">
            <w:pPr>
              <w:pStyle w:val="BodyText"/>
              <w:keepNext/>
              <w:spacing w:line="240" w:lineRule="auto"/>
              <w:jc w:val="center"/>
              <w:rPr>
                <w:rFonts w:ascii="Arial" w:hAnsi="Arial" w:cs="Arial"/>
                <w:b/>
                <w:sz w:val="20"/>
                <w:szCs w:val="20"/>
              </w:rPr>
            </w:pPr>
            <w:r w:rsidRPr="00A03AE6">
              <w:rPr>
                <w:rFonts w:ascii="Arial" w:hAnsi="Arial" w:cs="Arial"/>
                <w:b/>
                <w:sz w:val="20"/>
                <w:szCs w:val="20"/>
              </w:rPr>
              <w:t>Option 1</w:t>
            </w:r>
          </w:p>
        </w:tc>
        <w:tc>
          <w:tcPr>
            <w:tcW w:w="1017" w:type="pct"/>
            <w:shd w:val="clear" w:color="auto" w:fill="BFBFBF" w:themeFill="background1" w:themeFillShade="BF"/>
            <w:vAlign w:val="center"/>
          </w:tcPr>
          <w:p w:rsidR="00691DA8" w:rsidRPr="00A03AE6" w:rsidRDefault="00691DA8" w:rsidP="00691DA8">
            <w:pPr>
              <w:pStyle w:val="BodyText"/>
              <w:keepNext/>
              <w:spacing w:line="240" w:lineRule="auto"/>
              <w:jc w:val="center"/>
              <w:rPr>
                <w:rFonts w:ascii="Arial" w:hAnsi="Arial" w:cs="Arial"/>
                <w:b/>
                <w:sz w:val="20"/>
                <w:szCs w:val="20"/>
              </w:rPr>
            </w:pPr>
            <w:r w:rsidRPr="00A03AE6">
              <w:rPr>
                <w:rFonts w:ascii="Arial" w:hAnsi="Arial" w:cs="Arial"/>
                <w:b/>
                <w:sz w:val="20"/>
                <w:szCs w:val="20"/>
              </w:rPr>
              <w:t>Option 2</w:t>
            </w:r>
          </w:p>
        </w:tc>
        <w:tc>
          <w:tcPr>
            <w:tcW w:w="1017" w:type="pct"/>
            <w:shd w:val="clear" w:color="auto" w:fill="BFBFBF" w:themeFill="background1" w:themeFillShade="BF"/>
            <w:vAlign w:val="center"/>
          </w:tcPr>
          <w:p w:rsidR="00691DA8" w:rsidRPr="00A03AE6" w:rsidRDefault="00691DA8" w:rsidP="00691DA8">
            <w:pPr>
              <w:pStyle w:val="BodyText"/>
              <w:keepNext/>
              <w:spacing w:line="240" w:lineRule="auto"/>
              <w:jc w:val="center"/>
              <w:rPr>
                <w:rFonts w:ascii="Arial" w:hAnsi="Arial" w:cs="Arial"/>
                <w:b/>
                <w:sz w:val="20"/>
                <w:szCs w:val="20"/>
              </w:rPr>
            </w:pPr>
            <w:r w:rsidRPr="00A03AE6">
              <w:rPr>
                <w:rFonts w:ascii="Arial" w:hAnsi="Arial" w:cs="Arial"/>
                <w:b/>
                <w:sz w:val="20"/>
                <w:szCs w:val="20"/>
              </w:rPr>
              <w:t>Option 3</w:t>
            </w:r>
          </w:p>
        </w:tc>
      </w:tr>
      <w:tr w:rsidR="00691DA8" w:rsidRPr="00A03AE6" w:rsidTr="00691DA8">
        <w:trPr>
          <w:cantSplit/>
        </w:trPr>
        <w:tc>
          <w:tcPr>
            <w:tcW w:w="796" w:type="pct"/>
            <w:vAlign w:val="center"/>
          </w:tcPr>
          <w:p w:rsidR="00691DA8" w:rsidRPr="00A03AE6" w:rsidRDefault="00691DA8" w:rsidP="00691DA8">
            <w:pPr>
              <w:rPr>
                <w:rFonts w:ascii="Arial" w:hAnsi="Arial" w:cs="Arial"/>
                <w:color w:val="000000"/>
                <w:sz w:val="20"/>
                <w:szCs w:val="20"/>
              </w:rPr>
            </w:pPr>
            <w:r w:rsidRPr="00A03AE6">
              <w:rPr>
                <w:rFonts w:ascii="Arial" w:hAnsi="Arial" w:cs="Arial"/>
                <w:color w:val="000000"/>
                <w:sz w:val="20"/>
                <w:szCs w:val="20"/>
              </w:rPr>
              <w:t>0-5</w:t>
            </w:r>
          </w:p>
        </w:tc>
        <w:tc>
          <w:tcPr>
            <w:tcW w:w="1152" w:type="pct"/>
            <w:vAlign w:val="bottom"/>
          </w:tcPr>
          <w:p w:rsidR="00691DA8" w:rsidRPr="00A03AE6" w:rsidRDefault="00691DA8" w:rsidP="00691DA8">
            <w:pPr>
              <w:jc w:val="right"/>
              <w:rPr>
                <w:rFonts w:ascii="Arial" w:hAnsi="Arial" w:cs="Arial"/>
                <w:color w:val="000000"/>
                <w:sz w:val="20"/>
                <w:szCs w:val="20"/>
              </w:rPr>
            </w:pPr>
            <w:r w:rsidRPr="00A03AE6">
              <w:rPr>
                <w:rFonts w:ascii="Arial" w:hAnsi="Arial" w:cs="Arial"/>
                <w:color w:val="000000"/>
                <w:sz w:val="20"/>
                <w:szCs w:val="20"/>
              </w:rPr>
              <w:t>55%</w:t>
            </w:r>
          </w:p>
        </w:tc>
        <w:tc>
          <w:tcPr>
            <w:tcW w:w="1017" w:type="pct"/>
            <w:vMerge w:val="restart"/>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Six months</w:t>
            </w:r>
          </w:p>
        </w:tc>
        <w:tc>
          <w:tcPr>
            <w:tcW w:w="1017" w:type="pct"/>
            <w:vMerge w:val="restart"/>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Six months</w:t>
            </w:r>
          </w:p>
        </w:tc>
        <w:tc>
          <w:tcPr>
            <w:tcW w:w="1017" w:type="pct"/>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Three months</w:t>
            </w:r>
          </w:p>
        </w:tc>
      </w:tr>
      <w:tr w:rsidR="00691DA8" w:rsidRPr="00A03AE6" w:rsidTr="00691DA8">
        <w:trPr>
          <w:cantSplit/>
        </w:trPr>
        <w:tc>
          <w:tcPr>
            <w:tcW w:w="796" w:type="pct"/>
            <w:vAlign w:val="center"/>
          </w:tcPr>
          <w:p w:rsidR="00691DA8" w:rsidRPr="00A03AE6" w:rsidRDefault="00691DA8" w:rsidP="00691DA8">
            <w:pPr>
              <w:rPr>
                <w:rFonts w:ascii="Arial" w:hAnsi="Arial" w:cs="Arial"/>
                <w:i/>
                <w:color w:val="000000"/>
                <w:sz w:val="20"/>
                <w:szCs w:val="20"/>
              </w:rPr>
            </w:pPr>
            <w:r w:rsidRPr="00A03AE6">
              <w:rPr>
                <w:rFonts w:ascii="Arial" w:hAnsi="Arial" w:cs="Arial"/>
                <w:color w:val="000000"/>
                <w:sz w:val="20"/>
                <w:szCs w:val="20"/>
              </w:rPr>
              <w:t>5-10</w:t>
            </w:r>
          </w:p>
        </w:tc>
        <w:tc>
          <w:tcPr>
            <w:tcW w:w="1152" w:type="pct"/>
            <w:vAlign w:val="bottom"/>
          </w:tcPr>
          <w:p w:rsidR="00691DA8" w:rsidRPr="00A03AE6" w:rsidRDefault="00691DA8" w:rsidP="00691DA8">
            <w:pPr>
              <w:jc w:val="right"/>
              <w:rPr>
                <w:rFonts w:ascii="Arial" w:hAnsi="Arial" w:cs="Arial"/>
                <w:color w:val="000000"/>
                <w:sz w:val="20"/>
                <w:szCs w:val="20"/>
              </w:rPr>
            </w:pPr>
            <w:r w:rsidRPr="00A03AE6">
              <w:rPr>
                <w:rFonts w:ascii="Arial" w:hAnsi="Arial" w:cs="Arial"/>
                <w:color w:val="000000"/>
                <w:sz w:val="20"/>
                <w:szCs w:val="20"/>
              </w:rPr>
              <w:t>18%</w:t>
            </w:r>
          </w:p>
        </w:tc>
        <w:tc>
          <w:tcPr>
            <w:tcW w:w="1017" w:type="pct"/>
            <w:vMerge/>
            <w:vAlign w:val="center"/>
          </w:tcPr>
          <w:p w:rsidR="00691DA8" w:rsidRPr="00A03AE6" w:rsidRDefault="00691DA8" w:rsidP="00691DA8">
            <w:pPr>
              <w:jc w:val="center"/>
              <w:rPr>
                <w:rFonts w:ascii="Arial" w:hAnsi="Arial" w:cs="Arial"/>
                <w:color w:val="000000"/>
                <w:sz w:val="20"/>
                <w:szCs w:val="20"/>
              </w:rPr>
            </w:pPr>
          </w:p>
        </w:tc>
        <w:tc>
          <w:tcPr>
            <w:tcW w:w="1017" w:type="pct"/>
            <w:vMerge/>
            <w:vAlign w:val="center"/>
          </w:tcPr>
          <w:p w:rsidR="00691DA8" w:rsidRPr="00A03AE6" w:rsidRDefault="00691DA8" w:rsidP="00691DA8">
            <w:pPr>
              <w:jc w:val="center"/>
              <w:rPr>
                <w:rFonts w:ascii="Arial" w:hAnsi="Arial" w:cs="Arial"/>
                <w:color w:val="000000"/>
                <w:sz w:val="20"/>
                <w:szCs w:val="20"/>
              </w:rPr>
            </w:pPr>
          </w:p>
        </w:tc>
        <w:tc>
          <w:tcPr>
            <w:tcW w:w="1017" w:type="pct"/>
            <w:vMerge w:val="restart"/>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Six weeks</w:t>
            </w:r>
          </w:p>
        </w:tc>
      </w:tr>
      <w:tr w:rsidR="00691DA8" w:rsidRPr="00A03AE6" w:rsidTr="00691DA8">
        <w:trPr>
          <w:cantSplit/>
        </w:trPr>
        <w:tc>
          <w:tcPr>
            <w:tcW w:w="796" w:type="pct"/>
            <w:vAlign w:val="center"/>
          </w:tcPr>
          <w:p w:rsidR="00691DA8" w:rsidRPr="00A03AE6" w:rsidRDefault="00691DA8" w:rsidP="00691DA8">
            <w:pPr>
              <w:rPr>
                <w:rFonts w:ascii="Arial" w:hAnsi="Arial" w:cs="Arial"/>
                <w:color w:val="000000"/>
                <w:sz w:val="20"/>
                <w:szCs w:val="20"/>
              </w:rPr>
            </w:pPr>
            <w:r w:rsidRPr="00A03AE6">
              <w:rPr>
                <w:rFonts w:ascii="Arial" w:hAnsi="Arial" w:cs="Arial"/>
                <w:color w:val="000000"/>
                <w:sz w:val="20"/>
                <w:szCs w:val="20"/>
              </w:rPr>
              <w:t>10-20</w:t>
            </w:r>
          </w:p>
        </w:tc>
        <w:tc>
          <w:tcPr>
            <w:tcW w:w="1152" w:type="pct"/>
            <w:vAlign w:val="bottom"/>
          </w:tcPr>
          <w:p w:rsidR="00691DA8" w:rsidRPr="00A03AE6" w:rsidRDefault="00691DA8" w:rsidP="00691DA8">
            <w:pPr>
              <w:jc w:val="right"/>
              <w:rPr>
                <w:rFonts w:ascii="Arial" w:hAnsi="Arial" w:cs="Arial"/>
                <w:color w:val="000000"/>
                <w:sz w:val="20"/>
                <w:szCs w:val="20"/>
              </w:rPr>
            </w:pPr>
            <w:r w:rsidRPr="00A03AE6">
              <w:rPr>
                <w:rFonts w:ascii="Arial" w:hAnsi="Arial" w:cs="Arial"/>
                <w:color w:val="000000"/>
                <w:sz w:val="20"/>
                <w:szCs w:val="20"/>
              </w:rPr>
              <w:t>15%</w:t>
            </w:r>
          </w:p>
        </w:tc>
        <w:tc>
          <w:tcPr>
            <w:tcW w:w="1017" w:type="pct"/>
            <w:vMerge/>
            <w:vAlign w:val="center"/>
          </w:tcPr>
          <w:p w:rsidR="00691DA8" w:rsidRPr="00A03AE6" w:rsidRDefault="00691DA8" w:rsidP="00691DA8">
            <w:pPr>
              <w:jc w:val="center"/>
              <w:rPr>
                <w:rFonts w:ascii="Arial" w:hAnsi="Arial" w:cs="Arial"/>
                <w:color w:val="000000"/>
                <w:sz w:val="20"/>
                <w:szCs w:val="20"/>
              </w:rPr>
            </w:pPr>
          </w:p>
        </w:tc>
        <w:tc>
          <w:tcPr>
            <w:tcW w:w="1017" w:type="pct"/>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Three Months</w:t>
            </w:r>
          </w:p>
        </w:tc>
        <w:tc>
          <w:tcPr>
            <w:tcW w:w="1017" w:type="pct"/>
            <w:vMerge/>
            <w:vAlign w:val="center"/>
          </w:tcPr>
          <w:p w:rsidR="00691DA8" w:rsidRPr="00A03AE6" w:rsidRDefault="00691DA8" w:rsidP="00691DA8">
            <w:pPr>
              <w:jc w:val="center"/>
              <w:rPr>
                <w:rFonts w:ascii="Arial" w:hAnsi="Arial" w:cs="Arial"/>
                <w:color w:val="000000"/>
                <w:sz w:val="20"/>
                <w:szCs w:val="20"/>
              </w:rPr>
            </w:pPr>
          </w:p>
        </w:tc>
      </w:tr>
      <w:tr w:rsidR="00691DA8" w:rsidRPr="00A03AE6" w:rsidTr="00691DA8">
        <w:trPr>
          <w:cantSplit/>
        </w:trPr>
        <w:tc>
          <w:tcPr>
            <w:tcW w:w="796" w:type="pct"/>
            <w:vAlign w:val="center"/>
          </w:tcPr>
          <w:p w:rsidR="00691DA8" w:rsidRPr="00A03AE6" w:rsidRDefault="00691DA8" w:rsidP="00691DA8">
            <w:pPr>
              <w:rPr>
                <w:rFonts w:ascii="Arial" w:hAnsi="Arial" w:cs="Arial"/>
                <w:color w:val="000000"/>
                <w:sz w:val="20"/>
                <w:szCs w:val="20"/>
              </w:rPr>
            </w:pPr>
            <w:r w:rsidRPr="00A03AE6">
              <w:rPr>
                <w:rFonts w:ascii="Arial" w:hAnsi="Arial" w:cs="Arial"/>
                <w:color w:val="000000"/>
                <w:sz w:val="20"/>
                <w:szCs w:val="20"/>
              </w:rPr>
              <w:t>20-30</w:t>
            </w:r>
          </w:p>
        </w:tc>
        <w:tc>
          <w:tcPr>
            <w:tcW w:w="1152" w:type="pct"/>
            <w:vAlign w:val="bottom"/>
          </w:tcPr>
          <w:p w:rsidR="00691DA8" w:rsidRPr="00A03AE6" w:rsidRDefault="00691DA8" w:rsidP="00691DA8">
            <w:pPr>
              <w:jc w:val="right"/>
              <w:rPr>
                <w:rFonts w:ascii="Arial" w:hAnsi="Arial" w:cs="Arial"/>
                <w:color w:val="000000"/>
                <w:sz w:val="20"/>
                <w:szCs w:val="20"/>
              </w:rPr>
            </w:pPr>
            <w:r w:rsidRPr="00A03AE6">
              <w:rPr>
                <w:rFonts w:ascii="Arial" w:hAnsi="Arial" w:cs="Arial"/>
                <w:color w:val="000000"/>
                <w:sz w:val="20"/>
                <w:szCs w:val="20"/>
              </w:rPr>
              <w:t>6%</w:t>
            </w:r>
          </w:p>
        </w:tc>
        <w:tc>
          <w:tcPr>
            <w:tcW w:w="1017" w:type="pct"/>
            <w:vMerge/>
            <w:vAlign w:val="center"/>
          </w:tcPr>
          <w:p w:rsidR="00691DA8" w:rsidRPr="00A03AE6" w:rsidRDefault="00691DA8" w:rsidP="00691DA8">
            <w:pPr>
              <w:jc w:val="center"/>
              <w:rPr>
                <w:rFonts w:ascii="Arial" w:hAnsi="Arial" w:cs="Arial"/>
                <w:color w:val="000000"/>
                <w:sz w:val="20"/>
                <w:szCs w:val="20"/>
              </w:rPr>
            </w:pPr>
          </w:p>
        </w:tc>
        <w:tc>
          <w:tcPr>
            <w:tcW w:w="1017" w:type="pct"/>
            <w:vMerge w:val="restart"/>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Six weeks</w:t>
            </w:r>
          </w:p>
        </w:tc>
        <w:tc>
          <w:tcPr>
            <w:tcW w:w="1017" w:type="pct"/>
            <w:vMerge/>
            <w:vAlign w:val="center"/>
          </w:tcPr>
          <w:p w:rsidR="00691DA8" w:rsidRPr="00A03AE6" w:rsidRDefault="00691DA8" w:rsidP="00691DA8">
            <w:pPr>
              <w:jc w:val="center"/>
              <w:rPr>
                <w:rFonts w:ascii="Arial" w:hAnsi="Arial" w:cs="Arial"/>
                <w:color w:val="000000"/>
                <w:sz w:val="20"/>
                <w:szCs w:val="20"/>
              </w:rPr>
            </w:pPr>
          </w:p>
        </w:tc>
      </w:tr>
      <w:tr w:rsidR="00691DA8" w:rsidRPr="00A03AE6" w:rsidTr="00691DA8">
        <w:trPr>
          <w:cantSplit/>
        </w:trPr>
        <w:tc>
          <w:tcPr>
            <w:tcW w:w="796" w:type="pct"/>
            <w:vAlign w:val="center"/>
          </w:tcPr>
          <w:p w:rsidR="00691DA8" w:rsidRPr="00A03AE6" w:rsidRDefault="00691DA8" w:rsidP="00691DA8">
            <w:pPr>
              <w:rPr>
                <w:rFonts w:ascii="Arial" w:hAnsi="Arial" w:cs="Arial"/>
                <w:color w:val="000000"/>
                <w:sz w:val="20"/>
                <w:szCs w:val="20"/>
              </w:rPr>
            </w:pPr>
            <w:r w:rsidRPr="00A03AE6">
              <w:rPr>
                <w:rFonts w:ascii="Arial" w:hAnsi="Arial" w:cs="Arial"/>
                <w:color w:val="000000"/>
                <w:sz w:val="20"/>
                <w:szCs w:val="20"/>
              </w:rPr>
              <w:t xml:space="preserve">30-40 </w:t>
            </w:r>
          </w:p>
        </w:tc>
        <w:tc>
          <w:tcPr>
            <w:tcW w:w="1152" w:type="pct"/>
            <w:vAlign w:val="bottom"/>
          </w:tcPr>
          <w:p w:rsidR="00691DA8" w:rsidRPr="00A03AE6" w:rsidRDefault="00691DA8" w:rsidP="00691DA8">
            <w:pPr>
              <w:jc w:val="right"/>
              <w:rPr>
                <w:rFonts w:ascii="Arial" w:hAnsi="Arial" w:cs="Arial"/>
                <w:color w:val="000000"/>
                <w:sz w:val="20"/>
                <w:szCs w:val="20"/>
              </w:rPr>
            </w:pPr>
            <w:r w:rsidRPr="00A03AE6">
              <w:rPr>
                <w:rFonts w:ascii="Arial" w:hAnsi="Arial" w:cs="Arial"/>
                <w:color w:val="000000"/>
                <w:sz w:val="20"/>
                <w:szCs w:val="20"/>
              </w:rPr>
              <w:t>4%</w:t>
            </w:r>
          </w:p>
        </w:tc>
        <w:tc>
          <w:tcPr>
            <w:tcW w:w="1017" w:type="pct"/>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Three months</w:t>
            </w:r>
          </w:p>
        </w:tc>
        <w:tc>
          <w:tcPr>
            <w:tcW w:w="1017" w:type="pct"/>
            <w:vMerge/>
            <w:vAlign w:val="center"/>
          </w:tcPr>
          <w:p w:rsidR="00691DA8" w:rsidRPr="00A03AE6" w:rsidRDefault="00691DA8" w:rsidP="00691DA8">
            <w:pPr>
              <w:jc w:val="center"/>
              <w:rPr>
                <w:rFonts w:ascii="Arial" w:hAnsi="Arial" w:cs="Arial"/>
                <w:color w:val="000000"/>
                <w:sz w:val="20"/>
                <w:szCs w:val="20"/>
              </w:rPr>
            </w:pPr>
          </w:p>
        </w:tc>
        <w:tc>
          <w:tcPr>
            <w:tcW w:w="1017" w:type="pct"/>
            <w:vMerge/>
            <w:vAlign w:val="center"/>
          </w:tcPr>
          <w:p w:rsidR="00691DA8" w:rsidRPr="00A03AE6" w:rsidRDefault="00691DA8" w:rsidP="00691DA8">
            <w:pPr>
              <w:jc w:val="center"/>
              <w:rPr>
                <w:rFonts w:ascii="Arial" w:hAnsi="Arial" w:cs="Arial"/>
                <w:color w:val="000000"/>
                <w:sz w:val="20"/>
                <w:szCs w:val="20"/>
              </w:rPr>
            </w:pPr>
          </w:p>
        </w:tc>
      </w:tr>
      <w:tr w:rsidR="00691DA8" w:rsidRPr="00A03AE6" w:rsidTr="00691DA8">
        <w:trPr>
          <w:cantSplit/>
        </w:trPr>
        <w:tc>
          <w:tcPr>
            <w:tcW w:w="796" w:type="pct"/>
            <w:vAlign w:val="center"/>
          </w:tcPr>
          <w:p w:rsidR="00691DA8" w:rsidRPr="00A03AE6" w:rsidRDefault="00691DA8" w:rsidP="00691DA8">
            <w:pPr>
              <w:rPr>
                <w:rFonts w:ascii="Arial" w:hAnsi="Arial" w:cs="Arial"/>
                <w:color w:val="000000"/>
                <w:sz w:val="20"/>
                <w:szCs w:val="20"/>
              </w:rPr>
            </w:pPr>
            <w:r w:rsidRPr="00A03AE6">
              <w:rPr>
                <w:rFonts w:ascii="Arial" w:hAnsi="Arial" w:cs="Arial"/>
                <w:color w:val="000000"/>
                <w:sz w:val="20"/>
                <w:szCs w:val="20"/>
              </w:rPr>
              <w:t>40-50</w:t>
            </w:r>
          </w:p>
        </w:tc>
        <w:tc>
          <w:tcPr>
            <w:tcW w:w="1152" w:type="pct"/>
            <w:vAlign w:val="bottom"/>
          </w:tcPr>
          <w:p w:rsidR="00691DA8" w:rsidRPr="00A03AE6" w:rsidRDefault="00691DA8" w:rsidP="00691DA8">
            <w:pPr>
              <w:jc w:val="right"/>
              <w:rPr>
                <w:rFonts w:ascii="Arial" w:hAnsi="Arial" w:cs="Arial"/>
                <w:color w:val="000000"/>
                <w:sz w:val="20"/>
                <w:szCs w:val="20"/>
              </w:rPr>
            </w:pPr>
            <w:r w:rsidRPr="00A03AE6">
              <w:rPr>
                <w:rFonts w:ascii="Arial" w:hAnsi="Arial" w:cs="Arial"/>
                <w:color w:val="000000"/>
                <w:sz w:val="20"/>
                <w:szCs w:val="20"/>
              </w:rPr>
              <w:t>1%</w:t>
            </w:r>
          </w:p>
        </w:tc>
        <w:tc>
          <w:tcPr>
            <w:tcW w:w="1017" w:type="pct"/>
            <w:vMerge w:val="restart"/>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Six weeks</w:t>
            </w:r>
          </w:p>
        </w:tc>
        <w:tc>
          <w:tcPr>
            <w:tcW w:w="1017" w:type="pct"/>
            <w:vMerge/>
            <w:vAlign w:val="center"/>
          </w:tcPr>
          <w:p w:rsidR="00691DA8" w:rsidRPr="00A03AE6" w:rsidRDefault="00691DA8" w:rsidP="00691DA8">
            <w:pPr>
              <w:jc w:val="center"/>
              <w:rPr>
                <w:rFonts w:ascii="Arial" w:hAnsi="Arial" w:cs="Arial"/>
                <w:color w:val="000000"/>
                <w:sz w:val="20"/>
                <w:szCs w:val="20"/>
              </w:rPr>
            </w:pPr>
          </w:p>
        </w:tc>
        <w:tc>
          <w:tcPr>
            <w:tcW w:w="1017" w:type="pct"/>
            <w:vMerge/>
            <w:vAlign w:val="center"/>
          </w:tcPr>
          <w:p w:rsidR="00691DA8" w:rsidRPr="00A03AE6" w:rsidRDefault="00691DA8" w:rsidP="00691DA8">
            <w:pPr>
              <w:jc w:val="center"/>
              <w:rPr>
                <w:rFonts w:ascii="Arial" w:hAnsi="Arial" w:cs="Arial"/>
                <w:color w:val="000000"/>
                <w:sz w:val="20"/>
                <w:szCs w:val="20"/>
              </w:rPr>
            </w:pPr>
          </w:p>
        </w:tc>
      </w:tr>
      <w:tr w:rsidR="00691DA8" w:rsidRPr="00A03AE6" w:rsidTr="00691DA8">
        <w:trPr>
          <w:cantSplit/>
        </w:trPr>
        <w:tc>
          <w:tcPr>
            <w:tcW w:w="796" w:type="pct"/>
            <w:vAlign w:val="center"/>
          </w:tcPr>
          <w:p w:rsidR="00691DA8" w:rsidRPr="00A03AE6" w:rsidRDefault="00691DA8" w:rsidP="00691DA8">
            <w:pPr>
              <w:rPr>
                <w:rFonts w:ascii="Arial" w:hAnsi="Arial" w:cs="Arial"/>
                <w:color w:val="000000"/>
                <w:sz w:val="20"/>
                <w:szCs w:val="20"/>
              </w:rPr>
            </w:pPr>
            <w:r w:rsidRPr="00A03AE6">
              <w:rPr>
                <w:rFonts w:ascii="Arial" w:hAnsi="Arial" w:cs="Arial"/>
                <w:color w:val="000000"/>
                <w:sz w:val="20"/>
                <w:szCs w:val="20"/>
              </w:rPr>
              <w:t>50+</w:t>
            </w:r>
          </w:p>
        </w:tc>
        <w:tc>
          <w:tcPr>
            <w:tcW w:w="1152" w:type="pct"/>
            <w:vAlign w:val="bottom"/>
          </w:tcPr>
          <w:p w:rsidR="00691DA8" w:rsidRPr="00A03AE6" w:rsidRDefault="00691DA8" w:rsidP="00691DA8">
            <w:pPr>
              <w:jc w:val="right"/>
              <w:rPr>
                <w:rFonts w:ascii="Arial" w:hAnsi="Arial" w:cs="Arial"/>
                <w:color w:val="000000"/>
                <w:sz w:val="20"/>
                <w:szCs w:val="20"/>
              </w:rPr>
            </w:pPr>
            <w:r w:rsidRPr="00A03AE6">
              <w:rPr>
                <w:rFonts w:ascii="Arial" w:hAnsi="Arial" w:cs="Arial"/>
                <w:color w:val="000000"/>
                <w:sz w:val="20"/>
                <w:szCs w:val="20"/>
              </w:rPr>
              <w:t>0%</w:t>
            </w:r>
          </w:p>
        </w:tc>
        <w:tc>
          <w:tcPr>
            <w:tcW w:w="1017" w:type="pct"/>
            <w:vMerge/>
            <w:vAlign w:val="center"/>
          </w:tcPr>
          <w:p w:rsidR="00691DA8" w:rsidRPr="00A03AE6" w:rsidRDefault="00691DA8" w:rsidP="00691DA8">
            <w:pPr>
              <w:jc w:val="center"/>
              <w:rPr>
                <w:rFonts w:ascii="Arial" w:hAnsi="Arial" w:cs="Arial"/>
                <w:color w:val="000000"/>
                <w:sz w:val="20"/>
                <w:szCs w:val="20"/>
              </w:rPr>
            </w:pPr>
          </w:p>
        </w:tc>
        <w:tc>
          <w:tcPr>
            <w:tcW w:w="1017" w:type="pct"/>
            <w:vMerge/>
            <w:vAlign w:val="center"/>
          </w:tcPr>
          <w:p w:rsidR="00691DA8" w:rsidRPr="00A03AE6" w:rsidRDefault="00691DA8" w:rsidP="00691DA8">
            <w:pPr>
              <w:jc w:val="center"/>
              <w:rPr>
                <w:rFonts w:ascii="Arial" w:hAnsi="Arial" w:cs="Arial"/>
                <w:color w:val="000000"/>
                <w:sz w:val="20"/>
                <w:szCs w:val="20"/>
              </w:rPr>
            </w:pPr>
          </w:p>
        </w:tc>
        <w:tc>
          <w:tcPr>
            <w:tcW w:w="1017" w:type="pct"/>
            <w:vMerge/>
            <w:vAlign w:val="center"/>
          </w:tcPr>
          <w:p w:rsidR="00691DA8" w:rsidRPr="00A03AE6" w:rsidRDefault="00691DA8" w:rsidP="00691DA8">
            <w:pPr>
              <w:jc w:val="center"/>
              <w:rPr>
                <w:rFonts w:ascii="Arial" w:hAnsi="Arial" w:cs="Arial"/>
                <w:color w:val="000000"/>
                <w:sz w:val="20"/>
                <w:szCs w:val="20"/>
              </w:rPr>
            </w:pPr>
          </w:p>
        </w:tc>
      </w:tr>
      <w:tr w:rsidR="00691DA8" w:rsidRPr="00A03AE6" w:rsidTr="004B1AD5">
        <w:trPr>
          <w:cantSplit/>
        </w:trPr>
        <w:tc>
          <w:tcPr>
            <w:tcW w:w="1948" w:type="pct"/>
            <w:gridSpan w:val="2"/>
            <w:shd w:val="clear" w:color="auto" w:fill="D9D9D9" w:themeFill="background1" w:themeFillShade="D9"/>
            <w:vAlign w:val="center"/>
          </w:tcPr>
          <w:p w:rsidR="00691DA8" w:rsidRPr="00A03AE6" w:rsidRDefault="00691DA8" w:rsidP="00691DA8">
            <w:pPr>
              <w:rPr>
                <w:rFonts w:ascii="Arial" w:hAnsi="Arial" w:cs="Arial"/>
                <w:b/>
                <w:color w:val="000000"/>
                <w:sz w:val="20"/>
                <w:szCs w:val="20"/>
              </w:rPr>
            </w:pPr>
            <w:r w:rsidRPr="00A03AE6">
              <w:rPr>
                <w:rFonts w:ascii="Arial" w:hAnsi="Arial" w:cs="Arial"/>
                <w:b/>
                <w:color w:val="000000"/>
                <w:sz w:val="20"/>
                <w:szCs w:val="20"/>
              </w:rPr>
              <w:t>Tests per worker, per year (average)</w:t>
            </w:r>
          </w:p>
        </w:tc>
        <w:tc>
          <w:tcPr>
            <w:tcW w:w="1017" w:type="pct"/>
            <w:shd w:val="clear" w:color="auto" w:fill="D9D9D9" w:themeFill="background1" w:themeFillShade="D9"/>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2.13</w:t>
            </w:r>
          </w:p>
        </w:tc>
        <w:tc>
          <w:tcPr>
            <w:tcW w:w="1017" w:type="pct"/>
            <w:shd w:val="clear" w:color="auto" w:fill="D9D9D9" w:themeFill="background1" w:themeFillShade="D9"/>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3.01</w:t>
            </w:r>
          </w:p>
        </w:tc>
        <w:tc>
          <w:tcPr>
            <w:tcW w:w="1017" w:type="pct"/>
            <w:shd w:val="clear" w:color="auto" w:fill="D9D9D9" w:themeFill="background1" w:themeFillShade="D9"/>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6.01</w:t>
            </w:r>
          </w:p>
        </w:tc>
      </w:tr>
      <w:tr w:rsidR="00691DA8" w:rsidRPr="00A03AE6" w:rsidTr="004B1AD5">
        <w:trPr>
          <w:cantSplit/>
        </w:trPr>
        <w:tc>
          <w:tcPr>
            <w:tcW w:w="2966" w:type="pct"/>
            <w:gridSpan w:val="3"/>
            <w:shd w:val="clear" w:color="auto" w:fill="D9D9D9" w:themeFill="background1" w:themeFillShade="D9"/>
            <w:vAlign w:val="center"/>
          </w:tcPr>
          <w:p w:rsidR="00691DA8" w:rsidRPr="00A03AE6" w:rsidRDefault="00691DA8" w:rsidP="00691DA8">
            <w:pPr>
              <w:rPr>
                <w:rFonts w:ascii="Arial" w:hAnsi="Arial" w:cs="Arial"/>
                <w:color w:val="000000"/>
                <w:sz w:val="20"/>
                <w:szCs w:val="20"/>
              </w:rPr>
            </w:pPr>
            <w:r w:rsidRPr="00A03AE6">
              <w:rPr>
                <w:rFonts w:ascii="Arial" w:hAnsi="Arial" w:cs="Arial"/>
                <w:b/>
                <w:color w:val="000000"/>
                <w:sz w:val="20"/>
                <w:szCs w:val="20"/>
              </w:rPr>
              <w:t>Implied increase in tests (%)</w:t>
            </w:r>
          </w:p>
        </w:tc>
        <w:tc>
          <w:tcPr>
            <w:tcW w:w="1017" w:type="pct"/>
            <w:shd w:val="clear" w:color="auto" w:fill="D9D9D9" w:themeFill="background1" w:themeFillShade="D9"/>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42%</w:t>
            </w:r>
          </w:p>
        </w:tc>
        <w:tc>
          <w:tcPr>
            <w:tcW w:w="1017" w:type="pct"/>
            <w:shd w:val="clear" w:color="auto" w:fill="D9D9D9" w:themeFill="background1" w:themeFillShade="D9"/>
            <w:vAlign w:val="center"/>
          </w:tcPr>
          <w:p w:rsidR="00691DA8" w:rsidRPr="00A03AE6" w:rsidRDefault="00691DA8" w:rsidP="00691DA8">
            <w:pPr>
              <w:jc w:val="center"/>
              <w:rPr>
                <w:rFonts w:ascii="Arial" w:hAnsi="Arial" w:cs="Arial"/>
                <w:color w:val="000000"/>
                <w:sz w:val="20"/>
                <w:szCs w:val="20"/>
              </w:rPr>
            </w:pPr>
            <w:r w:rsidRPr="00A03AE6">
              <w:rPr>
                <w:rFonts w:ascii="Arial" w:hAnsi="Arial" w:cs="Arial"/>
                <w:color w:val="000000"/>
                <w:sz w:val="20"/>
                <w:szCs w:val="20"/>
              </w:rPr>
              <w:t>183%</w:t>
            </w:r>
          </w:p>
        </w:tc>
      </w:tr>
      <w:tr w:rsidR="00691DA8" w:rsidRPr="00A03AE6" w:rsidTr="004B1AD5">
        <w:trPr>
          <w:cantSplit/>
        </w:trPr>
        <w:tc>
          <w:tcPr>
            <w:tcW w:w="2966" w:type="pct"/>
            <w:gridSpan w:val="3"/>
            <w:shd w:val="clear" w:color="auto" w:fill="D9D9D9" w:themeFill="background1" w:themeFillShade="D9"/>
            <w:vAlign w:val="center"/>
          </w:tcPr>
          <w:p w:rsidR="00691DA8" w:rsidRPr="00A03AE6" w:rsidRDefault="00691DA8" w:rsidP="00691DA8">
            <w:pPr>
              <w:rPr>
                <w:rFonts w:ascii="Arial" w:hAnsi="Arial" w:cs="Arial"/>
                <w:color w:val="000000"/>
                <w:sz w:val="20"/>
                <w:szCs w:val="20"/>
              </w:rPr>
            </w:pPr>
            <w:r w:rsidRPr="00A03AE6">
              <w:rPr>
                <w:rFonts w:ascii="Arial" w:hAnsi="Arial" w:cs="Arial"/>
                <w:b/>
                <w:color w:val="000000"/>
                <w:sz w:val="20"/>
                <w:szCs w:val="20"/>
              </w:rPr>
              <w:t>Actual estimated increase in tests (%)</w:t>
            </w:r>
          </w:p>
        </w:tc>
        <w:tc>
          <w:tcPr>
            <w:tcW w:w="1017" w:type="pct"/>
            <w:shd w:val="clear" w:color="auto" w:fill="D9D9D9" w:themeFill="background1" w:themeFillShade="D9"/>
            <w:vAlign w:val="center"/>
          </w:tcPr>
          <w:p w:rsidR="00691DA8" w:rsidRPr="00A03AE6" w:rsidDel="0020785F" w:rsidRDefault="00691DA8" w:rsidP="00691DA8">
            <w:pPr>
              <w:jc w:val="center"/>
              <w:rPr>
                <w:rFonts w:ascii="Arial" w:hAnsi="Arial" w:cs="Arial"/>
                <w:b/>
                <w:color w:val="000000"/>
                <w:sz w:val="20"/>
                <w:szCs w:val="20"/>
              </w:rPr>
            </w:pPr>
            <w:r w:rsidRPr="00A03AE6">
              <w:rPr>
                <w:rFonts w:ascii="Arial" w:hAnsi="Arial" w:cs="Arial"/>
                <w:b/>
                <w:color w:val="000000"/>
                <w:sz w:val="20"/>
                <w:szCs w:val="20"/>
              </w:rPr>
              <w:t>28%</w:t>
            </w:r>
          </w:p>
        </w:tc>
        <w:tc>
          <w:tcPr>
            <w:tcW w:w="1017" w:type="pct"/>
            <w:shd w:val="clear" w:color="auto" w:fill="D9D9D9" w:themeFill="background1" w:themeFillShade="D9"/>
            <w:vAlign w:val="center"/>
          </w:tcPr>
          <w:p w:rsidR="00691DA8" w:rsidRPr="00A03AE6" w:rsidDel="0020785F" w:rsidRDefault="00691DA8" w:rsidP="00691DA8">
            <w:pPr>
              <w:jc w:val="center"/>
              <w:rPr>
                <w:rFonts w:ascii="Arial" w:hAnsi="Arial" w:cs="Arial"/>
                <w:b/>
                <w:color w:val="000000"/>
                <w:sz w:val="20"/>
                <w:szCs w:val="20"/>
              </w:rPr>
            </w:pPr>
            <w:r w:rsidRPr="00A03AE6">
              <w:rPr>
                <w:rFonts w:ascii="Arial" w:hAnsi="Arial" w:cs="Arial"/>
                <w:b/>
                <w:color w:val="000000"/>
                <w:sz w:val="20"/>
                <w:szCs w:val="20"/>
              </w:rPr>
              <w:t>122%</w:t>
            </w:r>
          </w:p>
        </w:tc>
      </w:tr>
    </w:tbl>
    <w:p w:rsidR="00A5065F" w:rsidRPr="00A5065F" w:rsidRDefault="00A5065F" w:rsidP="00A5065F">
      <w:pPr>
        <w:rPr>
          <w:sz w:val="18"/>
        </w:rPr>
      </w:pPr>
      <w:r w:rsidRPr="00A5065F">
        <w:rPr>
          <w:sz w:val="18"/>
        </w:rPr>
        <w:t>* Females not of reproductive capacity</w:t>
      </w:r>
    </w:p>
    <w:p w:rsidR="00691DA8" w:rsidRDefault="00691DA8" w:rsidP="00691DA8">
      <w:pPr>
        <w:spacing w:before="120"/>
      </w:pPr>
      <w:r>
        <w:t xml:space="preserve">Lead risk work is dominated by males, who make up an estimated 90-95 per cent of the workforce. Information provided in submissions from lead businesses indicates that about one-quarter of the females undertaking lead-risk work are not of reproductive capacity, meaning that around 94 per cent of the workforce is subject to the regulatory requirements for testing that are outlined in </w:t>
      </w:r>
      <w:r w:rsidR="00596395">
        <w:fldChar w:fldCharType="begin"/>
      </w:r>
      <w:r w:rsidR="00596395">
        <w:instrText xml:space="preserve"> REF _Ref456701719 \h </w:instrText>
      </w:r>
      <w:r w:rsidR="00596395">
        <w:fldChar w:fldCharType="separate"/>
      </w:r>
      <w:r w:rsidR="00052CE1">
        <w:t xml:space="preserve">Table </w:t>
      </w:r>
      <w:r w:rsidR="00052CE1">
        <w:rPr>
          <w:noProof/>
        </w:rPr>
        <w:t>13</w:t>
      </w:r>
      <w:r w:rsidR="00596395">
        <w:fldChar w:fldCharType="end"/>
      </w:r>
      <w:r>
        <w:t>.</w:t>
      </w:r>
    </w:p>
    <w:p w:rsidR="00691DA8" w:rsidRPr="004C4DEF" w:rsidRDefault="00691DA8" w:rsidP="00E77182">
      <w:pPr>
        <w:pStyle w:val="Heading3"/>
      </w:pPr>
      <w:r w:rsidRPr="004C4DEF">
        <w:t>Number of workers removed from lead risk work</w:t>
      </w:r>
    </w:p>
    <w:p w:rsidR="00691DA8" w:rsidRDefault="00691DA8" w:rsidP="00691DA8">
      <w:r>
        <w:t>The figures below show the highest blood lead test result recorded for each worker tested in Western Australia, Victoria</w:t>
      </w:r>
      <w:r w:rsidR="00AF5A5A">
        <w:t xml:space="preserve"> (</w:t>
      </w:r>
      <w:r w:rsidR="00AF5A5A">
        <w:fldChar w:fldCharType="begin"/>
      </w:r>
      <w:r w:rsidR="00AF5A5A">
        <w:instrText xml:space="preserve"> REF _Ref456777856 \h </w:instrText>
      </w:r>
      <w:r w:rsidR="00AF5A5A">
        <w:fldChar w:fldCharType="separate"/>
      </w:r>
      <w:r w:rsidR="00052CE1">
        <w:t xml:space="preserve">Figure </w:t>
      </w:r>
      <w:r w:rsidR="00052CE1">
        <w:rPr>
          <w:noProof/>
        </w:rPr>
        <w:t>4</w:t>
      </w:r>
      <w:r w:rsidR="00AF5A5A">
        <w:fldChar w:fldCharType="end"/>
      </w:r>
      <w:r w:rsidR="00AF5A5A">
        <w:t>)</w:t>
      </w:r>
      <w:r>
        <w:t>, Queensland and New South Wales</w:t>
      </w:r>
      <w:r w:rsidR="00AF5A5A">
        <w:t xml:space="preserve"> (</w:t>
      </w:r>
      <w:r w:rsidR="00AF5A5A">
        <w:fldChar w:fldCharType="begin"/>
      </w:r>
      <w:r w:rsidR="00AF5A5A">
        <w:instrText xml:space="preserve"> REF _Ref456777869 \h </w:instrText>
      </w:r>
      <w:r w:rsidR="00AF5A5A">
        <w:fldChar w:fldCharType="separate"/>
      </w:r>
      <w:r w:rsidR="00052CE1">
        <w:t xml:space="preserve">Figure </w:t>
      </w:r>
      <w:r w:rsidR="00052CE1">
        <w:rPr>
          <w:noProof/>
        </w:rPr>
        <w:t>5</w:t>
      </w:r>
      <w:r w:rsidR="00AF5A5A">
        <w:fldChar w:fldCharType="end"/>
      </w:r>
      <w:r w:rsidR="00AF5A5A">
        <w:t>)</w:t>
      </w:r>
      <w:r>
        <w:t xml:space="preserve"> in 2015 (in μg/dL). This data can be used to estimate the number of workers that would have need to be removed from lead risk work in those states if Options 2 or 3 had been in place at that time.  </w:t>
      </w:r>
    </w:p>
    <w:p w:rsidR="00691DA8" w:rsidRDefault="00691DA8" w:rsidP="00691DA8">
      <w:r>
        <w:t xml:space="preserve">The Western Australian data shows that </w:t>
      </w:r>
      <w:r w:rsidR="00EA2EF3">
        <w:t>n</w:t>
      </w:r>
      <w:r>
        <w:t>o workers exceeded the 50 μg/dL removal limit in 2015; whereas 16 would have exceeded the 30 μg/dL removal limit proposed for Option 2 and 104 workers would have exceeded the limit for Option 3 (29 per cent of all lead workers).</w:t>
      </w:r>
    </w:p>
    <w:p w:rsidR="00691DA8" w:rsidRDefault="00691DA8" w:rsidP="00691DA8">
      <w:r>
        <w:t xml:space="preserve">In Victoria, only one worker exceeded the 50 μg/dL removal limit in 2015, whereas 51 would have exceeded the 30 μg/dL removal limit proposed for Option 2 and 284 workers would have exceeded the limit for Option 3. It is not known what proportion of lead risk workers in Victoria this would equate to, as Victoria does not collect test results of less than 10 μg/dL; </w:t>
      </w:r>
    </w:p>
    <w:p w:rsidR="00691DA8" w:rsidRDefault="00691DA8" w:rsidP="00691DA8">
      <w:r>
        <w:t>The Queensland data shows that one worker exceeded the 50 μg/dL removal limit in 2015, whereas 19 would have exceeded the 30 μg/dL removal limit proposed for Option 2 and 879 workers would have exceeded the limit for Option 3. It is not known what proportion of lead risk workers in Queensland this would equate to, but it is estimated to be around the same proportion as for Western Australia (i.e. around 30 per cent).</w:t>
      </w:r>
    </w:p>
    <w:p w:rsidR="00691DA8" w:rsidRDefault="00691DA8" w:rsidP="00691DA8">
      <w:r>
        <w:t>The New South Wales data shows that three workers exceeded the 50 μg/dL removal limit in 2015; whereas 38 would have exceeded the 30 μg/dL removal limit proposed for Option 2 and 780 workers would have exceeded the limit for Option 3. Because New South Wales health authorities do not collect test results of less than 10 μg/dL, it is not known what proportion of lead risk workers in New South Wales this would equate to.</w:t>
      </w:r>
    </w:p>
    <w:p w:rsidR="00691DA8" w:rsidRDefault="00691DA8" w:rsidP="00691DA8">
      <w:pPr>
        <w:pStyle w:val="TableHeadingText"/>
        <w:keepLines w:val="0"/>
      </w:pPr>
      <w:r w:rsidRPr="00C861FE">
        <w:rPr>
          <w:noProof/>
          <w:lang w:eastAsia="en-AU"/>
        </w:rPr>
        <w:drawing>
          <wp:inline distT="0" distB="0" distL="0" distR="0" wp14:anchorId="725361D4" wp14:editId="03DCEF1D">
            <wp:extent cx="5464156" cy="2486025"/>
            <wp:effectExtent l="0" t="0" r="3810" b="0"/>
            <wp:docPr id="3" name="Picture 3" descr="Figure 4 shows the Victoria and Western Australia worker blood lead test results by highest test in 2015. In both cases, the figure shows that the highest test result was betweeen 10 and 20 micrograms per decilitr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0578" cy="2488947"/>
                    </a:xfrm>
                    <a:prstGeom prst="rect">
                      <a:avLst/>
                    </a:prstGeom>
                    <a:noFill/>
                    <a:ln>
                      <a:noFill/>
                    </a:ln>
                  </pic:spPr>
                </pic:pic>
              </a:graphicData>
            </a:graphic>
          </wp:inline>
        </w:drawing>
      </w:r>
    </w:p>
    <w:p w:rsidR="00691DA8" w:rsidRPr="00E705D4" w:rsidRDefault="00691DA8" w:rsidP="00331F96">
      <w:pPr>
        <w:pStyle w:val="TableHeadingText"/>
        <w:keepNext w:val="0"/>
        <w:rPr>
          <w:b w:val="0"/>
        </w:rPr>
      </w:pPr>
      <w:bookmarkStart w:id="104" w:name="_Ref456777856"/>
      <w:r>
        <w:t xml:space="preserve">Figure </w:t>
      </w:r>
      <w:r w:rsidR="00CB69C0">
        <w:fldChar w:fldCharType="begin"/>
      </w:r>
      <w:r w:rsidR="00CB69C0">
        <w:instrText xml:space="preserve"> SEQ Figure \* ARABIC </w:instrText>
      </w:r>
      <w:r w:rsidR="00CB69C0">
        <w:fldChar w:fldCharType="separate"/>
      </w:r>
      <w:r w:rsidR="00052CE1">
        <w:rPr>
          <w:noProof/>
        </w:rPr>
        <w:t>4</w:t>
      </w:r>
      <w:r w:rsidR="00CB69C0">
        <w:rPr>
          <w:noProof/>
        </w:rPr>
        <w:fldChar w:fldCharType="end"/>
      </w:r>
      <w:bookmarkEnd w:id="104"/>
      <w:r>
        <w:t xml:space="preserve">. </w:t>
      </w:r>
      <w:r w:rsidRPr="00E705D4">
        <w:rPr>
          <w:b w:val="0"/>
        </w:rPr>
        <w:t>Victorian and WA worker blood lead test results by highest test in 2015</w:t>
      </w:r>
    </w:p>
    <w:p w:rsidR="00691DA8" w:rsidRDefault="00691DA8" w:rsidP="00691DA8">
      <w:pPr>
        <w:pStyle w:val="BodyText"/>
        <w:keepNext/>
      </w:pPr>
      <w:r>
        <w:rPr>
          <w:noProof/>
          <w:lang w:eastAsia="en-AU"/>
        </w:rPr>
        <w:drawing>
          <wp:inline distT="0" distB="0" distL="0" distR="0" wp14:anchorId="4DCDF0FE" wp14:editId="70A328B9">
            <wp:extent cx="5422900" cy="2424430"/>
            <wp:effectExtent l="0" t="0" r="6350" b="0"/>
            <wp:docPr id="4" name="Picture 4" descr="Figure 5 shows the Queensland and NSW worker blood lead test results by highest test in 2015. In both cases, the figure shows that the highest test result was betweeen 10 and 20 micrograms per decilitre."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2900" cy="2424430"/>
                    </a:xfrm>
                    <a:prstGeom prst="rect">
                      <a:avLst/>
                    </a:prstGeom>
                    <a:noFill/>
                    <a:ln>
                      <a:noFill/>
                    </a:ln>
                  </pic:spPr>
                </pic:pic>
              </a:graphicData>
            </a:graphic>
          </wp:inline>
        </w:drawing>
      </w:r>
    </w:p>
    <w:p w:rsidR="00691DA8" w:rsidRPr="00E705D4" w:rsidRDefault="00691DA8" w:rsidP="00691DA8">
      <w:pPr>
        <w:pStyle w:val="TableHeadingText"/>
        <w:rPr>
          <w:b w:val="0"/>
        </w:rPr>
      </w:pPr>
      <w:bookmarkStart w:id="105" w:name="_Ref456777869"/>
      <w:r>
        <w:t xml:space="preserve">Figure </w:t>
      </w:r>
      <w:r w:rsidR="00CB69C0">
        <w:fldChar w:fldCharType="begin"/>
      </w:r>
      <w:r w:rsidR="00CB69C0">
        <w:instrText xml:space="preserve"> SEQ Figure \* ARABIC </w:instrText>
      </w:r>
      <w:r w:rsidR="00CB69C0">
        <w:fldChar w:fldCharType="separate"/>
      </w:r>
      <w:r w:rsidR="00052CE1">
        <w:rPr>
          <w:noProof/>
        </w:rPr>
        <w:t>5</w:t>
      </w:r>
      <w:r w:rsidR="00CB69C0">
        <w:rPr>
          <w:noProof/>
        </w:rPr>
        <w:fldChar w:fldCharType="end"/>
      </w:r>
      <w:bookmarkEnd w:id="105"/>
      <w:r>
        <w:t xml:space="preserve">. </w:t>
      </w:r>
      <w:r w:rsidRPr="00E705D4">
        <w:rPr>
          <w:b w:val="0"/>
        </w:rPr>
        <w:t xml:space="preserve">Queensland and NSW </w:t>
      </w:r>
      <w:r w:rsidR="003E51AA" w:rsidRPr="00E705D4">
        <w:rPr>
          <w:b w:val="0"/>
        </w:rPr>
        <w:t>worker blood</w:t>
      </w:r>
      <w:r w:rsidRPr="00E705D4">
        <w:rPr>
          <w:b w:val="0"/>
        </w:rPr>
        <w:t xml:space="preserve"> lead test results by highest test in 2015</w:t>
      </w:r>
    </w:p>
    <w:p w:rsidR="00691DA8" w:rsidRDefault="00691DA8" w:rsidP="00691DA8">
      <w:r>
        <w:t xml:space="preserve">Overall, the data from the four jurisdictions shows that 124 of the 2,300 workers tested in 2015 would have exceeded the 30 μg/dL removal limit proposed for Option 2. This is equivalent to </w:t>
      </w:r>
      <w:r>
        <w:br/>
        <w:t xml:space="preserve">5.5 per cent of the workers tested (noting that only Western Australia records test results of less than 10 μg/dL). </w:t>
      </w:r>
    </w:p>
    <w:p w:rsidR="00691DA8" w:rsidRDefault="00691DA8" w:rsidP="00691DA8">
      <w:r>
        <w:t>If Option 3 had been in place, 2,047 workers would have exceeded the 10 μg/dL removal limit at least once in 2015.</w:t>
      </w:r>
    </w:p>
    <w:p w:rsidR="00691DA8" w:rsidRDefault="00691DA8" w:rsidP="00691DA8">
      <w:r>
        <w:t>The data is consistent with the industry information provided in responses to questions raised in the Consultation RIS with businesses generally indicating that they were largely compliant with the limits proposed for Option 2, but that a significant proportion of their workforce would exceed the removal levels for Option 3.</w:t>
      </w:r>
    </w:p>
    <w:p w:rsidR="00691DA8" w:rsidRPr="004C4DEF" w:rsidRDefault="00691DA8" w:rsidP="00E77182">
      <w:pPr>
        <w:pStyle w:val="Heading3"/>
      </w:pPr>
      <w:r w:rsidRPr="004C4DEF">
        <w:t>Evidence from submissions</w:t>
      </w:r>
      <w:r w:rsidR="00331F96">
        <w:t>, direct consultation and collected data</w:t>
      </w:r>
    </w:p>
    <w:p w:rsidR="00691DA8" w:rsidRDefault="00691DA8" w:rsidP="00691DA8">
      <w:r>
        <w:t xml:space="preserve">Mining and smelter </w:t>
      </w:r>
      <w:r w:rsidR="00180CA0">
        <w:t>operations make</w:t>
      </w:r>
      <w:r>
        <w:t xml:space="preserve"> up a significant proportion of Australia’s lead industry employing an estimated 2,400 workers who are regularly tested for lead exposure. </w:t>
      </w:r>
    </w:p>
    <w:p w:rsidR="00691DA8" w:rsidRDefault="00691DA8" w:rsidP="00691DA8">
      <w:r>
        <w:t>These businesses all provided submissions, which indicate that the average blood lead levels of their workforce are likely to be higher on average than the figures shown above. For example:</w:t>
      </w:r>
    </w:p>
    <w:p w:rsidR="00691DA8" w:rsidRDefault="00691DA8" w:rsidP="00263482">
      <w:pPr>
        <w:pStyle w:val="ListParagraph"/>
        <w:numPr>
          <w:ilvl w:val="0"/>
          <w:numId w:val="51"/>
        </w:numPr>
      </w:pPr>
      <w:r>
        <w:t>A Queensland mining business indicated that of their total workforce of 5,400, 21 (0.4 per cent) would exceed the removal level proposed for Option 2, but 1,300 (24.1 per cent) would exceed the removal level for Option 3. Similar figures are seen in the 2015 blood lead data provided by the Queensland Health Department which showed that in 550 mining workers tested; only two had test results with a blood lead level above the 30 μg/dL removal level proposed for Option 2</w:t>
      </w:r>
    </w:p>
    <w:p w:rsidR="00691DA8" w:rsidRDefault="00691DA8" w:rsidP="00263482">
      <w:pPr>
        <w:pStyle w:val="ListParagraph"/>
        <w:numPr>
          <w:ilvl w:val="0"/>
          <w:numId w:val="51"/>
        </w:numPr>
      </w:pPr>
      <w:r>
        <w:t>A NSW mining business employing a workforce of approximately 400 indicated that 10 to 20 per cent of their workforce would need to be removed from lead-risk work for Option 2, but up to 95 per cent of their workforce would exceed the removal level for Option 3. The available NSW blood lead data does not always identify the industry of the worker, but suggests that the proportion of workers who would exceed the removal level proposed in Option 2 is just under five per cent, and</w:t>
      </w:r>
    </w:p>
    <w:p w:rsidR="00691DA8" w:rsidRDefault="00691DA8" w:rsidP="00263482">
      <w:pPr>
        <w:pStyle w:val="ListParagraph"/>
        <w:numPr>
          <w:ilvl w:val="0"/>
          <w:numId w:val="51"/>
        </w:numPr>
      </w:pPr>
      <w:r>
        <w:t>A South Australian smelter, employing approximately 1,750 workers, indicated they would need to remove up to five workers (0.3 per cent of the workforce) for exceeding the 30 μg/dL limit proposed in Option 2, but much of the workforce would exceed the limit for Option 3.</w:t>
      </w:r>
    </w:p>
    <w:p w:rsidR="00691DA8" w:rsidRDefault="00691DA8" w:rsidP="00691DA8">
      <w:r>
        <w:t xml:space="preserve">These businesses all have a higher number of workers with blood lead levels of between 10 μg/dL and 30 μg/dL than businesses in Victoria and Western Australia. The reasons given for this include the long history of lead industry at the sites (which has resulted in environmental contamination and therefore higher blood lead levels for the surrounding population in the area) and a typically long-serving workforce with many years of lead exposure (which has resulted in an increased body burden due to accumulation of lead in bones and other organs). </w:t>
      </w:r>
    </w:p>
    <w:p w:rsidR="00691DA8" w:rsidRDefault="00691DA8" w:rsidP="00691DA8">
      <w:r>
        <w:t>T</w:t>
      </w:r>
      <w:r w:rsidRPr="00192A86">
        <w:t xml:space="preserve">he health data provided for workers in </w:t>
      </w:r>
      <w:r w:rsidR="00EA2EF3">
        <w:t>Western Australia, Victoria, Queensland and New South Wales</w:t>
      </w:r>
      <w:r w:rsidRPr="00192A86">
        <w:t xml:space="preserve"> </w:t>
      </w:r>
      <w:r>
        <w:t xml:space="preserve">accounts for </w:t>
      </w:r>
      <w:r w:rsidRPr="00192A86">
        <w:t>approx</w:t>
      </w:r>
      <w:r>
        <w:t xml:space="preserve">imately </w:t>
      </w:r>
      <w:r w:rsidRPr="00192A86">
        <w:t>80</w:t>
      </w:r>
      <w:r>
        <w:t xml:space="preserve"> per cent </w:t>
      </w:r>
      <w:r w:rsidRPr="00192A86">
        <w:t>of lead process workers</w:t>
      </w:r>
      <w:r>
        <w:t xml:space="preserve"> in Australia. This data </w:t>
      </w:r>
      <w:r w:rsidRPr="00192A86">
        <w:t xml:space="preserve">has been extrapolated to form an estimate </w:t>
      </w:r>
      <w:r>
        <w:t xml:space="preserve">of the total number of lead process workers that would exceed the removal thresholds proposed </w:t>
      </w:r>
      <w:r w:rsidRPr="00192A86">
        <w:t xml:space="preserve">for </w:t>
      </w:r>
      <w:r>
        <w:t>Options 2 and 3</w:t>
      </w:r>
      <w:r w:rsidRPr="00192A86">
        <w:t xml:space="preserve"> (i.e. the remaining 20</w:t>
      </w:r>
      <w:r>
        <w:t xml:space="preserve"> per cent </w:t>
      </w:r>
      <w:r w:rsidRPr="00192A86">
        <w:t>of lead process workers</w:t>
      </w:r>
      <w:r w:rsidR="00AF5A5A">
        <w:t xml:space="preserve">; see </w:t>
      </w:r>
      <w:r w:rsidR="00AF5A5A">
        <w:fldChar w:fldCharType="begin"/>
      </w:r>
      <w:r w:rsidR="00AF5A5A">
        <w:instrText xml:space="preserve"> REF _Ref456777783 \h </w:instrText>
      </w:r>
      <w:r w:rsidR="00AF5A5A">
        <w:fldChar w:fldCharType="separate"/>
      </w:r>
      <w:r w:rsidR="00052CE1">
        <w:t xml:space="preserve">Table </w:t>
      </w:r>
      <w:r w:rsidR="00052CE1">
        <w:rPr>
          <w:noProof/>
        </w:rPr>
        <w:t>14</w:t>
      </w:r>
      <w:r w:rsidR="00AF5A5A">
        <w:fldChar w:fldCharType="end"/>
      </w:r>
      <w:r w:rsidR="00AF5A5A">
        <w:t xml:space="preserve"> below</w:t>
      </w:r>
      <w:r w:rsidRPr="00192A86">
        <w:t>).</w:t>
      </w:r>
      <w:r>
        <w:t xml:space="preserve"> Overall, the data shows that around six workers currently exceed the 50 μg/dL limit each year, while 157 would exceed the limit proposed for Option 2 (1.5 per cent of the estimated workforce). Based on the current data, around 2,600 workers would exceed the 10 μg/dL proposed for Option 3, equivalent to around 25 per cent of the workforce.</w:t>
      </w:r>
    </w:p>
    <w:p w:rsidR="00691DA8" w:rsidRDefault="00691DA8" w:rsidP="00691DA8">
      <w:pPr>
        <w:pStyle w:val="TableHeadingText"/>
      </w:pPr>
      <w:bookmarkStart w:id="106" w:name="_Ref456777783"/>
      <w:r>
        <w:t xml:space="preserve">Table </w:t>
      </w:r>
      <w:r w:rsidR="00CB69C0">
        <w:fldChar w:fldCharType="begin"/>
      </w:r>
      <w:r w:rsidR="00CB69C0">
        <w:instrText xml:space="preserve"> SEQ Table \* AR</w:instrText>
      </w:r>
      <w:r w:rsidR="00CB69C0">
        <w:instrText xml:space="preserve">ABIC </w:instrText>
      </w:r>
      <w:r w:rsidR="00CB69C0">
        <w:fldChar w:fldCharType="separate"/>
      </w:r>
      <w:r w:rsidR="00052CE1">
        <w:rPr>
          <w:noProof/>
        </w:rPr>
        <w:t>14</w:t>
      </w:r>
      <w:r w:rsidR="00CB69C0">
        <w:rPr>
          <w:noProof/>
        </w:rPr>
        <w:fldChar w:fldCharType="end"/>
      </w:r>
      <w:bookmarkEnd w:id="106"/>
      <w:r>
        <w:t xml:space="preserve">. </w:t>
      </w:r>
      <w:r w:rsidRPr="00263C91">
        <w:rPr>
          <w:b w:val="0"/>
        </w:rPr>
        <w:t xml:space="preserve">Estimated change in the number of workers (males and </w:t>
      </w:r>
      <w:r w:rsidR="00A5065F" w:rsidRPr="00263C91">
        <w:rPr>
          <w:b w:val="0"/>
        </w:rPr>
        <w:t>females not of reproductive capacity</w:t>
      </w:r>
      <w:r w:rsidRPr="00263C91">
        <w:rPr>
          <w:b w:val="0"/>
        </w:rPr>
        <w:t>) removed from lead-risk work per annum dependent on the proposed option</w:t>
      </w:r>
    </w:p>
    <w:tbl>
      <w:tblPr>
        <w:tblStyle w:val="TableGrid"/>
        <w:tblW w:w="5000" w:type="pct"/>
        <w:tblLook w:val="04A0" w:firstRow="1" w:lastRow="0" w:firstColumn="1" w:lastColumn="0" w:noHBand="0" w:noVBand="1"/>
        <w:tblCaption w:val="Table 14"/>
        <w:tblDescription w:val="Table 14. Estimated change in the number of workers (males and females not of reproductive capacity) removed from lead-risk work per annum dependent on the proposed option."/>
      </w:tblPr>
      <w:tblGrid>
        <w:gridCol w:w="4786"/>
        <w:gridCol w:w="1612"/>
        <w:gridCol w:w="1613"/>
        <w:gridCol w:w="1613"/>
      </w:tblGrid>
      <w:tr w:rsidR="00691DA8" w:rsidRPr="00A03AE6" w:rsidTr="00B31477">
        <w:trPr>
          <w:cantSplit/>
          <w:tblHeader/>
        </w:trPr>
        <w:tc>
          <w:tcPr>
            <w:tcW w:w="2486" w:type="pct"/>
            <w:shd w:val="clear" w:color="auto" w:fill="BFBFBF" w:themeFill="background1" w:themeFillShade="BF"/>
            <w:vAlign w:val="center"/>
          </w:tcPr>
          <w:p w:rsidR="00691DA8" w:rsidRPr="00A03AE6" w:rsidRDefault="00691DA8" w:rsidP="00691DA8">
            <w:pPr>
              <w:jc w:val="center"/>
              <w:rPr>
                <w:rFonts w:asciiTheme="majorHAnsi" w:hAnsiTheme="majorHAnsi" w:cstheme="majorHAnsi"/>
                <w:color w:val="000000"/>
                <w:sz w:val="20"/>
                <w:szCs w:val="20"/>
              </w:rPr>
            </w:pPr>
            <w:r w:rsidRPr="00A03AE6">
              <w:rPr>
                <w:rFonts w:asciiTheme="majorHAnsi" w:hAnsiTheme="majorHAnsi" w:cstheme="majorHAnsi"/>
                <w:b/>
                <w:sz w:val="20"/>
                <w:szCs w:val="20"/>
              </w:rPr>
              <w:t>Workers removed</w:t>
            </w:r>
          </w:p>
        </w:tc>
        <w:tc>
          <w:tcPr>
            <w:tcW w:w="837" w:type="pct"/>
            <w:shd w:val="clear" w:color="auto" w:fill="BFBFBF" w:themeFill="background1" w:themeFillShade="BF"/>
          </w:tcPr>
          <w:p w:rsidR="00691DA8" w:rsidRPr="00A03AE6" w:rsidRDefault="00691DA8" w:rsidP="00691DA8">
            <w:pPr>
              <w:jc w:val="center"/>
              <w:rPr>
                <w:rFonts w:asciiTheme="majorHAnsi" w:hAnsiTheme="majorHAnsi" w:cstheme="majorHAnsi"/>
                <w:color w:val="000000"/>
                <w:sz w:val="20"/>
                <w:szCs w:val="20"/>
              </w:rPr>
            </w:pPr>
            <w:r w:rsidRPr="00A03AE6">
              <w:rPr>
                <w:rFonts w:asciiTheme="majorHAnsi" w:hAnsiTheme="majorHAnsi" w:cstheme="majorHAnsi"/>
                <w:b/>
                <w:sz w:val="20"/>
                <w:szCs w:val="20"/>
              </w:rPr>
              <w:t xml:space="preserve">Option 1 </w:t>
            </w:r>
            <w:r w:rsidRPr="00A03AE6">
              <w:rPr>
                <w:rFonts w:asciiTheme="majorHAnsi" w:hAnsiTheme="majorHAnsi" w:cstheme="majorHAnsi"/>
                <w:b/>
                <w:sz w:val="20"/>
                <w:szCs w:val="20"/>
              </w:rPr>
              <w:br/>
              <w:t>(≥ 50 μg/dL)</w:t>
            </w:r>
          </w:p>
        </w:tc>
        <w:tc>
          <w:tcPr>
            <w:tcW w:w="838" w:type="pct"/>
            <w:shd w:val="clear" w:color="auto" w:fill="BFBFBF" w:themeFill="background1" w:themeFillShade="BF"/>
          </w:tcPr>
          <w:p w:rsidR="00691DA8" w:rsidRPr="00A03AE6" w:rsidRDefault="00691DA8" w:rsidP="00691DA8">
            <w:pPr>
              <w:jc w:val="center"/>
              <w:rPr>
                <w:rFonts w:asciiTheme="majorHAnsi" w:hAnsiTheme="majorHAnsi" w:cstheme="majorHAnsi"/>
                <w:color w:val="000000"/>
                <w:sz w:val="20"/>
                <w:szCs w:val="20"/>
              </w:rPr>
            </w:pPr>
            <w:r w:rsidRPr="00A03AE6">
              <w:rPr>
                <w:rFonts w:asciiTheme="majorHAnsi" w:hAnsiTheme="majorHAnsi" w:cstheme="majorHAnsi"/>
                <w:b/>
                <w:sz w:val="20"/>
                <w:szCs w:val="20"/>
              </w:rPr>
              <w:t>Option 2</w:t>
            </w:r>
            <w:r w:rsidRPr="00A03AE6">
              <w:rPr>
                <w:rFonts w:asciiTheme="majorHAnsi" w:hAnsiTheme="majorHAnsi" w:cstheme="majorHAnsi"/>
                <w:b/>
                <w:sz w:val="20"/>
                <w:szCs w:val="20"/>
              </w:rPr>
              <w:br/>
              <w:t>(≥ 30 μg/dL)</w:t>
            </w:r>
          </w:p>
        </w:tc>
        <w:tc>
          <w:tcPr>
            <w:tcW w:w="838" w:type="pct"/>
            <w:shd w:val="clear" w:color="auto" w:fill="BFBFBF" w:themeFill="background1" w:themeFillShade="BF"/>
          </w:tcPr>
          <w:p w:rsidR="00691DA8" w:rsidRPr="00A03AE6" w:rsidRDefault="00691DA8" w:rsidP="00691DA8">
            <w:pPr>
              <w:jc w:val="center"/>
              <w:rPr>
                <w:rFonts w:asciiTheme="majorHAnsi" w:hAnsiTheme="majorHAnsi" w:cstheme="majorHAnsi"/>
                <w:color w:val="000000"/>
                <w:sz w:val="20"/>
                <w:szCs w:val="20"/>
              </w:rPr>
            </w:pPr>
            <w:r w:rsidRPr="00A03AE6">
              <w:rPr>
                <w:rFonts w:asciiTheme="majorHAnsi" w:hAnsiTheme="majorHAnsi" w:cstheme="majorHAnsi"/>
                <w:b/>
                <w:sz w:val="20"/>
                <w:szCs w:val="20"/>
              </w:rPr>
              <w:t>Option 3</w:t>
            </w:r>
            <w:r w:rsidRPr="00A03AE6">
              <w:rPr>
                <w:rFonts w:asciiTheme="majorHAnsi" w:hAnsiTheme="majorHAnsi" w:cstheme="majorHAnsi"/>
                <w:b/>
                <w:sz w:val="20"/>
                <w:szCs w:val="20"/>
              </w:rPr>
              <w:br/>
              <w:t>(≥ 10 μg/dL)</w:t>
            </w:r>
          </w:p>
        </w:tc>
      </w:tr>
      <w:tr w:rsidR="00691DA8" w:rsidRPr="00A03AE6" w:rsidTr="00B31477">
        <w:trPr>
          <w:cantSplit/>
          <w:trHeight w:val="175"/>
        </w:trPr>
        <w:tc>
          <w:tcPr>
            <w:tcW w:w="2486" w:type="pct"/>
            <w:vAlign w:val="center"/>
          </w:tcPr>
          <w:p w:rsidR="00691DA8" w:rsidRPr="00A03AE6" w:rsidRDefault="00691DA8" w:rsidP="00691DA8">
            <w:pPr>
              <w:rPr>
                <w:rFonts w:asciiTheme="majorHAnsi" w:hAnsiTheme="majorHAnsi" w:cstheme="majorHAnsi"/>
                <w:color w:val="000000"/>
                <w:sz w:val="20"/>
                <w:szCs w:val="20"/>
              </w:rPr>
            </w:pPr>
            <w:r w:rsidRPr="00A03AE6">
              <w:rPr>
                <w:rFonts w:asciiTheme="majorHAnsi" w:hAnsiTheme="majorHAnsi" w:cstheme="majorHAnsi"/>
                <w:color w:val="000000"/>
                <w:sz w:val="20"/>
                <w:szCs w:val="20"/>
              </w:rPr>
              <w:t>Number of workers removed</w:t>
            </w:r>
          </w:p>
        </w:tc>
        <w:tc>
          <w:tcPr>
            <w:tcW w:w="837" w:type="pct"/>
            <w:vAlign w:val="center"/>
          </w:tcPr>
          <w:p w:rsidR="00691DA8" w:rsidRPr="00A03AE6" w:rsidRDefault="00691DA8" w:rsidP="00691DA8">
            <w:pPr>
              <w:jc w:val="center"/>
              <w:rPr>
                <w:rFonts w:asciiTheme="majorHAnsi" w:hAnsiTheme="majorHAnsi" w:cstheme="majorHAnsi"/>
                <w:color w:val="000000"/>
                <w:sz w:val="20"/>
                <w:szCs w:val="20"/>
              </w:rPr>
            </w:pPr>
            <w:r w:rsidRPr="000C53B6">
              <w:rPr>
                <w:rFonts w:asciiTheme="majorHAnsi" w:hAnsiTheme="majorHAnsi" w:cstheme="majorHAnsi"/>
                <w:color w:val="000000"/>
                <w:sz w:val="20"/>
                <w:szCs w:val="20"/>
              </w:rPr>
              <w:t>6</w:t>
            </w:r>
          </w:p>
        </w:tc>
        <w:tc>
          <w:tcPr>
            <w:tcW w:w="838" w:type="pct"/>
            <w:vAlign w:val="center"/>
          </w:tcPr>
          <w:p w:rsidR="00691DA8" w:rsidRPr="00A03AE6" w:rsidRDefault="00691DA8" w:rsidP="00691DA8">
            <w:pPr>
              <w:jc w:val="center"/>
              <w:rPr>
                <w:rFonts w:asciiTheme="majorHAnsi" w:hAnsiTheme="majorHAnsi" w:cstheme="majorHAnsi"/>
                <w:color w:val="000000"/>
                <w:sz w:val="20"/>
                <w:szCs w:val="20"/>
              </w:rPr>
            </w:pPr>
            <w:r w:rsidRPr="000C53B6">
              <w:rPr>
                <w:rFonts w:asciiTheme="majorHAnsi" w:hAnsiTheme="majorHAnsi" w:cstheme="majorHAnsi"/>
                <w:color w:val="000000"/>
                <w:sz w:val="20"/>
                <w:szCs w:val="20"/>
              </w:rPr>
              <w:t>157</w:t>
            </w:r>
          </w:p>
        </w:tc>
        <w:tc>
          <w:tcPr>
            <w:tcW w:w="838" w:type="pct"/>
            <w:vAlign w:val="center"/>
          </w:tcPr>
          <w:p w:rsidR="00691DA8" w:rsidRPr="00A03AE6" w:rsidRDefault="00691DA8" w:rsidP="00691DA8">
            <w:pPr>
              <w:jc w:val="center"/>
              <w:rPr>
                <w:rFonts w:asciiTheme="majorHAnsi" w:hAnsiTheme="majorHAnsi" w:cstheme="majorHAnsi"/>
                <w:color w:val="000000"/>
                <w:sz w:val="20"/>
                <w:szCs w:val="20"/>
              </w:rPr>
            </w:pPr>
            <w:r w:rsidRPr="000C53B6">
              <w:rPr>
                <w:rFonts w:asciiTheme="majorHAnsi" w:hAnsiTheme="majorHAnsi" w:cstheme="majorHAnsi"/>
                <w:color w:val="000000"/>
                <w:sz w:val="20"/>
                <w:szCs w:val="20"/>
              </w:rPr>
              <w:t>2,596</w:t>
            </w:r>
          </w:p>
        </w:tc>
      </w:tr>
      <w:tr w:rsidR="00691DA8" w:rsidRPr="00A03AE6" w:rsidTr="00B31477">
        <w:trPr>
          <w:cantSplit/>
        </w:trPr>
        <w:tc>
          <w:tcPr>
            <w:tcW w:w="2486" w:type="pct"/>
            <w:vAlign w:val="center"/>
          </w:tcPr>
          <w:p w:rsidR="00691DA8" w:rsidRPr="00A03AE6" w:rsidRDefault="00691DA8" w:rsidP="00691DA8">
            <w:pPr>
              <w:rPr>
                <w:rFonts w:asciiTheme="majorHAnsi" w:hAnsiTheme="majorHAnsi" w:cstheme="majorHAnsi"/>
                <w:color w:val="000000"/>
                <w:sz w:val="20"/>
                <w:szCs w:val="20"/>
              </w:rPr>
            </w:pPr>
            <w:r w:rsidRPr="00A03AE6">
              <w:rPr>
                <w:rFonts w:asciiTheme="majorHAnsi" w:hAnsiTheme="majorHAnsi" w:cstheme="majorHAnsi"/>
                <w:color w:val="000000"/>
                <w:sz w:val="20"/>
                <w:szCs w:val="20"/>
              </w:rPr>
              <w:t>Increase from the base case</w:t>
            </w:r>
            <w:r>
              <w:rPr>
                <w:rFonts w:asciiTheme="majorHAnsi" w:hAnsiTheme="majorHAnsi" w:cstheme="majorHAnsi"/>
                <w:color w:val="000000"/>
                <w:sz w:val="20"/>
                <w:szCs w:val="20"/>
              </w:rPr>
              <w:t xml:space="preserve"> (number of workers)</w:t>
            </w:r>
          </w:p>
        </w:tc>
        <w:tc>
          <w:tcPr>
            <w:tcW w:w="837" w:type="pct"/>
            <w:vAlign w:val="center"/>
          </w:tcPr>
          <w:p w:rsidR="00691DA8" w:rsidRPr="00A03AE6" w:rsidRDefault="00691DA8" w:rsidP="00691DA8">
            <w:pPr>
              <w:jc w:val="center"/>
              <w:rPr>
                <w:rFonts w:asciiTheme="majorHAnsi" w:hAnsiTheme="majorHAnsi" w:cstheme="majorHAnsi"/>
                <w:color w:val="000000"/>
                <w:sz w:val="20"/>
                <w:szCs w:val="20"/>
              </w:rPr>
            </w:pPr>
            <w:r w:rsidRPr="000C53B6">
              <w:rPr>
                <w:rFonts w:asciiTheme="majorHAnsi" w:hAnsiTheme="majorHAnsi" w:cstheme="majorHAnsi"/>
                <w:color w:val="000000"/>
                <w:sz w:val="20"/>
                <w:szCs w:val="20"/>
              </w:rPr>
              <w:t>-</w:t>
            </w:r>
          </w:p>
        </w:tc>
        <w:tc>
          <w:tcPr>
            <w:tcW w:w="838" w:type="pct"/>
            <w:vAlign w:val="center"/>
          </w:tcPr>
          <w:p w:rsidR="00691DA8" w:rsidRPr="00A03AE6" w:rsidRDefault="00691DA8" w:rsidP="00691DA8">
            <w:pPr>
              <w:jc w:val="center"/>
              <w:rPr>
                <w:rFonts w:asciiTheme="majorHAnsi" w:hAnsiTheme="majorHAnsi" w:cstheme="majorHAnsi"/>
                <w:color w:val="000000"/>
                <w:sz w:val="20"/>
                <w:szCs w:val="20"/>
              </w:rPr>
            </w:pPr>
            <w:r w:rsidRPr="000C53B6">
              <w:rPr>
                <w:rFonts w:asciiTheme="majorHAnsi" w:hAnsiTheme="majorHAnsi" w:cstheme="majorHAnsi"/>
                <w:color w:val="000000"/>
                <w:sz w:val="20"/>
                <w:szCs w:val="20"/>
              </w:rPr>
              <w:t>151</w:t>
            </w:r>
          </w:p>
        </w:tc>
        <w:tc>
          <w:tcPr>
            <w:tcW w:w="838" w:type="pct"/>
            <w:vAlign w:val="center"/>
          </w:tcPr>
          <w:p w:rsidR="00691DA8" w:rsidRPr="00A03AE6" w:rsidRDefault="00691DA8" w:rsidP="00691DA8">
            <w:pPr>
              <w:jc w:val="center"/>
              <w:rPr>
                <w:rFonts w:asciiTheme="majorHAnsi" w:hAnsiTheme="majorHAnsi" w:cstheme="majorHAnsi"/>
                <w:color w:val="000000"/>
                <w:sz w:val="20"/>
                <w:szCs w:val="20"/>
              </w:rPr>
            </w:pPr>
            <w:r w:rsidRPr="000C53B6">
              <w:rPr>
                <w:rFonts w:asciiTheme="majorHAnsi" w:hAnsiTheme="majorHAnsi" w:cstheme="majorHAnsi"/>
                <w:color w:val="000000"/>
                <w:sz w:val="20"/>
                <w:szCs w:val="20"/>
              </w:rPr>
              <w:t>2,590</w:t>
            </w:r>
          </w:p>
        </w:tc>
      </w:tr>
    </w:tbl>
    <w:p w:rsidR="00691DA8" w:rsidRDefault="00691DA8" w:rsidP="00691DA8">
      <w:pPr>
        <w:pStyle w:val="BodyText"/>
        <w:spacing w:after="0"/>
      </w:pPr>
      <w:r>
        <w:rPr>
          <w:rFonts w:asciiTheme="majorHAnsi" w:hAnsiTheme="majorHAnsi" w:cstheme="majorHAnsi"/>
          <w:sz w:val="16"/>
        </w:rPr>
        <w:t>Source: based on he</w:t>
      </w:r>
      <w:r w:rsidRPr="00192A86">
        <w:rPr>
          <w:rFonts w:asciiTheme="majorHAnsi" w:hAnsiTheme="majorHAnsi" w:cstheme="majorHAnsi"/>
          <w:sz w:val="16"/>
        </w:rPr>
        <w:t xml:space="preserve">alth data provided for workers in </w:t>
      </w:r>
      <w:r w:rsidR="00FF527B" w:rsidRPr="00FF527B">
        <w:rPr>
          <w:rFonts w:asciiTheme="majorHAnsi" w:hAnsiTheme="majorHAnsi" w:cstheme="majorHAnsi"/>
          <w:sz w:val="16"/>
        </w:rPr>
        <w:t>Western Australia, Victoria, Queensland and New South Wales</w:t>
      </w:r>
    </w:p>
    <w:p w:rsidR="00691DA8" w:rsidRPr="00313AAD" w:rsidRDefault="00691DA8" w:rsidP="00263482">
      <w:pPr>
        <w:pStyle w:val="Heading2"/>
        <w:ind w:left="426"/>
      </w:pPr>
      <w:bookmarkStart w:id="107" w:name="_Toc459276917"/>
      <w:r w:rsidRPr="00313AAD">
        <w:t>Benefits of reducing exposure to lead</w:t>
      </w:r>
      <w:bookmarkEnd w:id="107"/>
    </w:p>
    <w:p w:rsidR="00691DA8" w:rsidRPr="004C4DEF" w:rsidRDefault="00691DA8" w:rsidP="00E77182">
      <w:pPr>
        <w:pStyle w:val="Heading3"/>
      </w:pPr>
      <w:r w:rsidRPr="004C4DEF">
        <w:t>Evidence of the health effects of lead exposure</w:t>
      </w:r>
    </w:p>
    <w:p w:rsidR="00691DA8" w:rsidRDefault="00691DA8" w:rsidP="00691DA8">
      <w:r>
        <w:t>The review of the health effects of inorganic lead exposure commissioned by SWA in 2014 (SWA 2014b)</w:t>
      </w:r>
      <w:r w:rsidRPr="00EC2923">
        <w:t xml:space="preserve"> </w:t>
      </w:r>
      <w:r>
        <w:t>found that lead can result in a wide range of biological effects depending on the level and duration of exposure. These included adverse effects on the nervous system, cardiovascular system, blood, kidneys, liver, endocrine system, immune system and reproductive system. It also found links between high levels of lead in blood and certain cancers.</w:t>
      </w:r>
    </w:p>
    <w:p w:rsidR="00691DA8" w:rsidRDefault="00691DA8" w:rsidP="00691DA8">
      <w:r>
        <w:t xml:space="preserve">The report found that most health effects observed with exposure to lead have been associated with blood lead levels of more than 20 μg/dL; with stronger associations found for blood lead levels above 30 μg/dL. </w:t>
      </w:r>
    </w:p>
    <w:p w:rsidR="00691DA8" w:rsidRPr="004C4DEF" w:rsidRDefault="00691DA8" w:rsidP="00E77182">
      <w:pPr>
        <w:pStyle w:val="Heading3"/>
      </w:pPr>
      <w:r w:rsidRPr="004C4DEF">
        <w:t>Calculating the economic effects of reduced lead exposure</w:t>
      </w:r>
    </w:p>
    <w:p w:rsidR="00691DA8" w:rsidRDefault="00691DA8" w:rsidP="00691DA8">
      <w:r>
        <w:t>The economic effects associated with reducing some of the adverse medical conditions associated with occupational lead exposure include:</w:t>
      </w:r>
    </w:p>
    <w:p w:rsidR="00691DA8" w:rsidRDefault="00691DA8" w:rsidP="00263482">
      <w:pPr>
        <w:pStyle w:val="ListParagraph"/>
        <w:numPr>
          <w:ilvl w:val="0"/>
          <w:numId w:val="53"/>
        </w:numPr>
      </w:pPr>
      <w:r w:rsidRPr="00EA7A83">
        <w:rPr>
          <w:b/>
        </w:rPr>
        <w:t>Health  system  expenditure</w:t>
      </w:r>
      <w:r>
        <w:t xml:space="preserve"> – including the cost of  running  hospitals, primary care and pharmaceuticals as well as other areas of health system expenditure</w:t>
      </w:r>
    </w:p>
    <w:p w:rsidR="00691DA8" w:rsidRDefault="00691DA8" w:rsidP="00263482">
      <w:pPr>
        <w:pStyle w:val="ListParagraph"/>
        <w:numPr>
          <w:ilvl w:val="0"/>
          <w:numId w:val="53"/>
        </w:numPr>
      </w:pPr>
      <w:r w:rsidRPr="00EA7A83">
        <w:rPr>
          <w:b/>
        </w:rPr>
        <w:t>Productivity costs</w:t>
      </w:r>
      <w:r>
        <w:t xml:space="preserve"> – including the person’s productivity losses (temporary and long-term absenteeism), premature mortality and the value of informal care</w:t>
      </w:r>
    </w:p>
    <w:p w:rsidR="00691DA8" w:rsidRDefault="00691DA8" w:rsidP="00263482">
      <w:pPr>
        <w:pStyle w:val="ListParagraph"/>
        <w:numPr>
          <w:ilvl w:val="0"/>
          <w:numId w:val="53"/>
        </w:numPr>
      </w:pPr>
      <w:r w:rsidRPr="00EA7A83">
        <w:rPr>
          <w:b/>
        </w:rPr>
        <w:t>Other financial costs</w:t>
      </w:r>
      <w:r>
        <w:t xml:space="preserve"> – including all other government and non-government programs  and  out of-pocket  expenses  (such  as  formal  care,  aids,  transport  and accommodation costs associated with receiving treatment)</w:t>
      </w:r>
    </w:p>
    <w:p w:rsidR="00691DA8" w:rsidRDefault="00691DA8" w:rsidP="00263482">
      <w:pPr>
        <w:pStyle w:val="ListParagraph"/>
        <w:numPr>
          <w:ilvl w:val="0"/>
          <w:numId w:val="53"/>
        </w:numPr>
      </w:pPr>
      <w:r w:rsidRPr="00EA7A83">
        <w:rPr>
          <w:b/>
        </w:rPr>
        <w:t>Transfer costs</w:t>
      </w:r>
      <w:r>
        <w:t xml:space="preserve"> – including the deadweight loss (DWL) associated with government  transfers,  such  as  taxation  revenue  forgone,  welfare  and  disability payments, and</w:t>
      </w:r>
    </w:p>
    <w:p w:rsidR="00691DA8" w:rsidRDefault="00691DA8" w:rsidP="00263482">
      <w:pPr>
        <w:pStyle w:val="ListParagraph"/>
        <w:numPr>
          <w:ilvl w:val="0"/>
          <w:numId w:val="53"/>
        </w:numPr>
      </w:pPr>
      <w:r w:rsidRPr="00EA7A83">
        <w:rPr>
          <w:b/>
        </w:rPr>
        <w:t>Non-financial costs</w:t>
      </w:r>
      <w:r>
        <w:t xml:space="preserve"> – including pain, suffering and premature death (collectively referred to as the burden of disease).</w:t>
      </w:r>
    </w:p>
    <w:p w:rsidR="00691DA8" w:rsidRDefault="00691DA8" w:rsidP="00691DA8">
      <w:r>
        <w:t xml:space="preserve">There are a number of difficulties in quantifying and then monetising all of the health benefits that would occur from reducing occupational lead exposure. </w:t>
      </w:r>
    </w:p>
    <w:p w:rsidR="00691DA8" w:rsidRDefault="00691DA8" w:rsidP="00691DA8">
      <w:r>
        <w:t xml:space="preserve">Firstly, there is often no direct link between occupational lead exposure and the adverse health conditions identified above, only an increased likelihood of the condition occurring, sometimes many years after the period of occupational exposure. As a result, it can be difficult to find data that attributes the adverse health conditions to lead, or more specifically to occupational lead exposure. </w:t>
      </w:r>
    </w:p>
    <w:p w:rsidR="00691DA8" w:rsidRDefault="00691DA8" w:rsidP="00691DA8">
      <w:r>
        <w:t xml:space="preserve">Secondly, there are significant differences between the approaches, assumptions and controls used in the research that was reviewed in the SWA Report (2014b), which makes combining the results of this research to calculate an overall reduction in adverse health impacts impossible. </w:t>
      </w:r>
    </w:p>
    <w:p w:rsidR="00691DA8" w:rsidRDefault="00691DA8" w:rsidP="00691DA8">
      <w:r>
        <w:t>The approach adopted for the CBA has been to focus on a sub-set of the findings of the SWA Report (2014b), where there is enough evidence to calculate the incidence of a disease or illness, with and without high levels of lead exposure (broadly defined as blood lead levels of more than 20 to 30 µg/dL) and where there is also existing evidence of the overall costs associated with that disease or illness</w:t>
      </w:r>
      <w:r w:rsidR="00AF5A5A">
        <w:t xml:space="preserve"> (see </w:t>
      </w:r>
      <w:r w:rsidR="00AF5A5A">
        <w:fldChar w:fldCharType="begin"/>
      </w:r>
      <w:r w:rsidR="00AF5A5A">
        <w:instrText xml:space="preserve"> REF _Ref456777908 \h </w:instrText>
      </w:r>
      <w:r w:rsidR="00AF5A5A">
        <w:fldChar w:fldCharType="separate"/>
      </w:r>
      <w:r w:rsidR="00052CE1">
        <w:t xml:space="preserve">Figure </w:t>
      </w:r>
      <w:r w:rsidR="00052CE1">
        <w:rPr>
          <w:noProof/>
        </w:rPr>
        <w:t>6</w:t>
      </w:r>
      <w:r w:rsidR="00AF5A5A">
        <w:fldChar w:fldCharType="end"/>
      </w:r>
      <w:r w:rsidR="00AF5A5A">
        <w:t xml:space="preserve"> below)</w:t>
      </w:r>
      <w:r>
        <w:t xml:space="preserve">. </w:t>
      </w:r>
    </w:p>
    <w:p w:rsidR="00691DA8" w:rsidRDefault="00691DA8" w:rsidP="00691DA8">
      <w:pPr>
        <w:pStyle w:val="BodyText"/>
        <w:keepNext/>
      </w:pPr>
      <w:r w:rsidRPr="00C861FE">
        <w:rPr>
          <w:rFonts w:asciiTheme="majorHAnsi" w:hAnsiTheme="majorHAnsi" w:cstheme="majorHAnsi"/>
          <w:noProof/>
          <w:lang w:eastAsia="en-AU"/>
        </w:rPr>
        <w:drawing>
          <wp:inline distT="0" distB="0" distL="0" distR="0" wp14:anchorId="3E5E22FD" wp14:editId="3C711F66">
            <wp:extent cx="5800299" cy="974595"/>
            <wp:effectExtent l="0" t="0" r="0" b="0"/>
            <wp:docPr id="21" name="Picture 21" descr="Figure 6 exoplains that the approach to calculating the health benefits of reduced lead exposure is: the change in health costs equals the incidence in the general population multiplied by the increased risk due to lead exposure, the population of the lead exposed workforce and the costs per incident. "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96750" cy="973999"/>
                    </a:xfrm>
                    <a:prstGeom prst="rect">
                      <a:avLst/>
                    </a:prstGeom>
                    <a:noFill/>
                    <a:ln>
                      <a:noFill/>
                    </a:ln>
                  </pic:spPr>
                </pic:pic>
              </a:graphicData>
            </a:graphic>
          </wp:inline>
        </w:drawing>
      </w:r>
    </w:p>
    <w:p w:rsidR="00691DA8" w:rsidRDefault="00691DA8" w:rsidP="00691DA8">
      <w:pPr>
        <w:pStyle w:val="TableHeadingText"/>
      </w:pPr>
      <w:bookmarkStart w:id="108" w:name="_Ref456777908"/>
      <w:r>
        <w:t xml:space="preserve">Figure </w:t>
      </w:r>
      <w:r w:rsidR="00CB69C0">
        <w:fldChar w:fldCharType="begin"/>
      </w:r>
      <w:r w:rsidR="00CB69C0">
        <w:instrText xml:space="preserve"> SEQ Figure \* ARABIC </w:instrText>
      </w:r>
      <w:r w:rsidR="00CB69C0">
        <w:fldChar w:fldCharType="separate"/>
      </w:r>
      <w:r w:rsidR="00052CE1">
        <w:rPr>
          <w:noProof/>
        </w:rPr>
        <w:t>6</w:t>
      </w:r>
      <w:r w:rsidR="00CB69C0">
        <w:rPr>
          <w:noProof/>
        </w:rPr>
        <w:fldChar w:fldCharType="end"/>
      </w:r>
      <w:bookmarkEnd w:id="108"/>
      <w:r>
        <w:t xml:space="preserve">. </w:t>
      </w:r>
      <w:r w:rsidRPr="00263C91">
        <w:rPr>
          <w:b w:val="0"/>
        </w:rPr>
        <w:t>Approach to calculating the health benefits of reduced lead exposure</w:t>
      </w:r>
    </w:p>
    <w:p w:rsidR="00691DA8" w:rsidRDefault="00691DA8" w:rsidP="00691DA8">
      <w:r>
        <w:t xml:space="preserve">This information was able to be obtained for four of the conditions identified in the SWA Report (2014b) namely liver cancer, oesophageal cancer, stroke and ischemic heart disease. </w:t>
      </w:r>
    </w:p>
    <w:p w:rsidR="00691DA8" w:rsidRDefault="00691DA8" w:rsidP="00691DA8">
      <w:r>
        <w:fldChar w:fldCharType="begin"/>
      </w:r>
      <w:r>
        <w:instrText xml:space="preserve"> REF _Ref455493256 \h </w:instrText>
      </w:r>
      <w:r>
        <w:fldChar w:fldCharType="separate"/>
      </w:r>
      <w:r w:rsidR="00052CE1">
        <w:t xml:space="preserve">Table </w:t>
      </w:r>
      <w:r w:rsidR="00052CE1">
        <w:rPr>
          <w:noProof/>
        </w:rPr>
        <w:t>15</w:t>
      </w:r>
      <w:r>
        <w:fldChar w:fldCharType="end"/>
      </w:r>
      <w:r>
        <w:t xml:space="preserve"> below uses the current incidence of these conditions in Australia (sourced from the Australian Institute of Health and Welfare) and either the Risk Ratio (RR) or the increased likelihood of the condition due to high lead levels (sourced from the 2014 SWA Report) to estimate the number of each condition that could have been avoided per year had lead levels been lower. </w:t>
      </w:r>
    </w:p>
    <w:p w:rsidR="00691DA8" w:rsidRPr="00C861FE" w:rsidRDefault="00691DA8" w:rsidP="00691DA8">
      <w:r>
        <w:t xml:space="preserve">The financial and non-financial costs of the conditions have been estimated from </w:t>
      </w:r>
      <w:r w:rsidR="000A72CA">
        <w:t xml:space="preserve">three </w:t>
      </w:r>
      <w:r>
        <w:t>publicly available reports about the economic costs of disease undertaken by Access Economics</w:t>
      </w:r>
      <w:r w:rsidR="000A72CA">
        <w:t xml:space="preserve">, </w:t>
      </w:r>
      <w:r w:rsidR="000A72CA" w:rsidRPr="00A619DF">
        <w:t>Cost of Cancer in NSW (p.127); The Economic Impact of Stroke in Australia (p.40) and The Economic Costs of Heart Attack and Chest Pain (p. 58)</w:t>
      </w:r>
      <w:r w:rsidR="000A72CA">
        <w:t xml:space="preserve"> (2006, 2009 and 2013).</w:t>
      </w:r>
      <w:r>
        <w:t xml:space="preserve"> These estimates represent the Present Value (PV) per case. They are calculated using similar methodologies and include all of the health system, productivity, transfer and non-financial costs discussed above. </w:t>
      </w:r>
    </w:p>
    <w:p w:rsidR="00691DA8" w:rsidRDefault="00691DA8" w:rsidP="00691DA8">
      <w:pPr>
        <w:pStyle w:val="TableHeadingText"/>
      </w:pPr>
      <w:bookmarkStart w:id="109" w:name="_Ref455493256"/>
      <w:r>
        <w:t xml:space="preserve">Table </w:t>
      </w:r>
      <w:r w:rsidR="00CB69C0">
        <w:fldChar w:fldCharType="begin"/>
      </w:r>
      <w:r w:rsidR="00CB69C0">
        <w:instrText xml:space="preserve"> SEQ Table \* ARABIC </w:instrText>
      </w:r>
      <w:r w:rsidR="00CB69C0">
        <w:fldChar w:fldCharType="separate"/>
      </w:r>
      <w:r w:rsidR="00052CE1">
        <w:rPr>
          <w:noProof/>
        </w:rPr>
        <w:t>15</w:t>
      </w:r>
      <w:r w:rsidR="00CB69C0">
        <w:rPr>
          <w:noProof/>
        </w:rPr>
        <w:fldChar w:fldCharType="end"/>
      </w:r>
      <w:bookmarkEnd w:id="109"/>
      <w:r>
        <w:t xml:space="preserve">. </w:t>
      </w:r>
      <w:r w:rsidRPr="00263C91">
        <w:rPr>
          <w:b w:val="0"/>
        </w:rPr>
        <w:t>Benefits associated with reducing occupational lead exposure</w:t>
      </w:r>
    </w:p>
    <w:tbl>
      <w:tblPr>
        <w:tblStyle w:val="TableGrid"/>
        <w:tblW w:w="5014" w:type="pct"/>
        <w:tblLook w:val="04A0" w:firstRow="1" w:lastRow="0" w:firstColumn="1" w:lastColumn="0" w:noHBand="0" w:noVBand="1"/>
        <w:tblCaption w:val="Table 15"/>
        <w:tblDescription w:val="Table 15. Benefits associated with reducing occupational lead exposure"/>
      </w:tblPr>
      <w:tblGrid>
        <w:gridCol w:w="2944"/>
        <w:gridCol w:w="573"/>
        <w:gridCol w:w="1535"/>
        <w:gridCol w:w="1536"/>
        <w:gridCol w:w="1536"/>
        <w:gridCol w:w="1527"/>
      </w:tblGrid>
      <w:tr w:rsidR="00B31477" w:rsidRPr="00A03AE6" w:rsidTr="00104010">
        <w:trPr>
          <w:cantSplit/>
          <w:tblHeader/>
        </w:trPr>
        <w:tc>
          <w:tcPr>
            <w:tcW w:w="1822" w:type="pct"/>
            <w:gridSpan w:val="2"/>
            <w:tcBorders>
              <w:bottom w:val="nil"/>
            </w:tcBorders>
            <w:shd w:val="clear" w:color="auto" w:fill="BFBFBF" w:themeFill="background1" w:themeFillShade="BF"/>
            <w:vAlign w:val="center"/>
          </w:tcPr>
          <w:p w:rsidR="00B31477" w:rsidRPr="00A03AE6" w:rsidRDefault="00B31477" w:rsidP="00B31477">
            <w:pPr>
              <w:pStyle w:val="BodyText"/>
              <w:rPr>
                <w:rFonts w:ascii="Arial" w:hAnsi="Arial" w:cs="Arial"/>
                <w:b/>
                <w:sz w:val="20"/>
                <w:szCs w:val="20"/>
              </w:rPr>
            </w:pPr>
            <w:r w:rsidRPr="00A03AE6">
              <w:rPr>
                <w:rFonts w:ascii="Arial" w:hAnsi="Arial" w:cs="Arial"/>
                <w:b/>
                <w:sz w:val="20"/>
                <w:szCs w:val="20"/>
              </w:rPr>
              <w:t>Medical condition</w:t>
            </w:r>
          </w:p>
        </w:tc>
        <w:tc>
          <w:tcPr>
            <w:tcW w:w="795" w:type="pct"/>
            <w:tcBorders>
              <w:bottom w:val="nil"/>
            </w:tcBorders>
            <w:shd w:val="clear" w:color="auto" w:fill="BFBFBF" w:themeFill="background1" w:themeFillShade="BF"/>
            <w:vAlign w:val="center"/>
          </w:tcPr>
          <w:p w:rsidR="00B31477" w:rsidRPr="00A03AE6" w:rsidRDefault="00B31477" w:rsidP="00B31477">
            <w:pPr>
              <w:pStyle w:val="BodyText"/>
              <w:jc w:val="center"/>
              <w:rPr>
                <w:rFonts w:ascii="Arial" w:hAnsi="Arial" w:cs="Arial"/>
                <w:b/>
                <w:sz w:val="20"/>
                <w:szCs w:val="20"/>
              </w:rPr>
            </w:pPr>
            <w:r w:rsidRPr="00A03AE6">
              <w:rPr>
                <w:rFonts w:ascii="Arial" w:hAnsi="Arial" w:cs="Arial"/>
                <w:b/>
                <w:sz w:val="20"/>
                <w:szCs w:val="20"/>
              </w:rPr>
              <w:t>Liver cancer</w:t>
            </w:r>
          </w:p>
        </w:tc>
        <w:tc>
          <w:tcPr>
            <w:tcW w:w="796" w:type="pct"/>
            <w:tcBorders>
              <w:bottom w:val="nil"/>
            </w:tcBorders>
            <w:shd w:val="clear" w:color="auto" w:fill="BFBFBF" w:themeFill="background1" w:themeFillShade="BF"/>
            <w:vAlign w:val="center"/>
          </w:tcPr>
          <w:p w:rsidR="00B31477" w:rsidRPr="00A03AE6" w:rsidRDefault="00B31477" w:rsidP="00B31477">
            <w:pPr>
              <w:pStyle w:val="BodyText"/>
              <w:jc w:val="center"/>
              <w:rPr>
                <w:rFonts w:ascii="Arial" w:hAnsi="Arial" w:cs="Arial"/>
                <w:b/>
                <w:sz w:val="20"/>
                <w:szCs w:val="20"/>
              </w:rPr>
            </w:pPr>
            <w:r w:rsidRPr="00A03AE6">
              <w:rPr>
                <w:rFonts w:ascii="Arial" w:hAnsi="Arial" w:cs="Arial"/>
                <w:b/>
                <w:sz w:val="20"/>
                <w:szCs w:val="20"/>
              </w:rPr>
              <w:t>Oesophageal cancer</w:t>
            </w:r>
          </w:p>
        </w:tc>
        <w:tc>
          <w:tcPr>
            <w:tcW w:w="796" w:type="pct"/>
            <w:tcBorders>
              <w:bottom w:val="nil"/>
            </w:tcBorders>
            <w:shd w:val="clear" w:color="auto" w:fill="BFBFBF" w:themeFill="background1" w:themeFillShade="BF"/>
            <w:vAlign w:val="center"/>
          </w:tcPr>
          <w:p w:rsidR="00B31477" w:rsidRPr="00A03AE6" w:rsidRDefault="00B31477" w:rsidP="00B31477">
            <w:pPr>
              <w:pStyle w:val="BodyText"/>
              <w:jc w:val="center"/>
              <w:rPr>
                <w:rFonts w:ascii="Arial" w:hAnsi="Arial" w:cs="Arial"/>
                <w:b/>
                <w:sz w:val="20"/>
                <w:szCs w:val="20"/>
              </w:rPr>
            </w:pPr>
            <w:r w:rsidRPr="00A03AE6">
              <w:rPr>
                <w:rFonts w:ascii="Arial" w:hAnsi="Arial" w:cs="Arial"/>
                <w:b/>
                <w:sz w:val="20"/>
                <w:szCs w:val="20"/>
              </w:rPr>
              <w:t>Stroke</w:t>
            </w:r>
          </w:p>
        </w:tc>
        <w:tc>
          <w:tcPr>
            <w:tcW w:w="792" w:type="pct"/>
            <w:tcBorders>
              <w:bottom w:val="nil"/>
            </w:tcBorders>
            <w:shd w:val="clear" w:color="auto" w:fill="BFBFBF" w:themeFill="background1" w:themeFillShade="BF"/>
            <w:vAlign w:val="center"/>
          </w:tcPr>
          <w:p w:rsidR="00B31477" w:rsidRPr="00A03AE6" w:rsidRDefault="00B31477" w:rsidP="00B31477">
            <w:pPr>
              <w:pStyle w:val="BodyText"/>
              <w:jc w:val="center"/>
              <w:rPr>
                <w:rFonts w:ascii="Arial" w:hAnsi="Arial" w:cs="Arial"/>
                <w:b/>
                <w:sz w:val="20"/>
                <w:szCs w:val="20"/>
              </w:rPr>
            </w:pPr>
            <w:r w:rsidRPr="00A03AE6">
              <w:rPr>
                <w:rFonts w:ascii="Arial" w:hAnsi="Arial" w:cs="Arial"/>
                <w:b/>
                <w:sz w:val="20"/>
                <w:szCs w:val="20"/>
              </w:rPr>
              <w:t>Ischemic heart disease</w:t>
            </w:r>
          </w:p>
        </w:tc>
      </w:tr>
      <w:tr w:rsidR="00104010" w:rsidRPr="00A03AE6" w:rsidTr="00104010">
        <w:trPr>
          <w:cantSplit/>
          <w:trHeight w:val="199"/>
        </w:trPr>
        <w:tc>
          <w:tcPr>
            <w:tcW w:w="5000" w:type="pct"/>
            <w:gridSpan w:val="6"/>
            <w:shd w:val="clear" w:color="auto" w:fill="D9D9D9" w:themeFill="background1" w:themeFillShade="D9"/>
            <w:vAlign w:val="center"/>
          </w:tcPr>
          <w:p w:rsidR="00104010" w:rsidRPr="00A03AE6" w:rsidRDefault="00104010" w:rsidP="00104010">
            <w:pPr>
              <w:rPr>
                <w:rFonts w:ascii="Arial" w:hAnsi="Arial" w:cs="Arial"/>
                <w:color w:val="000000"/>
                <w:sz w:val="20"/>
                <w:szCs w:val="20"/>
              </w:rPr>
            </w:pPr>
            <w:r w:rsidRPr="00A03AE6">
              <w:rPr>
                <w:rFonts w:ascii="Arial" w:hAnsi="Arial" w:cs="Arial"/>
                <w:b/>
                <w:sz w:val="20"/>
                <w:szCs w:val="20"/>
              </w:rPr>
              <w:t>Incidence information</w:t>
            </w:r>
          </w:p>
        </w:tc>
      </w:tr>
      <w:tr w:rsidR="00B31477" w:rsidRPr="00A03AE6" w:rsidTr="00104010">
        <w:trPr>
          <w:cantSplit/>
          <w:trHeight w:val="199"/>
        </w:trPr>
        <w:tc>
          <w:tcPr>
            <w:tcW w:w="1525" w:type="pct"/>
            <w:vAlign w:val="center"/>
          </w:tcPr>
          <w:p w:rsidR="00B31477" w:rsidRPr="00A03AE6" w:rsidRDefault="00B31477" w:rsidP="00B31477">
            <w:pPr>
              <w:rPr>
                <w:rFonts w:ascii="Arial" w:hAnsi="Arial" w:cs="Arial"/>
                <w:color w:val="000000"/>
                <w:sz w:val="20"/>
                <w:szCs w:val="20"/>
              </w:rPr>
            </w:pPr>
            <w:r w:rsidRPr="00A03AE6">
              <w:rPr>
                <w:rFonts w:ascii="Arial" w:hAnsi="Arial" w:cs="Arial"/>
                <w:sz w:val="20"/>
                <w:szCs w:val="20"/>
              </w:rPr>
              <w:t xml:space="preserve">Overall incidence </w:t>
            </w:r>
          </w:p>
        </w:tc>
        <w:tc>
          <w:tcPr>
            <w:tcW w:w="297"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(1)</w:t>
            </w:r>
          </w:p>
        </w:tc>
        <w:tc>
          <w:tcPr>
            <w:tcW w:w="795"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11.3</w:t>
            </w:r>
          </w:p>
        </w:tc>
        <w:tc>
          <w:tcPr>
            <w:tcW w:w="796"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9.5</w:t>
            </w:r>
          </w:p>
        </w:tc>
        <w:tc>
          <w:tcPr>
            <w:tcW w:w="796"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210</w:t>
            </w:r>
          </w:p>
        </w:tc>
        <w:tc>
          <w:tcPr>
            <w:tcW w:w="792"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600</w:t>
            </w:r>
          </w:p>
        </w:tc>
      </w:tr>
      <w:tr w:rsidR="00B31477" w:rsidRPr="00A03AE6" w:rsidTr="00104010">
        <w:trPr>
          <w:cantSplit/>
        </w:trPr>
        <w:tc>
          <w:tcPr>
            <w:tcW w:w="1525" w:type="pct"/>
            <w:vAlign w:val="center"/>
          </w:tcPr>
          <w:p w:rsidR="00B31477" w:rsidRPr="00A03AE6" w:rsidRDefault="00B31477" w:rsidP="00B31477">
            <w:pPr>
              <w:rPr>
                <w:rFonts w:ascii="Arial" w:hAnsi="Arial" w:cs="Arial"/>
                <w:i/>
                <w:color w:val="000000"/>
                <w:sz w:val="20"/>
                <w:szCs w:val="20"/>
              </w:rPr>
            </w:pPr>
            <w:r w:rsidRPr="00A03AE6">
              <w:rPr>
                <w:rFonts w:ascii="Arial" w:hAnsi="Arial" w:cs="Arial"/>
                <w:sz w:val="20"/>
                <w:szCs w:val="20"/>
              </w:rPr>
              <w:t>Increase with lead exposure</w:t>
            </w:r>
          </w:p>
        </w:tc>
        <w:tc>
          <w:tcPr>
            <w:tcW w:w="297"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(2)</w:t>
            </w:r>
          </w:p>
        </w:tc>
        <w:tc>
          <w:tcPr>
            <w:tcW w:w="795"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w:t>
            </w:r>
            <w:r>
              <w:rPr>
                <w:rFonts w:ascii="Arial" w:hAnsi="Arial" w:cs="Arial"/>
                <w:color w:val="000000"/>
                <w:sz w:val="20"/>
                <w:szCs w:val="20"/>
              </w:rPr>
              <w:t>RR</w:t>
            </w:r>
            <w:r w:rsidRPr="00A03AE6">
              <w:rPr>
                <w:rFonts w:ascii="Arial" w:hAnsi="Arial" w:cs="Arial"/>
                <w:color w:val="000000"/>
                <w:sz w:val="20"/>
                <w:szCs w:val="20"/>
              </w:rPr>
              <w:t>) 2.17</w:t>
            </w:r>
          </w:p>
        </w:tc>
        <w:tc>
          <w:tcPr>
            <w:tcW w:w="796"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(RR) 2.40</w:t>
            </w:r>
          </w:p>
        </w:tc>
        <w:tc>
          <w:tcPr>
            <w:tcW w:w="796"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 likelihood 15%</w:t>
            </w:r>
          </w:p>
        </w:tc>
        <w:tc>
          <w:tcPr>
            <w:tcW w:w="792"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 likelihood 10%</w:t>
            </w:r>
          </w:p>
        </w:tc>
      </w:tr>
      <w:tr w:rsidR="00B31477" w:rsidRPr="00A03AE6" w:rsidTr="00104010">
        <w:trPr>
          <w:cantSplit/>
        </w:trPr>
        <w:tc>
          <w:tcPr>
            <w:tcW w:w="1525" w:type="pct"/>
            <w:vAlign w:val="center"/>
          </w:tcPr>
          <w:p w:rsidR="00B31477" w:rsidRPr="00A03AE6" w:rsidRDefault="00B31477" w:rsidP="00B31477">
            <w:pPr>
              <w:rPr>
                <w:rFonts w:ascii="Arial" w:hAnsi="Arial" w:cs="Arial"/>
                <w:color w:val="000000"/>
                <w:sz w:val="20"/>
                <w:szCs w:val="20"/>
              </w:rPr>
            </w:pPr>
            <w:r w:rsidRPr="00A03AE6">
              <w:rPr>
                <w:rFonts w:ascii="Arial" w:hAnsi="Arial" w:cs="Arial"/>
                <w:sz w:val="20"/>
                <w:szCs w:val="20"/>
              </w:rPr>
              <w:t>Incidence with lead</w:t>
            </w:r>
          </w:p>
        </w:tc>
        <w:tc>
          <w:tcPr>
            <w:tcW w:w="297"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(3)</w:t>
            </w:r>
          </w:p>
        </w:tc>
        <w:tc>
          <w:tcPr>
            <w:tcW w:w="795"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24.5</w:t>
            </w:r>
          </w:p>
        </w:tc>
        <w:tc>
          <w:tcPr>
            <w:tcW w:w="796"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22.8</w:t>
            </w:r>
          </w:p>
        </w:tc>
        <w:tc>
          <w:tcPr>
            <w:tcW w:w="796"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241</w:t>
            </w:r>
          </w:p>
        </w:tc>
        <w:tc>
          <w:tcPr>
            <w:tcW w:w="792"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660</w:t>
            </w:r>
          </w:p>
        </w:tc>
      </w:tr>
      <w:tr w:rsidR="00B31477" w:rsidRPr="00A03AE6" w:rsidTr="00104010">
        <w:trPr>
          <w:cantSplit/>
        </w:trPr>
        <w:tc>
          <w:tcPr>
            <w:tcW w:w="1525" w:type="pct"/>
            <w:vAlign w:val="center"/>
          </w:tcPr>
          <w:p w:rsidR="00B31477" w:rsidRPr="00A03AE6" w:rsidRDefault="00B31477" w:rsidP="00B31477">
            <w:pPr>
              <w:rPr>
                <w:rFonts w:ascii="Arial" w:hAnsi="Arial" w:cs="Arial"/>
                <w:color w:val="000000"/>
                <w:sz w:val="20"/>
                <w:szCs w:val="20"/>
              </w:rPr>
            </w:pPr>
            <w:r w:rsidRPr="00A03AE6">
              <w:rPr>
                <w:rFonts w:ascii="Arial" w:hAnsi="Arial" w:cs="Arial"/>
                <w:color w:val="000000"/>
                <w:sz w:val="20"/>
                <w:szCs w:val="20"/>
              </w:rPr>
              <w:t>Population impacted</w:t>
            </w:r>
          </w:p>
        </w:tc>
        <w:tc>
          <w:tcPr>
            <w:tcW w:w="297"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(4)</w:t>
            </w:r>
          </w:p>
        </w:tc>
        <w:tc>
          <w:tcPr>
            <w:tcW w:w="795" w:type="pct"/>
            <w:vAlign w:val="center"/>
          </w:tcPr>
          <w:p w:rsidR="00B31477" w:rsidRPr="000C53B6" w:rsidRDefault="00B31477" w:rsidP="00B31477">
            <w:pPr>
              <w:jc w:val="center"/>
              <w:rPr>
                <w:rFonts w:ascii="Arial" w:hAnsi="Arial" w:cs="Arial"/>
                <w:color w:val="000000"/>
                <w:sz w:val="20"/>
                <w:szCs w:val="20"/>
              </w:rPr>
            </w:pPr>
            <w:r w:rsidRPr="000C53B6">
              <w:rPr>
                <w:rFonts w:ascii="Arial" w:hAnsi="Arial" w:cs="Arial"/>
                <w:color w:val="000000"/>
                <w:sz w:val="20"/>
                <w:szCs w:val="20"/>
              </w:rPr>
              <w:t>9,893</w:t>
            </w:r>
          </w:p>
        </w:tc>
        <w:tc>
          <w:tcPr>
            <w:tcW w:w="796" w:type="pct"/>
            <w:vAlign w:val="center"/>
          </w:tcPr>
          <w:p w:rsidR="00B31477" w:rsidRPr="000C53B6" w:rsidRDefault="00B31477" w:rsidP="00B31477">
            <w:pPr>
              <w:jc w:val="center"/>
              <w:rPr>
                <w:rFonts w:ascii="Arial" w:hAnsi="Arial" w:cs="Arial"/>
                <w:color w:val="000000"/>
                <w:sz w:val="20"/>
                <w:szCs w:val="20"/>
              </w:rPr>
            </w:pPr>
            <w:r w:rsidRPr="000C53B6">
              <w:rPr>
                <w:rFonts w:ascii="Arial" w:hAnsi="Arial" w:cs="Arial"/>
                <w:color w:val="000000"/>
                <w:sz w:val="20"/>
                <w:szCs w:val="20"/>
              </w:rPr>
              <w:t>9,893</w:t>
            </w:r>
          </w:p>
        </w:tc>
        <w:tc>
          <w:tcPr>
            <w:tcW w:w="796" w:type="pct"/>
            <w:vAlign w:val="center"/>
          </w:tcPr>
          <w:p w:rsidR="00B31477" w:rsidRPr="000C53B6" w:rsidRDefault="00B31477" w:rsidP="00B31477">
            <w:pPr>
              <w:jc w:val="center"/>
              <w:rPr>
                <w:rFonts w:ascii="Arial" w:hAnsi="Arial" w:cs="Arial"/>
                <w:color w:val="000000"/>
                <w:sz w:val="20"/>
                <w:szCs w:val="20"/>
              </w:rPr>
            </w:pPr>
            <w:r w:rsidRPr="000C53B6">
              <w:rPr>
                <w:rFonts w:ascii="Arial" w:hAnsi="Arial" w:cs="Arial"/>
                <w:color w:val="000000"/>
                <w:sz w:val="20"/>
                <w:szCs w:val="20"/>
              </w:rPr>
              <w:t>9,893</w:t>
            </w:r>
          </w:p>
        </w:tc>
        <w:tc>
          <w:tcPr>
            <w:tcW w:w="792" w:type="pct"/>
            <w:vAlign w:val="center"/>
          </w:tcPr>
          <w:p w:rsidR="00B31477" w:rsidRPr="000C53B6" w:rsidRDefault="00B31477" w:rsidP="00B31477">
            <w:pPr>
              <w:jc w:val="center"/>
              <w:rPr>
                <w:rFonts w:ascii="Arial" w:hAnsi="Arial" w:cs="Arial"/>
                <w:color w:val="000000"/>
                <w:sz w:val="20"/>
                <w:szCs w:val="20"/>
              </w:rPr>
            </w:pPr>
            <w:r w:rsidRPr="000C53B6">
              <w:rPr>
                <w:rFonts w:ascii="Arial" w:hAnsi="Arial" w:cs="Arial"/>
                <w:color w:val="000000"/>
                <w:sz w:val="20"/>
                <w:szCs w:val="20"/>
              </w:rPr>
              <w:t>9,893</w:t>
            </w:r>
          </w:p>
        </w:tc>
      </w:tr>
      <w:tr w:rsidR="00B31477" w:rsidRPr="00A03AE6" w:rsidTr="00104010">
        <w:trPr>
          <w:cantSplit/>
        </w:trPr>
        <w:tc>
          <w:tcPr>
            <w:tcW w:w="1525" w:type="pct"/>
            <w:vAlign w:val="center"/>
          </w:tcPr>
          <w:p w:rsidR="00B31477" w:rsidRPr="00A03AE6" w:rsidRDefault="00B31477" w:rsidP="00B31477">
            <w:pPr>
              <w:rPr>
                <w:rFonts w:ascii="Arial" w:hAnsi="Arial" w:cs="Arial"/>
                <w:color w:val="000000"/>
                <w:sz w:val="20"/>
                <w:szCs w:val="20"/>
              </w:rPr>
            </w:pPr>
            <w:r w:rsidRPr="00A03AE6">
              <w:rPr>
                <w:rFonts w:ascii="Arial" w:hAnsi="Arial" w:cs="Arial"/>
                <w:color w:val="000000"/>
                <w:sz w:val="20"/>
                <w:szCs w:val="20"/>
              </w:rPr>
              <w:t>Avoidable cases per annum</w:t>
            </w:r>
          </w:p>
        </w:tc>
        <w:tc>
          <w:tcPr>
            <w:tcW w:w="297"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(5)</w:t>
            </w:r>
          </w:p>
        </w:tc>
        <w:tc>
          <w:tcPr>
            <w:tcW w:w="795" w:type="pct"/>
            <w:vAlign w:val="center"/>
          </w:tcPr>
          <w:p w:rsidR="00B31477" w:rsidRPr="00A03AE6" w:rsidRDefault="00B31477" w:rsidP="00B31477">
            <w:pPr>
              <w:jc w:val="center"/>
              <w:rPr>
                <w:rFonts w:ascii="Arial" w:hAnsi="Arial" w:cs="Arial"/>
                <w:color w:val="000000"/>
                <w:sz w:val="20"/>
                <w:szCs w:val="20"/>
              </w:rPr>
            </w:pPr>
            <w:r w:rsidRPr="000C53B6">
              <w:rPr>
                <w:rFonts w:ascii="Arial" w:hAnsi="Arial" w:cs="Arial"/>
                <w:color w:val="000000"/>
                <w:sz w:val="20"/>
                <w:szCs w:val="20"/>
              </w:rPr>
              <w:t>1.31</w:t>
            </w:r>
          </w:p>
        </w:tc>
        <w:tc>
          <w:tcPr>
            <w:tcW w:w="796" w:type="pct"/>
            <w:vAlign w:val="center"/>
          </w:tcPr>
          <w:p w:rsidR="00B31477" w:rsidRPr="00A03AE6" w:rsidRDefault="00B31477" w:rsidP="00B31477">
            <w:pPr>
              <w:jc w:val="center"/>
              <w:rPr>
                <w:rFonts w:ascii="Arial" w:hAnsi="Arial" w:cs="Arial"/>
                <w:color w:val="000000"/>
                <w:sz w:val="20"/>
                <w:szCs w:val="20"/>
              </w:rPr>
            </w:pPr>
            <w:r w:rsidRPr="000C53B6">
              <w:rPr>
                <w:rFonts w:ascii="Arial" w:hAnsi="Arial" w:cs="Arial"/>
                <w:color w:val="000000"/>
                <w:sz w:val="20"/>
                <w:szCs w:val="20"/>
              </w:rPr>
              <w:t>1.32</w:t>
            </w:r>
          </w:p>
        </w:tc>
        <w:tc>
          <w:tcPr>
            <w:tcW w:w="796" w:type="pct"/>
            <w:vAlign w:val="center"/>
          </w:tcPr>
          <w:p w:rsidR="00B31477" w:rsidRPr="00A03AE6" w:rsidRDefault="00B31477" w:rsidP="00B31477">
            <w:pPr>
              <w:jc w:val="center"/>
              <w:rPr>
                <w:rFonts w:ascii="Arial" w:hAnsi="Arial" w:cs="Arial"/>
                <w:color w:val="000000"/>
                <w:sz w:val="20"/>
                <w:szCs w:val="20"/>
              </w:rPr>
            </w:pPr>
            <w:r w:rsidRPr="000C53B6">
              <w:rPr>
                <w:rFonts w:ascii="Arial" w:hAnsi="Arial" w:cs="Arial"/>
                <w:color w:val="000000"/>
                <w:sz w:val="20"/>
                <w:szCs w:val="20"/>
              </w:rPr>
              <w:t>3.12</w:t>
            </w:r>
          </w:p>
        </w:tc>
        <w:tc>
          <w:tcPr>
            <w:tcW w:w="792" w:type="pct"/>
            <w:vAlign w:val="center"/>
          </w:tcPr>
          <w:p w:rsidR="00B31477" w:rsidRPr="00A03AE6" w:rsidRDefault="00B31477" w:rsidP="00B31477">
            <w:pPr>
              <w:jc w:val="center"/>
              <w:rPr>
                <w:rFonts w:ascii="Arial" w:hAnsi="Arial" w:cs="Arial"/>
                <w:color w:val="000000"/>
                <w:sz w:val="20"/>
                <w:szCs w:val="20"/>
              </w:rPr>
            </w:pPr>
            <w:r w:rsidRPr="000C53B6">
              <w:rPr>
                <w:rFonts w:ascii="Arial" w:hAnsi="Arial" w:cs="Arial"/>
                <w:color w:val="000000"/>
                <w:sz w:val="20"/>
                <w:szCs w:val="20"/>
              </w:rPr>
              <w:t>5.94</w:t>
            </w:r>
          </w:p>
        </w:tc>
      </w:tr>
      <w:tr w:rsidR="00104010" w:rsidRPr="00A03AE6" w:rsidTr="00104010">
        <w:trPr>
          <w:cantSplit/>
        </w:trPr>
        <w:tc>
          <w:tcPr>
            <w:tcW w:w="5000" w:type="pct"/>
            <w:gridSpan w:val="6"/>
            <w:shd w:val="clear" w:color="auto" w:fill="D9D9D9" w:themeFill="background1" w:themeFillShade="D9"/>
            <w:vAlign w:val="center"/>
          </w:tcPr>
          <w:p w:rsidR="00104010" w:rsidRPr="00104010" w:rsidRDefault="00104010" w:rsidP="00104010">
            <w:pPr>
              <w:rPr>
                <w:rFonts w:ascii="Arial" w:hAnsi="Arial" w:cs="Arial"/>
                <w:b/>
                <w:sz w:val="20"/>
                <w:szCs w:val="20"/>
              </w:rPr>
            </w:pPr>
            <w:r w:rsidRPr="00104010">
              <w:rPr>
                <w:rFonts w:ascii="Arial" w:hAnsi="Arial" w:cs="Arial"/>
                <w:b/>
                <w:sz w:val="20"/>
                <w:szCs w:val="20"/>
              </w:rPr>
              <w:t>Cost information</w:t>
            </w:r>
          </w:p>
        </w:tc>
      </w:tr>
      <w:tr w:rsidR="00B31477" w:rsidRPr="00A03AE6" w:rsidTr="00104010">
        <w:trPr>
          <w:cantSplit/>
        </w:trPr>
        <w:tc>
          <w:tcPr>
            <w:tcW w:w="1525" w:type="pct"/>
            <w:vAlign w:val="center"/>
          </w:tcPr>
          <w:p w:rsidR="00B31477" w:rsidRPr="00A03AE6" w:rsidRDefault="00B31477" w:rsidP="00B31477">
            <w:pPr>
              <w:rPr>
                <w:rFonts w:ascii="Arial" w:hAnsi="Arial" w:cs="Arial"/>
                <w:color w:val="000000"/>
                <w:sz w:val="20"/>
                <w:szCs w:val="20"/>
              </w:rPr>
            </w:pPr>
            <w:r w:rsidRPr="00A03AE6">
              <w:rPr>
                <w:rFonts w:ascii="Arial" w:hAnsi="Arial" w:cs="Arial"/>
                <w:sz w:val="20"/>
                <w:szCs w:val="20"/>
              </w:rPr>
              <w:t>Financial costs per case</w:t>
            </w:r>
          </w:p>
        </w:tc>
        <w:tc>
          <w:tcPr>
            <w:tcW w:w="297"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(6)</w:t>
            </w:r>
          </w:p>
        </w:tc>
        <w:tc>
          <w:tcPr>
            <w:tcW w:w="795"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$114,500 </w:t>
            </w:r>
          </w:p>
        </w:tc>
        <w:tc>
          <w:tcPr>
            <w:tcW w:w="796"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$114,500 </w:t>
            </w:r>
          </w:p>
        </w:tc>
        <w:tc>
          <w:tcPr>
            <w:tcW w:w="796" w:type="pct"/>
          </w:tcPr>
          <w:p w:rsidR="00B31477" w:rsidRPr="00A03AE6" w:rsidRDefault="00B31477" w:rsidP="00B31477">
            <w:pPr>
              <w:jc w:val="center"/>
              <w:rPr>
                <w:rFonts w:ascii="Arial" w:hAnsi="Arial" w:cs="Arial"/>
                <w:color w:val="000000"/>
                <w:sz w:val="20"/>
                <w:szCs w:val="20"/>
              </w:rPr>
            </w:pPr>
            <w:r>
              <w:rPr>
                <w:rFonts w:ascii="Arial" w:hAnsi="Arial" w:cs="Arial"/>
                <w:color w:val="000000"/>
                <w:sz w:val="20"/>
                <w:szCs w:val="20"/>
              </w:rPr>
              <w:t>N/A</w:t>
            </w:r>
            <w:r w:rsidRPr="00B86968">
              <w:rPr>
                <w:rFonts w:ascii="Arial" w:hAnsi="Arial" w:cs="Arial"/>
                <w:color w:val="000000"/>
                <w:sz w:val="20"/>
                <w:szCs w:val="20"/>
              </w:rPr>
              <w:t xml:space="preserve"> </w:t>
            </w:r>
          </w:p>
        </w:tc>
        <w:tc>
          <w:tcPr>
            <w:tcW w:w="792"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$22,000 </w:t>
            </w:r>
          </w:p>
        </w:tc>
      </w:tr>
      <w:tr w:rsidR="00B31477" w:rsidRPr="00A03AE6" w:rsidTr="00104010">
        <w:trPr>
          <w:cantSplit/>
        </w:trPr>
        <w:tc>
          <w:tcPr>
            <w:tcW w:w="1525" w:type="pct"/>
            <w:vAlign w:val="center"/>
          </w:tcPr>
          <w:p w:rsidR="00B31477" w:rsidRPr="00A03AE6" w:rsidRDefault="00B31477" w:rsidP="00B31477">
            <w:pPr>
              <w:rPr>
                <w:rFonts w:ascii="Arial" w:hAnsi="Arial" w:cs="Arial"/>
                <w:i/>
                <w:color w:val="000000"/>
                <w:sz w:val="20"/>
                <w:szCs w:val="20"/>
              </w:rPr>
            </w:pPr>
            <w:r w:rsidRPr="00A03AE6">
              <w:rPr>
                <w:rFonts w:ascii="Arial" w:hAnsi="Arial" w:cs="Arial"/>
                <w:sz w:val="20"/>
                <w:szCs w:val="20"/>
              </w:rPr>
              <w:t>Non-financial costs</w:t>
            </w:r>
          </w:p>
        </w:tc>
        <w:tc>
          <w:tcPr>
            <w:tcW w:w="297"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(7)</w:t>
            </w:r>
          </w:p>
        </w:tc>
        <w:tc>
          <w:tcPr>
            <w:tcW w:w="795"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$851,600 </w:t>
            </w:r>
          </w:p>
        </w:tc>
        <w:tc>
          <w:tcPr>
            <w:tcW w:w="796"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$851,600 </w:t>
            </w:r>
          </w:p>
        </w:tc>
        <w:tc>
          <w:tcPr>
            <w:tcW w:w="796" w:type="pct"/>
          </w:tcPr>
          <w:p w:rsidR="00B31477" w:rsidRPr="00A03AE6" w:rsidRDefault="00B31477" w:rsidP="00B31477">
            <w:pPr>
              <w:jc w:val="center"/>
              <w:rPr>
                <w:rFonts w:ascii="Arial" w:hAnsi="Arial" w:cs="Arial"/>
                <w:color w:val="000000"/>
                <w:sz w:val="20"/>
                <w:szCs w:val="20"/>
              </w:rPr>
            </w:pPr>
            <w:r>
              <w:rPr>
                <w:rFonts w:ascii="Arial" w:hAnsi="Arial" w:cs="Arial"/>
                <w:color w:val="000000"/>
                <w:sz w:val="20"/>
                <w:szCs w:val="20"/>
              </w:rPr>
              <w:t>N/A</w:t>
            </w:r>
            <w:r w:rsidRPr="00B86968">
              <w:rPr>
                <w:rFonts w:ascii="Arial" w:hAnsi="Arial" w:cs="Arial"/>
                <w:color w:val="000000"/>
                <w:sz w:val="20"/>
                <w:szCs w:val="20"/>
              </w:rPr>
              <w:t xml:space="preserve"> </w:t>
            </w:r>
          </w:p>
        </w:tc>
        <w:tc>
          <w:tcPr>
            <w:tcW w:w="792"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$182,000 </w:t>
            </w:r>
          </w:p>
        </w:tc>
      </w:tr>
      <w:tr w:rsidR="00B31477" w:rsidRPr="00A03AE6" w:rsidTr="00104010">
        <w:trPr>
          <w:cantSplit/>
        </w:trPr>
        <w:tc>
          <w:tcPr>
            <w:tcW w:w="1525" w:type="pct"/>
            <w:vAlign w:val="center"/>
          </w:tcPr>
          <w:p w:rsidR="00B31477" w:rsidRPr="00A03AE6" w:rsidRDefault="00B31477" w:rsidP="00B31477">
            <w:pPr>
              <w:rPr>
                <w:rFonts w:ascii="Arial" w:hAnsi="Arial" w:cs="Arial"/>
                <w:color w:val="000000"/>
                <w:sz w:val="20"/>
                <w:szCs w:val="20"/>
              </w:rPr>
            </w:pPr>
            <w:r w:rsidRPr="00A03AE6">
              <w:rPr>
                <w:rFonts w:ascii="Arial" w:hAnsi="Arial" w:cs="Arial"/>
                <w:sz w:val="20"/>
                <w:szCs w:val="20"/>
              </w:rPr>
              <w:t>Total costs per case</w:t>
            </w:r>
          </w:p>
        </w:tc>
        <w:tc>
          <w:tcPr>
            <w:tcW w:w="297" w:type="pct"/>
            <w:vAlign w:val="center"/>
          </w:tcPr>
          <w:p w:rsidR="00B31477" w:rsidRPr="00A03AE6" w:rsidRDefault="00B31477" w:rsidP="00B31477">
            <w:pPr>
              <w:jc w:val="center"/>
              <w:rPr>
                <w:rFonts w:ascii="Arial" w:hAnsi="Arial" w:cs="Arial"/>
                <w:color w:val="000000"/>
                <w:sz w:val="20"/>
                <w:szCs w:val="20"/>
              </w:rPr>
            </w:pPr>
            <w:r w:rsidRPr="00A03AE6">
              <w:rPr>
                <w:rFonts w:ascii="Arial" w:hAnsi="Arial" w:cs="Arial"/>
                <w:color w:val="000000"/>
                <w:sz w:val="20"/>
                <w:szCs w:val="20"/>
              </w:rPr>
              <w:t>(8)</w:t>
            </w:r>
          </w:p>
        </w:tc>
        <w:tc>
          <w:tcPr>
            <w:tcW w:w="795"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$966,100 </w:t>
            </w:r>
          </w:p>
        </w:tc>
        <w:tc>
          <w:tcPr>
            <w:tcW w:w="796"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$966,100 </w:t>
            </w:r>
          </w:p>
        </w:tc>
        <w:tc>
          <w:tcPr>
            <w:tcW w:w="796"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$129,199 </w:t>
            </w:r>
          </w:p>
        </w:tc>
        <w:tc>
          <w:tcPr>
            <w:tcW w:w="792" w:type="pct"/>
          </w:tcPr>
          <w:p w:rsidR="00B31477" w:rsidRPr="00A03AE6" w:rsidRDefault="00B31477" w:rsidP="00B31477">
            <w:pPr>
              <w:jc w:val="center"/>
              <w:rPr>
                <w:rFonts w:ascii="Arial" w:hAnsi="Arial" w:cs="Arial"/>
                <w:color w:val="000000"/>
                <w:sz w:val="20"/>
                <w:szCs w:val="20"/>
              </w:rPr>
            </w:pPr>
            <w:r w:rsidRPr="00B86968">
              <w:rPr>
                <w:rFonts w:ascii="Arial" w:hAnsi="Arial" w:cs="Arial"/>
                <w:color w:val="000000"/>
                <w:sz w:val="20"/>
                <w:szCs w:val="20"/>
              </w:rPr>
              <w:t xml:space="preserve"> $204,000 </w:t>
            </w:r>
          </w:p>
        </w:tc>
      </w:tr>
      <w:tr w:rsidR="00104010" w:rsidRPr="00A03AE6" w:rsidTr="00104010">
        <w:trPr>
          <w:cantSplit/>
        </w:trPr>
        <w:tc>
          <w:tcPr>
            <w:tcW w:w="5000" w:type="pct"/>
            <w:gridSpan w:val="6"/>
            <w:shd w:val="clear" w:color="auto" w:fill="D9D9D9" w:themeFill="background1" w:themeFillShade="D9"/>
            <w:vAlign w:val="center"/>
          </w:tcPr>
          <w:p w:rsidR="00104010" w:rsidRPr="00104010" w:rsidRDefault="00104010" w:rsidP="00104010">
            <w:pPr>
              <w:rPr>
                <w:rFonts w:ascii="Arial" w:hAnsi="Arial" w:cs="Arial"/>
                <w:b/>
                <w:sz w:val="20"/>
                <w:szCs w:val="20"/>
              </w:rPr>
            </w:pPr>
            <w:r w:rsidRPr="00104010">
              <w:rPr>
                <w:rFonts w:ascii="Arial" w:hAnsi="Arial" w:cs="Arial"/>
                <w:b/>
                <w:sz w:val="20"/>
                <w:szCs w:val="20"/>
              </w:rPr>
              <w:t>Adjustment of costs for inflation</w:t>
            </w:r>
          </w:p>
        </w:tc>
      </w:tr>
      <w:tr w:rsidR="00104010" w:rsidRPr="00A03AE6" w:rsidTr="00104010">
        <w:trPr>
          <w:cantSplit/>
        </w:trPr>
        <w:tc>
          <w:tcPr>
            <w:tcW w:w="1525" w:type="pct"/>
            <w:vAlign w:val="center"/>
          </w:tcPr>
          <w:p w:rsidR="00104010" w:rsidRPr="00A03AE6" w:rsidRDefault="00104010" w:rsidP="008D5BD5">
            <w:pPr>
              <w:rPr>
                <w:rFonts w:ascii="Arial" w:hAnsi="Arial" w:cs="Arial"/>
                <w:sz w:val="20"/>
                <w:szCs w:val="20"/>
              </w:rPr>
            </w:pPr>
            <w:r>
              <w:rPr>
                <w:rFonts w:ascii="Arial" w:hAnsi="Arial" w:cs="Arial"/>
                <w:sz w:val="20"/>
                <w:szCs w:val="20"/>
              </w:rPr>
              <w:t>Year of cost estimation</w:t>
            </w:r>
          </w:p>
        </w:tc>
        <w:tc>
          <w:tcPr>
            <w:tcW w:w="297" w:type="pct"/>
            <w:vAlign w:val="center"/>
          </w:tcPr>
          <w:p w:rsidR="00104010" w:rsidRPr="00A03AE6" w:rsidRDefault="00104010" w:rsidP="008D5BD5">
            <w:pPr>
              <w:jc w:val="center"/>
              <w:rPr>
                <w:rFonts w:ascii="Arial" w:hAnsi="Arial" w:cs="Arial"/>
                <w:color w:val="000000"/>
                <w:sz w:val="20"/>
                <w:szCs w:val="20"/>
              </w:rPr>
            </w:pPr>
          </w:p>
        </w:tc>
        <w:tc>
          <w:tcPr>
            <w:tcW w:w="795" w:type="pct"/>
          </w:tcPr>
          <w:p w:rsidR="00104010" w:rsidRPr="00A03AE6" w:rsidRDefault="00104010" w:rsidP="008D5BD5">
            <w:pPr>
              <w:jc w:val="center"/>
              <w:rPr>
                <w:rFonts w:ascii="Arial" w:hAnsi="Arial" w:cs="Arial"/>
                <w:color w:val="000000"/>
                <w:sz w:val="20"/>
                <w:szCs w:val="20"/>
              </w:rPr>
            </w:pPr>
            <w:r w:rsidRPr="00B86968">
              <w:rPr>
                <w:rFonts w:ascii="Arial" w:hAnsi="Arial" w:cs="Arial"/>
                <w:color w:val="000000"/>
                <w:sz w:val="20"/>
                <w:szCs w:val="20"/>
              </w:rPr>
              <w:t xml:space="preserve"> 2006 </w:t>
            </w:r>
          </w:p>
        </w:tc>
        <w:tc>
          <w:tcPr>
            <w:tcW w:w="796" w:type="pct"/>
          </w:tcPr>
          <w:p w:rsidR="00104010" w:rsidRPr="00A03AE6" w:rsidRDefault="00104010" w:rsidP="008D5BD5">
            <w:pPr>
              <w:jc w:val="center"/>
              <w:rPr>
                <w:rFonts w:ascii="Arial" w:hAnsi="Arial" w:cs="Arial"/>
                <w:color w:val="000000"/>
                <w:sz w:val="20"/>
                <w:szCs w:val="20"/>
              </w:rPr>
            </w:pPr>
            <w:r w:rsidRPr="00B86968">
              <w:rPr>
                <w:rFonts w:ascii="Arial" w:hAnsi="Arial" w:cs="Arial"/>
                <w:color w:val="000000"/>
                <w:sz w:val="20"/>
                <w:szCs w:val="20"/>
              </w:rPr>
              <w:t xml:space="preserve"> 2006 </w:t>
            </w:r>
          </w:p>
        </w:tc>
        <w:tc>
          <w:tcPr>
            <w:tcW w:w="796" w:type="pct"/>
          </w:tcPr>
          <w:p w:rsidR="00104010" w:rsidRPr="00A03AE6" w:rsidRDefault="00104010" w:rsidP="008D5BD5">
            <w:pPr>
              <w:jc w:val="center"/>
              <w:rPr>
                <w:rFonts w:ascii="Arial" w:hAnsi="Arial" w:cs="Arial"/>
                <w:color w:val="000000"/>
                <w:sz w:val="20"/>
                <w:szCs w:val="20"/>
              </w:rPr>
            </w:pPr>
            <w:r w:rsidRPr="00B86968">
              <w:rPr>
                <w:rFonts w:ascii="Arial" w:hAnsi="Arial" w:cs="Arial"/>
                <w:color w:val="000000"/>
                <w:sz w:val="20"/>
                <w:szCs w:val="20"/>
              </w:rPr>
              <w:t xml:space="preserve"> 2012 </w:t>
            </w:r>
          </w:p>
        </w:tc>
        <w:tc>
          <w:tcPr>
            <w:tcW w:w="792" w:type="pct"/>
          </w:tcPr>
          <w:p w:rsidR="00104010" w:rsidRPr="00A03AE6" w:rsidRDefault="00104010" w:rsidP="008D5BD5">
            <w:pPr>
              <w:jc w:val="center"/>
              <w:rPr>
                <w:rFonts w:ascii="Arial" w:hAnsi="Arial" w:cs="Arial"/>
                <w:color w:val="000000"/>
                <w:sz w:val="20"/>
                <w:szCs w:val="20"/>
              </w:rPr>
            </w:pPr>
            <w:r w:rsidRPr="00B86968">
              <w:rPr>
                <w:rFonts w:ascii="Arial" w:hAnsi="Arial" w:cs="Arial"/>
                <w:color w:val="000000"/>
                <w:sz w:val="20"/>
                <w:szCs w:val="20"/>
              </w:rPr>
              <w:t xml:space="preserve"> 2009 </w:t>
            </w:r>
          </w:p>
        </w:tc>
      </w:tr>
      <w:tr w:rsidR="00104010" w:rsidRPr="00A03AE6" w:rsidTr="00104010">
        <w:trPr>
          <w:cantSplit/>
        </w:trPr>
        <w:tc>
          <w:tcPr>
            <w:tcW w:w="1525" w:type="pct"/>
            <w:vAlign w:val="center"/>
          </w:tcPr>
          <w:p w:rsidR="00104010" w:rsidRPr="00A03AE6" w:rsidRDefault="00104010" w:rsidP="008D5BD5">
            <w:pPr>
              <w:rPr>
                <w:rFonts w:ascii="Arial" w:hAnsi="Arial" w:cs="Arial"/>
                <w:sz w:val="20"/>
                <w:szCs w:val="20"/>
              </w:rPr>
            </w:pPr>
            <w:r>
              <w:rPr>
                <w:rFonts w:ascii="Arial" w:hAnsi="Arial" w:cs="Arial"/>
                <w:sz w:val="20"/>
                <w:szCs w:val="20"/>
              </w:rPr>
              <w:t>CPI at time of estimation</w:t>
            </w:r>
          </w:p>
        </w:tc>
        <w:tc>
          <w:tcPr>
            <w:tcW w:w="297" w:type="pct"/>
            <w:vAlign w:val="center"/>
          </w:tcPr>
          <w:p w:rsidR="00104010" w:rsidRPr="00A03AE6" w:rsidRDefault="00104010" w:rsidP="008D5BD5">
            <w:pPr>
              <w:jc w:val="center"/>
              <w:rPr>
                <w:rFonts w:ascii="Arial" w:hAnsi="Arial" w:cs="Arial"/>
                <w:color w:val="000000"/>
                <w:sz w:val="20"/>
                <w:szCs w:val="20"/>
              </w:rPr>
            </w:pPr>
            <w:r>
              <w:rPr>
                <w:rFonts w:ascii="Arial" w:hAnsi="Arial" w:cs="Arial"/>
                <w:color w:val="000000"/>
                <w:sz w:val="20"/>
                <w:szCs w:val="20"/>
              </w:rPr>
              <w:t>(9)</w:t>
            </w:r>
            <w:r w:rsidDel="00A619DF">
              <w:rPr>
                <w:rFonts w:ascii="Arial" w:hAnsi="Arial" w:cs="Arial"/>
                <w:color w:val="000000"/>
                <w:sz w:val="20"/>
                <w:szCs w:val="20"/>
              </w:rPr>
              <w:t xml:space="preserve"> </w:t>
            </w:r>
          </w:p>
        </w:tc>
        <w:tc>
          <w:tcPr>
            <w:tcW w:w="795" w:type="pct"/>
          </w:tcPr>
          <w:p w:rsidR="00104010" w:rsidRPr="00A03AE6" w:rsidRDefault="00104010" w:rsidP="008D5BD5">
            <w:pPr>
              <w:jc w:val="center"/>
              <w:rPr>
                <w:rFonts w:ascii="Arial" w:hAnsi="Arial" w:cs="Arial"/>
                <w:color w:val="000000"/>
                <w:sz w:val="20"/>
                <w:szCs w:val="20"/>
              </w:rPr>
            </w:pPr>
            <w:r>
              <w:rPr>
                <w:rFonts w:ascii="Arial" w:hAnsi="Arial" w:cs="Arial"/>
                <w:color w:val="000000"/>
                <w:sz w:val="20"/>
                <w:szCs w:val="20"/>
              </w:rPr>
              <w:t>85.9</w:t>
            </w:r>
          </w:p>
        </w:tc>
        <w:tc>
          <w:tcPr>
            <w:tcW w:w="796" w:type="pct"/>
          </w:tcPr>
          <w:p w:rsidR="00104010" w:rsidRPr="00A03AE6" w:rsidRDefault="00104010" w:rsidP="008D5BD5">
            <w:pPr>
              <w:jc w:val="center"/>
              <w:rPr>
                <w:rFonts w:ascii="Arial" w:hAnsi="Arial" w:cs="Arial"/>
                <w:color w:val="000000"/>
                <w:sz w:val="20"/>
                <w:szCs w:val="20"/>
              </w:rPr>
            </w:pPr>
            <w:r>
              <w:rPr>
                <w:rFonts w:ascii="Arial" w:hAnsi="Arial" w:cs="Arial"/>
                <w:color w:val="000000"/>
                <w:sz w:val="20"/>
                <w:szCs w:val="20"/>
              </w:rPr>
              <w:t>85.9</w:t>
            </w:r>
          </w:p>
        </w:tc>
        <w:tc>
          <w:tcPr>
            <w:tcW w:w="796" w:type="pct"/>
          </w:tcPr>
          <w:p w:rsidR="00104010" w:rsidRPr="00A03AE6" w:rsidRDefault="00104010" w:rsidP="008D5BD5">
            <w:pPr>
              <w:jc w:val="center"/>
              <w:rPr>
                <w:rFonts w:ascii="Arial" w:hAnsi="Arial" w:cs="Arial"/>
                <w:color w:val="000000"/>
                <w:sz w:val="20"/>
                <w:szCs w:val="20"/>
              </w:rPr>
            </w:pPr>
            <w:r>
              <w:rPr>
                <w:rFonts w:ascii="Arial" w:hAnsi="Arial" w:cs="Arial"/>
                <w:color w:val="000000"/>
                <w:sz w:val="20"/>
                <w:szCs w:val="20"/>
              </w:rPr>
              <w:t>101.8</w:t>
            </w:r>
          </w:p>
        </w:tc>
        <w:tc>
          <w:tcPr>
            <w:tcW w:w="792" w:type="pct"/>
          </w:tcPr>
          <w:p w:rsidR="00104010" w:rsidRPr="00A03AE6" w:rsidRDefault="00104010" w:rsidP="008D5BD5">
            <w:pPr>
              <w:jc w:val="center"/>
              <w:rPr>
                <w:rFonts w:ascii="Arial" w:hAnsi="Arial" w:cs="Arial"/>
                <w:color w:val="000000"/>
                <w:sz w:val="20"/>
                <w:szCs w:val="20"/>
              </w:rPr>
            </w:pPr>
            <w:r>
              <w:rPr>
                <w:rFonts w:ascii="Arial" w:hAnsi="Arial" w:cs="Arial"/>
                <w:color w:val="000000"/>
                <w:sz w:val="20"/>
                <w:szCs w:val="20"/>
              </w:rPr>
              <w:t>92.9</w:t>
            </w:r>
          </w:p>
        </w:tc>
      </w:tr>
      <w:tr w:rsidR="00104010" w:rsidRPr="00A03AE6" w:rsidTr="00104010">
        <w:trPr>
          <w:cantSplit/>
        </w:trPr>
        <w:tc>
          <w:tcPr>
            <w:tcW w:w="1525" w:type="pct"/>
            <w:vAlign w:val="center"/>
          </w:tcPr>
          <w:p w:rsidR="00104010" w:rsidRDefault="00104010" w:rsidP="008D5BD5">
            <w:pPr>
              <w:rPr>
                <w:rFonts w:ascii="Arial" w:hAnsi="Arial" w:cs="Arial"/>
                <w:sz w:val="20"/>
                <w:szCs w:val="20"/>
              </w:rPr>
            </w:pPr>
            <w:r>
              <w:rPr>
                <w:rFonts w:ascii="Arial" w:hAnsi="Arial" w:cs="Arial"/>
                <w:sz w:val="20"/>
                <w:szCs w:val="20"/>
              </w:rPr>
              <w:t>CPI at March 2016</w:t>
            </w:r>
          </w:p>
        </w:tc>
        <w:tc>
          <w:tcPr>
            <w:tcW w:w="297" w:type="pct"/>
            <w:vAlign w:val="center"/>
          </w:tcPr>
          <w:p w:rsidR="00104010" w:rsidRDefault="00104010" w:rsidP="008D5BD5">
            <w:pPr>
              <w:jc w:val="center"/>
              <w:rPr>
                <w:rFonts w:ascii="Arial" w:hAnsi="Arial" w:cs="Arial"/>
                <w:color w:val="000000"/>
                <w:sz w:val="20"/>
                <w:szCs w:val="20"/>
              </w:rPr>
            </w:pPr>
            <w:r>
              <w:rPr>
                <w:rFonts w:ascii="Arial" w:hAnsi="Arial" w:cs="Arial"/>
                <w:color w:val="000000"/>
                <w:sz w:val="20"/>
                <w:szCs w:val="20"/>
              </w:rPr>
              <w:t>(10)</w:t>
            </w:r>
          </w:p>
        </w:tc>
        <w:tc>
          <w:tcPr>
            <w:tcW w:w="795" w:type="pct"/>
          </w:tcPr>
          <w:p w:rsidR="00104010" w:rsidRPr="00B86968" w:rsidRDefault="00104010" w:rsidP="008D5BD5">
            <w:pPr>
              <w:jc w:val="center"/>
              <w:rPr>
                <w:rFonts w:ascii="Arial" w:hAnsi="Arial" w:cs="Arial"/>
                <w:color w:val="000000"/>
                <w:sz w:val="20"/>
                <w:szCs w:val="20"/>
              </w:rPr>
            </w:pPr>
            <w:r>
              <w:rPr>
                <w:rFonts w:ascii="Arial" w:hAnsi="Arial" w:cs="Arial"/>
                <w:color w:val="000000"/>
                <w:sz w:val="20"/>
                <w:szCs w:val="20"/>
              </w:rPr>
              <w:t>108.2</w:t>
            </w:r>
          </w:p>
        </w:tc>
        <w:tc>
          <w:tcPr>
            <w:tcW w:w="796" w:type="pct"/>
          </w:tcPr>
          <w:p w:rsidR="00104010" w:rsidRDefault="00104010" w:rsidP="008D5BD5">
            <w:pPr>
              <w:jc w:val="center"/>
              <w:rPr>
                <w:rFonts w:ascii="Arial" w:hAnsi="Arial" w:cs="Arial"/>
                <w:color w:val="000000"/>
                <w:sz w:val="20"/>
                <w:szCs w:val="20"/>
              </w:rPr>
            </w:pPr>
            <w:r>
              <w:rPr>
                <w:rFonts w:ascii="Arial" w:hAnsi="Arial" w:cs="Arial"/>
                <w:color w:val="000000"/>
                <w:sz w:val="20"/>
                <w:szCs w:val="20"/>
              </w:rPr>
              <w:t>108.2</w:t>
            </w:r>
          </w:p>
        </w:tc>
        <w:tc>
          <w:tcPr>
            <w:tcW w:w="796" w:type="pct"/>
          </w:tcPr>
          <w:p w:rsidR="00104010" w:rsidRPr="00B86968" w:rsidRDefault="00104010" w:rsidP="008D5BD5">
            <w:pPr>
              <w:jc w:val="center"/>
              <w:rPr>
                <w:rFonts w:ascii="Arial" w:hAnsi="Arial" w:cs="Arial"/>
                <w:color w:val="000000"/>
                <w:sz w:val="20"/>
                <w:szCs w:val="20"/>
              </w:rPr>
            </w:pPr>
            <w:r>
              <w:rPr>
                <w:rFonts w:ascii="Arial" w:hAnsi="Arial" w:cs="Arial"/>
                <w:color w:val="000000"/>
                <w:sz w:val="20"/>
                <w:szCs w:val="20"/>
              </w:rPr>
              <w:t>108.2</w:t>
            </w:r>
          </w:p>
        </w:tc>
        <w:tc>
          <w:tcPr>
            <w:tcW w:w="792" w:type="pct"/>
          </w:tcPr>
          <w:p w:rsidR="00104010" w:rsidRPr="00B86968" w:rsidRDefault="00104010" w:rsidP="008D5BD5">
            <w:pPr>
              <w:jc w:val="center"/>
              <w:rPr>
                <w:rFonts w:ascii="Arial" w:hAnsi="Arial" w:cs="Arial"/>
                <w:color w:val="000000"/>
                <w:sz w:val="20"/>
                <w:szCs w:val="20"/>
              </w:rPr>
            </w:pPr>
            <w:r>
              <w:rPr>
                <w:rFonts w:ascii="Arial" w:hAnsi="Arial" w:cs="Arial"/>
                <w:color w:val="000000"/>
                <w:sz w:val="20"/>
                <w:szCs w:val="20"/>
              </w:rPr>
              <w:t>108.2</w:t>
            </w:r>
          </w:p>
        </w:tc>
      </w:tr>
      <w:tr w:rsidR="00104010" w:rsidRPr="00A03AE6" w:rsidTr="00104010">
        <w:trPr>
          <w:cantSplit/>
        </w:trPr>
        <w:tc>
          <w:tcPr>
            <w:tcW w:w="1525" w:type="pct"/>
            <w:vAlign w:val="center"/>
          </w:tcPr>
          <w:p w:rsidR="00104010" w:rsidRDefault="00104010" w:rsidP="008D5BD5">
            <w:pPr>
              <w:rPr>
                <w:rFonts w:ascii="Arial" w:hAnsi="Arial" w:cs="Arial"/>
                <w:sz w:val="20"/>
                <w:szCs w:val="20"/>
              </w:rPr>
            </w:pPr>
            <w:r>
              <w:rPr>
                <w:rFonts w:ascii="Arial" w:hAnsi="Arial" w:cs="Arial"/>
                <w:sz w:val="20"/>
                <w:szCs w:val="20"/>
              </w:rPr>
              <w:t>Increase in CPI</w:t>
            </w:r>
          </w:p>
        </w:tc>
        <w:tc>
          <w:tcPr>
            <w:tcW w:w="297" w:type="pct"/>
            <w:vAlign w:val="center"/>
          </w:tcPr>
          <w:p w:rsidR="00104010" w:rsidRDefault="00104010" w:rsidP="008D5BD5">
            <w:pPr>
              <w:jc w:val="center"/>
              <w:rPr>
                <w:rFonts w:ascii="Arial" w:hAnsi="Arial" w:cs="Arial"/>
                <w:color w:val="000000"/>
                <w:sz w:val="20"/>
                <w:szCs w:val="20"/>
              </w:rPr>
            </w:pPr>
            <w:r>
              <w:rPr>
                <w:rFonts w:ascii="Arial" w:hAnsi="Arial" w:cs="Arial"/>
                <w:color w:val="000000"/>
                <w:sz w:val="20"/>
                <w:szCs w:val="20"/>
              </w:rPr>
              <w:t>(11)</w:t>
            </w:r>
          </w:p>
        </w:tc>
        <w:tc>
          <w:tcPr>
            <w:tcW w:w="795" w:type="pct"/>
          </w:tcPr>
          <w:p w:rsidR="00104010" w:rsidRPr="00B86968" w:rsidRDefault="00104010" w:rsidP="008D5BD5">
            <w:pPr>
              <w:jc w:val="center"/>
              <w:rPr>
                <w:rFonts w:ascii="Arial" w:hAnsi="Arial" w:cs="Arial"/>
                <w:color w:val="000000"/>
                <w:sz w:val="20"/>
                <w:szCs w:val="20"/>
              </w:rPr>
            </w:pPr>
            <w:r w:rsidRPr="00B86968">
              <w:rPr>
                <w:rFonts w:ascii="Arial" w:hAnsi="Arial" w:cs="Arial"/>
                <w:color w:val="000000"/>
                <w:sz w:val="20"/>
                <w:szCs w:val="20"/>
              </w:rPr>
              <w:t xml:space="preserve"> </w:t>
            </w:r>
            <w:r>
              <w:rPr>
                <w:rFonts w:ascii="Arial" w:hAnsi="Arial" w:cs="Arial"/>
                <w:color w:val="000000"/>
                <w:sz w:val="20"/>
                <w:szCs w:val="20"/>
              </w:rPr>
              <w:t>26%</w:t>
            </w:r>
          </w:p>
        </w:tc>
        <w:tc>
          <w:tcPr>
            <w:tcW w:w="796" w:type="pct"/>
          </w:tcPr>
          <w:p w:rsidR="00104010" w:rsidRDefault="00104010" w:rsidP="008D5BD5">
            <w:pPr>
              <w:jc w:val="center"/>
              <w:rPr>
                <w:rFonts w:ascii="Arial" w:hAnsi="Arial" w:cs="Arial"/>
                <w:color w:val="000000"/>
                <w:sz w:val="20"/>
                <w:szCs w:val="20"/>
              </w:rPr>
            </w:pPr>
            <w:r>
              <w:rPr>
                <w:rFonts w:ascii="Arial" w:hAnsi="Arial" w:cs="Arial"/>
                <w:color w:val="000000"/>
                <w:sz w:val="20"/>
                <w:szCs w:val="20"/>
              </w:rPr>
              <w:t>26%</w:t>
            </w:r>
          </w:p>
        </w:tc>
        <w:tc>
          <w:tcPr>
            <w:tcW w:w="796" w:type="pct"/>
          </w:tcPr>
          <w:p w:rsidR="00104010" w:rsidRPr="00B86968" w:rsidRDefault="00104010" w:rsidP="008D5BD5">
            <w:pPr>
              <w:jc w:val="center"/>
              <w:rPr>
                <w:rFonts w:ascii="Arial" w:hAnsi="Arial" w:cs="Arial"/>
                <w:color w:val="000000"/>
                <w:sz w:val="20"/>
                <w:szCs w:val="20"/>
              </w:rPr>
            </w:pPr>
            <w:r w:rsidRPr="00B86968">
              <w:rPr>
                <w:rFonts w:ascii="Arial" w:hAnsi="Arial" w:cs="Arial"/>
                <w:color w:val="000000"/>
                <w:sz w:val="20"/>
                <w:szCs w:val="20"/>
              </w:rPr>
              <w:t xml:space="preserve"> </w:t>
            </w:r>
            <w:r>
              <w:rPr>
                <w:rFonts w:ascii="Arial" w:hAnsi="Arial" w:cs="Arial"/>
                <w:color w:val="000000"/>
                <w:sz w:val="20"/>
                <w:szCs w:val="20"/>
              </w:rPr>
              <w:t>6%</w:t>
            </w:r>
          </w:p>
        </w:tc>
        <w:tc>
          <w:tcPr>
            <w:tcW w:w="792" w:type="pct"/>
          </w:tcPr>
          <w:p w:rsidR="00104010" w:rsidRPr="00B86968" w:rsidRDefault="00104010" w:rsidP="008D5BD5">
            <w:pPr>
              <w:jc w:val="center"/>
              <w:rPr>
                <w:rFonts w:ascii="Arial" w:hAnsi="Arial" w:cs="Arial"/>
                <w:color w:val="000000"/>
                <w:sz w:val="20"/>
                <w:szCs w:val="20"/>
              </w:rPr>
            </w:pPr>
            <w:r w:rsidRPr="00B86968">
              <w:rPr>
                <w:rFonts w:ascii="Arial" w:hAnsi="Arial" w:cs="Arial"/>
                <w:color w:val="000000"/>
                <w:sz w:val="20"/>
                <w:szCs w:val="20"/>
              </w:rPr>
              <w:t xml:space="preserve"> </w:t>
            </w:r>
            <w:r>
              <w:rPr>
                <w:rFonts w:ascii="Arial" w:hAnsi="Arial" w:cs="Arial"/>
                <w:color w:val="000000"/>
                <w:sz w:val="20"/>
                <w:szCs w:val="20"/>
              </w:rPr>
              <w:t>16%</w:t>
            </w:r>
          </w:p>
        </w:tc>
      </w:tr>
      <w:tr w:rsidR="00104010" w:rsidRPr="00A03AE6" w:rsidTr="00104010">
        <w:trPr>
          <w:cantSplit/>
        </w:trPr>
        <w:tc>
          <w:tcPr>
            <w:tcW w:w="1525" w:type="pct"/>
            <w:vAlign w:val="center"/>
          </w:tcPr>
          <w:p w:rsidR="00104010" w:rsidRPr="00A03AE6" w:rsidRDefault="00104010" w:rsidP="008D5BD5">
            <w:pPr>
              <w:rPr>
                <w:rFonts w:ascii="Arial" w:hAnsi="Arial" w:cs="Arial"/>
                <w:sz w:val="20"/>
                <w:szCs w:val="20"/>
              </w:rPr>
            </w:pPr>
            <w:r>
              <w:rPr>
                <w:rFonts w:ascii="Arial" w:hAnsi="Arial" w:cs="Arial"/>
                <w:sz w:val="20"/>
                <w:szCs w:val="20"/>
              </w:rPr>
              <w:t>Costs in 2016 dollars</w:t>
            </w:r>
          </w:p>
        </w:tc>
        <w:tc>
          <w:tcPr>
            <w:tcW w:w="297" w:type="pct"/>
            <w:vAlign w:val="center"/>
          </w:tcPr>
          <w:p w:rsidR="00104010" w:rsidRPr="00A03AE6" w:rsidRDefault="00104010" w:rsidP="008D5BD5">
            <w:pPr>
              <w:jc w:val="center"/>
              <w:rPr>
                <w:rFonts w:ascii="Arial" w:hAnsi="Arial" w:cs="Arial"/>
                <w:color w:val="000000"/>
                <w:sz w:val="20"/>
                <w:szCs w:val="20"/>
              </w:rPr>
            </w:pPr>
            <w:r>
              <w:rPr>
                <w:rFonts w:ascii="Arial" w:hAnsi="Arial" w:cs="Arial"/>
                <w:color w:val="000000"/>
                <w:sz w:val="20"/>
                <w:szCs w:val="20"/>
              </w:rPr>
              <w:t>(12)</w:t>
            </w:r>
          </w:p>
        </w:tc>
        <w:tc>
          <w:tcPr>
            <w:tcW w:w="795" w:type="pct"/>
            <w:vAlign w:val="bottom"/>
          </w:tcPr>
          <w:p w:rsidR="00104010" w:rsidRPr="00A03AE6" w:rsidRDefault="00104010" w:rsidP="008D5BD5">
            <w:pPr>
              <w:jc w:val="center"/>
              <w:rPr>
                <w:rFonts w:ascii="Arial" w:hAnsi="Arial" w:cs="Arial"/>
                <w:color w:val="000000"/>
                <w:sz w:val="20"/>
                <w:szCs w:val="20"/>
              </w:rPr>
            </w:pPr>
            <w:r w:rsidRPr="00C02CED">
              <w:rPr>
                <w:rFonts w:ascii="Arial" w:hAnsi="Arial" w:cs="Arial"/>
                <w:color w:val="000000"/>
                <w:sz w:val="20"/>
                <w:szCs w:val="20"/>
              </w:rPr>
              <w:t xml:space="preserve"> $1,216,000 </w:t>
            </w:r>
          </w:p>
        </w:tc>
        <w:tc>
          <w:tcPr>
            <w:tcW w:w="796" w:type="pct"/>
            <w:vAlign w:val="bottom"/>
          </w:tcPr>
          <w:p w:rsidR="00104010" w:rsidRPr="00A03AE6" w:rsidRDefault="00104010" w:rsidP="008D5BD5">
            <w:pPr>
              <w:jc w:val="center"/>
              <w:rPr>
                <w:rFonts w:ascii="Arial" w:hAnsi="Arial" w:cs="Arial"/>
                <w:color w:val="000000"/>
                <w:sz w:val="20"/>
                <w:szCs w:val="20"/>
              </w:rPr>
            </w:pPr>
            <w:r w:rsidRPr="00C02CED">
              <w:rPr>
                <w:rFonts w:ascii="Arial" w:hAnsi="Arial" w:cs="Arial"/>
                <w:color w:val="000000"/>
                <w:sz w:val="20"/>
                <w:szCs w:val="20"/>
              </w:rPr>
              <w:t xml:space="preserve"> $1,216,000 </w:t>
            </w:r>
          </w:p>
        </w:tc>
        <w:tc>
          <w:tcPr>
            <w:tcW w:w="796" w:type="pct"/>
            <w:vAlign w:val="bottom"/>
          </w:tcPr>
          <w:p w:rsidR="00104010" w:rsidRPr="00A03AE6" w:rsidRDefault="00104010" w:rsidP="008D5BD5">
            <w:pPr>
              <w:jc w:val="center"/>
              <w:rPr>
                <w:rFonts w:ascii="Arial" w:hAnsi="Arial" w:cs="Arial"/>
                <w:color w:val="000000"/>
                <w:sz w:val="20"/>
                <w:szCs w:val="20"/>
              </w:rPr>
            </w:pPr>
            <w:r w:rsidRPr="00C02CED">
              <w:rPr>
                <w:rFonts w:ascii="Arial" w:hAnsi="Arial" w:cs="Arial"/>
                <w:color w:val="000000"/>
                <w:sz w:val="20"/>
                <w:szCs w:val="20"/>
              </w:rPr>
              <w:t xml:space="preserve"> $137,000 </w:t>
            </w:r>
          </w:p>
        </w:tc>
        <w:tc>
          <w:tcPr>
            <w:tcW w:w="792" w:type="pct"/>
            <w:vAlign w:val="bottom"/>
          </w:tcPr>
          <w:p w:rsidR="00104010" w:rsidRPr="00A03AE6" w:rsidRDefault="00104010" w:rsidP="008D5BD5">
            <w:pPr>
              <w:jc w:val="center"/>
              <w:rPr>
                <w:rFonts w:ascii="Arial" w:hAnsi="Arial" w:cs="Arial"/>
                <w:color w:val="000000"/>
                <w:sz w:val="20"/>
                <w:szCs w:val="20"/>
              </w:rPr>
            </w:pPr>
            <w:r w:rsidRPr="00C02CED">
              <w:rPr>
                <w:rFonts w:ascii="Arial" w:hAnsi="Arial" w:cs="Arial"/>
                <w:color w:val="000000"/>
                <w:sz w:val="20"/>
                <w:szCs w:val="20"/>
              </w:rPr>
              <w:t xml:space="preserve"> $236,000 </w:t>
            </w:r>
          </w:p>
        </w:tc>
      </w:tr>
      <w:tr w:rsidR="00104010" w:rsidRPr="00A03AE6" w:rsidTr="00104010">
        <w:trPr>
          <w:cantSplit/>
        </w:trPr>
        <w:tc>
          <w:tcPr>
            <w:tcW w:w="5000" w:type="pct"/>
            <w:gridSpan w:val="6"/>
            <w:shd w:val="clear" w:color="auto" w:fill="D9D9D9" w:themeFill="background1" w:themeFillShade="D9"/>
            <w:vAlign w:val="center"/>
          </w:tcPr>
          <w:p w:rsidR="00104010" w:rsidRPr="00104010" w:rsidRDefault="00104010" w:rsidP="00104010">
            <w:pPr>
              <w:rPr>
                <w:rFonts w:ascii="Arial" w:hAnsi="Arial" w:cs="Arial"/>
                <w:b/>
                <w:sz w:val="20"/>
                <w:szCs w:val="20"/>
              </w:rPr>
            </w:pPr>
            <w:r w:rsidRPr="00104010">
              <w:rPr>
                <w:rFonts w:ascii="Arial" w:hAnsi="Arial" w:cs="Arial"/>
                <w:b/>
                <w:sz w:val="20"/>
                <w:szCs w:val="20"/>
              </w:rPr>
              <w:t>Total avoidable costs per annum</w:t>
            </w:r>
          </w:p>
        </w:tc>
      </w:tr>
      <w:tr w:rsidR="00104010" w:rsidRPr="00A03AE6" w:rsidTr="00104010">
        <w:trPr>
          <w:cantSplit/>
        </w:trPr>
        <w:tc>
          <w:tcPr>
            <w:tcW w:w="1525" w:type="pct"/>
            <w:vAlign w:val="center"/>
          </w:tcPr>
          <w:p w:rsidR="00104010" w:rsidRPr="00A03AE6" w:rsidRDefault="00104010" w:rsidP="008D5BD5">
            <w:pPr>
              <w:rPr>
                <w:rFonts w:ascii="Arial" w:hAnsi="Arial" w:cs="Arial"/>
                <w:b/>
                <w:color w:val="000000"/>
                <w:sz w:val="20"/>
                <w:szCs w:val="20"/>
              </w:rPr>
            </w:pPr>
            <w:r w:rsidRPr="00A03AE6">
              <w:rPr>
                <w:rFonts w:ascii="Arial" w:hAnsi="Arial" w:cs="Arial"/>
                <w:b/>
                <w:color w:val="000000"/>
                <w:sz w:val="20"/>
                <w:szCs w:val="20"/>
              </w:rPr>
              <w:t>Avoidable costs</w:t>
            </w:r>
          </w:p>
        </w:tc>
        <w:tc>
          <w:tcPr>
            <w:tcW w:w="297" w:type="pct"/>
            <w:vAlign w:val="center"/>
          </w:tcPr>
          <w:p w:rsidR="00104010" w:rsidRPr="00A03AE6" w:rsidRDefault="00104010" w:rsidP="008D5BD5">
            <w:pPr>
              <w:jc w:val="center"/>
              <w:rPr>
                <w:rFonts w:ascii="Arial" w:hAnsi="Arial" w:cs="Arial"/>
                <w:b/>
                <w:color w:val="000000"/>
                <w:sz w:val="20"/>
                <w:szCs w:val="20"/>
                <w:highlight w:val="yellow"/>
              </w:rPr>
            </w:pPr>
            <w:r w:rsidRPr="00A03AE6">
              <w:rPr>
                <w:rFonts w:ascii="Arial" w:hAnsi="Arial" w:cs="Arial"/>
                <w:b/>
                <w:color w:val="000000"/>
                <w:sz w:val="20"/>
                <w:szCs w:val="20"/>
              </w:rPr>
              <w:t>(</w:t>
            </w:r>
            <w:r>
              <w:rPr>
                <w:rFonts w:ascii="Arial" w:hAnsi="Arial" w:cs="Arial"/>
                <w:b/>
                <w:color w:val="000000"/>
                <w:sz w:val="20"/>
                <w:szCs w:val="20"/>
              </w:rPr>
              <w:t>13</w:t>
            </w:r>
            <w:r w:rsidRPr="00A03AE6">
              <w:rPr>
                <w:rFonts w:ascii="Arial" w:hAnsi="Arial" w:cs="Arial"/>
                <w:b/>
                <w:color w:val="000000"/>
                <w:sz w:val="20"/>
                <w:szCs w:val="20"/>
              </w:rPr>
              <w:t>)</w:t>
            </w:r>
          </w:p>
        </w:tc>
        <w:tc>
          <w:tcPr>
            <w:tcW w:w="794" w:type="pct"/>
            <w:vAlign w:val="bottom"/>
          </w:tcPr>
          <w:p w:rsidR="00104010" w:rsidRPr="00C17163" w:rsidRDefault="00104010" w:rsidP="008D5BD5">
            <w:pPr>
              <w:jc w:val="center"/>
              <w:rPr>
                <w:rFonts w:ascii="Arial" w:hAnsi="Arial" w:cs="Arial"/>
                <w:b/>
                <w:color w:val="000000"/>
                <w:sz w:val="20"/>
                <w:szCs w:val="20"/>
              </w:rPr>
            </w:pPr>
            <w:r w:rsidRPr="00B86968">
              <w:rPr>
                <w:rFonts w:ascii="Arial" w:hAnsi="Arial" w:cs="Arial"/>
                <w:b/>
                <w:color w:val="000000"/>
                <w:sz w:val="20"/>
                <w:szCs w:val="20"/>
              </w:rPr>
              <w:t xml:space="preserve"> $1,588,000 </w:t>
            </w:r>
          </w:p>
        </w:tc>
        <w:tc>
          <w:tcPr>
            <w:tcW w:w="795" w:type="pct"/>
            <w:vAlign w:val="bottom"/>
          </w:tcPr>
          <w:p w:rsidR="00104010" w:rsidRPr="00C17163" w:rsidRDefault="00104010" w:rsidP="008D5BD5">
            <w:pPr>
              <w:jc w:val="center"/>
              <w:rPr>
                <w:rFonts w:ascii="Arial" w:hAnsi="Arial" w:cs="Arial"/>
                <w:b/>
                <w:color w:val="000000"/>
                <w:sz w:val="20"/>
                <w:szCs w:val="20"/>
              </w:rPr>
            </w:pPr>
            <w:r w:rsidRPr="00B86968">
              <w:rPr>
                <w:rFonts w:ascii="Arial" w:hAnsi="Arial" w:cs="Arial"/>
                <w:b/>
                <w:color w:val="000000"/>
                <w:sz w:val="20"/>
                <w:szCs w:val="20"/>
              </w:rPr>
              <w:t xml:space="preserve"> $1,600,000 </w:t>
            </w:r>
          </w:p>
        </w:tc>
        <w:tc>
          <w:tcPr>
            <w:tcW w:w="795" w:type="pct"/>
            <w:vAlign w:val="bottom"/>
          </w:tcPr>
          <w:p w:rsidR="00104010" w:rsidRPr="00C17163" w:rsidRDefault="00104010" w:rsidP="008D5BD5">
            <w:pPr>
              <w:jc w:val="center"/>
              <w:rPr>
                <w:rFonts w:ascii="Arial" w:hAnsi="Arial" w:cs="Arial"/>
                <w:b/>
                <w:color w:val="000000"/>
                <w:sz w:val="20"/>
                <w:szCs w:val="20"/>
              </w:rPr>
            </w:pPr>
            <w:r w:rsidRPr="00B86968">
              <w:rPr>
                <w:rFonts w:ascii="Arial" w:hAnsi="Arial" w:cs="Arial"/>
                <w:b/>
                <w:color w:val="000000"/>
                <w:sz w:val="20"/>
                <w:szCs w:val="20"/>
              </w:rPr>
              <w:t xml:space="preserve"> $427,000 </w:t>
            </w:r>
          </w:p>
        </w:tc>
        <w:tc>
          <w:tcPr>
            <w:tcW w:w="795" w:type="pct"/>
            <w:vAlign w:val="bottom"/>
          </w:tcPr>
          <w:p w:rsidR="00104010" w:rsidRPr="00C17163" w:rsidRDefault="00104010" w:rsidP="008D5BD5">
            <w:pPr>
              <w:jc w:val="center"/>
              <w:rPr>
                <w:rFonts w:ascii="Arial" w:hAnsi="Arial" w:cs="Arial"/>
                <w:b/>
                <w:color w:val="000000"/>
                <w:sz w:val="20"/>
                <w:szCs w:val="20"/>
              </w:rPr>
            </w:pPr>
            <w:r w:rsidRPr="00B86968">
              <w:rPr>
                <w:rFonts w:ascii="Arial" w:hAnsi="Arial" w:cs="Arial"/>
                <w:b/>
                <w:color w:val="000000"/>
                <w:sz w:val="20"/>
                <w:szCs w:val="20"/>
              </w:rPr>
              <w:t xml:space="preserve"> $1,401,000 </w:t>
            </w:r>
          </w:p>
        </w:tc>
      </w:tr>
      <w:tr w:rsidR="00104010" w:rsidRPr="00A03AE6" w:rsidTr="00104010">
        <w:trPr>
          <w:cantSplit/>
        </w:trPr>
        <w:tc>
          <w:tcPr>
            <w:tcW w:w="1525" w:type="pct"/>
            <w:vAlign w:val="center"/>
          </w:tcPr>
          <w:p w:rsidR="00104010" w:rsidRPr="00A03AE6" w:rsidRDefault="00104010" w:rsidP="008D5BD5">
            <w:pPr>
              <w:rPr>
                <w:rFonts w:ascii="Arial" w:hAnsi="Arial" w:cs="Arial"/>
                <w:b/>
                <w:color w:val="000000"/>
                <w:sz w:val="20"/>
                <w:szCs w:val="20"/>
              </w:rPr>
            </w:pPr>
            <w:r>
              <w:rPr>
                <w:rFonts w:ascii="Arial" w:hAnsi="Arial" w:cs="Arial"/>
                <w:b/>
                <w:color w:val="000000"/>
                <w:sz w:val="20"/>
                <w:szCs w:val="20"/>
              </w:rPr>
              <w:t>Total annual health benefits</w:t>
            </w:r>
          </w:p>
        </w:tc>
        <w:tc>
          <w:tcPr>
            <w:tcW w:w="297" w:type="pct"/>
            <w:vAlign w:val="center"/>
          </w:tcPr>
          <w:p w:rsidR="00104010" w:rsidRPr="00A03AE6" w:rsidRDefault="00104010" w:rsidP="008D5BD5">
            <w:pPr>
              <w:jc w:val="center"/>
              <w:rPr>
                <w:rFonts w:ascii="Arial" w:hAnsi="Arial" w:cs="Arial"/>
                <w:b/>
                <w:color w:val="000000"/>
                <w:sz w:val="20"/>
                <w:szCs w:val="20"/>
              </w:rPr>
            </w:pPr>
            <w:r>
              <w:rPr>
                <w:rFonts w:ascii="Arial" w:hAnsi="Arial" w:cs="Arial"/>
                <w:b/>
                <w:color w:val="000000"/>
                <w:sz w:val="20"/>
                <w:szCs w:val="20"/>
              </w:rPr>
              <w:t>(14)</w:t>
            </w:r>
          </w:p>
        </w:tc>
        <w:tc>
          <w:tcPr>
            <w:tcW w:w="3178" w:type="pct"/>
            <w:gridSpan w:val="4"/>
          </w:tcPr>
          <w:p w:rsidR="00104010" w:rsidRPr="00B86968" w:rsidRDefault="00104010" w:rsidP="00B31477">
            <w:pPr>
              <w:jc w:val="center"/>
              <w:rPr>
                <w:rFonts w:ascii="Arial" w:hAnsi="Arial" w:cs="Arial"/>
                <w:color w:val="000000"/>
                <w:sz w:val="20"/>
                <w:szCs w:val="20"/>
              </w:rPr>
            </w:pPr>
            <w:r>
              <w:rPr>
                <w:rFonts w:ascii="Arial" w:hAnsi="Arial" w:cs="Arial"/>
                <w:b/>
                <w:color w:val="000000"/>
                <w:sz w:val="20"/>
                <w:szCs w:val="20"/>
              </w:rPr>
              <w:t>$5,016,000</w:t>
            </w:r>
          </w:p>
        </w:tc>
      </w:tr>
    </w:tbl>
    <w:p w:rsidR="00691DA8" w:rsidRDefault="00691DA8" w:rsidP="00691DA8">
      <w:pPr>
        <w:pStyle w:val="BodyText"/>
        <w:spacing w:after="0"/>
        <w:ind w:left="720" w:hanging="720"/>
        <w:rPr>
          <w:rFonts w:asciiTheme="majorHAnsi" w:hAnsiTheme="majorHAnsi" w:cstheme="majorHAnsi"/>
          <w:sz w:val="16"/>
        </w:rPr>
        <w:sectPr w:rsidR="00691DA8" w:rsidSect="00B70DBB">
          <w:type w:val="continuous"/>
          <w:pgSz w:w="11906" w:h="16838"/>
          <w:pgMar w:top="1440" w:right="1080" w:bottom="1440" w:left="1418" w:header="708" w:footer="708" w:gutter="0"/>
          <w:cols w:space="708"/>
          <w:titlePg/>
          <w:docGrid w:linePitch="360"/>
        </w:sectPr>
      </w:pPr>
    </w:p>
    <w:p w:rsidR="000A72CA" w:rsidRPr="00540A55" w:rsidRDefault="000A72CA" w:rsidP="000A72CA">
      <w:pPr>
        <w:pStyle w:val="BodyText"/>
        <w:spacing w:after="0"/>
        <w:rPr>
          <w:rFonts w:asciiTheme="majorHAnsi" w:hAnsiTheme="majorHAnsi" w:cstheme="majorHAnsi"/>
          <w:sz w:val="16"/>
        </w:rPr>
      </w:pPr>
      <w:r w:rsidRPr="00540A55">
        <w:rPr>
          <w:rFonts w:asciiTheme="majorHAnsi" w:hAnsiTheme="majorHAnsi" w:cstheme="majorHAnsi"/>
          <w:sz w:val="16"/>
        </w:rPr>
        <w:t>RR = risk ratio</w:t>
      </w:r>
    </w:p>
    <w:p w:rsidR="000A72CA" w:rsidRDefault="000A72CA" w:rsidP="000A72CA">
      <w:pPr>
        <w:pStyle w:val="BodyText"/>
        <w:spacing w:after="0"/>
        <w:rPr>
          <w:rFonts w:asciiTheme="majorHAnsi" w:hAnsiTheme="majorHAnsi" w:cstheme="majorHAnsi"/>
          <w:sz w:val="16"/>
        </w:rPr>
      </w:pPr>
      <w:r w:rsidRPr="00540A55">
        <w:rPr>
          <w:rFonts w:asciiTheme="majorHAnsi" w:hAnsiTheme="majorHAnsi" w:cstheme="majorHAnsi"/>
          <w:sz w:val="16"/>
        </w:rPr>
        <w:t xml:space="preserve">(1) </w:t>
      </w:r>
      <w:r>
        <w:rPr>
          <w:rFonts w:asciiTheme="majorHAnsi" w:hAnsiTheme="majorHAnsi" w:cstheme="majorHAnsi"/>
          <w:sz w:val="16"/>
        </w:rPr>
        <w:t xml:space="preserve">Rate </w:t>
      </w:r>
      <w:r w:rsidRPr="00540A55">
        <w:rPr>
          <w:rFonts w:asciiTheme="majorHAnsi" w:hAnsiTheme="majorHAnsi" w:cstheme="majorHAnsi"/>
          <w:sz w:val="16"/>
        </w:rPr>
        <w:t>per 100,000</w:t>
      </w:r>
      <w:r>
        <w:rPr>
          <w:rFonts w:asciiTheme="majorHAnsi" w:hAnsiTheme="majorHAnsi" w:cstheme="majorHAnsi"/>
          <w:sz w:val="16"/>
        </w:rPr>
        <w:t>, sourced from the AIHW</w:t>
      </w:r>
    </w:p>
    <w:p w:rsidR="000A72CA" w:rsidRDefault="000A72CA" w:rsidP="000A72CA">
      <w:pPr>
        <w:pStyle w:val="BodyText"/>
        <w:spacing w:after="0"/>
        <w:rPr>
          <w:rFonts w:asciiTheme="majorHAnsi" w:hAnsiTheme="majorHAnsi" w:cstheme="majorHAnsi"/>
          <w:sz w:val="16"/>
        </w:rPr>
      </w:pPr>
      <w:r>
        <w:rPr>
          <w:rFonts w:asciiTheme="majorHAnsi" w:hAnsiTheme="majorHAnsi" w:cstheme="majorHAnsi"/>
          <w:sz w:val="16"/>
        </w:rPr>
        <w:t>(2) Sourced from SWA (2014b)</w:t>
      </w:r>
    </w:p>
    <w:p w:rsidR="000A72CA" w:rsidRDefault="000A72CA" w:rsidP="000A72CA">
      <w:pPr>
        <w:pStyle w:val="BodyText"/>
        <w:spacing w:after="0"/>
        <w:rPr>
          <w:rFonts w:asciiTheme="majorHAnsi" w:hAnsiTheme="majorHAnsi" w:cstheme="majorHAnsi"/>
          <w:sz w:val="16"/>
        </w:rPr>
      </w:pPr>
      <w:r w:rsidRPr="00540A55">
        <w:rPr>
          <w:rFonts w:asciiTheme="majorHAnsi" w:hAnsiTheme="majorHAnsi" w:cstheme="majorHAnsi"/>
          <w:sz w:val="16"/>
        </w:rPr>
        <w:t xml:space="preserve">(3) = (1) </w:t>
      </w:r>
      <m:oMath>
        <m:r>
          <w:rPr>
            <w:rFonts w:ascii="Cambria Math" w:hAnsi="Cambria Math" w:cstheme="majorHAnsi"/>
            <w:sz w:val="16"/>
          </w:rPr>
          <m:t>×</m:t>
        </m:r>
      </m:oMath>
      <w:r w:rsidRPr="00540A55">
        <w:rPr>
          <w:rFonts w:asciiTheme="majorHAnsi" w:hAnsiTheme="majorHAnsi" w:cstheme="majorHAnsi"/>
          <w:sz w:val="16"/>
        </w:rPr>
        <w:t xml:space="preserve"> (2)</w:t>
      </w:r>
      <w:r w:rsidRPr="00540A55">
        <w:rPr>
          <w:rFonts w:asciiTheme="majorHAnsi" w:hAnsiTheme="majorHAnsi" w:cstheme="majorHAnsi"/>
          <w:sz w:val="16"/>
        </w:rPr>
        <w:br/>
        <w:t xml:space="preserve">(4) </w:t>
      </w:r>
      <w:r>
        <w:rPr>
          <w:rFonts w:asciiTheme="majorHAnsi" w:hAnsiTheme="majorHAnsi" w:cstheme="majorHAnsi"/>
          <w:sz w:val="16"/>
        </w:rPr>
        <w:t>Sourced f</w:t>
      </w:r>
      <w:r w:rsidRPr="00540A55">
        <w:rPr>
          <w:rFonts w:asciiTheme="majorHAnsi" w:hAnsiTheme="majorHAnsi" w:cstheme="majorHAnsi"/>
          <w:sz w:val="16"/>
        </w:rPr>
        <w:t>rom earlier population estimates</w:t>
      </w:r>
      <w:r w:rsidRPr="00540A55">
        <w:rPr>
          <w:rFonts w:asciiTheme="majorHAnsi" w:hAnsiTheme="majorHAnsi" w:cstheme="majorHAnsi"/>
          <w:sz w:val="16"/>
        </w:rPr>
        <w:br/>
        <w:t xml:space="preserve">(5) = (3) </w:t>
      </w:r>
      <m:oMath>
        <m:r>
          <w:rPr>
            <w:rFonts w:ascii="Cambria Math" w:hAnsi="Cambria Math" w:cstheme="majorHAnsi"/>
            <w:sz w:val="16"/>
          </w:rPr>
          <m:t>×</m:t>
        </m:r>
      </m:oMath>
      <w:r w:rsidRPr="00540A55">
        <w:rPr>
          <w:rFonts w:asciiTheme="majorHAnsi" w:hAnsiTheme="majorHAnsi" w:cstheme="majorHAnsi"/>
          <w:sz w:val="16"/>
        </w:rPr>
        <w:t xml:space="preserve"> (4)</w:t>
      </w:r>
      <w:r w:rsidRPr="00540A55">
        <w:rPr>
          <w:rFonts w:asciiTheme="majorHAnsi" w:hAnsiTheme="majorHAnsi" w:cstheme="majorHAnsi"/>
          <w:sz w:val="16"/>
        </w:rPr>
        <w:br/>
      </w:r>
      <w:r w:rsidRPr="004F59C5">
        <w:rPr>
          <w:rFonts w:asciiTheme="majorHAnsi" w:hAnsiTheme="majorHAnsi" w:cstheme="majorHAnsi"/>
          <w:sz w:val="16"/>
        </w:rPr>
        <w:t>(6)</w:t>
      </w:r>
      <w:r>
        <w:rPr>
          <w:rFonts w:asciiTheme="majorHAnsi" w:hAnsiTheme="majorHAnsi" w:cstheme="majorHAnsi"/>
          <w:sz w:val="16"/>
        </w:rPr>
        <w:t xml:space="preserve"> and</w:t>
      </w:r>
      <w:r w:rsidRPr="004F59C5">
        <w:rPr>
          <w:rFonts w:asciiTheme="majorHAnsi" w:hAnsiTheme="majorHAnsi" w:cstheme="majorHAnsi"/>
          <w:sz w:val="16"/>
        </w:rPr>
        <w:t xml:space="preserve"> (7)</w:t>
      </w:r>
      <w:r>
        <w:rPr>
          <w:rFonts w:asciiTheme="majorHAnsi" w:hAnsiTheme="majorHAnsi" w:cstheme="majorHAnsi"/>
          <w:sz w:val="16"/>
        </w:rPr>
        <w:t xml:space="preserve"> </w:t>
      </w:r>
      <w:r w:rsidRPr="002F5E89">
        <w:rPr>
          <w:rFonts w:asciiTheme="majorHAnsi" w:hAnsiTheme="majorHAnsi" w:cstheme="majorHAnsi"/>
          <w:sz w:val="16"/>
        </w:rPr>
        <w:t xml:space="preserve">Access Economics </w:t>
      </w:r>
      <w:r>
        <w:rPr>
          <w:rFonts w:asciiTheme="majorHAnsi" w:hAnsiTheme="majorHAnsi" w:cstheme="majorHAnsi"/>
          <w:sz w:val="16"/>
        </w:rPr>
        <w:t>(2006, 2009 and 2013)</w:t>
      </w:r>
    </w:p>
    <w:p w:rsidR="000A72CA" w:rsidRDefault="000A72CA" w:rsidP="000A72CA">
      <w:pPr>
        <w:pStyle w:val="BodyText"/>
        <w:spacing w:after="0"/>
        <w:rPr>
          <w:rFonts w:asciiTheme="majorHAnsi" w:hAnsiTheme="majorHAnsi" w:cstheme="majorHAnsi"/>
          <w:sz w:val="16"/>
        </w:rPr>
      </w:pPr>
      <w:r w:rsidRPr="00540A55">
        <w:rPr>
          <w:rFonts w:asciiTheme="majorHAnsi" w:hAnsiTheme="majorHAnsi" w:cstheme="majorHAnsi"/>
          <w:sz w:val="16"/>
        </w:rPr>
        <w:t xml:space="preserve">(8) = (6) </w:t>
      </w:r>
      <m:oMath>
        <m:r>
          <w:rPr>
            <w:rFonts w:ascii="Cambria Math" w:hAnsi="Cambria Math" w:cstheme="majorHAnsi"/>
            <w:sz w:val="16"/>
          </w:rPr>
          <m:t>+</m:t>
        </m:r>
      </m:oMath>
      <w:r w:rsidRPr="00540A55">
        <w:rPr>
          <w:rFonts w:asciiTheme="majorHAnsi" w:hAnsiTheme="majorHAnsi" w:cstheme="majorHAnsi"/>
          <w:sz w:val="16"/>
        </w:rPr>
        <w:t xml:space="preserve"> (7)</w:t>
      </w:r>
      <w:r>
        <w:rPr>
          <w:rFonts w:asciiTheme="majorHAnsi" w:hAnsiTheme="majorHAnsi" w:cstheme="majorHAnsi"/>
          <w:sz w:val="16"/>
        </w:rPr>
        <w:t xml:space="preserve"> </w:t>
      </w:r>
    </w:p>
    <w:p w:rsidR="000A72CA" w:rsidRDefault="000A72CA" w:rsidP="000A72CA">
      <w:pPr>
        <w:pStyle w:val="BodyText"/>
        <w:spacing w:after="0"/>
        <w:rPr>
          <w:rFonts w:asciiTheme="majorHAnsi" w:hAnsiTheme="majorHAnsi" w:cstheme="majorHAnsi"/>
          <w:sz w:val="16"/>
        </w:rPr>
      </w:pPr>
      <w:r>
        <w:rPr>
          <w:rFonts w:asciiTheme="majorHAnsi" w:hAnsiTheme="majorHAnsi" w:cstheme="majorHAnsi"/>
          <w:sz w:val="16"/>
        </w:rPr>
        <w:t>(9)</w:t>
      </w:r>
      <w:r w:rsidRPr="00540A55">
        <w:rPr>
          <w:rFonts w:asciiTheme="majorHAnsi" w:hAnsiTheme="majorHAnsi" w:cstheme="majorHAnsi"/>
          <w:sz w:val="16"/>
        </w:rPr>
        <w:t xml:space="preserve"> </w:t>
      </w:r>
      <w:r>
        <w:rPr>
          <w:rFonts w:asciiTheme="majorHAnsi" w:hAnsiTheme="majorHAnsi" w:cstheme="majorHAnsi"/>
          <w:sz w:val="16"/>
        </w:rPr>
        <w:t xml:space="preserve">and (10) Sourced from the </w:t>
      </w:r>
      <w:r w:rsidRPr="00540A55">
        <w:rPr>
          <w:rFonts w:asciiTheme="majorHAnsi" w:hAnsiTheme="majorHAnsi" w:cstheme="majorHAnsi"/>
          <w:sz w:val="16"/>
        </w:rPr>
        <w:t>ABS</w:t>
      </w:r>
      <w:r>
        <w:rPr>
          <w:rFonts w:asciiTheme="majorHAnsi" w:hAnsiTheme="majorHAnsi" w:cstheme="majorHAnsi"/>
          <w:sz w:val="16"/>
        </w:rPr>
        <w:t>’</w:t>
      </w:r>
      <w:r w:rsidRPr="00540A55">
        <w:rPr>
          <w:rFonts w:asciiTheme="majorHAnsi" w:hAnsiTheme="majorHAnsi" w:cstheme="majorHAnsi"/>
          <w:sz w:val="16"/>
        </w:rPr>
        <w:t xml:space="preserve"> Consumer Price Index </w:t>
      </w:r>
    </w:p>
    <w:p w:rsidR="000A72CA" w:rsidRDefault="000A72CA" w:rsidP="000A72CA">
      <w:pPr>
        <w:pStyle w:val="BodyText"/>
        <w:spacing w:after="0"/>
        <w:rPr>
          <w:rFonts w:asciiTheme="majorHAnsi" w:hAnsiTheme="majorHAnsi" w:cstheme="majorHAnsi"/>
          <w:sz w:val="16"/>
        </w:rPr>
      </w:pPr>
      <w:r>
        <w:rPr>
          <w:rFonts w:asciiTheme="majorHAnsi" w:hAnsiTheme="majorHAnsi" w:cstheme="majorHAnsi"/>
          <w:sz w:val="16"/>
        </w:rPr>
        <w:t>(11) = (9) / (8) – 1</w:t>
      </w:r>
    </w:p>
    <w:p w:rsidR="000A72CA" w:rsidRDefault="000A72CA" w:rsidP="000A72CA">
      <w:pPr>
        <w:pStyle w:val="BodyText"/>
        <w:spacing w:after="0"/>
        <w:rPr>
          <w:rFonts w:asciiTheme="majorHAnsi" w:hAnsiTheme="majorHAnsi" w:cstheme="majorHAnsi"/>
          <w:sz w:val="16"/>
        </w:rPr>
      </w:pPr>
      <w:r>
        <w:rPr>
          <w:rFonts w:asciiTheme="majorHAnsi" w:hAnsiTheme="majorHAnsi" w:cstheme="majorHAnsi"/>
          <w:sz w:val="16"/>
        </w:rPr>
        <w:t>(12) = (8) x (11)</w:t>
      </w:r>
    </w:p>
    <w:p w:rsidR="000A72CA" w:rsidRDefault="000A72CA" w:rsidP="000A72CA">
      <w:pPr>
        <w:pStyle w:val="BodyText"/>
        <w:sectPr w:rsidR="000A72CA" w:rsidSect="00540A55">
          <w:type w:val="continuous"/>
          <w:pgSz w:w="11906" w:h="16838"/>
          <w:pgMar w:top="1440" w:right="1080" w:bottom="1440" w:left="1418" w:header="708" w:footer="708" w:gutter="0"/>
          <w:cols w:num="2" w:space="230"/>
          <w:titlePg/>
          <w:docGrid w:linePitch="360"/>
        </w:sectPr>
      </w:pPr>
      <w:r>
        <w:rPr>
          <w:rFonts w:asciiTheme="majorHAnsi" w:hAnsiTheme="majorHAnsi" w:cstheme="majorHAnsi"/>
          <w:sz w:val="16"/>
        </w:rPr>
        <w:t>(13) = (5) x (12)</w:t>
      </w:r>
    </w:p>
    <w:p w:rsidR="00691DA8" w:rsidRDefault="00691DA8" w:rsidP="00691DA8">
      <w:r>
        <w:t xml:space="preserve">Overall, the table shows that the annual health benefits from reducing high lead levels could be in the order of $5 million per annum for these four conditions. For the purposes of the CBA, this figure provides a useful minimum reference point for assessing the costs and benefits of the options. </w:t>
      </w:r>
    </w:p>
    <w:p w:rsidR="00691DA8" w:rsidRDefault="00691DA8" w:rsidP="00691DA8">
      <w:r>
        <w:t xml:space="preserve">There are a number of assumptions underpinning this analysis. It is predicted that the total annual health benefits would be much greater if there was enough evidence to quantify potential savings associated with all of the conditions that high lead levels have been associated with. </w:t>
      </w:r>
    </w:p>
    <w:p w:rsidR="00691DA8" w:rsidRDefault="00691DA8" w:rsidP="00691DA8">
      <w:r>
        <w:t>The majority of the medical evidence reviewed which linked lead exposure to adverse health impacts found effects at blood lead levels of more than 20 μg/dL; with stronger associations found for blood lead levels above 30 μg/dL. The report indicated the additional benefits for Option 3 would only be marginal, but there is not enough evidence to quantify the additional impacts.</w:t>
      </w:r>
    </w:p>
    <w:p w:rsidR="00691DA8" w:rsidRPr="004C4DEF" w:rsidRDefault="00691DA8" w:rsidP="00E77182">
      <w:pPr>
        <w:pStyle w:val="Heading3"/>
      </w:pPr>
      <w:r w:rsidRPr="004C4DEF">
        <w:t>Workers compensation costs</w:t>
      </w:r>
    </w:p>
    <w:p w:rsidR="00691DA8" w:rsidRDefault="00691DA8" w:rsidP="00691DA8">
      <w:r>
        <w:t xml:space="preserve">In addition to the medical costs identified above, data has been able to be extracted by Safe Work Australia from the National Data Set for Compensation-Based Statistics (NDS), showing the number of accepted workers compensation claims made in relation to injuries or diseases from ‘lead and lead compounds’. </w:t>
      </w:r>
    </w:p>
    <w:p w:rsidR="00691DA8" w:rsidRDefault="00691DA8" w:rsidP="00691DA8">
      <w:r>
        <w:t>This data shows that, over the past 15 years there have been an average of eight lead related workers compensation claims per year. The average weeks of work lost through one of these claims is 5.6 and the average workers compensation costs per claim are almost $26,000.</w:t>
      </w:r>
    </w:p>
    <w:p w:rsidR="00691DA8" w:rsidRDefault="00691DA8" w:rsidP="00691DA8">
      <w:r>
        <w:t>Overall, the total cost associated with these claims, including the value of lost earnings, is estimated to be $367,000 per annum.</w:t>
      </w:r>
    </w:p>
    <w:p w:rsidR="00691DA8" w:rsidRPr="00313AAD" w:rsidRDefault="00691DA8" w:rsidP="00263482">
      <w:pPr>
        <w:pStyle w:val="Heading2"/>
        <w:ind w:left="426"/>
      </w:pPr>
      <w:bookmarkStart w:id="110" w:name="_Toc459276918"/>
      <w:r w:rsidRPr="00313AAD">
        <w:t xml:space="preserve">Impacts of </w:t>
      </w:r>
      <w:r w:rsidR="003E51AA">
        <w:t>blood lead level o</w:t>
      </w:r>
      <w:r w:rsidRPr="00313AAD">
        <w:t xml:space="preserve">ption 2 </w:t>
      </w:r>
      <w:bookmarkEnd w:id="110"/>
    </w:p>
    <w:p w:rsidR="00691DA8" w:rsidRDefault="00691DA8" w:rsidP="00691DA8">
      <w:r>
        <w:t xml:space="preserve">The following section sets out the impacts of Option 2 for blood lead levels. </w:t>
      </w:r>
      <w:r w:rsidR="00596395">
        <w:t>T</w:t>
      </w:r>
      <w:r>
        <w:t xml:space="preserve">he impacts have been modelled over a 10 year period, using a real discount rate of seven per cent. </w:t>
      </w:r>
    </w:p>
    <w:p w:rsidR="00691DA8" w:rsidRPr="004C4DEF" w:rsidRDefault="00691DA8" w:rsidP="00E77182">
      <w:pPr>
        <w:pStyle w:val="Heading3"/>
      </w:pPr>
      <w:r w:rsidRPr="004C4DEF">
        <w:t>Compliance costs</w:t>
      </w:r>
    </w:p>
    <w:p w:rsidR="00691DA8" w:rsidRDefault="00691DA8" w:rsidP="00691DA8">
      <w:r>
        <w:t>Using the assumptions outlined in this chapter, the following costs have been identified for Option 2:</w:t>
      </w:r>
    </w:p>
    <w:p w:rsidR="00691DA8" w:rsidRDefault="00691DA8" w:rsidP="00263482">
      <w:pPr>
        <w:pStyle w:val="ListParagraph"/>
        <w:numPr>
          <w:ilvl w:val="0"/>
          <w:numId w:val="54"/>
        </w:numPr>
      </w:pPr>
      <w:r>
        <w:t>additional blood lead level testing will cost $560,000 per annum in the first year, declining by five per cent per annum, as the effects of the option take force and the blood lead levels of workers decline</w:t>
      </w:r>
    </w:p>
    <w:p w:rsidR="00691DA8" w:rsidRDefault="00691DA8" w:rsidP="00263482">
      <w:pPr>
        <w:pStyle w:val="ListParagraph"/>
        <w:numPr>
          <w:ilvl w:val="0"/>
          <w:numId w:val="54"/>
        </w:numPr>
      </w:pPr>
      <w:r>
        <w:t>the increased cost of removing workers with blood lead levels above 30 μg/dL will be $650,000 in the first year, declining by 10 per cent per annum</w:t>
      </w:r>
    </w:p>
    <w:p w:rsidR="00691DA8" w:rsidRDefault="00691DA8" w:rsidP="00263482">
      <w:pPr>
        <w:pStyle w:val="ListParagraph"/>
        <w:numPr>
          <w:ilvl w:val="0"/>
          <w:numId w:val="54"/>
        </w:numPr>
      </w:pPr>
      <w:r>
        <w:t>costs associated with reviewing lead exposure measures (following the removal of a worker for exceeding  the 30 μg/dL threshold) will be a further $300,000 per annum for businesses, also declining by 10 per cent per annum, and</w:t>
      </w:r>
    </w:p>
    <w:p w:rsidR="00691DA8" w:rsidRDefault="00691DA8" w:rsidP="00263482">
      <w:pPr>
        <w:pStyle w:val="ListParagraph"/>
        <w:numPr>
          <w:ilvl w:val="0"/>
          <w:numId w:val="54"/>
        </w:numPr>
      </w:pPr>
      <w:r>
        <w:t xml:space="preserve">other costs for businesses associated with complying with Option 2 will include </w:t>
      </w:r>
      <w:r>
        <w:br/>
        <w:t>$6.35 million to implement control measures necessary to comply with the new requirements (spread over two years) and ongoing costs of $650,000 per annum.</w:t>
      </w:r>
    </w:p>
    <w:p w:rsidR="00691DA8" w:rsidRPr="004C4DEF" w:rsidRDefault="00691DA8" w:rsidP="00E77182">
      <w:pPr>
        <w:pStyle w:val="Heading3"/>
      </w:pPr>
      <w:r w:rsidRPr="004C4DEF">
        <w:t>Health benefits</w:t>
      </w:r>
    </w:p>
    <w:p w:rsidR="00691DA8" w:rsidRDefault="00691DA8" w:rsidP="00691DA8">
      <w:r>
        <w:t>The quantifiable benefits associated with Option 2 are in excess of $5</w:t>
      </w:r>
      <w:r w:rsidR="00B31477">
        <w:t>.3</w:t>
      </w:r>
      <w:r>
        <w:t xml:space="preserve"> million per annum. This includes: </w:t>
      </w:r>
    </w:p>
    <w:p w:rsidR="00691DA8" w:rsidRDefault="00691DA8" w:rsidP="00263482">
      <w:pPr>
        <w:pStyle w:val="ListParagraph"/>
        <w:numPr>
          <w:ilvl w:val="0"/>
          <w:numId w:val="55"/>
        </w:numPr>
      </w:pPr>
      <w:r>
        <w:t>quantifiable health benefits of $</w:t>
      </w:r>
      <w:r w:rsidR="00B31477">
        <w:t>5</w:t>
      </w:r>
      <w:r>
        <w:t xml:space="preserve"> million per annum, which can be reached over three years, and</w:t>
      </w:r>
    </w:p>
    <w:p w:rsidR="00691DA8" w:rsidRDefault="00691DA8" w:rsidP="00263482">
      <w:pPr>
        <w:pStyle w:val="ListParagraph"/>
        <w:numPr>
          <w:ilvl w:val="0"/>
          <w:numId w:val="55"/>
        </w:numPr>
      </w:pPr>
      <w:r>
        <w:t>implementation of Option 2 can reduce costs associated with workers compensation claims by 80 per cent from current levels saving a further $290,000 per annum.</w:t>
      </w:r>
    </w:p>
    <w:p w:rsidR="00691DA8" w:rsidRDefault="00691DA8" w:rsidP="00691DA8">
      <w:r>
        <w:t xml:space="preserve">This option would also provide a range of additional health benefits for lead-exposed workers that could not be quantified reliably in the CBA including from reduced incidence of problems associated with the nervous system, blood, kidneys, liver, endocrine system, immune system and reproductive system. </w:t>
      </w:r>
    </w:p>
    <w:p w:rsidR="00691DA8" w:rsidRPr="004C4DEF" w:rsidRDefault="00691DA8" w:rsidP="00E77182">
      <w:pPr>
        <w:pStyle w:val="Heading3"/>
      </w:pPr>
      <w:r w:rsidRPr="004C4DEF">
        <w:t>Overall impacts of Option 2</w:t>
      </w:r>
    </w:p>
    <w:p w:rsidR="00691DA8" w:rsidRDefault="00691DA8" w:rsidP="00691DA8">
      <w:r>
        <w:t>Using the assumptions outlined above:</w:t>
      </w:r>
    </w:p>
    <w:p w:rsidR="00691DA8" w:rsidRDefault="00691DA8" w:rsidP="00263482">
      <w:pPr>
        <w:pStyle w:val="ListParagraph"/>
        <w:numPr>
          <w:ilvl w:val="0"/>
          <w:numId w:val="61"/>
        </w:numPr>
      </w:pPr>
      <w:r>
        <w:t>the average costs of Option 2 over 10 years has been calculated at $2.7 million per annum</w:t>
      </w:r>
    </w:p>
    <w:p w:rsidR="00691DA8" w:rsidRDefault="00691DA8" w:rsidP="00263482">
      <w:pPr>
        <w:pStyle w:val="ListParagraph"/>
        <w:numPr>
          <w:ilvl w:val="0"/>
          <w:numId w:val="61"/>
        </w:numPr>
      </w:pPr>
      <w:r>
        <w:t>the average benefit of Option 2 over 10 years has been estimated at $4.</w:t>
      </w:r>
      <w:r w:rsidR="00B31477">
        <w:t>8</w:t>
      </w:r>
      <w:r>
        <w:t xml:space="preserve"> million per annum, and </w:t>
      </w:r>
    </w:p>
    <w:p w:rsidR="00691DA8" w:rsidRDefault="00691DA8" w:rsidP="00263482">
      <w:pPr>
        <w:pStyle w:val="ListParagraph"/>
        <w:numPr>
          <w:ilvl w:val="0"/>
          <w:numId w:val="61"/>
        </w:numPr>
      </w:pPr>
      <w:r>
        <w:t>the total, quantifiable benefits over 10 years are estimated to exceed the costs by a ratio of 1.5</w:t>
      </w:r>
      <w:r w:rsidR="00B31477">
        <w:t>7</w:t>
      </w:r>
      <w:r>
        <w:t xml:space="preserve"> to one. </w:t>
      </w:r>
    </w:p>
    <w:p w:rsidR="00AF5A5A" w:rsidRDefault="00AF5A5A" w:rsidP="00AF5A5A">
      <w:r>
        <w:t xml:space="preserve">The 10 year costs and benefits of Option 2 are presented in </w:t>
      </w:r>
      <w:r>
        <w:fldChar w:fldCharType="begin"/>
      </w:r>
      <w:r>
        <w:instrText xml:space="preserve"> REF _Ref456778009 \h </w:instrText>
      </w:r>
      <w:r>
        <w:fldChar w:fldCharType="separate"/>
      </w:r>
      <w:r w:rsidR="00052CE1">
        <w:t xml:space="preserve">Figure </w:t>
      </w:r>
      <w:r w:rsidR="00052CE1">
        <w:rPr>
          <w:noProof/>
        </w:rPr>
        <w:t>7</w:t>
      </w:r>
      <w:r>
        <w:fldChar w:fldCharType="end"/>
      </w:r>
      <w:r>
        <w:t>.</w:t>
      </w:r>
    </w:p>
    <w:p w:rsidR="00691DA8" w:rsidRDefault="00691DA8" w:rsidP="00691DA8">
      <w:pPr>
        <w:pStyle w:val="BodyText"/>
        <w:keepNext/>
      </w:pPr>
      <w:r>
        <w:rPr>
          <w:noProof/>
          <w:lang w:eastAsia="en-AU"/>
        </w:rPr>
        <w:drawing>
          <wp:inline distT="0" distB="0" distL="0" distR="0" wp14:anchorId="5ACE5D93" wp14:editId="39E8C238">
            <wp:extent cx="5943600" cy="2089744"/>
            <wp:effectExtent l="0" t="0" r="0" b="6350"/>
            <wp:docPr id="7" name="Picture 7" descr="Figure 7 shows the 10 year costs and benefits associated with Option 2. Initially, the costs outweigh the benefits, with a net cost over the first two years of $4 million and $2 million. From the third year onwards, the net benefits are approximately $2 million annually."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2089744"/>
                    </a:xfrm>
                    <a:prstGeom prst="rect">
                      <a:avLst/>
                    </a:prstGeom>
                    <a:noFill/>
                    <a:ln>
                      <a:noFill/>
                    </a:ln>
                  </pic:spPr>
                </pic:pic>
              </a:graphicData>
            </a:graphic>
          </wp:inline>
        </w:drawing>
      </w:r>
    </w:p>
    <w:p w:rsidR="00691DA8" w:rsidRPr="00263C91" w:rsidRDefault="00691DA8" w:rsidP="00246EC0">
      <w:pPr>
        <w:pStyle w:val="TableHeadingText"/>
        <w:keepNext w:val="0"/>
        <w:rPr>
          <w:b w:val="0"/>
        </w:rPr>
      </w:pPr>
      <w:bookmarkStart w:id="111" w:name="_Ref456778009"/>
      <w:r>
        <w:t xml:space="preserve">Figure </w:t>
      </w:r>
      <w:r w:rsidR="00CB69C0">
        <w:fldChar w:fldCharType="begin"/>
      </w:r>
      <w:r w:rsidR="00CB69C0">
        <w:instrText xml:space="preserve"> SEQ Figure \* ARABIC </w:instrText>
      </w:r>
      <w:r w:rsidR="00CB69C0">
        <w:fldChar w:fldCharType="separate"/>
      </w:r>
      <w:r w:rsidR="00052CE1">
        <w:rPr>
          <w:noProof/>
        </w:rPr>
        <w:t>7</w:t>
      </w:r>
      <w:r w:rsidR="00CB69C0">
        <w:rPr>
          <w:noProof/>
        </w:rPr>
        <w:fldChar w:fldCharType="end"/>
      </w:r>
      <w:bookmarkEnd w:id="111"/>
      <w:r>
        <w:t xml:space="preserve">. </w:t>
      </w:r>
      <w:r w:rsidRPr="00263C91">
        <w:rPr>
          <w:b w:val="0"/>
        </w:rPr>
        <w:t xml:space="preserve">Ten year costs and benefits associated with Option 2 </w:t>
      </w:r>
    </w:p>
    <w:p w:rsidR="00691DA8" w:rsidRPr="004C4DEF" w:rsidRDefault="00691DA8" w:rsidP="00E77182">
      <w:pPr>
        <w:pStyle w:val="Heading3"/>
      </w:pPr>
      <w:r w:rsidRPr="004C4DEF">
        <w:t xml:space="preserve">Strengths and weaknesses of the analysis </w:t>
      </w:r>
    </w:p>
    <w:p w:rsidR="00691DA8" w:rsidRDefault="00691DA8" w:rsidP="00691DA8">
      <w:r>
        <w:t>The quantitative analysis of this option has been undertaken using the best available data, but the analysis still relies on a number of assumptions about its costs and benefits. The strengths and weaknesses of these assumptions are discussed below.</w:t>
      </w:r>
    </w:p>
    <w:p w:rsidR="00691DA8" w:rsidRDefault="00691DA8" w:rsidP="00E77182">
      <w:pPr>
        <w:pStyle w:val="Heading4"/>
      </w:pPr>
      <w:r>
        <w:t>Blood lead testing costs and worker removal costs</w:t>
      </w:r>
    </w:p>
    <w:p w:rsidR="00691DA8" w:rsidRDefault="00691DA8" w:rsidP="00691DA8">
      <w:r>
        <w:t xml:space="preserve">We can be fairly confident of the estimate of the total costs associated with additional blood lead level testing and removing workers from lead risk work. The results of all blood lead level tests in four states were provided for the CBA, representing around 80 per cent of the lead-risk workforce. This was extrapolated to form an Australia-wide estimate of what would have occurred if Option 2 had been in place in 2015. </w:t>
      </w:r>
    </w:p>
    <w:p w:rsidR="00691DA8" w:rsidRDefault="00691DA8" w:rsidP="00691DA8">
      <w:r>
        <w:t>This data clearly showed that only about one per cent of the lead risk workforce have exceeded the 30 μg/dL threshold for removal in 2015, and also shows the maximum number of blood tests that would need to be performed for this option.</w:t>
      </w:r>
    </w:p>
    <w:p w:rsidR="00691DA8" w:rsidRDefault="00691DA8" w:rsidP="00691DA8">
      <w:r>
        <w:t>Data from submissions and subsequent consultations provided a strong basis for estimating the unit costs associated with increasing blood lead level testing and the removal of workers from lead risk work.</w:t>
      </w:r>
    </w:p>
    <w:p w:rsidR="00691DA8" w:rsidRDefault="00691DA8" w:rsidP="00E77182">
      <w:pPr>
        <w:pStyle w:val="Heading4"/>
      </w:pPr>
      <w:r>
        <w:t xml:space="preserve">Ongoing and capital costs </w:t>
      </w:r>
    </w:p>
    <w:p w:rsidR="00691DA8" w:rsidRDefault="00691DA8" w:rsidP="00691DA8">
      <w:r>
        <w:t xml:space="preserve">Due to the diversity in the nature of lead-risk work, and the starting point of businesses undertaking this type of work, businesses reported a wide range of estimates of the capital and ongoing costs that would be associated with implementing Option 2. </w:t>
      </w:r>
    </w:p>
    <w:p w:rsidR="00691DA8" w:rsidRDefault="00691DA8" w:rsidP="00691DA8">
      <w:r>
        <w:t xml:space="preserve">However, Victorian data showed that only 30 per cent of lead-risk businesses in 2015 had a worker with a test of greater than the proposed threshold for removal (the data from other states did not identify the worker’s employer), so it is possible that some businesses have over-estimated these costs. </w:t>
      </w:r>
    </w:p>
    <w:p w:rsidR="00691DA8" w:rsidRDefault="00691DA8" w:rsidP="00691DA8">
      <w:r>
        <w:t xml:space="preserve">The CBA is particularly sensitive to the cost estimates associated with the small number of very large lead-risk businesses. Based on the data available, only a very small proportion of workers at these businesses would have exceeded the 30 μg/dL removal limit in 2015. </w:t>
      </w:r>
    </w:p>
    <w:p w:rsidR="00691DA8" w:rsidRDefault="00691DA8" w:rsidP="00691DA8">
      <w:r>
        <w:t>After consulting with these businesses, it appears that a significant proportion of the costs they have estimated would be associated with lowering the removal level to this amount, are based on the business applying a further buffer between the blood lead levels of their workforce and the regulatory requirement. Not all of these costs can therefore be attributed to the regulatory change.</w:t>
      </w:r>
    </w:p>
    <w:p w:rsidR="00691DA8" w:rsidRDefault="00691DA8" w:rsidP="00E77182">
      <w:pPr>
        <w:pStyle w:val="Heading4"/>
      </w:pPr>
      <w:r>
        <w:t xml:space="preserve">Health benefits and reduced workers compensation benefits </w:t>
      </w:r>
    </w:p>
    <w:p w:rsidR="00691DA8" w:rsidRDefault="00691DA8" w:rsidP="00691DA8">
      <w:r>
        <w:t xml:space="preserve">There is some uncertainty about the monetary value of the health benefits that can be derived from reducing blood lead levels. Values could only be calculated for four of the illnesses and diseases which high blood lead levels have been associated with.  </w:t>
      </w:r>
    </w:p>
    <w:p w:rsidR="00691DA8" w:rsidRDefault="00691DA8" w:rsidP="00691DA8">
      <w:r>
        <w:t>For these four conditions (liver cancer, oesophageal cancer, stroke and ischemic heart disease), there is good evidence supporting the estimate of the costs per case, but assumptions have needed to be made about the extent that the reduction would contribute to a reduction in their incidence.</w:t>
      </w:r>
    </w:p>
    <w:p w:rsidR="00691DA8" w:rsidRDefault="00691DA8" w:rsidP="00691DA8">
      <w:r>
        <w:t>The figures presented in the CBA should be considered to be illustrative of the minimum level of health benefits that would be realised from reducing worker’s blood lead levels. If additional evidence could have been found to quantify the costs associated with all of the adverse health conditions that have been associated with high blood lead levels, then the estimate of the health benefits would likely be much higher.</w:t>
      </w:r>
    </w:p>
    <w:p w:rsidR="00691DA8" w:rsidRDefault="00691DA8" w:rsidP="00E77182">
      <w:pPr>
        <w:pStyle w:val="Heading4"/>
      </w:pPr>
      <w:r>
        <w:t>Break-even analysis</w:t>
      </w:r>
    </w:p>
    <w:p w:rsidR="00691DA8" w:rsidRDefault="00691DA8" w:rsidP="00691DA8">
      <w:r>
        <w:t>Overall, the CBA is most sensitive to assumptions about increases capital and ongoing costs associated with the change and also the monetary value medical benefits associated with reduction in lead levels.</w:t>
      </w:r>
    </w:p>
    <w:p w:rsidR="00691DA8" w:rsidRDefault="00691DA8" w:rsidP="00691DA8">
      <w:r>
        <w:t>Sensitivity analysis of the figures above has been undertaken, to illustrate the number of adverse illnesses and diseases that would need to be avoided for the benefits of the option to exceed the costs (using the weighted cost of each case of illness or disease). This approach is otherwise known as a break even analysis.</w:t>
      </w:r>
    </w:p>
    <w:p w:rsidR="00691DA8" w:rsidRDefault="00691DA8" w:rsidP="00691DA8">
      <w:r>
        <w:t xml:space="preserve">The weighted cost of each case of lead related illness or disease has been estimated at </w:t>
      </w:r>
      <w:r>
        <w:br/>
        <w:t>$0.4 million (including financial and non-financial costs). The costs associated with implementing Option 2 average $2.</w:t>
      </w:r>
      <w:r w:rsidR="00B31477">
        <w:t>7</w:t>
      </w:r>
      <w:r>
        <w:t xml:space="preserve"> million over 10 years, which means the implementation of this option would have to result in six avoided cases of these injuries or illnesses per year, across a lead risk workforce of approximately 10,000 for the benefits to exceed the costs. The analysis in this report show this is likely to be achieved across the four conditions where there was sufficient evidence to quantify the benefits of reducing blood lead levels (i.e. liver cancer, oesophageal cancer, stroke and ischaemic heart disease).</w:t>
      </w:r>
    </w:p>
    <w:p w:rsidR="00691DA8" w:rsidRDefault="00691DA8" w:rsidP="00E77182">
      <w:pPr>
        <w:pStyle w:val="Heading4"/>
      </w:pPr>
      <w:r>
        <w:t>Sensitivity to discount rate assumptions</w:t>
      </w:r>
    </w:p>
    <w:p w:rsidR="00691DA8" w:rsidRDefault="00691DA8" w:rsidP="00691DA8">
      <w:r>
        <w:t xml:space="preserve">In addition to the seven per cent ‘central’ discount rate used for the CBA, Option 2 has also been assessed using real discount rates of three per cent and 10 per cent. </w:t>
      </w:r>
    </w:p>
    <w:p w:rsidR="00691DA8" w:rsidRDefault="00691DA8" w:rsidP="00691DA8">
      <w:r>
        <w:t>For both of the rates, the benefits of Option 2 are estimated to exceed the costs (by a ratio of 1.6</w:t>
      </w:r>
      <w:r w:rsidR="00B31477">
        <w:t>8</w:t>
      </w:r>
      <w:r>
        <w:t xml:space="preserve"> to one for a three per cent discount rate and by a ratio of</w:t>
      </w:r>
      <w:r w:rsidR="00B31477">
        <w:t xml:space="preserve"> 1.49 </w:t>
      </w:r>
      <w:r>
        <w:t>to one for a 10 per cent discount rate). This suggests the CBA is not sensitive to decisions about the discount rate.</w:t>
      </w:r>
    </w:p>
    <w:p w:rsidR="000A72CA" w:rsidRPr="0071512F" w:rsidRDefault="000A72CA" w:rsidP="00E77182">
      <w:pPr>
        <w:pStyle w:val="Heading3"/>
      </w:pPr>
      <w:r w:rsidRPr="0071512F">
        <w:t xml:space="preserve">Distribution </w:t>
      </w:r>
      <w:r>
        <w:t xml:space="preserve">of </w:t>
      </w:r>
      <w:r w:rsidRPr="0071512F">
        <w:t xml:space="preserve">impacts </w:t>
      </w:r>
      <w:r>
        <w:t>on industry</w:t>
      </w:r>
    </w:p>
    <w:p w:rsidR="000A72CA" w:rsidRDefault="000A72CA" w:rsidP="000A72CA">
      <w:r>
        <w:t>Over 10 years, it is estimated that the largest share of the costs from Option 2 (72 per cent, or $18 million) will be borne by very large businesses (i.e. mines and smelters), as these businesses employ the majority of lead process workers. An estimated 15 per cent of costs ($3.7 million) will be borne by medium and large businesses and 13 per cent ($3.3 million) will be borne by small businesses.</w:t>
      </w:r>
    </w:p>
    <w:p w:rsidR="000A72CA" w:rsidRDefault="000A72CA" w:rsidP="000A72CA">
      <w:r w:rsidRPr="00073497">
        <w:rPr>
          <w:noProof/>
          <w:lang w:eastAsia="en-AU"/>
        </w:rPr>
        <w:drawing>
          <wp:inline distT="0" distB="0" distL="0" distR="0" wp14:anchorId="316FB4D0" wp14:editId="25785A91">
            <wp:extent cx="5974080" cy="2657274"/>
            <wp:effectExtent l="0" t="0" r="7620" b="0"/>
            <wp:docPr id="11" name="Picture 11" descr="Figure 8 shows the costs of Option 2 over 10 years, by type of business. It is estimated that the largest share of the costs from Option 2 (72 per cent, or $18 million) will be borne by very large businesses. An estimated 15 per cent of costs ($3.7 million) will be borne by medium and large businesses and 13 per cent ($3.3 million) will be borne by small businesses."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4080" cy="2657274"/>
                    </a:xfrm>
                    <a:prstGeom prst="rect">
                      <a:avLst/>
                    </a:prstGeom>
                    <a:noFill/>
                    <a:ln>
                      <a:noFill/>
                    </a:ln>
                  </pic:spPr>
                </pic:pic>
              </a:graphicData>
            </a:graphic>
          </wp:inline>
        </w:drawing>
      </w:r>
    </w:p>
    <w:p w:rsidR="000A72CA" w:rsidRDefault="000A72CA" w:rsidP="000A72CA">
      <w:pPr>
        <w:pStyle w:val="TableHeadingText"/>
      </w:pPr>
      <w:r w:rsidRPr="00073497">
        <w:t xml:space="preserve"> </w:t>
      </w:r>
      <w:r>
        <w:t xml:space="preserve">Figure </w:t>
      </w:r>
      <w:r w:rsidR="00CB69C0">
        <w:fldChar w:fldCharType="begin"/>
      </w:r>
      <w:r w:rsidR="00CB69C0">
        <w:instrText xml:space="preserve"> SEQ Figure \* ARABIC </w:instrText>
      </w:r>
      <w:r w:rsidR="00CB69C0">
        <w:fldChar w:fldCharType="separate"/>
      </w:r>
      <w:r w:rsidR="00052CE1">
        <w:rPr>
          <w:noProof/>
        </w:rPr>
        <w:t>8</w:t>
      </w:r>
      <w:r w:rsidR="00CB69C0">
        <w:rPr>
          <w:noProof/>
        </w:rPr>
        <w:fldChar w:fldCharType="end"/>
      </w:r>
      <w:r>
        <w:t xml:space="preserve">. </w:t>
      </w:r>
      <w:r w:rsidRPr="00263C91">
        <w:rPr>
          <w:b w:val="0"/>
        </w:rPr>
        <w:t>10 year costs of Option 2, by type of business</w:t>
      </w:r>
    </w:p>
    <w:p w:rsidR="00691DA8" w:rsidRPr="00313AAD" w:rsidRDefault="00691DA8" w:rsidP="00263482">
      <w:pPr>
        <w:pStyle w:val="Heading2"/>
        <w:ind w:left="426"/>
      </w:pPr>
      <w:bookmarkStart w:id="112" w:name="_Toc459276919"/>
      <w:r w:rsidRPr="00313AAD">
        <w:t xml:space="preserve">Impacts of </w:t>
      </w:r>
      <w:r w:rsidR="003E51AA">
        <w:t>blood lead level o</w:t>
      </w:r>
      <w:r w:rsidRPr="00313AAD">
        <w:t xml:space="preserve">ption 3 </w:t>
      </w:r>
      <w:bookmarkEnd w:id="112"/>
    </w:p>
    <w:p w:rsidR="00691DA8" w:rsidRDefault="00691DA8" w:rsidP="00691DA8">
      <w:r>
        <w:t xml:space="preserve">The following section outlines the impacts of Option 3 for the reduction of blood lead removal levels. </w:t>
      </w:r>
    </w:p>
    <w:p w:rsidR="00691DA8" w:rsidRDefault="00691DA8" w:rsidP="00691DA8">
      <w:r>
        <w:t>Many lead process businesses did not provide an estimate of the costs associated this option, because they did not think it would be economically feasible, instead indicating that it would result in either the business closing or relocating to a country with less stringent requirements. It has not been possible to calculate the net impacts of this option. Therefore, the impacts have been assessed using a combination of quantitative and qualitative analysis.</w:t>
      </w:r>
    </w:p>
    <w:p w:rsidR="00691DA8" w:rsidRPr="004C4DEF" w:rsidRDefault="00691DA8" w:rsidP="00E77182">
      <w:pPr>
        <w:pStyle w:val="Heading3"/>
      </w:pPr>
      <w:r w:rsidRPr="004C4DEF">
        <w:t>Compliance costs</w:t>
      </w:r>
    </w:p>
    <w:p w:rsidR="00691DA8" w:rsidRDefault="00691DA8" w:rsidP="00691DA8">
      <w:r>
        <w:t>Using the assumptions outlined in this chapter, the following costs and benefits have been identified for Option 3:</w:t>
      </w:r>
    </w:p>
    <w:p w:rsidR="00691DA8" w:rsidRDefault="00691DA8" w:rsidP="00263482">
      <w:pPr>
        <w:pStyle w:val="ListParagraph"/>
        <w:numPr>
          <w:ilvl w:val="0"/>
          <w:numId w:val="56"/>
        </w:numPr>
      </w:pPr>
      <w:r>
        <w:t>businesses would need to increase the frequency of the blood lead level testing of their workforce by more than double at a cost $3.1 million per annum (six times the increase for Option 2);</w:t>
      </w:r>
    </w:p>
    <w:p w:rsidR="00691DA8" w:rsidRDefault="00691DA8" w:rsidP="00263482">
      <w:pPr>
        <w:pStyle w:val="ListParagraph"/>
        <w:numPr>
          <w:ilvl w:val="0"/>
          <w:numId w:val="56"/>
        </w:numPr>
      </w:pPr>
      <w:r>
        <w:t>nearly 2,600 workers with blood lead levels above 10 μg/dL (about one-quarter of the lead risk workforce) would need to be removed from lead risk work. This would cost an estimated $14 million per annum, based on the current blood lead levels of the workforce (19 times the increase for Option 2). It is doubtful these costs would actually be incurred, as it is more likely to result in the closure of many lead-related businesses or their relocation off-shore, and</w:t>
      </w:r>
    </w:p>
    <w:p w:rsidR="00691DA8" w:rsidRDefault="00691DA8" w:rsidP="00263482">
      <w:pPr>
        <w:pStyle w:val="ListParagraph"/>
        <w:numPr>
          <w:ilvl w:val="0"/>
          <w:numId w:val="56"/>
        </w:numPr>
      </w:pPr>
      <w:r>
        <w:t>the capital costs associated with this option could not be quantified, but are estimated to be very high. Many businesses indicated that they could not become compliant with the standards proposed for Option 3 either at all or without completely re-engineering processes; at a cost in the millions for many small and medium sized businesses and in the hundreds of millions for many of the larger businesses.</w:t>
      </w:r>
    </w:p>
    <w:p w:rsidR="00691DA8" w:rsidRPr="004C4DEF" w:rsidRDefault="00691DA8" w:rsidP="00E77182">
      <w:pPr>
        <w:pStyle w:val="Heading3"/>
      </w:pPr>
      <w:r w:rsidRPr="004C4DEF">
        <w:t>Health effects</w:t>
      </w:r>
    </w:p>
    <w:p w:rsidR="00691DA8" w:rsidRDefault="00691DA8" w:rsidP="00691DA8">
      <w:r>
        <w:t xml:space="preserve">The 2014 Report (SWA 2014b), which reviewed the most current literature on health impacts associated with lead exposure, found most health effects observed with occupational exposure to lead have been associated with blood lead levels of more than 20 μg/dL, with stronger associations found for blood lead levels above 30 μg/dL. </w:t>
      </w:r>
    </w:p>
    <w:p w:rsidR="00691DA8" w:rsidRDefault="00691DA8" w:rsidP="00691DA8">
      <w:r>
        <w:t xml:space="preserve">Some of the literature reviewed identified associations between adverse health effects and blood lead levels around the level proposed for Option 3 (i.e. 10 μg/dL). Effects included nervous system abnormalities, blood conditions and stress. </w:t>
      </w:r>
    </w:p>
    <w:p w:rsidR="00691DA8" w:rsidRDefault="00691DA8" w:rsidP="00691DA8">
      <w:r>
        <w:t>Overall the literature suggested the greatest health gains were likely to be from reducing the higher-levels of lead in blood to 20 or 30 μg/dL and there are likely to be diminishing returns from adopting a target level below this.</w:t>
      </w:r>
    </w:p>
    <w:p w:rsidR="00691DA8" w:rsidRDefault="00691DA8" w:rsidP="00691DA8">
      <w:r>
        <w:t xml:space="preserve">Therefore, the health benefits from the reduction of the blood lead removal levels to 10 </w:t>
      </w:r>
      <w:r>
        <w:rPr>
          <w:rFonts w:cstheme="minorHAnsi"/>
        </w:rPr>
        <w:t>µ</w:t>
      </w:r>
      <w:r>
        <w:t>g/dL are not considered to be significantly different to those of Option 2.</w:t>
      </w:r>
    </w:p>
    <w:p w:rsidR="00691DA8" w:rsidRPr="004C4DEF" w:rsidRDefault="00691DA8" w:rsidP="00E77182">
      <w:pPr>
        <w:pStyle w:val="Heading3"/>
      </w:pPr>
      <w:r w:rsidRPr="004C4DEF">
        <w:t>Overall impacts of Option 3</w:t>
      </w:r>
    </w:p>
    <w:p w:rsidR="00691DA8" w:rsidRDefault="00691DA8" w:rsidP="00691DA8">
      <w:r>
        <w:t xml:space="preserve">Overall, the costs of Option 3 are estimated to exceed the benefits by a substantial amount. </w:t>
      </w:r>
    </w:p>
    <w:p w:rsidR="00691DA8" w:rsidRDefault="00691DA8" w:rsidP="00691DA8">
      <w:r>
        <w:t xml:space="preserve">The evidence collected for the CBA shows that the costs associated with this option increase exponentially compared to Option 2; but there are diminishing incremental increases in health benefits. Industry feedback on this option was overwhelmingly negative, with many businesses indicating that it would not be feasible for them to meet the lead levels proposed in the option. </w:t>
      </w:r>
    </w:p>
    <w:p w:rsidR="00691DA8" w:rsidRPr="00313AAD" w:rsidRDefault="00691DA8" w:rsidP="00263482">
      <w:pPr>
        <w:pStyle w:val="Heading2"/>
        <w:ind w:left="426"/>
      </w:pPr>
      <w:bookmarkStart w:id="113" w:name="_Toc459276920"/>
      <w:r w:rsidRPr="00313AAD">
        <w:t>Impacts of options for workplace exposure standard (WES) for dusts and fumes of inorganic lead</w:t>
      </w:r>
      <w:bookmarkEnd w:id="113"/>
    </w:p>
    <w:p w:rsidR="00691DA8" w:rsidRDefault="00691DA8" w:rsidP="00C82781">
      <w:r>
        <w:t>As noted earlier in the RIS, the main duties for a person conducting a business or undertaking that relate to airborne dusts and fumes of inorganic lead exposure are:</w:t>
      </w:r>
    </w:p>
    <w:p w:rsidR="00691DA8" w:rsidRDefault="00691DA8" w:rsidP="00263482">
      <w:pPr>
        <w:pStyle w:val="ListParagraph"/>
        <w:numPr>
          <w:ilvl w:val="0"/>
          <w:numId w:val="57"/>
        </w:numPr>
      </w:pPr>
      <w:r>
        <w:t>ensure no one at the workplace is exposed to airborne contaminants of lead above the workplace exposure standard</w:t>
      </w:r>
    </w:p>
    <w:p w:rsidR="00691DA8" w:rsidRPr="00455068" w:rsidRDefault="00691DA8" w:rsidP="00263482">
      <w:pPr>
        <w:pStyle w:val="ListParagraph"/>
        <w:numPr>
          <w:ilvl w:val="0"/>
          <w:numId w:val="57"/>
        </w:numPr>
        <w:autoSpaceDE w:val="0"/>
        <w:autoSpaceDN w:val="0"/>
        <w:adjustRightInd w:val="0"/>
        <w:spacing w:after="0"/>
        <w:rPr>
          <w:rFonts w:ascii="Arial" w:hAnsi="Arial" w:cs="Arial"/>
          <w:color w:val="000000"/>
        </w:rPr>
      </w:pPr>
      <w:r w:rsidRPr="00455068">
        <w:rPr>
          <w:rFonts w:ascii="Arial" w:hAnsi="Arial" w:cs="Arial"/>
          <w:color w:val="000000"/>
        </w:rPr>
        <w:t xml:space="preserve">conduct air monitoring if it is not known whether exposure will exceed the exposure standard or monitoring is necessary to determine if there is a risk to health </w:t>
      </w:r>
    </w:p>
    <w:p w:rsidR="00691DA8" w:rsidRDefault="00691DA8" w:rsidP="00263482">
      <w:pPr>
        <w:pStyle w:val="ListParagraph"/>
        <w:numPr>
          <w:ilvl w:val="0"/>
          <w:numId w:val="57"/>
        </w:numPr>
      </w:pPr>
      <w:r>
        <w:t>assess and manage risks from airborne contaminants, and</w:t>
      </w:r>
    </w:p>
    <w:p w:rsidR="00691DA8" w:rsidRDefault="00691DA8" w:rsidP="00263482">
      <w:pPr>
        <w:pStyle w:val="ListParagraph"/>
        <w:numPr>
          <w:ilvl w:val="0"/>
          <w:numId w:val="57"/>
        </w:numPr>
      </w:pPr>
      <w:r>
        <w:t>record keeping.</w:t>
      </w:r>
    </w:p>
    <w:p w:rsidR="00691DA8" w:rsidRDefault="00691DA8" w:rsidP="00691DA8">
      <w:r>
        <w:t>Air monitoring is only required if the workplace exposure standard is exceeded or to check that the control measures in place are effective. Air monitoring should only be used as a part of an overall workplace lead control strategy and is not considered to be a control measure in itself.</w:t>
      </w:r>
    </w:p>
    <w:p w:rsidR="00691DA8" w:rsidRPr="004C4DEF" w:rsidRDefault="00691DA8" w:rsidP="00E77182">
      <w:pPr>
        <w:pStyle w:val="Heading3"/>
      </w:pPr>
      <w:r w:rsidRPr="004C4DEF">
        <w:t>Evidence from submissions</w:t>
      </w:r>
    </w:p>
    <w:p w:rsidR="00691DA8" w:rsidRDefault="00691DA8" w:rsidP="00691DA8">
      <w:r>
        <w:t xml:space="preserve">Some lead-related businesses provided evidence in their submissions about how they comply with the current WES (Option 1) and the potential impacts of changes (Options 2, 3 and 4). </w:t>
      </w:r>
    </w:p>
    <w:p w:rsidR="00691DA8" w:rsidRDefault="00691DA8" w:rsidP="00691DA8">
      <w:r>
        <w:t xml:space="preserve">Based on the evidence provided by the businesses, air monitoring is considered the main additional cost of complying with the WES (i.e. in addition to the other costs the business incurs controlling levels of lead in blood). </w:t>
      </w:r>
    </w:p>
    <w:p w:rsidR="00691DA8" w:rsidRDefault="00691DA8" w:rsidP="00691DA8">
      <w:r>
        <w:t xml:space="preserve">Air monitoring is undertaken by some businesses on a regular basis (ranging from weekly to every two years) and by others on an ad hoc basis (for example often following a change in a lead process to check the effectiveness of control measures). </w:t>
      </w:r>
    </w:p>
    <w:p w:rsidR="00691DA8" w:rsidRDefault="00691DA8" w:rsidP="00691DA8">
      <w:r>
        <w:t xml:space="preserve">The estimated costs of current air monitoring activities ranged from $900,000 per annum (for a very large business) to around $5,000 per occurrence (more of representative of the costs incurred by ad hoc air monitoring undertaken by medium sized businesses). The costs for small businesses are less clear; however it is unlikely many of these businesses undertake frequent air monitoring. </w:t>
      </w:r>
    </w:p>
    <w:p w:rsidR="00691DA8" w:rsidRDefault="00691DA8" w:rsidP="00691DA8">
      <w:r>
        <w:t xml:space="preserve">The Victorian RIS for Hazardous Substances Regulations </w:t>
      </w:r>
      <w:r w:rsidRPr="00691DA8">
        <w:t>(2000)</w:t>
      </w:r>
      <w:r>
        <w:t xml:space="preserve"> reported that only five per cent of businesses use air monitoring to gauge whether or not a WES had been exceeded. Regulator submissions noted that air monitoring is not well understood by industry and therefore not applied correctly in many circumstances.</w:t>
      </w:r>
    </w:p>
    <w:p w:rsidR="00691DA8" w:rsidRDefault="00691DA8" w:rsidP="00691DA8">
      <w:r>
        <w:t>Overall, businesses reported that the additional costs of air monitoring were less than 10 per cent of the total costs associated with controlling lead exposure at their workplace.</w:t>
      </w:r>
    </w:p>
    <w:p w:rsidR="00691DA8" w:rsidRDefault="00691DA8" w:rsidP="00691DA8">
      <w:r>
        <w:t xml:space="preserve">For many businesses monitoring and controlling the level of lead in air is seen as an essential part of an overall lead control strategy. However, for some businesses airborne lead is not considered the main source of their workforce’s exposure to lead. </w:t>
      </w:r>
    </w:p>
    <w:p w:rsidR="00691DA8" w:rsidRDefault="00691DA8" w:rsidP="00691DA8">
      <w:r>
        <w:t xml:space="preserve">Businesses identified some additional costs associated with monitoring the level of lead in air as a result of implementing either Option 2 or Option 3. For many businesses, these costs were identified as corresponding with Options 2 and 3 for blood lead levels. Responses noted that the control measures used to reduce the concentration of airborne lead contaminants would be the same as those applied to the corresponding option for blood lead levels and therefore there is no additional cost to those outlined for the options for blood lead levels. </w:t>
      </w:r>
    </w:p>
    <w:p w:rsidR="00691DA8" w:rsidRDefault="00691DA8" w:rsidP="00691DA8">
      <w:r>
        <w:t>There was mixed of support from submissions for the different WES options:</w:t>
      </w:r>
    </w:p>
    <w:p w:rsidR="00691DA8" w:rsidRDefault="00691DA8" w:rsidP="00263482">
      <w:pPr>
        <w:pStyle w:val="ListParagraph"/>
        <w:numPr>
          <w:ilvl w:val="0"/>
          <w:numId w:val="62"/>
        </w:numPr>
      </w:pPr>
      <w:r>
        <w:t>some businesses supported no change to the current WES (Option 1)</w:t>
      </w:r>
    </w:p>
    <w:p w:rsidR="00691DA8" w:rsidRDefault="00691DA8" w:rsidP="00263482">
      <w:pPr>
        <w:pStyle w:val="ListParagraph"/>
        <w:numPr>
          <w:ilvl w:val="0"/>
          <w:numId w:val="62"/>
        </w:numPr>
      </w:pPr>
      <w:r>
        <w:t>generally, businesses that supported option 2 for blood lead removal levels also supported a corresponding lowering of the WES (Option 2), and</w:t>
      </w:r>
    </w:p>
    <w:p w:rsidR="00691DA8" w:rsidRDefault="00691DA8" w:rsidP="00263482">
      <w:pPr>
        <w:pStyle w:val="ListParagraph"/>
        <w:numPr>
          <w:ilvl w:val="0"/>
          <w:numId w:val="62"/>
        </w:numPr>
      </w:pPr>
      <w:r>
        <w:t xml:space="preserve">there was little support for Option 3, which like Option 3 for blood lead levels, was seen as unachievable and cost prohibitive. </w:t>
      </w:r>
    </w:p>
    <w:p w:rsidR="00691DA8" w:rsidRDefault="00691DA8" w:rsidP="00691DA8">
      <w:r>
        <w:t>Some responses supported a non-mandatory approach to controlling lead in air (Option 4), on the basis that it was an indirect measure of the level of lead exposure than biological monitoring. However, nearly all industry submissions indicated that they would not change their current level of air monitoring, nor would they change their control approaches should the status of the WES change.</w:t>
      </w:r>
    </w:p>
    <w:p w:rsidR="00691DA8" w:rsidRPr="004C4DEF" w:rsidRDefault="00691DA8" w:rsidP="00E77182">
      <w:pPr>
        <w:pStyle w:val="Heading3"/>
      </w:pPr>
      <w:r w:rsidRPr="004C4DEF">
        <w:t>Treatment of costs and benefits in the CBA for WES</w:t>
      </w:r>
    </w:p>
    <w:p w:rsidR="00691DA8" w:rsidRDefault="00691DA8" w:rsidP="00691DA8">
      <w:r>
        <w:t>It is difficult to accurately quantify the costs imposed by air monitoring for airborne contaminants of lead. As such, the CBA for the options for the WES for airborne contaminants of lead has included discussion around qualitative costs and benefits. Where solid data was available quantitative analysis was conducted.</w:t>
      </w:r>
    </w:p>
    <w:p w:rsidR="00691DA8" w:rsidRDefault="00691DA8" w:rsidP="00691DA8">
      <w:r>
        <w:t xml:space="preserve">It is important to avoid double-counting the costs associated with options for the WES and the costs associated with options for blood lead removal levels. </w:t>
      </w:r>
    </w:p>
    <w:p w:rsidR="00691DA8" w:rsidRDefault="00691DA8" w:rsidP="00691DA8">
      <w:r>
        <w:t xml:space="preserve">Many of the compliance costs identified in business’ submissions to the Consultation RIS related to controlling both the level of lead in air and in blood.  As discussed in Chapter </w:t>
      </w:r>
      <w:r w:rsidR="00226E87">
        <w:t>6</w:t>
      </w:r>
      <w:r>
        <w:t>, due to the idea of ‘perceived’ costs by industry, it is unclear whether businesses have costed accurately for compliance with air monitoring requirements.</w:t>
      </w:r>
    </w:p>
    <w:p w:rsidR="00691DA8" w:rsidRDefault="00691DA8" w:rsidP="00691DA8">
      <w:r>
        <w:t>Almost all businesses identified that there would be no decrease in air monitoring activities or change in control strategy (and therefore costs) associated with a change in WES status.</w:t>
      </w:r>
    </w:p>
    <w:p w:rsidR="00691DA8" w:rsidRPr="004C4DEF" w:rsidRDefault="00691DA8" w:rsidP="00E77182">
      <w:pPr>
        <w:pStyle w:val="Heading3"/>
      </w:pPr>
      <w:r w:rsidRPr="004C4DEF">
        <w:t>Option 2 –reduction of WES to 0.05 mg/m</w:t>
      </w:r>
      <w:r w:rsidRPr="004C4DEF">
        <w:rPr>
          <w:vertAlign w:val="superscript"/>
        </w:rPr>
        <w:t>3</w:t>
      </w:r>
      <w:r w:rsidRPr="004C4DEF">
        <w:t xml:space="preserve"> </w:t>
      </w:r>
    </w:p>
    <w:p w:rsidR="00691DA8" w:rsidRDefault="00691DA8" w:rsidP="00691DA8">
      <w:r>
        <w:t xml:space="preserve">For many businesses there will be no increase in costs associated with the WES Option 2 if Option 2 for blood lead levels is also implemented. </w:t>
      </w:r>
    </w:p>
    <w:p w:rsidR="00691DA8" w:rsidRDefault="00691DA8" w:rsidP="00691DA8">
      <w:r>
        <w:t xml:space="preserve">The CBA has included an increase in costs proportional to the current estimate of spending on air monitoring (i.e. an additional 10 per cent as discussed above), which would be the equivalent of an additional $231,000 per annum. </w:t>
      </w:r>
    </w:p>
    <w:p w:rsidR="00691DA8" w:rsidRDefault="00691DA8" w:rsidP="00691DA8">
      <w:r>
        <w:t xml:space="preserve">It is doubtful that the blood lead levels targeted for Option 2 (20 to 30 μg/dL) could be achieved in workplaces where inhalation is the primary source of exposure without a corresponding decrease in the levels of lead in air. However, as there is only an indirect link between lead in air and lead in blood and no further health benefits have been assumed for this option. </w:t>
      </w:r>
    </w:p>
    <w:p w:rsidR="00B31477" w:rsidRDefault="00691DA8" w:rsidP="00691DA8">
      <w:r>
        <w:t>With the inclusion of these additional costs to those outlined for Option 2 for blood lead levels, the benefits for Option 2 still exceed the costs, with a 10 year ratio of quantifiable benefits to costs of 1.4</w:t>
      </w:r>
      <w:r w:rsidR="00B31477">
        <w:t>6</w:t>
      </w:r>
      <w:r>
        <w:t xml:space="preserve"> to one. </w:t>
      </w:r>
    </w:p>
    <w:p w:rsidR="00691DA8" w:rsidRDefault="00691DA8" w:rsidP="00691DA8">
      <w:r>
        <w:t xml:space="preserve">Although there is some uncertainty around how to attribute the additional costs associated with changes to the WES, these costs would need to be substantially higher than those described above before the benefit to cost ratio of this option was below one. Based on the analysis conducted for the CBA this is considered unlikely. </w:t>
      </w:r>
    </w:p>
    <w:p w:rsidR="00691DA8" w:rsidRPr="004C4DEF" w:rsidRDefault="00691DA8" w:rsidP="00E77182">
      <w:pPr>
        <w:pStyle w:val="Heading3"/>
      </w:pPr>
      <w:r w:rsidRPr="004C4DEF">
        <w:t xml:space="preserve">Option 3 –reduction of WES to </w:t>
      </w:r>
      <w:r w:rsidR="00772554" w:rsidRPr="004C4DEF">
        <w:t>0.01 mg</w:t>
      </w:r>
      <w:r w:rsidRPr="004C4DEF">
        <w:t>/m</w:t>
      </w:r>
      <w:r w:rsidRPr="004C4DEF">
        <w:rPr>
          <w:vertAlign w:val="superscript"/>
        </w:rPr>
        <w:t>3</w:t>
      </w:r>
    </w:p>
    <w:p w:rsidR="00691DA8" w:rsidRDefault="00691DA8" w:rsidP="00691DA8">
      <w:r>
        <w:t xml:space="preserve">As with Option 3 for the lead in blood, this option was not seen as viable. </w:t>
      </w:r>
    </w:p>
    <w:p w:rsidR="00691DA8" w:rsidRDefault="00691DA8" w:rsidP="00691DA8">
      <w:r>
        <w:t xml:space="preserve">As with Option 3 for blood lead levels, this option would likely only provide a relatively small additional decrease in workers lead in blood levels (and therefore health effects), compared to Option 2. </w:t>
      </w:r>
    </w:p>
    <w:p w:rsidR="00691DA8" w:rsidRDefault="00691DA8" w:rsidP="00691DA8">
      <w:r>
        <w:t>Although the costs associated with this option could not be quantified, they are still expected to significantly exceed the benefits.</w:t>
      </w:r>
    </w:p>
    <w:p w:rsidR="00691DA8" w:rsidRPr="004C4DEF" w:rsidRDefault="00691DA8" w:rsidP="00E77182">
      <w:pPr>
        <w:pStyle w:val="Heading3"/>
      </w:pPr>
      <w:r w:rsidRPr="004C4DEF">
        <w:t>Option 4 – a non-</w:t>
      </w:r>
      <w:r w:rsidR="00915D2D">
        <w:t>regulatory</w:t>
      </w:r>
      <w:r w:rsidR="00915D2D" w:rsidRPr="004C4DEF">
        <w:t xml:space="preserve"> </w:t>
      </w:r>
      <w:r w:rsidRPr="004C4DEF">
        <w:t>WES for dusts and fumes of inorganic lead</w:t>
      </w:r>
    </w:p>
    <w:p w:rsidR="00691DA8" w:rsidRDefault="00691DA8" w:rsidP="00691DA8">
      <w:r>
        <w:t>Industry indicated that there would be no change to how workplace lead is managed if the status of the WES for dusts and fumes of inorganic lead were changed.</w:t>
      </w:r>
    </w:p>
    <w:p w:rsidR="00691DA8" w:rsidRDefault="00691DA8" w:rsidP="00691DA8">
      <w:r>
        <w:t>Therefore, no additional health cost or benefit will be seen other than those outlined in this RIS. As no clear benefit has been identified to support the change from a mandatory WES for lead, the current status (mandatory) is recommended to be retained.</w:t>
      </w:r>
    </w:p>
    <w:p w:rsidR="00691DA8" w:rsidRDefault="00691DA8" w:rsidP="00691DA8">
      <w:r>
        <w:t xml:space="preserve">A regulatory impact process is currently underway for the status of all the published workplace exposure standards and a change in status may be indicated through this process. </w:t>
      </w:r>
    </w:p>
    <w:p w:rsidR="00487615" w:rsidRDefault="00487615">
      <w:pPr>
        <w:rPr>
          <w:highlight w:val="yellow"/>
        </w:rPr>
      </w:pPr>
      <w:r>
        <w:rPr>
          <w:highlight w:val="yellow"/>
        </w:rPr>
        <w:br w:type="page"/>
      </w:r>
    </w:p>
    <w:p w:rsidR="0035186A" w:rsidRDefault="0035186A" w:rsidP="0035186A">
      <w:pPr>
        <w:pStyle w:val="Heading1-number"/>
      </w:pPr>
      <w:bookmarkStart w:id="114" w:name="_Toc459276921"/>
      <w:r>
        <w:t>Summary of preferred options</w:t>
      </w:r>
      <w:bookmarkEnd w:id="114"/>
    </w:p>
    <w:p w:rsidR="00C0173F" w:rsidRPr="00536A47" w:rsidRDefault="00C0173F" w:rsidP="00C0173F">
      <w:pPr>
        <w:pStyle w:val="Paragraph1"/>
        <w:spacing w:before="120" w:after="120"/>
        <w:rPr>
          <w:rFonts w:asciiTheme="minorHAnsi" w:hAnsiTheme="minorHAnsi" w:cstheme="minorHAnsi"/>
        </w:rPr>
      </w:pPr>
      <w:r w:rsidRPr="00536A47">
        <w:rPr>
          <w:rFonts w:asciiTheme="minorHAnsi" w:hAnsiTheme="minorHAnsi" w:cstheme="minorHAnsi"/>
        </w:rPr>
        <w:t>Blood lead removal levels, workplace exposure standards for lead and related requirements have been regulated under Australian WHS laws</w:t>
      </w:r>
      <w:r w:rsidR="00E75DB6">
        <w:rPr>
          <w:rFonts w:asciiTheme="minorHAnsi" w:hAnsiTheme="minorHAnsi" w:cstheme="minorHAnsi"/>
        </w:rPr>
        <w:t xml:space="preserve"> </w:t>
      </w:r>
      <w:r w:rsidRPr="00536A47">
        <w:rPr>
          <w:rFonts w:asciiTheme="minorHAnsi" w:hAnsiTheme="minorHAnsi" w:cstheme="minorHAnsi"/>
        </w:rPr>
        <w:t>without change</w:t>
      </w:r>
      <w:r w:rsidR="00E75DB6">
        <w:rPr>
          <w:rFonts w:asciiTheme="minorHAnsi" w:hAnsiTheme="minorHAnsi" w:cstheme="minorHAnsi"/>
        </w:rPr>
        <w:t xml:space="preserve"> </w:t>
      </w:r>
      <w:r w:rsidRPr="00536A47">
        <w:rPr>
          <w:rFonts w:asciiTheme="minorHAnsi" w:hAnsiTheme="minorHAnsi" w:cstheme="minorHAnsi"/>
        </w:rPr>
        <w:t>for many years.</w:t>
      </w:r>
      <w:r w:rsidR="00DA30B9">
        <w:rPr>
          <w:rFonts w:asciiTheme="minorHAnsi" w:hAnsiTheme="minorHAnsi" w:cstheme="minorHAnsi"/>
        </w:rPr>
        <w:t xml:space="preserve"> The specifi</w:t>
      </w:r>
      <w:r w:rsidR="000D48BD">
        <w:rPr>
          <w:rFonts w:asciiTheme="minorHAnsi" w:hAnsiTheme="minorHAnsi" w:cstheme="minorHAnsi"/>
        </w:rPr>
        <w:t>c</w:t>
      </w:r>
      <w:r w:rsidR="00DA30B9">
        <w:rPr>
          <w:rFonts w:asciiTheme="minorHAnsi" w:hAnsiTheme="minorHAnsi" w:cstheme="minorHAnsi"/>
        </w:rPr>
        <w:t xml:space="preserve"> requirements for blood lead level testing (removal, levels, return to work levels and testing frequency) and the workplace exposure standard for dusts and fumes of inorganic lead have been considered for amendment in this regulatory impact assessment process.</w:t>
      </w:r>
    </w:p>
    <w:p w:rsidR="00C0173F" w:rsidRPr="00536A47" w:rsidRDefault="00C0173F" w:rsidP="00C0173F">
      <w:pPr>
        <w:pStyle w:val="Paragraph1"/>
        <w:spacing w:before="120" w:after="120"/>
        <w:rPr>
          <w:rFonts w:asciiTheme="minorHAnsi" w:hAnsiTheme="minorHAnsi" w:cstheme="minorHAnsi"/>
        </w:rPr>
      </w:pPr>
      <w:r w:rsidRPr="00536A47">
        <w:rPr>
          <w:rFonts w:asciiTheme="minorHAnsi" w:hAnsiTheme="minorHAnsi" w:cstheme="minorHAnsi"/>
        </w:rPr>
        <w:t xml:space="preserve">These standards are </w:t>
      </w:r>
      <w:r w:rsidR="00DA30B9">
        <w:rPr>
          <w:rFonts w:asciiTheme="minorHAnsi" w:hAnsiTheme="minorHAnsi" w:cstheme="minorHAnsi"/>
        </w:rPr>
        <w:t xml:space="preserve">considered </w:t>
      </w:r>
      <w:r w:rsidRPr="00536A47">
        <w:rPr>
          <w:rFonts w:asciiTheme="minorHAnsi" w:hAnsiTheme="minorHAnsi" w:cstheme="minorHAnsi"/>
        </w:rPr>
        <w:t xml:space="preserve">outdated and </w:t>
      </w:r>
      <w:r w:rsidR="00DA30B9">
        <w:rPr>
          <w:rFonts w:asciiTheme="minorHAnsi" w:hAnsiTheme="minorHAnsi" w:cstheme="minorHAnsi"/>
        </w:rPr>
        <w:t xml:space="preserve">evidence indicates they do </w:t>
      </w:r>
      <w:r w:rsidRPr="00536A47">
        <w:rPr>
          <w:rFonts w:asciiTheme="minorHAnsi" w:hAnsiTheme="minorHAnsi" w:cstheme="minorHAnsi"/>
        </w:rPr>
        <w:t>not provide adequate protection to the majority of workers and especially females of reproductive capacity</w:t>
      </w:r>
      <w:r w:rsidR="00EA4E7A">
        <w:rPr>
          <w:rFonts w:asciiTheme="minorHAnsi" w:hAnsiTheme="minorHAnsi" w:cstheme="minorHAnsi"/>
        </w:rPr>
        <w:t>, those who are pregnant and those who are breastfeeding</w:t>
      </w:r>
      <w:r w:rsidRPr="00536A47">
        <w:rPr>
          <w:rFonts w:asciiTheme="minorHAnsi" w:hAnsiTheme="minorHAnsi" w:cstheme="minorHAnsi"/>
        </w:rPr>
        <w:t>. It is importa</w:t>
      </w:r>
      <w:r w:rsidR="00E75DB6">
        <w:rPr>
          <w:rFonts w:asciiTheme="minorHAnsi" w:hAnsiTheme="minorHAnsi" w:cstheme="minorHAnsi"/>
        </w:rPr>
        <w:t>nt they are revised and updated</w:t>
      </w:r>
      <w:r w:rsidRPr="00536A47">
        <w:rPr>
          <w:rFonts w:asciiTheme="minorHAnsi" w:hAnsiTheme="minorHAnsi" w:cstheme="minorHAnsi"/>
        </w:rPr>
        <w:t xml:space="preserve"> to ensure better health outcomes for workers undertaking lead risk work.</w:t>
      </w:r>
    </w:p>
    <w:p w:rsidR="00C0173F" w:rsidRDefault="00C0173F" w:rsidP="00C0173F">
      <w:pPr>
        <w:pStyle w:val="Paragraph1"/>
        <w:spacing w:before="120" w:after="120"/>
        <w:rPr>
          <w:rFonts w:asciiTheme="minorHAnsi" w:hAnsiTheme="minorHAnsi" w:cstheme="minorHAnsi"/>
        </w:rPr>
      </w:pPr>
      <w:r w:rsidRPr="00536A47">
        <w:rPr>
          <w:rFonts w:asciiTheme="minorHAnsi" w:hAnsiTheme="minorHAnsi" w:cstheme="minorHAnsi"/>
        </w:rPr>
        <w:t xml:space="preserve">The options proposed in this </w:t>
      </w:r>
      <w:r w:rsidR="000D48BD">
        <w:rPr>
          <w:rFonts w:asciiTheme="minorHAnsi" w:hAnsiTheme="minorHAnsi" w:cstheme="minorHAnsi"/>
        </w:rPr>
        <w:t>Decision</w:t>
      </w:r>
      <w:r w:rsidRPr="00536A47">
        <w:rPr>
          <w:rFonts w:asciiTheme="minorHAnsi" w:hAnsiTheme="minorHAnsi" w:cstheme="minorHAnsi"/>
        </w:rPr>
        <w:t xml:space="preserve"> RIS put forward a number of regulatory approaches for bringing t</w:t>
      </w:r>
      <w:r w:rsidR="00EA4E7A">
        <w:rPr>
          <w:rFonts w:asciiTheme="minorHAnsi" w:hAnsiTheme="minorHAnsi" w:cstheme="minorHAnsi"/>
        </w:rPr>
        <w:t>hese standards</w:t>
      </w:r>
      <w:r w:rsidRPr="00536A47">
        <w:rPr>
          <w:rFonts w:asciiTheme="minorHAnsi" w:hAnsiTheme="minorHAnsi" w:cstheme="minorHAnsi"/>
        </w:rPr>
        <w:t xml:space="preserve"> up-to-date</w:t>
      </w:r>
      <w:r w:rsidR="00EA4E7A">
        <w:rPr>
          <w:rFonts w:asciiTheme="minorHAnsi" w:hAnsiTheme="minorHAnsi" w:cstheme="minorHAnsi"/>
        </w:rPr>
        <w:t xml:space="preserve"> with the toxicological profile for lead</w:t>
      </w:r>
      <w:r w:rsidRPr="00536A47">
        <w:rPr>
          <w:rFonts w:asciiTheme="minorHAnsi" w:hAnsiTheme="minorHAnsi" w:cstheme="minorHAnsi"/>
        </w:rPr>
        <w:t xml:space="preserve"> and into line with international best practice. </w:t>
      </w:r>
    </w:p>
    <w:p w:rsidR="007F4C44" w:rsidRPr="00313AAD" w:rsidRDefault="007F4C44" w:rsidP="00263482">
      <w:pPr>
        <w:pStyle w:val="Heading2"/>
        <w:ind w:left="426"/>
      </w:pPr>
      <w:bookmarkStart w:id="115" w:name="_Toc459276922"/>
      <w:r w:rsidRPr="00313AAD">
        <w:t>Summary of outcomes</w:t>
      </w:r>
      <w:bookmarkEnd w:id="115"/>
    </w:p>
    <w:p w:rsidR="007F4C44" w:rsidRPr="004C4DEF" w:rsidRDefault="007F4C44" w:rsidP="00E77182">
      <w:pPr>
        <w:pStyle w:val="Heading3"/>
      </w:pPr>
      <w:r w:rsidRPr="004C4DEF">
        <w:t>Blood lead levels</w:t>
      </w:r>
    </w:p>
    <w:p w:rsidR="007F4C44" w:rsidRPr="00536A47" w:rsidRDefault="007F4C44" w:rsidP="00E77182">
      <w:pPr>
        <w:pStyle w:val="Heading4"/>
      </w:pPr>
      <w:r w:rsidRPr="00536A47">
        <w:t>Option 1 – not preferred</w:t>
      </w:r>
    </w:p>
    <w:p w:rsidR="007F4C44" w:rsidRPr="00C9446F" w:rsidRDefault="007F4C44" w:rsidP="007F4C44">
      <w:r>
        <w:t>Based on consultation feedback and the toxicological implications of retaining current blood lead removal levels, maintaining the status quo is not the preferred option for the management of lead risk work. This option is not considered to protect workers from the adverse health effects of lead, and will not deliver positive health benefits or a net benefit to the community.</w:t>
      </w:r>
    </w:p>
    <w:p w:rsidR="007F4C44" w:rsidRPr="00536A47" w:rsidRDefault="007F4C44" w:rsidP="00E77182">
      <w:pPr>
        <w:pStyle w:val="Heading4"/>
      </w:pPr>
      <w:r w:rsidRPr="00536A47">
        <w:t>Option 2</w:t>
      </w:r>
      <w:r w:rsidR="003E51AA">
        <w:t xml:space="preserve"> </w:t>
      </w:r>
      <w:r w:rsidRPr="00536A47">
        <w:t>–</w:t>
      </w:r>
      <w:r>
        <w:t xml:space="preserve"> PREFERRED</w:t>
      </w:r>
    </w:p>
    <w:p w:rsidR="007F4C44" w:rsidRDefault="000D48BD" w:rsidP="007F4C44">
      <w:pPr>
        <w:spacing w:before="60" w:after="60"/>
      </w:pPr>
      <w:r>
        <w:t>A</w:t>
      </w:r>
      <w:r w:rsidR="007F4C44" w:rsidRPr="0005799A">
        <w:t>nalysis</w:t>
      </w:r>
      <w:r w:rsidR="007F4C44">
        <w:t xml:space="preserve"> of submissions</w:t>
      </w:r>
      <w:r w:rsidR="007F4C44" w:rsidRPr="0005799A">
        <w:t xml:space="preserve"> </w:t>
      </w:r>
      <w:r w:rsidR="007F4C44" w:rsidRPr="00536A47">
        <w:rPr>
          <w:rFonts w:cstheme="minorHAnsi"/>
          <w:b/>
        </w:rPr>
        <w:t>supported</w:t>
      </w:r>
      <w:r w:rsidR="007F4C44">
        <w:t xml:space="preserve"> a change in the regulatory requirements for lead risk work. </w:t>
      </w:r>
      <w:r w:rsidR="00770FA9">
        <w:t>This option was supported by a majority of submissions that indicated a preference</w:t>
      </w:r>
      <w:r w:rsidR="00255BA1">
        <w:t>;</w:t>
      </w:r>
      <w:r w:rsidR="007F4C44">
        <w:t xml:space="preserve"> </w:t>
      </w:r>
      <w:r w:rsidR="00D4088D">
        <w:t>only</w:t>
      </w:r>
      <w:r w:rsidR="007F4C44">
        <w:t xml:space="preserve"> one</w:t>
      </w:r>
      <w:r w:rsidR="00255BA1">
        <w:t xml:space="preserve"> submission</w:t>
      </w:r>
      <w:r w:rsidR="007F4C44">
        <w:t xml:space="preserve"> did not</w:t>
      </w:r>
      <w:r w:rsidR="00D4088D">
        <w:t xml:space="preserve"> support this option</w:t>
      </w:r>
      <w:r w:rsidR="007F4C44">
        <w:t xml:space="preserve"> due to </w:t>
      </w:r>
      <w:r w:rsidR="00D4088D">
        <w:t>‘</w:t>
      </w:r>
      <w:r w:rsidR="007F4C44">
        <w:t>severe</w:t>
      </w:r>
      <w:r w:rsidR="00D4088D">
        <w:t>’</w:t>
      </w:r>
      <w:r w:rsidR="007F4C44">
        <w:t xml:space="preserve"> financial impacts.</w:t>
      </w:r>
    </w:p>
    <w:p w:rsidR="007F4C44" w:rsidRDefault="007F4C44" w:rsidP="007F4C44">
      <w:pPr>
        <w:spacing w:before="60" w:after="60"/>
      </w:pPr>
      <w:r>
        <w:t xml:space="preserve">Regulator submissions and targeted interviews indicated that approximately 70 per cent of businesses are already meeting the proposed thresholds. The key concern around the adoption of this option revolved around the process of changing internal target values and the time needed for workers once removed to </w:t>
      </w:r>
      <w:r w:rsidR="000D48BD">
        <w:t>reach</w:t>
      </w:r>
      <w:r>
        <w:t xml:space="preserve"> blood lead level results below the target levels.</w:t>
      </w:r>
    </w:p>
    <w:p w:rsidR="007F4C44" w:rsidRDefault="00523C28" w:rsidP="007F4C44">
      <w:pPr>
        <w:spacing w:before="60" w:after="60"/>
      </w:pPr>
      <w:r>
        <w:t>The CBA</w:t>
      </w:r>
      <w:r w:rsidR="007F4C44">
        <w:t xml:space="preserve"> showed:</w:t>
      </w:r>
    </w:p>
    <w:p w:rsidR="007F4C44" w:rsidRDefault="007F4C44" w:rsidP="00263482">
      <w:pPr>
        <w:pStyle w:val="ListParagraph"/>
        <w:numPr>
          <w:ilvl w:val="0"/>
          <w:numId w:val="19"/>
        </w:numPr>
        <w:spacing w:before="60" w:after="60"/>
      </w:pPr>
      <w:r>
        <w:t>quantifiable health benefits of $</w:t>
      </w:r>
      <w:r w:rsidR="008E3B87">
        <w:t>5</w:t>
      </w:r>
      <w:r>
        <w:t xml:space="preserve"> million per annum which can be reached within 3 years of implementation</w:t>
      </w:r>
    </w:p>
    <w:p w:rsidR="007F4C44" w:rsidRDefault="007F4C44" w:rsidP="00263482">
      <w:pPr>
        <w:pStyle w:val="ListParagraph"/>
        <w:numPr>
          <w:ilvl w:val="0"/>
          <w:numId w:val="19"/>
        </w:numPr>
        <w:spacing w:before="60" w:after="60"/>
      </w:pPr>
      <w:r>
        <w:t>average costs over 10 years of $2.7 million</w:t>
      </w:r>
      <w:r w:rsidR="00BC0E23">
        <w:t xml:space="preserve"> per annum</w:t>
      </w:r>
    </w:p>
    <w:p w:rsidR="007F4C44" w:rsidRDefault="007F4C44" w:rsidP="00263482">
      <w:pPr>
        <w:pStyle w:val="ListParagraph"/>
        <w:numPr>
          <w:ilvl w:val="0"/>
          <w:numId w:val="19"/>
        </w:numPr>
        <w:spacing w:before="60" w:after="60"/>
      </w:pPr>
      <w:r>
        <w:t>an avera</w:t>
      </w:r>
      <w:r w:rsidR="008E3B87">
        <w:t>ge benefit over 10 years of $4.8</w:t>
      </w:r>
      <w:r>
        <w:t xml:space="preserve"> million</w:t>
      </w:r>
      <w:r w:rsidR="00BC0E23">
        <w:t xml:space="preserve"> per annum, and</w:t>
      </w:r>
    </w:p>
    <w:p w:rsidR="007F4C44" w:rsidRDefault="007F4C44" w:rsidP="00263482">
      <w:pPr>
        <w:pStyle w:val="ListParagraph"/>
        <w:numPr>
          <w:ilvl w:val="0"/>
          <w:numId w:val="19"/>
        </w:numPr>
        <w:spacing w:before="60" w:after="60"/>
      </w:pPr>
      <w:r>
        <w:t>an exceedance of benefit over costs over 10 years by a ratio of 1.5</w:t>
      </w:r>
      <w:r w:rsidR="008E3B87">
        <w:t>7</w:t>
      </w:r>
      <w:r>
        <w:t xml:space="preserve"> to one.</w:t>
      </w:r>
    </w:p>
    <w:p w:rsidR="00FF0D04" w:rsidRDefault="00FF0D04" w:rsidP="00FF0D04">
      <w:pPr>
        <w:spacing w:before="60" w:after="60"/>
      </w:pPr>
      <w:r>
        <w:t>This option will</w:t>
      </w:r>
      <w:r w:rsidR="009141B9">
        <w:t xml:space="preserve"> change the level at which health monitoring is triggered, the frequency of testing, the blood lead removal and return to work level as outlined in Chapter 9.</w:t>
      </w:r>
    </w:p>
    <w:p w:rsidR="007F4C44" w:rsidRPr="00536A47" w:rsidRDefault="007F4C44" w:rsidP="00E77182">
      <w:pPr>
        <w:pStyle w:val="Heading4"/>
      </w:pPr>
      <w:r w:rsidRPr="00536A47">
        <w:t>Option 3 – not preferred</w:t>
      </w:r>
    </w:p>
    <w:p w:rsidR="007F4C44" w:rsidRDefault="000D48BD" w:rsidP="007F4C44">
      <w:r>
        <w:t>A</w:t>
      </w:r>
      <w:r w:rsidR="007F4C44" w:rsidRPr="00C9446F">
        <w:t xml:space="preserve">nalysis </w:t>
      </w:r>
      <w:r w:rsidR="007F4C44">
        <w:t>of submissions revealed a lack of support for this option</w:t>
      </w:r>
      <w:r>
        <w:t xml:space="preserve"> by industry</w:t>
      </w:r>
      <w:r w:rsidR="007F4C44">
        <w:t xml:space="preserve">, with five submissions citing this option as unviable due to practicality and financial reasons. It is noted that five submissions supported this option based on it providing the maximum protection of health. </w:t>
      </w:r>
      <w:r>
        <w:t>However, the submissions supporting O</w:t>
      </w:r>
      <w:r w:rsidR="007F4C44">
        <w:t>ption 3 were not from companies currently undertaking biological monitoring and financial impact data or discussion around workplace impacts were not provided.</w:t>
      </w:r>
    </w:p>
    <w:p w:rsidR="007F4C44" w:rsidRDefault="007F4C44" w:rsidP="007F4C44">
      <w:r>
        <w:t>Targeted interviews with industry mirrored the public submissions, with businesses stating that financial costs were so extreme that they could not be calculated. Interviewees noted that if this option were to be adopted there would be a very high risk of business closure or work being moved off-shore to countries with less stringent requirements.</w:t>
      </w:r>
    </w:p>
    <w:p w:rsidR="007F4C44" w:rsidRDefault="007F4C44" w:rsidP="007F4C44">
      <w:r>
        <w:t>Quantifying the costs and benefits for this option in the CBA was impractical. However, based on consultation feedback and an understanding of the degree of change in work practices required to comply with this option it was estimated that the costs would exceed the benefits by a substantial amount.</w:t>
      </w:r>
    </w:p>
    <w:p w:rsidR="007F4C44" w:rsidRPr="004C4DEF" w:rsidRDefault="007F4C44" w:rsidP="00E77182">
      <w:pPr>
        <w:pStyle w:val="Heading3"/>
      </w:pPr>
      <w:r w:rsidRPr="004C4DEF">
        <w:t>Workplace Exposure Standard</w:t>
      </w:r>
    </w:p>
    <w:p w:rsidR="007F4C44" w:rsidRDefault="007F4C44" w:rsidP="00E77182">
      <w:pPr>
        <w:pStyle w:val="Heading4"/>
      </w:pPr>
      <w:r w:rsidRPr="00536A47">
        <w:t>WES Option 1</w:t>
      </w:r>
      <w:r>
        <w:t xml:space="preserve"> – </w:t>
      </w:r>
      <w:r w:rsidRPr="00536A47">
        <w:t>not preferred</w:t>
      </w:r>
    </w:p>
    <w:p w:rsidR="007F4C44" w:rsidRDefault="007F4C44" w:rsidP="007F4C44">
      <w:r>
        <w:t>Based on consultation feedback and the toxicological implications of retaining the current workplace exposure standard for lead, maintaining the status quo is not the preferred option.</w:t>
      </w:r>
    </w:p>
    <w:p w:rsidR="007F4C44" w:rsidRPr="00C9446F" w:rsidRDefault="007F4C44" w:rsidP="007F4C44">
      <w:r>
        <w:t>Submissions indicated that the current WES for lead was not reflective of international best practice and should be updated.</w:t>
      </w:r>
    </w:p>
    <w:p w:rsidR="007F4C44" w:rsidRPr="00536A47" w:rsidRDefault="007F4C44" w:rsidP="00E77182">
      <w:pPr>
        <w:pStyle w:val="Heading4"/>
      </w:pPr>
      <w:r w:rsidRPr="00536A47">
        <w:t>WES Option 2</w:t>
      </w:r>
      <w:r>
        <w:t xml:space="preserve"> – PREFERRED</w:t>
      </w:r>
    </w:p>
    <w:p w:rsidR="007F4C44" w:rsidRDefault="000D48BD" w:rsidP="007F4C44">
      <w:pPr>
        <w:spacing w:before="60" w:after="60"/>
      </w:pPr>
      <w:r>
        <w:t>A</w:t>
      </w:r>
      <w:r w:rsidR="007F4C44" w:rsidRPr="0005799A">
        <w:t>nalysis</w:t>
      </w:r>
      <w:r w:rsidR="007F4C44">
        <w:t xml:space="preserve"> of submissions</w:t>
      </w:r>
      <w:r w:rsidR="007F4C44" w:rsidRPr="0005799A">
        <w:t xml:space="preserve"> </w:t>
      </w:r>
      <w:r w:rsidR="007F4C44" w:rsidRPr="00536A47">
        <w:rPr>
          <w:rFonts w:cstheme="minorHAnsi"/>
          <w:b/>
        </w:rPr>
        <w:t>supported</w:t>
      </w:r>
      <w:r w:rsidR="007F4C44" w:rsidRPr="0005799A">
        <w:t xml:space="preserve"> </w:t>
      </w:r>
      <w:r w:rsidR="007F4C44">
        <w:t xml:space="preserve">reducing the WES for lead to 0.05 </w:t>
      </w:r>
      <w:r w:rsidR="007F4C44" w:rsidRPr="00A9299C">
        <w:t>mg/m</w:t>
      </w:r>
      <w:r w:rsidR="007F4C44" w:rsidRPr="00A9299C">
        <w:rPr>
          <w:vertAlign w:val="superscript"/>
        </w:rPr>
        <w:t>3</w:t>
      </w:r>
      <w:r w:rsidR="007F4C44">
        <w:t xml:space="preserve">. </w:t>
      </w:r>
    </w:p>
    <w:p w:rsidR="007F4C44" w:rsidRDefault="007F4C44" w:rsidP="007F4C44">
      <w:pPr>
        <w:spacing w:before="60" w:after="60"/>
      </w:pPr>
      <w:r>
        <w:t>Of the sub</w:t>
      </w:r>
      <w:r w:rsidR="000D48BD">
        <w:t>missions received</w:t>
      </w:r>
      <w:r w:rsidR="00255BA1">
        <w:t xml:space="preserve"> that indicated a preference</w:t>
      </w:r>
      <w:r w:rsidR="000D48BD">
        <w:t xml:space="preserve">, </w:t>
      </w:r>
      <w:r w:rsidR="00255BA1">
        <w:t>a majority</w:t>
      </w:r>
      <w:r w:rsidR="000D48BD">
        <w:t xml:space="preserve"> </w:t>
      </w:r>
      <w:r>
        <w:t xml:space="preserve">supported this change regardless of the cost involved with upgrading control measures or changing </w:t>
      </w:r>
      <w:r w:rsidR="00255BA1">
        <w:t xml:space="preserve">the frequency of </w:t>
      </w:r>
      <w:r>
        <w:t>air sampling procedures.</w:t>
      </w:r>
    </w:p>
    <w:p w:rsidR="007F4C44" w:rsidRDefault="007F4C44" w:rsidP="007F4C44">
      <w:pPr>
        <w:spacing w:before="60" w:after="60"/>
      </w:pPr>
      <w:r>
        <w:t>There were no submissions that did not support his option.</w:t>
      </w:r>
    </w:p>
    <w:p w:rsidR="007F4C44" w:rsidRDefault="007F4C44" w:rsidP="007F4C44">
      <w:pPr>
        <w:spacing w:before="60" w:after="60"/>
      </w:pPr>
      <w:r>
        <w:t>The costs for air monitoring conduc</w:t>
      </w:r>
      <w:r w:rsidR="00255BA1">
        <w:t>ted in lead process workplaces we</w:t>
      </w:r>
      <w:r>
        <w:t xml:space="preserve">re difficult to quantify. However, </w:t>
      </w:r>
      <w:r w:rsidR="009B0570">
        <w:t>submissions indicated</w:t>
      </w:r>
      <w:r>
        <w:t xml:space="preserve"> that air monitoring </w:t>
      </w:r>
      <w:r w:rsidR="009B0570">
        <w:t>is most often</w:t>
      </w:r>
      <w:r>
        <w:t xml:space="preserve"> used as part of a control strategy for workplace lead and therefore many of the cos</w:t>
      </w:r>
      <w:r w:rsidR="00255BA1">
        <w:t>ts for compliance with the WES we</w:t>
      </w:r>
      <w:r>
        <w:t xml:space="preserve">re considered to be included </w:t>
      </w:r>
      <w:r w:rsidR="009B0570">
        <w:t xml:space="preserve">in </w:t>
      </w:r>
      <w:r w:rsidR="00255BA1">
        <w:t xml:space="preserve">estimated costs for </w:t>
      </w:r>
      <w:r w:rsidR="009B0570">
        <w:t>controlling</w:t>
      </w:r>
      <w:r>
        <w:t xml:space="preserve"> blood lead levels.</w:t>
      </w:r>
      <w:r w:rsidR="000D48BD">
        <w:t xml:space="preserve"> </w:t>
      </w:r>
    </w:p>
    <w:p w:rsidR="000D48BD" w:rsidRDefault="000D48BD" w:rsidP="007F4C44">
      <w:pPr>
        <w:spacing w:before="60" w:after="60"/>
      </w:pPr>
      <w:r>
        <w:t>Submissions and targeted consultation confirmed that the frequency of air monitoring will increase from the base case (Option 1), and this assumption was built into the CBA to quantify the impact of this option.</w:t>
      </w:r>
    </w:p>
    <w:p w:rsidR="007F4C44" w:rsidRDefault="007F4C44" w:rsidP="007F4C44">
      <w:pPr>
        <w:spacing w:before="60" w:after="60"/>
      </w:pPr>
      <w:r>
        <w:t>The CBA has indicated that even if there is additional air monitoring required to comply with Option 2; the benefits still outweigh the costs at a ratio of 1.4</w:t>
      </w:r>
      <w:r w:rsidR="008E3B87">
        <w:t>6</w:t>
      </w:r>
      <w:r>
        <w:t xml:space="preserve"> to </w:t>
      </w:r>
      <w:r w:rsidR="008E3B87">
        <w:t>one</w:t>
      </w:r>
      <w:r>
        <w:t xml:space="preserve">. </w:t>
      </w:r>
    </w:p>
    <w:p w:rsidR="007F4C44" w:rsidRPr="0005799A" w:rsidRDefault="007F4C44" w:rsidP="007F4C44">
      <w:pPr>
        <w:spacing w:before="60" w:after="60"/>
      </w:pPr>
      <w:r>
        <w:t>Therefore Option 2 is considered the preferred option to enable businesses to integrate air monitoring into their workplace lead control strategy and comply with the proposed regulatory requirements.</w:t>
      </w:r>
    </w:p>
    <w:p w:rsidR="007F4C44" w:rsidRPr="00536A47" w:rsidRDefault="007F4C44" w:rsidP="00E77182">
      <w:pPr>
        <w:pStyle w:val="Heading4"/>
      </w:pPr>
      <w:r w:rsidRPr="00536A47">
        <w:t>WES Option 3 – not preferred</w:t>
      </w:r>
    </w:p>
    <w:p w:rsidR="007F4C44" w:rsidRDefault="007F4C44" w:rsidP="007F4C44">
      <w:r>
        <w:t>This option was supported by one submission and not supported by two submissions. The submissions that did not support this option did so due to practicality and financial impacts.</w:t>
      </w:r>
    </w:p>
    <w:p w:rsidR="007F4C44" w:rsidRDefault="007F4C44" w:rsidP="007F4C44">
      <w:r>
        <w:t>Again, submissions indicated that costs for this option were not able to be quantified as complying with this standard was c</w:t>
      </w:r>
      <w:r w:rsidR="000D48BD">
        <w:t xml:space="preserve">onsidered either financially </w:t>
      </w:r>
      <w:r>
        <w:t>unviable or unachievable.</w:t>
      </w:r>
    </w:p>
    <w:p w:rsidR="007F4C44" w:rsidRPr="00C9446F" w:rsidRDefault="007F4C44" w:rsidP="007F4C44">
      <w:r>
        <w:t>The costs for this Option were unable to be quantified for the CBA. However, as with Option 3 for blood lead levels, the costs for complying with this option are expected to far exceed the benefits.</w:t>
      </w:r>
    </w:p>
    <w:p w:rsidR="007F4C44" w:rsidRPr="00536A47" w:rsidRDefault="007F4C44" w:rsidP="00E77182">
      <w:pPr>
        <w:pStyle w:val="Heading4"/>
      </w:pPr>
      <w:r w:rsidRPr="00536A47">
        <w:t>WES Option 4</w:t>
      </w:r>
      <w:r>
        <w:t xml:space="preserve"> – not preferred/deferred</w:t>
      </w:r>
    </w:p>
    <w:p w:rsidR="007F4C44" w:rsidRDefault="007F4C44" w:rsidP="007F4C44">
      <w:r>
        <w:t>This option of a non-regulatory approach to the WES for lead was supported by four submissions.</w:t>
      </w:r>
    </w:p>
    <w:p w:rsidR="007F4C44" w:rsidRDefault="00255BA1" w:rsidP="007F4C44">
      <w:r>
        <w:t>S</w:t>
      </w:r>
      <w:r w:rsidR="007F4C44">
        <w:t xml:space="preserve">ubmissions indicated that as the WES for lead is generally used as part of </w:t>
      </w:r>
      <w:r>
        <w:t>an overall</w:t>
      </w:r>
      <w:r w:rsidR="007F4C44">
        <w:t xml:space="preserve"> lead control strategy, there would be no change to current risk mitigation measures and it would not make meeting regulation any easier or harder if the status of the workplace exposure standard changed.</w:t>
      </w:r>
    </w:p>
    <w:p w:rsidR="007F4C44" w:rsidRDefault="007F4C44" w:rsidP="007F4C44">
      <w:r>
        <w:t xml:space="preserve">Submissions revealed concern </w:t>
      </w:r>
      <w:r w:rsidR="000D48BD">
        <w:t>that</w:t>
      </w:r>
      <w:r>
        <w:t xml:space="preserve"> the current mandatory status of the WES gave </w:t>
      </w:r>
      <w:r w:rsidR="00255BA1">
        <w:t>air monitoring</w:t>
      </w:r>
      <w:r>
        <w:t xml:space="preserve"> too</w:t>
      </w:r>
      <w:r w:rsidR="000D48BD">
        <w:t xml:space="preserve"> much emphasis, and </w:t>
      </w:r>
      <w:r>
        <w:t>when controlling for workplace lead exposure, a WES should be used by professionals as part of an overall control strategy. It was also noted that there are other effective ways of measuring potential lead exposures including surface wipe analysis.</w:t>
      </w:r>
    </w:p>
    <w:p w:rsidR="007F4C44" w:rsidRDefault="007F4C44" w:rsidP="007F4C44">
      <w:r>
        <w:t>The CBA did not identify any quantifiable benefits (monetary or health) and therefore a change in status for the WES for dusts and fumes of inorganic lead is not recommended.</w:t>
      </w:r>
    </w:p>
    <w:p w:rsidR="007F4C44" w:rsidRDefault="007F4C44" w:rsidP="007F4C44">
      <w:r>
        <w:t xml:space="preserve">A separate </w:t>
      </w:r>
      <w:r w:rsidR="00255BA1">
        <w:t>review</w:t>
      </w:r>
      <w:r>
        <w:t xml:space="preserve"> process is currently being undertaken to propose and decide upon the status of all workplace exposure standards and a decision regarding the workplace exposure standard for lead may be indicated within that process.</w:t>
      </w:r>
    </w:p>
    <w:p w:rsidR="007F4C44" w:rsidRPr="004C4DEF" w:rsidRDefault="007F4C44" w:rsidP="00E77182">
      <w:pPr>
        <w:pStyle w:val="Heading3"/>
      </w:pPr>
      <w:r w:rsidRPr="004C4DEF">
        <w:t>Transitional arrangements</w:t>
      </w:r>
    </w:p>
    <w:p w:rsidR="007F4C44" w:rsidRDefault="007F4C44" w:rsidP="007F4C44">
      <w:pPr>
        <w:rPr>
          <w:rFonts w:cstheme="minorHAnsi"/>
        </w:rPr>
      </w:pPr>
      <w:r>
        <w:rPr>
          <w:rFonts w:cstheme="minorHAnsi"/>
        </w:rPr>
        <w:t xml:space="preserve">The submissions received indicated varying transition timelines, generally dependent on the scale of the change proposed. </w:t>
      </w:r>
    </w:p>
    <w:p w:rsidR="007F4C44" w:rsidRDefault="007F4C44" w:rsidP="007F4C44">
      <w:pPr>
        <w:rPr>
          <w:rFonts w:cstheme="minorHAnsi"/>
        </w:rPr>
      </w:pPr>
      <w:r>
        <w:rPr>
          <w:rFonts w:cstheme="minorHAnsi"/>
        </w:rPr>
        <w:t xml:space="preserve">The transitional periods required for implementation of blood lead removal </w:t>
      </w:r>
      <w:r w:rsidR="00523C28">
        <w:rPr>
          <w:rFonts w:cstheme="minorHAnsi"/>
        </w:rPr>
        <w:t>levels O</w:t>
      </w:r>
      <w:r>
        <w:rPr>
          <w:rFonts w:cstheme="minorHAnsi"/>
        </w:rPr>
        <w:t xml:space="preserve">ption 2 ranged from immediate/negligible to </w:t>
      </w:r>
      <w:r w:rsidR="00523C28">
        <w:rPr>
          <w:rFonts w:cstheme="minorHAnsi"/>
        </w:rPr>
        <w:t>seven years; for O</w:t>
      </w:r>
      <w:r>
        <w:rPr>
          <w:rFonts w:cstheme="minorHAnsi"/>
        </w:rPr>
        <w:t xml:space="preserve">ption 3 the transitional periods ranged from </w:t>
      </w:r>
      <w:r w:rsidR="00523C28">
        <w:rPr>
          <w:rFonts w:cstheme="minorHAnsi"/>
        </w:rPr>
        <w:t>two</w:t>
      </w:r>
      <w:r>
        <w:rPr>
          <w:rFonts w:cstheme="minorHAnsi"/>
        </w:rPr>
        <w:t xml:space="preserve"> to 10 years.</w:t>
      </w:r>
    </w:p>
    <w:p w:rsidR="007F4C44" w:rsidRDefault="007F4C44" w:rsidP="007F4C44">
      <w:pPr>
        <w:rPr>
          <w:rFonts w:cstheme="minorHAnsi"/>
        </w:rPr>
      </w:pPr>
      <w:r>
        <w:rPr>
          <w:rFonts w:cstheme="minorHAnsi"/>
        </w:rPr>
        <w:t>Based on responses received, the aver</w:t>
      </w:r>
      <w:r w:rsidR="00523C28">
        <w:rPr>
          <w:rFonts w:cstheme="minorHAnsi"/>
        </w:rPr>
        <w:t>age time for implementation of Option 2 was two</w:t>
      </w:r>
      <w:r>
        <w:rPr>
          <w:rFonts w:cstheme="minorHAnsi"/>
        </w:rPr>
        <w:t xml:space="preserve"> years. The cost benefit analysis dem</w:t>
      </w:r>
      <w:r w:rsidR="00523C28">
        <w:rPr>
          <w:rFonts w:cstheme="minorHAnsi"/>
        </w:rPr>
        <w:t>onstrated overall benefits for O</w:t>
      </w:r>
      <w:r>
        <w:rPr>
          <w:rFonts w:cstheme="minorHAnsi"/>
        </w:rPr>
        <w:t xml:space="preserve">ption 2 after </w:t>
      </w:r>
      <w:r w:rsidR="00523C28">
        <w:rPr>
          <w:rFonts w:cstheme="minorHAnsi"/>
        </w:rPr>
        <w:t>two</w:t>
      </w:r>
      <w:r>
        <w:rPr>
          <w:rFonts w:cstheme="minorHAnsi"/>
        </w:rPr>
        <w:t xml:space="preserve"> years of implementation</w:t>
      </w:r>
      <w:r w:rsidR="00255BA1">
        <w:rPr>
          <w:rFonts w:cstheme="minorHAnsi"/>
        </w:rPr>
        <w:t xml:space="preserve"> (</w:t>
      </w:r>
      <w:r w:rsidR="00255BA1">
        <w:rPr>
          <w:rFonts w:cstheme="minorHAnsi"/>
        </w:rPr>
        <w:fldChar w:fldCharType="begin"/>
      </w:r>
      <w:r w:rsidR="00255BA1">
        <w:rPr>
          <w:rFonts w:cstheme="minorHAnsi"/>
        </w:rPr>
        <w:instrText xml:space="preserve"> REF _Ref456778009 \h </w:instrText>
      </w:r>
      <w:r w:rsidR="00255BA1">
        <w:rPr>
          <w:rFonts w:cstheme="minorHAnsi"/>
        </w:rPr>
      </w:r>
      <w:r w:rsidR="00255BA1">
        <w:rPr>
          <w:rFonts w:cstheme="minorHAnsi"/>
        </w:rPr>
        <w:fldChar w:fldCharType="separate"/>
      </w:r>
      <w:r w:rsidR="00052CE1">
        <w:t xml:space="preserve">Figure </w:t>
      </w:r>
      <w:r w:rsidR="00052CE1">
        <w:rPr>
          <w:noProof/>
        </w:rPr>
        <w:t>7</w:t>
      </w:r>
      <w:r w:rsidR="00255BA1">
        <w:rPr>
          <w:rFonts w:cstheme="minorHAnsi"/>
        </w:rPr>
        <w:fldChar w:fldCharType="end"/>
      </w:r>
      <w:r w:rsidR="00255BA1">
        <w:rPr>
          <w:rFonts w:cstheme="minorHAnsi"/>
        </w:rPr>
        <w:t>)</w:t>
      </w:r>
      <w:r>
        <w:rPr>
          <w:rFonts w:cstheme="minorHAnsi"/>
        </w:rPr>
        <w:t>. Thus,</w:t>
      </w:r>
      <w:r w:rsidR="00523C28">
        <w:rPr>
          <w:rFonts w:cstheme="minorHAnsi"/>
        </w:rPr>
        <w:t xml:space="preserve"> an implementation period of two</w:t>
      </w:r>
      <w:r>
        <w:rPr>
          <w:rFonts w:cstheme="minorHAnsi"/>
        </w:rPr>
        <w:t xml:space="preserve"> years is </w:t>
      </w:r>
      <w:r w:rsidR="00255BA1">
        <w:rPr>
          <w:rFonts w:cstheme="minorHAnsi"/>
        </w:rPr>
        <w:t>recommended</w:t>
      </w:r>
      <w:r>
        <w:rPr>
          <w:rFonts w:cstheme="minorHAnsi"/>
        </w:rPr>
        <w:t xml:space="preserve"> as preferred.</w:t>
      </w:r>
    </w:p>
    <w:p w:rsidR="00E75DB6" w:rsidRPr="00313AAD" w:rsidRDefault="00E75DB6" w:rsidP="00263482">
      <w:pPr>
        <w:pStyle w:val="Heading2"/>
        <w:ind w:left="426"/>
      </w:pPr>
      <w:bookmarkStart w:id="116" w:name="_Toc459276923"/>
      <w:r w:rsidRPr="00313AAD">
        <w:t>Preferred Option – blood lead levels</w:t>
      </w:r>
      <w:bookmarkEnd w:id="116"/>
    </w:p>
    <w:p w:rsidR="003E51AA" w:rsidRDefault="000D48BD" w:rsidP="00E75DB6">
      <w:pPr>
        <w:pStyle w:val="Paragraph1"/>
        <w:spacing w:before="120" w:after="120"/>
        <w:rPr>
          <w:rFonts w:asciiTheme="minorHAnsi" w:hAnsiTheme="minorHAnsi" w:cstheme="minorHAnsi"/>
        </w:rPr>
      </w:pPr>
      <w:r>
        <w:rPr>
          <w:rFonts w:asciiTheme="minorHAnsi" w:hAnsiTheme="minorHAnsi" w:cstheme="minorHAnsi"/>
        </w:rPr>
        <w:t>Submissions</w:t>
      </w:r>
      <w:r w:rsidR="00E75DB6">
        <w:rPr>
          <w:rFonts w:asciiTheme="minorHAnsi" w:hAnsiTheme="minorHAnsi" w:cstheme="minorHAnsi"/>
        </w:rPr>
        <w:t xml:space="preserve"> and direct consultation indicated a preference for Option 2. </w:t>
      </w:r>
    </w:p>
    <w:p w:rsidR="00E75DB6" w:rsidRDefault="00E75DB6" w:rsidP="00E75DB6">
      <w:pPr>
        <w:pStyle w:val="Paragraph1"/>
        <w:spacing w:before="120" w:after="120"/>
        <w:rPr>
          <w:rFonts w:asciiTheme="minorHAnsi" w:hAnsiTheme="minorHAnsi" w:cstheme="minorHAnsi"/>
        </w:rPr>
      </w:pPr>
      <w:r>
        <w:rPr>
          <w:rFonts w:asciiTheme="minorHAnsi" w:hAnsiTheme="minorHAnsi" w:cstheme="minorHAnsi"/>
        </w:rPr>
        <w:t>The CBA for Option 2 showed a quantifiable benefit over 10 years with a benefit to cost ratio of 1.51 to one.</w:t>
      </w:r>
    </w:p>
    <w:p w:rsidR="00EA4E7A" w:rsidRDefault="00E75DB6" w:rsidP="00C0173F">
      <w:pPr>
        <w:pStyle w:val="Paragraph1"/>
        <w:spacing w:before="120" w:after="120"/>
        <w:rPr>
          <w:rFonts w:asciiTheme="minorHAnsi" w:hAnsiTheme="minorHAnsi" w:cstheme="minorHAnsi"/>
        </w:rPr>
      </w:pPr>
      <w:r>
        <w:rPr>
          <w:rFonts w:asciiTheme="minorHAnsi" w:hAnsiTheme="minorHAnsi" w:cstheme="minorHAnsi"/>
        </w:rPr>
        <w:t xml:space="preserve">Therefore the </w:t>
      </w:r>
      <w:r w:rsidR="00EA4E7A">
        <w:rPr>
          <w:rFonts w:asciiTheme="minorHAnsi" w:hAnsiTheme="minorHAnsi" w:cstheme="minorHAnsi"/>
        </w:rPr>
        <w:t>preferred option for management of workplace lead through blood lead level mon</w:t>
      </w:r>
      <w:r>
        <w:rPr>
          <w:rFonts w:asciiTheme="minorHAnsi" w:hAnsiTheme="minorHAnsi" w:cstheme="minorHAnsi"/>
        </w:rPr>
        <w:t>itoring is considered to be O</w:t>
      </w:r>
      <w:r w:rsidR="00EA4E7A">
        <w:rPr>
          <w:rFonts w:asciiTheme="minorHAnsi" w:hAnsiTheme="minorHAnsi" w:cstheme="minorHAnsi"/>
        </w:rPr>
        <w:t>ption 2:</w:t>
      </w:r>
    </w:p>
    <w:p w:rsidR="00EA4E7A" w:rsidRPr="00536A47" w:rsidRDefault="00EA4E7A" w:rsidP="00A24B94">
      <w:pPr>
        <w:pStyle w:val="ListBullet"/>
        <w:numPr>
          <w:ilvl w:val="0"/>
          <w:numId w:val="0"/>
        </w:numPr>
        <w:rPr>
          <w:rFonts w:cstheme="minorHAnsi"/>
        </w:rPr>
      </w:pPr>
      <w:r>
        <w:rPr>
          <w:rFonts w:cstheme="minorHAnsi"/>
        </w:rPr>
        <w:t>Reducing</w:t>
      </w:r>
      <w:r w:rsidRPr="00536A47">
        <w:rPr>
          <w:rFonts w:cstheme="minorHAnsi"/>
        </w:rPr>
        <w:t xml:space="preserve"> mandated blood lead removal levels and related requirements to reflect epidemiological and toxicological evidence:</w:t>
      </w:r>
    </w:p>
    <w:p w:rsidR="00EA4E7A" w:rsidRDefault="00EA4E7A" w:rsidP="00263482">
      <w:pPr>
        <w:pStyle w:val="ListBullet2"/>
        <w:numPr>
          <w:ilvl w:val="0"/>
          <w:numId w:val="63"/>
        </w:numPr>
      </w:pPr>
      <w:r w:rsidRPr="00536A47">
        <w:t xml:space="preserve">a 20 μg/dL (target level) and 30 μg/dL (removal level) for females </w:t>
      </w:r>
      <w:r>
        <w:t xml:space="preserve">not </w:t>
      </w:r>
      <w:r w:rsidRPr="00536A47">
        <w:t>of</w:t>
      </w:r>
      <w:r w:rsidR="00A24B94">
        <w:t xml:space="preserve"> </w:t>
      </w:r>
      <w:r w:rsidRPr="00536A47">
        <w:t xml:space="preserve">reproductive capacity and </w:t>
      </w:r>
      <w:r>
        <w:t>males, and</w:t>
      </w:r>
    </w:p>
    <w:p w:rsidR="00EA4E7A" w:rsidRPr="00536A47" w:rsidRDefault="00EA4E7A" w:rsidP="00263482">
      <w:pPr>
        <w:pStyle w:val="ListBullet2"/>
        <w:numPr>
          <w:ilvl w:val="0"/>
          <w:numId w:val="63"/>
        </w:numPr>
      </w:pPr>
      <w:r w:rsidRPr="00536A47">
        <w:t>10 μg/dL r</w:t>
      </w:r>
      <w:r>
        <w:t xml:space="preserve">emoval level for females </w:t>
      </w:r>
      <w:r w:rsidRPr="00536A47">
        <w:t>of reproductive capacity</w:t>
      </w:r>
      <w:r w:rsidR="00A24B94">
        <w:rPr>
          <w:rStyle w:val="FootnoteReference"/>
        </w:rPr>
        <w:footnoteReference w:id="12"/>
      </w:r>
      <w:r w:rsidRPr="00536A47">
        <w:t>.</w:t>
      </w:r>
    </w:p>
    <w:p w:rsidR="00EA4E7A" w:rsidRDefault="00EA4E7A" w:rsidP="00C0173F">
      <w:pPr>
        <w:pStyle w:val="Paragraph1"/>
        <w:spacing w:before="120" w:after="120"/>
        <w:rPr>
          <w:rFonts w:asciiTheme="minorHAnsi" w:hAnsiTheme="minorHAnsi" w:cstheme="minorHAnsi"/>
        </w:rPr>
      </w:pPr>
      <w:r>
        <w:rPr>
          <w:rFonts w:asciiTheme="minorHAnsi" w:hAnsiTheme="minorHAnsi" w:cstheme="minorHAnsi"/>
        </w:rPr>
        <w:t>With a testing frequency of:</w:t>
      </w:r>
    </w:p>
    <w:p w:rsidR="00EA4E7A" w:rsidRDefault="00EA4E7A" w:rsidP="00263482">
      <w:pPr>
        <w:pStyle w:val="Paragraph1"/>
        <w:numPr>
          <w:ilvl w:val="0"/>
          <w:numId w:val="43"/>
        </w:numPr>
        <w:spacing w:before="120" w:after="120"/>
        <w:rPr>
          <w:rFonts w:asciiTheme="minorHAnsi" w:hAnsiTheme="minorHAnsi" w:cstheme="minorHAnsi"/>
        </w:rPr>
      </w:pPr>
      <w:r>
        <w:rPr>
          <w:rFonts w:asciiTheme="minorHAnsi" w:hAnsiTheme="minorHAnsi" w:cstheme="minorHAnsi"/>
        </w:rPr>
        <w:t>For females not of reproductive capacity and males:</w:t>
      </w:r>
    </w:p>
    <w:p w:rsidR="00EA4E7A" w:rsidRDefault="00EA4E7A" w:rsidP="00263482">
      <w:pPr>
        <w:pStyle w:val="Paragraph1"/>
        <w:numPr>
          <w:ilvl w:val="1"/>
          <w:numId w:val="43"/>
        </w:numPr>
        <w:spacing w:before="120" w:after="120"/>
        <w:rPr>
          <w:rFonts w:asciiTheme="minorHAnsi" w:hAnsiTheme="minorHAnsi" w:cstheme="minorHAnsi"/>
        </w:rPr>
      </w:pPr>
      <w:r>
        <w:rPr>
          <w:rFonts w:asciiTheme="minorHAnsi" w:hAnsiTheme="minorHAnsi" w:cstheme="minorHAnsi"/>
        </w:rPr>
        <w:t xml:space="preserve">If the last blood lead level of less than 10 </w:t>
      </w:r>
      <w:r w:rsidRPr="00EA4E7A">
        <w:rPr>
          <w:rFonts w:asciiTheme="minorHAnsi" w:hAnsiTheme="minorHAnsi" w:cstheme="minorHAnsi"/>
        </w:rPr>
        <w:t>μg</w:t>
      </w:r>
      <w:r>
        <w:rPr>
          <w:rFonts w:asciiTheme="minorHAnsi" w:hAnsiTheme="minorHAnsi" w:cstheme="minorHAnsi"/>
        </w:rPr>
        <w:t xml:space="preserve">/dL (0.48 </w:t>
      </w:r>
      <w:r w:rsidRPr="00EA4E7A">
        <w:rPr>
          <w:rFonts w:asciiTheme="minorHAnsi" w:hAnsiTheme="minorHAnsi" w:cstheme="minorHAnsi"/>
        </w:rPr>
        <w:t>µmol</w:t>
      </w:r>
      <w:r>
        <w:rPr>
          <w:rFonts w:asciiTheme="minorHAnsi" w:hAnsiTheme="minorHAnsi" w:cstheme="minorHAnsi"/>
        </w:rPr>
        <w:t>/L)—6 months after the last biological monitoring of the worker</w:t>
      </w:r>
      <w:r w:rsidR="002A661E">
        <w:rPr>
          <w:rFonts w:asciiTheme="minorHAnsi" w:hAnsiTheme="minorHAnsi" w:cstheme="minorHAnsi"/>
        </w:rPr>
        <w:t>; or</w:t>
      </w:r>
    </w:p>
    <w:p w:rsidR="00EA4E7A" w:rsidRDefault="00EA4E7A" w:rsidP="00263482">
      <w:pPr>
        <w:pStyle w:val="Paragraph1"/>
        <w:numPr>
          <w:ilvl w:val="1"/>
          <w:numId w:val="43"/>
        </w:numPr>
        <w:spacing w:before="120" w:after="120"/>
        <w:rPr>
          <w:rFonts w:asciiTheme="minorHAnsi" w:hAnsiTheme="minorHAnsi" w:cstheme="minorHAnsi"/>
        </w:rPr>
      </w:pPr>
      <w:r>
        <w:rPr>
          <w:rFonts w:asciiTheme="minorHAnsi" w:hAnsiTheme="minorHAnsi" w:cstheme="minorHAnsi"/>
        </w:rPr>
        <w:t xml:space="preserve">If the last monitoring shows a blood lead level of </w:t>
      </w:r>
      <w:r w:rsidR="002A661E">
        <w:rPr>
          <w:rFonts w:asciiTheme="minorHAnsi" w:hAnsiTheme="minorHAnsi" w:cstheme="minorHAnsi"/>
        </w:rPr>
        <w:t xml:space="preserve">10 </w:t>
      </w:r>
      <w:r w:rsidR="002A661E" w:rsidRPr="002A661E">
        <w:rPr>
          <w:rFonts w:asciiTheme="minorHAnsi" w:hAnsiTheme="minorHAnsi" w:cstheme="minorHAnsi"/>
        </w:rPr>
        <w:t>μg</w:t>
      </w:r>
      <w:r w:rsidR="002A661E">
        <w:rPr>
          <w:rFonts w:asciiTheme="minorHAnsi" w:hAnsiTheme="minorHAnsi" w:cstheme="minorHAnsi"/>
        </w:rPr>
        <w:t xml:space="preserve">/dL (0.48 </w:t>
      </w:r>
      <w:r w:rsidR="002A661E" w:rsidRPr="002A661E">
        <w:rPr>
          <w:rFonts w:asciiTheme="minorHAnsi" w:hAnsiTheme="minorHAnsi" w:cstheme="minorHAnsi"/>
        </w:rPr>
        <w:t>µmol</w:t>
      </w:r>
      <w:r w:rsidR="002A661E">
        <w:rPr>
          <w:rFonts w:asciiTheme="minorHAnsi" w:hAnsiTheme="minorHAnsi" w:cstheme="minorHAnsi"/>
        </w:rPr>
        <w:t xml:space="preserve">/L) or more but less than 20 </w:t>
      </w:r>
      <w:r w:rsidR="002A661E" w:rsidRPr="002A661E">
        <w:rPr>
          <w:rFonts w:asciiTheme="minorHAnsi" w:hAnsiTheme="minorHAnsi" w:cstheme="minorHAnsi"/>
        </w:rPr>
        <w:t>μg</w:t>
      </w:r>
      <w:r w:rsidR="002A661E">
        <w:rPr>
          <w:rFonts w:asciiTheme="minorHAnsi" w:hAnsiTheme="minorHAnsi" w:cstheme="minorHAnsi"/>
        </w:rPr>
        <w:t xml:space="preserve">/dL (0.97 </w:t>
      </w:r>
      <w:r w:rsidR="002A661E" w:rsidRPr="002A661E">
        <w:rPr>
          <w:rFonts w:asciiTheme="minorHAnsi" w:hAnsiTheme="minorHAnsi" w:cstheme="minorHAnsi"/>
        </w:rPr>
        <w:t>µmol</w:t>
      </w:r>
      <w:r w:rsidR="002A661E">
        <w:rPr>
          <w:rFonts w:asciiTheme="minorHAnsi" w:hAnsiTheme="minorHAnsi" w:cstheme="minorHAnsi"/>
        </w:rPr>
        <w:t>/L)—3 months after the last biological monitoring of the worker; or</w:t>
      </w:r>
    </w:p>
    <w:p w:rsidR="002A661E" w:rsidRDefault="002A661E" w:rsidP="00263482">
      <w:pPr>
        <w:pStyle w:val="Paragraph1"/>
        <w:numPr>
          <w:ilvl w:val="1"/>
          <w:numId w:val="43"/>
        </w:numPr>
        <w:spacing w:before="120" w:after="120"/>
        <w:rPr>
          <w:rFonts w:asciiTheme="minorHAnsi" w:hAnsiTheme="minorHAnsi" w:cstheme="minorHAnsi"/>
        </w:rPr>
      </w:pPr>
      <w:r>
        <w:rPr>
          <w:rFonts w:asciiTheme="minorHAnsi" w:hAnsiTheme="minorHAnsi" w:cstheme="minorHAnsi"/>
        </w:rPr>
        <w:t xml:space="preserve">If the last monitoring shows a blood lead level of 20 </w:t>
      </w:r>
      <w:r w:rsidRPr="002A661E">
        <w:rPr>
          <w:rFonts w:asciiTheme="minorHAnsi" w:hAnsiTheme="minorHAnsi" w:cstheme="minorHAnsi"/>
        </w:rPr>
        <w:t>μg</w:t>
      </w:r>
      <w:r>
        <w:rPr>
          <w:rFonts w:asciiTheme="minorHAnsi" w:hAnsiTheme="minorHAnsi" w:cstheme="minorHAnsi"/>
        </w:rPr>
        <w:t xml:space="preserve">/dL (0.97 </w:t>
      </w:r>
      <w:r w:rsidRPr="002A661E">
        <w:rPr>
          <w:rFonts w:asciiTheme="minorHAnsi" w:hAnsiTheme="minorHAnsi" w:cstheme="minorHAnsi"/>
        </w:rPr>
        <w:t>µmol</w:t>
      </w:r>
      <w:r>
        <w:rPr>
          <w:rFonts w:asciiTheme="minorHAnsi" w:hAnsiTheme="minorHAnsi" w:cstheme="minorHAnsi"/>
        </w:rPr>
        <w:t>/L) or more—6 weeks after the last  biological monitoring of the worker</w:t>
      </w:r>
    </w:p>
    <w:p w:rsidR="002A661E" w:rsidRDefault="002A661E" w:rsidP="00263482">
      <w:pPr>
        <w:pStyle w:val="Paragraph1"/>
        <w:numPr>
          <w:ilvl w:val="0"/>
          <w:numId w:val="43"/>
        </w:numPr>
        <w:spacing w:before="120" w:after="120"/>
        <w:rPr>
          <w:rFonts w:asciiTheme="minorHAnsi" w:hAnsiTheme="minorHAnsi" w:cstheme="minorHAnsi"/>
        </w:rPr>
      </w:pPr>
      <w:r>
        <w:rPr>
          <w:rFonts w:asciiTheme="minorHAnsi" w:hAnsiTheme="minorHAnsi" w:cstheme="minorHAnsi"/>
        </w:rPr>
        <w:t>For females of reproductive capacity:</w:t>
      </w:r>
    </w:p>
    <w:p w:rsidR="002A661E" w:rsidRDefault="002A661E" w:rsidP="00263482">
      <w:pPr>
        <w:pStyle w:val="Paragraph1"/>
        <w:numPr>
          <w:ilvl w:val="1"/>
          <w:numId w:val="43"/>
        </w:numPr>
        <w:spacing w:before="120" w:after="120"/>
        <w:rPr>
          <w:rFonts w:asciiTheme="minorHAnsi" w:hAnsiTheme="minorHAnsi" w:cstheme="minorHAnsi"/>
        </w:rPr>
      </w:pPr>
      <w:r>
        <w:rPr>
          <w:rFonts w:asciiTheme="minorHAnsi" w:hAnsiTheme="minorHAnsi" w:cstheme="minorHAnsi"/>
        </w:rPr>
        <w:t xml:space="preserve">If the last blood lead level of less than 5 </w:t>
      </w:r>
      <w:r w:rsidRPr="00EA4E7A">
        <w:rPr>
          <w:rFonts w:asciiTheme="minorHAnsi" w:hAnsiTheme="minorHAnsi" w:cstheme="minorHAnsi"/>
        </w:rPr>
        <w:t>μg</w:t>
      </w:r>
      <w:r>
        <w:rPr>
          <w:rFonts w:asciiTheme="minorHAnsi" w:hAnsiTheme="minorHAnsi" w:cstheme="minorHAnsi"/>
        </w:rPr>
        <w:t xml:space="preserve">/dL (0.24 </w:t>
      </w:r>
      <w:r w:rsidRPr="00EA4E7A">
        <w:rPr>
          <w:rFonts w:asciiTheme="minorHAnsi" w:hAnsiTheme="minorHAnsi" w:cstheme="minorHAnsi"/>
        </w:rPr>
        <w:t>µmol</w:t>
      </w:r>
      <w:r>
        <w:rPr>
          <w:rFonts w:asciiTheme="minorHAnsi" w:hAnsiTheme="minorHAnsi" w:cstheme="minorHAnsi"/>
        </w:rPr>
        <w:t>/L)—3 months after the last biological monitoring of the worker; or</w:t>
      </w:r>
    </w:p>
    <w:p w:rsidR="002A661E" w:rsidRDefault="002A661E" w:rsidP="00263482">
      <w:pPr>
        <w:pStyle w:val="Paragraph1"/>
        <w:numPr>
          <w:ilvl w:val="1"/>
          <w:numId w:val="43"/>
        </w:numPr>
        <w:spacing w:before="120" w:after="120"/>
        <w:rPr>
          <w:rFonts w:asciiTheme="minorHAnsi" w:hAnsiTheme="minorHAnsi" w:cstheme="minorHAnsi"/>
        </w:rPr>
      </w:pPr>
      <w:r>
        <w:rPr>
          <w:rFonts w:asciiTheme="minorHAnsi" w:hAnsiTheme="minorHAnsi" w:cstheme="minorHAnsi"/>
        </w:rPr>
        <w:t xml:space="preserve">If the last monitoring shows a blood lead level of 5 </w:t>
      </w:r>
      <w:r w:rsidRPr="002A661E">
        <w:rPr>
          <w:rFonts w:asciiTheme="minorHAnsi" w:hAnsiTheme="minorHAnsi" w:cstheme="minorHAnsi"/>
        </w:rPr>
        <w:t>μg</w:t>
      </w:r>
      <w:r>
        <w:rPr>
          <w:rFonts w:asciiTheme="minorHAnsi" w:hAnsiTheme="minorHAnsi" w:cstheme="minorHAnsi"/>
        </w:rPr>
        <w:t xml:space="preserve">/dL (0.24 </w:t>
      </w:r>
      <w:r w:rsidRPr="002A661E">
        <w:rPr>
          <w:rFonts w:asciiTheme="minorHAnsi" w:hAnsiTheme="minorHAnsi" w:cstheme="minorHAnsi"/>
        </w:rPr>
        <w:t>µmol</w:t>
      </w:r>
      <w:r w:rsidR="00E76734">
        <w:rPr>
          <w:rFonts w:asciiTheme="minorHAnsi" w:hAnsiTheme="minorHAnsi" w:cstheme="minorHAnsi"/>
        </w:rPr>
        <w:t>/L) or more but less than 1</w:t>
      </w:r>
      <w:r>
        <w:rPr>
          <w:rFonts w:asciiTheme="minorHAnsi" w:hAnsiTheme="minorHAnsi" w:cstheme="minorHAnsi"/>
        </w:rPr>
        <w:t xml:space="preserve">0 </w:t>
      </w:r>
      <w:r w:rsidRPr="002A661E">
        <w:rPr>
          <w:rFonts w:asciiTheme="minorHAnsi" w:hAnsiTheme="minorHAnsi" w:cstheme="minorHAnsi"/>
        </w:rPr>
        <w:t>μg</w:t>
      </w:r>
      <w:r>
        <w:rPr>
          <w:rFonts w:asciiTheme="minorHAnsi" w:hAnsiTheme="minorHAnsi" w:cstheme="minorHAnsi"/>
        </w:rPr>
        <w:t>/dL (0.</w:t>
      </w:r>
      <w:r w:rsidR="00E76734">
        <w:rPr>
          <w:rFonts w:asciiTheme="minorHAnsi" w:hAnsiTheme="minorHAnsi" w:cstheme="minorHAnsi"/>
        </w:rPr>
        <w:t>48</w:t>
      </w:r>
      <w:r>
        <w:rPr>
          <w:rFonts w:asciiTheme="minorHAnsi" w:hAnsiTheme="minorHAnsi" w:cstheme="minorHAnsi"/>
        </w:rPr>
        <w:t xml:space="preserve"> </w:t>
      </w:r>
      <w:r w:rsidRPr="002A661E">
        <w:rPr>
          <w:rFonts w:asciiTheme="minorHAnsi" w:hAnsiTheme="minorHAnsi" w:cstheme="minorHAnsi"/>
        </w:rPr>
        <w:t>µmol</w:t>
      </w:r>
      <w:r>
        <w:rPr>
          <w:rFonts w:asciiTheme="minorHAnsi" w:hAnsiTheme="minorHAnsi" w:cstheme="minorHAnsi"/>
        </w:rPr>
        <w:t>/L)—6 weeks after the last biological monitoring of the worker</w:t>
      </w:r>
      <w:r w:rsidR="00BA3A14">
        <w:rPr>
          <w:rFonts w:asciiTheme="minorHAnsi" w:hAnsiTheme="minorHAnsi" w:cstheme="minorHAnsi"/>
        </w:rPr>
        <w:t>.</w:t>
      </w:r>
    </w:p>
    <w:p w:rsidR="00BA3A14" w:rsidRDefault="00BA3A14" w:rsidP="00BA3A14">
      <w:pPr>
        <w:pStyle w:val="Paragraph1"/>
        <w:spacing w:before="120" w:after="120"/>
        <w:rPr>
          <w:rFonts w:asciiTheme="minorHAnsi" w:hAnsiTheme="minorHAnsi" w:cstheme="minorHAnsi"/>
        </w:rPr>
      </w:pPr>
      <w:r>
        <w:rPr>
          <w:rFonts w:asciiTheme="minorHAnsi" w:hAnsiTheme="minorHAnsi" w:cstheme="minorHAnsi"/>
        </w:rPr>
        <w:t>Workers may return to lead risk work if the worker’s blood lead level is less than:</w:t>
      </w:r>
    </w:p>
    <w:p w:rsidR="00BA3A14" w:rsidRDefault="00BA3A14" w:rsidP="00263482">
      <w:pPr>
        <w:pStyle w:val="Paragraph1"/>
        <w:numPr>
          <w:ilvl w:val="0"/>
          <w:numId w:val="40"/>
        </w:numPr>
        <w:spacing w:before="120" w:after="120"/>
        <w:rPr>
          <w:rFonts w:asciiTheme="minorHAnsi" w:hAnsiTheme="minorHAnsi" w:cstheme="minorHAnsi"/>
        </w:rPr>
      </w:pPr>
      <w:r>
        <w:rPr>
          <w:rFonts w:asciiTheme="minorHAnsi" w:hAnsiTheme="minorHAnsi" w:cstheme="minorHAnsi"/>
        </w:rPr>
        <w:t xml:space="preserve">For females not of reproductive capacity and males—20 </w:t>
      </w:r>
      <w:r w:rsidRPr="00BA3A14">
        <w:rPr>
          <w:rFonts w:asciiTheme="minorHAnsi" w:hAnsiTheme="minorHAnsi" w:cstheme="minorHAnsi"/>
        </w:rPr>
        <w:t>μg</w:t>
      </w:r>
      <w:r>
        <w:rPr>
          <w:rFonts w:asciiTheme="minorHAnsi" w:hAnsiTheme="minorHAnsi" w:cstheme="minorHAnsi"/>
        </w:rPr>
        <w:t xml:space="preserve">/dL (0.97 </w:t>
      </w:r>
      <w:r w:rsidRPr="00BA3A14">
        <w:rPr>
          <w:rFonts w:asciiTheme="minorHAnsi" w:hAnsiTheme="minorHAnsi" w:cstheme="minorHAnsi"/>
        </w:rPr>
        <w:t>µmol</w:t>
      </w:r>
      <w:r>
        <w:rPr>
          <w:rFonts w:asciiTheme="minorHAnsi" w:hAnsiTheme="minorHAnsi" w:cstheme="minorHAnsi"/>
        </w:rPr>
        <w:t>/L)</w:t>
      </w:r>
      <w:r w:rsidR="008246EE">
        <w:rPr>
          <w:rFonts w:asciiTheme="minorHAnsi" w:hAnsiTheme="minorHAnsi" w:cstheme="minorHAnsi"/>
        </w:rPr>
        <w:t>; or</w:t>
      </w:r>
    </w:p>
    <w:p w:rsidR="00BA3A14" w:rsidRDefault="00BA3A14" w:rsidP="00263482">
      <w:pPr>
        <w:pStyle w:val="Paragraph1"/>
        <w:numPr>
          <w:ilvl w:val="0"/>
          <w:numId w:val="40"/>
        </w:numPr>
        <w:spacing w:before="120" w:after="120"/>
        <w:rPr>
          <w:rFonts w:asciiTheme="minorHAnsi" w:hAnsiTheme="minorHAnsi" w:cstheme="minorHAnsi"/>
        </w:rPr>
      </w:pPr>
      <w:r>
        <w:rPr>
          <w:rFonts w:asciiTheme="minorHAnsi" w:hAnsiTheme="minorHAnsi" w:cstheme="minorHAnsi"/>
        </w:rPr>
        <w:t xml:space="preserve">For females of reproductive capacity—5 </w:t>
      </w:r>
      <w:r w:rsidRPr="00BA3A14">
        <w:rPr>
          <w:rFonts w:asciiTheme="minorHAnsi" w:hAnsiTheme="minorHAnsi" w:cstheme="minorHAnsi"/>
        </w:rPr>
        <w:t>μg</w:t>
      </w:r>
      <w:r>
        <w:rPr>
          <w:rFonts w:asciiTheme="minorHAnsi" w:hAnsiTheme="minorHAnsi" w:cstheme="minorHAnsi"/>
        </w:rPr>
        <w:t xml:space="preserve">/dL (0.24 </w:t>
      </w:r>
      <w:r w:rsidRPr="00BA3A14">
        <w:rPr>
          <w:rFonts w:asciiTheme="minorHAnsi" w:hAnsiTheme="minorHAnsi" w:cstheme="minorHAnsi"/>
        </w:rPr>
        <w:t>µmol</w:t>
      </w:r>
      <w:r>
        <w:rPr>
          <w:rFonts w:asciiTheme="minorHAnsi" w:hAnsiTheme="minorHAnsi" w:cstheme="minorHAnsi"/>
        </w:rPr>
        <w:t>/L).</w:t>
      </w:r>
    </w:p>
    <w:p w:rsidR="00E75DB6" w:rsidRPr="00313AAD" w:rsidRDefault="00E75DB6" w:rsidP="00263482">
      <w:pPr>
        <w:pStyle w:val="Heading2"/>
        <w:ind w:left="426"/>
      </w:pPr>
      <w:bookmarkStart w:id="117" w:name="_Toc459276924"/>
      <w:r w:rsidRPr="00313AAD">
        <w:t>Preferred Option – workplace exposure standard</w:t>
      </w:r>
      <w:bookmarkEnd w:id="117"/>
    </w:p>
    <w:p w:rsidR="00E75DB6" w:rsidRDefault="000D48BD" w:rsidP="00E75DB6">
      <w:pPr>
        <w:rPr>
          <w:rFonts w:cstheme="minorHAnsi"/>
        </w:rPr>
      </w:pPr>
      <w:r>
        <w:rPr>
          <w:rFonts w:cstheme="minorHAnsi"/>
        </w:rPr>
        <w:t>Submissions</w:t>
      </w:r>
      <w:r w:rsidR="00E75DB6">
        <w:rPr>
          <w:rFonts w:cstheme="minorHAnsi"/>
        </w:rPr>
        <w:t xml:space="preserve"> and direct consultation indicated a preference for Option 2. As compliance approaches for the workplace exposure standard are considered to be a part of the control strategy for management of blood lead levels, the CBA combined the relative costs and benefits. The CBA showed a quantifiable benefit over 10 years with a benefit to cost ratio of 1.4</w:t>
      </w:r>
      <w:r w:rsidR="000A1A75">
        <w:rPr>
          <w:rFonts w:cstheme="minorHAnsi"/>
        </w:rPr>
        <w:t xml:space="preserve"> to one.</w:t>
      </w:r>
    </w:p>
    <w:p w:rsidR="000A1A75" w:rsidRDefault="000A1A75" w:rsidP="00E75DB6">
      <w:pPr>
        <w:rPr>
          <w:rFonts w:cstheme="minorHAnsi"/>
        </w:rPr>
      </w:pPr>
      <w:r>
        <w:rPr>
          <w:rFonts w:cstheme="minorHAnsi"/>
        </w:rPr>
        <w:t>Therefore the preferred option for the workplace exposure standard is considered to be:</w:t>
      </w:r>
    </w:p>
    <w:tbl>
      <w:tblPr>
        <w:tblStyle w:val="TableGrid"/>
        <w:tblW w:w="0" w:type="auto"/>
        <w:tblLook w:val="04A0" w:firstRow="1" w:lastRow="0" w:firstColumn="1" w:lastColumn="0" w:noHBand="0" w:noVBand="1"/>
        <w:tblCaption w:val="Preferred option for the workplace exposure standard "/>
        <w:tblDescription w:val="The preferred option for the workplace exposure standard is as follows. Chemical name: Lead, inorganic dusts and fumes. CAS Number: 7439-92-1. Time weighted average: 0.05 milligrams per metres cubed."/>
      </w:tblPr>
      <w:tblGrid>
        <w:gridCol w:w="4786"/>
        <w:gridCol w:w="2419"/>
        <w:gridCol w:w="2419"/>
      </w:tblGrid>
      <w:tr w:rsidR="000A1A75" w:rsidRPr="000A1A75" w:rsidTr="00772D66">
        <w:trPr>
          <w:tblHeader/>
        </w:trPr>
        <w:tc>
          <w:tcPr>
            <w:tcW w:w="4786" w:type="dxa"/>
            <w:shd w:val="clear" w:color="auto" w:fill="BFBFBF" w:themeFill="background1" w:themeFillShade="BF"/>
            <w:vAlign w:val="center"/>
          </w:tcPr>
          <w:p w:rsidR="000A1A75" w:rsidRPr="000A1A75" w:rsidRDefault="000A1A75" w:rsidP="000A1A75">
            <w:pPr>
              <w:rPr>
                <w:b/>
              </w:rPr>
            </w:pPr>
            <w:r w:rsidRPr="000A1A75">
              <w:rPr>
                <w:b/>
              </w:rPr>
              <w:t>Chemical name</w:t>
            </w:r>
          </w:p>
        </w:tc>
        <w:tc>
          <w:tcPr>
            <w:tcW w:w="2419" w:type="dxa"/>
            <w:shd w:val="clear" w:color="auto" w:fill="BFBFBF" w:themeFill="background1" w:themeFillShade="BF"/>
            <w:vAlign w:val="center"/>
          </w:tcPr>
          <w:p w:rsidR="000A1A75" w:rsidRPr="000A1A75" w:rsidRDefault="000A1A75" w:rsidP="000A1A75">
            <w:pPr>
              <w:rPr>
                <w:b/>
              </w:rPr>
            </w:pPr>
            <w:r w:rsidRPr="000A1A75">
              <w:rPr>
                <w:b/>
              </w:rPr>
              <w:t>CAS No.</w:t>
            </w:r>
          </w:p>
        </w:tc>
        <w:tc>
          <w:tcPr>
            <w:tcW w:w="2419" w:type="dxa"/>
            <w:shd w:val="clear" w:color="auto" w:fill="BFBFBF" w:themeFill="background1" w:themeFillShade="BF"/>
            <w:vAlign w:val="center"/>
          </w:tcPr>
          <w:p w:rsidR="000A1A75" w:rsidRPr="000A1A75" w:rsidRDefault="000A1A75" w:rsidP="000A1A75">
            <w:pPr>
              <w:rPr>
                <w:b/>
              </w:rPr>
            </w:pPr>
            <w:r w:rsidRPr="000A1A75">
              <w:rPr>
                <w:b/>
              </w:rPr>
              <w:t>TWA (mg/m</w:t>
            </w:r>
            <w:r w:rsidRPr="000A1A75">
              <w:rPr>
                <w:b/>
                <w:vertAlign w:val="superscript"/>
              </w:rPr>
              <w:t>3</w:t>
            </w:r>
            <w:r w:rsidRPr="000A1A75">
              <w:rPr>
                <w:b/>
              </w:rPr>
              <w:t>)</w:t>
            </w:r>
          </w:p>
        </w:tc>
      </w:tr>
      <w:tr w:rsidR="000A1A75" w:rsidTr="000A1A75">
        <w:tc>
          <w:tcPr>
            <w:tcW w:w="4786" w:type="dxa"/>
            <w:vAlign w:val="center"/>
          </w:tcPr>
          <w:p w:rsidR="000A1A75" w:rsidRDefault="000A1A75" w:rsidP="000A1A75">
            <w:r>
              <w:t>Lead, inorganic dusts &amp; fumes (as Pb)</w:t>
            </w:r>
          </w:p>
        </w:tc>
        <w:tc>
          <w:tcPr>
            <w:tcW w:w="2419" w:type="dxa"/>
            <w:vAlign w:val="center"/>
          </w:tcPr>
          <w:p w:rsidR="000A1A75" w:rsidRDefault="000A1A75" w:rsidP="000A1A75">
            <w:r>
              <w:t>7439-92-1</w:t>
            </w:r>
          </w:p>
        </w:tc>
        <w:tc>
          <w:tcPr>
            <w:tcW w:w="2419" w:type="dxa"/>
            <w:vAlign w:val="center"/>
          </w:tcPr>
          <w:p w:rsidR="000A1A75" w:rsidRDefault="000A1A75" w:rsidP="000A1A75">
            <w:r>
              <w:t>0.05</w:t>
            </w:r>
          </w:p>
        </w:tc>
      </w:tr>
    </w:tbl>
    <w:p w:rsidR="000A1A75" w:rsidRDefault="000A1A75" w:rsidP="000A1A75">
      <w:pPr>
        <w:spacing w:before="120"/>
      </w:pPr>
      <w:r>
        <w:t xml:space="preserve">No quantifiable benefit was found for changing the </w:t>
      </w:r>
      <w:r w:rsidR="000D48BD">
        <w:t>mandatory nature</w:t>
      </w:r>
      <w:r>
        <w:t xml:space="preserve"> of the WES for lead, therefore is it not recommended to change the status of the WES at this time</w:t>
      </w:r>
      <w:r w:rsidR="000D48BD">
        <w:t>.</w:t>
      </w:r>
    </w:p>
    <w:p w:rsidR="007F514D" w:rsidRPr="00313AAD" w:rsidRDefault="007F514D" w:rsidP="00D30F19">
      <w:pPr>
        <w:pStyle w:val="Heading2"/>
        <w:ind w:left="426"/>
      </w:pPr>
      <w:bookmarkStart w:id="118" w:name="_Toc459276925"/>
      <w:r w:rsidRPr="00313AAD">
        <w:t>Preferred Option – transition period</w:t>
      </w:r>
      <w:bookmarkEnd w:id="118"/>
    </w:p>
    <w:p w:rsidR="007F514D" w:rsidRDefault="006300FC" w:rsidP="00EA4E7A">
      <w:pPr>
        <w:pStyle w:val="Paragraph1"/>
        <w:spacing w:before="120" w:after="120"/>
        <w:rPr>
          <w:rFonts w:asciiTheme="minorHAnsi" w:hAnsiTheme="minorHAnsi" w:cstheme="minorHAnsi"/>
        </w:rPr>
      </w:pPr>
      <w:r>
        <w:rPr>
          <w:rFonts w:asciiTheme="minorHAnsi" w:hAnsiTheme="minorHAnsi" w:cstheme="minorHAnsi"/>
        </w:rPr>
        <w:t>Submissions</w:t>
      </w:r>
      <w:r w:rsidR="007F514D">
        <w:rPr>
          <w:rFonts w:asciiTheme="minorHAnsi" w:hAnsiTheme="minorHAnsi" w:cstheme="minorHAnsi"/>
        </w:rPr>
        <w:t xml:space="preserve"> indicated an average time </w:t>
      </w:r>
      <w:r w:rsidR="00502EC3">
        <w:rPr>
          <w:rFonts w:asciiTheme="minorHAnsi" w:hAnsiTheme="minorHAnsi" w:cstheme="minorHAnsi"/>
        </w:rPr>
        <w:t>of two years for complying with</w:t>
      </w:r>
      <w:r w:rsidR="007F514D">
        <w:rPr>
          <w:rFonts w:asciiTheme="minorHAnsi" w:hAnsiTheme="minorHAnsi" w:cstheme="minorHAnsi"/>
        </w:rPr>
        <w:t xml:space="preserve"> Option 2.</w:t>
      </w:r>
      <w:r w:rsidR="009B0570">
        <w:rPr>
          <w:rFonts w:asciiTheme="minorHAnsi" w:hAnsiTheme="minorHAnsi" w:cstheme="minorHAnsi"/>
        </w:rPr>
        <w:t xml:space="preserve"> A two year transition period was also the preferred period in responses received.</w:t>
      </w:r>
    </w:p>
    <w:p w:rsidR="00EA4E7A" w:rsidRDefault="007F514D" w:rsidP="00EA4E7A">
      <w:pPr>
        <w:pStyle w:val="Paragraph1"/>
        <w:spacing w:before="120" w:after="120"/>
        <w:rPr>
          <w:rFonts w:asciiTheme="minorHAnsi" w:hAnsiTheme="minorHAnsi" w:cstheme="minorHAnsi"/>
        </w:rPr>
      </w:pPr>
      <w:r>
        <w:rPr>
          <w:rFonts w:asciiTheme="minorHAnsi" w:hAnsiTheme="minorHAnsi" w:cstheme="minorHAnsi"/>
        </w:rPr>
        <w:t>The CBA for the preferred Option for blood lead levels showed a benefit starting in year three post implementation.</w:t>
      </w:r>
    </w:p>
    <w:p w:rsidR="007F514D" w:rsidRPr="00536A47" w:rsidRDefault="007F514D" w:rsidP="00EA4E7A">
      <w:pPr>
        <w:pStyle w:val="Paragraph1"/>
        <w:spacing w:before="120" w:after="120"/>
        <w:rPr>
          <w:rFonts w:asciiTheme="minorHAnsi" w:hAnsiTheme="minorHAnsi" w:cstheme="minorHAnsi"/>
        </w:rPr>
      </w:pPr>
      <w:r>
        <w:rPr>
          <w:rFonts w:asciiTheme="minorHAnsi" w:hAnsiTheme="minorHAnsi" w:cstheme="minorHAnsi"/>
        </w:rPr>
        <w:t xml:space="preserve">Therefore the preferred transition period is </w:t>
      </w:r>
      <w:r w:rsidR="00255BA1">
        <w:rPr>
          <w:rFonts w:asciiTheme="minorHAnsi" w:hAnsiTheme="minorHAnsi" w:cstheme="minorHAnsi"/>
        </w:rPr>
        <w:t>recommended</w:t>
      </w:r>
      <w:r>
        <w:rPr>
          <w:rFonts w:asciiTheme="minorHAnsi" w:hAnsiTheme="minorHAnsi" w:cstheme="minorHAnsi"/>
        </w:rPr>
        <w:t xml:space="preserve"> to be two years.</w:t>
      </w:r>
    </w:p>
    <w:p w:rsidR="0035186A" w:rsidRDefault="0035186A" w:rsidP="0035186A">
      <w:pPr>
        <w:rPr>
          <w:rFonts w:asciiTheme="majorHAnsi" w:eastAsia="Batang" w:hAnsiTheme="majorHAnsi" w:cs="Arial"/>
          <w:sz w:val="36"/>
          <w:szCs w:val="32"/>
        </w:rPr>
      </w:pPr>
      <w:r>
        <w:br w:type="page"/>
      </w:r>
    </w:p>
    <w:p w:rsidR="00722AE0" w:rsidRPr="00536A47" w:rsidRDefault="00C0173F" w:rsidP="00EE21D9">
      <w:pPr>
        <w:pStyle w:val="Heading1-number"/>
        <w:rPr>
          <w:rFonts w:asciiTheme="minorHAnsi" w:hAnsiTheme="minorHAnsi" w:cstheme="minorHAnsi"/>
        </w:rPr>
      </w:pPr>
      <w:bookmarkStart w:id="119" w:name="_Toc459276926"/>
      <w:r>
        <w:rPr>
          <w:rFonts w:asciiTheme="minorHAnsi" w:hAnsiTheme="minorHAnsi" w:cstheme="minorHAnsi"/>
        </w:rPr>
        <w:t>Implementation and review</w:t>
      </w:r>
      <w:bookmarkEnd w:id="119"/>
    </w:p>
    <w:p w:rsidR="00487615" w:rsidRPr="00313AAD" w:rsidRDefault="00487615" w:rsidP="00263482">
      <w:pPr>
        <w:pStyle w:val="Heading2"/>
        <w:ind w:left="426"/>
      </w:pPr>
      <w:bookmarkStart w:id="120" w:name="_Toc459276927"/>
      <w:bookmarkStart w:id="121" w:name="_Toc358795976"/>
      <w:bookmarkStart w:id="122" w:name="_Toc378143787"/>
      <w:r w:rsidRPr="00313AAD">
        <w:t>Implementation</w:t>
      </w:r>
      <w:bookmarkEnd w:id="120"/>
    </w:p>
    <w:p w:rsidR="00ED7CE3" w:rsidRDefault="00487615" w:rsidP="00487615">
      <w:r w:rsidRPr="00C9446F">
        <w:t>Should WHS Ministers agree to the preferred options in this Decision RIS</w:t>
      </w:r>
      <w:r>
        <w:t>,</w:t>
      </w:r>
      <w:r w:rsidRPr="00C9446F">
        <w:t xml:space="preserve"> </w:t>
      </w:r>
      <w:r>
        <w:t>the</w:t>
      </w:r>
      <w:r w:rsidRPr="00C9446F">
        <w:t xml:space="preserve"> </w:t>
      </w:r>
      <w:r>
        <w:t xml:space="preserve">model </w:t>
      </w:r>
      <w:r w:rsidR="006300FC">
        <w:t>WHS</w:t>
      </w:r>
      <w:r>
        <w:t xml:space="preserve"> </w:t>
      </w:r>
      <w:r w:rsidR="006300FC">
        <w:t>R</w:t>
      </w:r>
      <w:r>
        <w:t xml:space="preserve">egulations will be amended to the following (changes are in </w:t>
      </w:r>
      <w:r>
        <w:rPr>
          <w:b/>
        </w:rPr>
        <w:t>bold</w:t>
      </w:r>
      <w:r>
        <w:t>):</w:t>
      </w:r>
    </w:p>
    <w:p w:rsidR="00487615" w:rsidRDefault="00487615" w:rsidP="00487615">
      <w:pPr>
        <w:ind w:left="360"/>
      </w:pPr>
      <w:r w:rsidRPr="00D33ABB">
        <w:rPr>
          <w:b/>
        </w:rPr>
        <w:t>394</w:t>
      </w:r>
      <w:r>
        <w:t xml:space="preserve"> Meaning of </w:t>
      </w:r>
      <w:r w:rsidRPr="007164C7">
        <w:rPr>
          <w:i/>
        </w:rPr>
        <w:t>lead risk work</w:t>
      </w:r>
    </w:p>
    <w:p w:rsidR="00487615" w:rsidRDefault="00487615" w:rsidP="00487615">
      <w:pPr>
        <w:ind w:left="350"/>
      </w:pPr>
      <w:r>
        <w:t xml:space="preserve">In this Part </w:t>
      </w:r>
      <w:r>
        <w:rPr>
          <w:i/>
        </w:rPr>
        <w:t>lead risk work</w:t>
      </w:r>
      <w:r>
        <w:t xml:space="preserve"> means work carried out in a lead process that is likely to cause the blood lead level of a worker carrying out the work to exceed:</w:t>
      </w:r>
    </w:p>
    <w:p w:rsidR="00487615" w:rsidRDefault="00487615" w:rsidP="00263482">
      <w:pPr>
        <w:pStyle w:val="Paragraph1"/>
        <w:numPr>
          <w:ilvl w:val="0"/>
          <w:numId w:val="39"/>
        </w:numPr>
        <w:spacing w:before="120" w:after="120"/>
      </w:pPr>
      <w:r>
        <w:t>for a female of reproductive capacity</w:t>
      </w:r>
      <w:r w:rsidRPr="00F95598">
        <w:t>—</w:t>
      </w:r>
      <w:r w:rsidRPr="00F95598">
        <w:rPr>
          <w:b/>
        </w:rPr>
        <w:t>5 μg/dL (0.24 µmol/L)</w:t>
      </w:r>
      <w:r>
        <w:t>; or</w:t>
      </w:r>
    </w:p>
    <w:p w:rsidR="00487615" w:rsidRDefault="00487615" w:rsidP="00263482">
      <w:pPr>
        <w:pStyle w:val="Paragraph1"/>
        <w:numPr>
          <w:ilvl w:val="0"/>
          <w:numId w:val="39"/>
        </w:numPr>
        <w:spacing w:before="120" w:after="120"/>
      </w:pPr>
      <w:r>
        <w:t>in any other case</w:t>
      </w:r>
      <w:r w:rsidRPr="00F95598">
        <w:t>—</w:t>
      </w:r>
      <w:r w:rsidRPr="00F95598">
        <w:rPr>
          <w:b/>
        </w:rPr>
        <w:t>20 μg/dL (0.97 µmol/L)</w:t>
      </w:r>
      <w:r>
        <w:t>.</w:t>
      </w:r>
    </w:p>
    <w:p w:rsidR="00487615" w:rsidRDefault="00487615" w:rsidP="00487615"/>
    <w:p w:rsidR="00487615" w:rsidRDefault="00487615" w:rsidP="00487615">
      <w:pPr>
        <w:ind w:left="360"/>
      </w:pPr>
      <w:r w:rsidRPr="00D33ABB">
        <w:rPr>
          <w:b/>
        </w:rPr>
        <w:t>407</w:t>
      </w:r>
      <w:r>
        <w:t xml:space="preserve"> Frequency of biological monitoring</w:t>
      </w:r>
    </w:p>
    <w:p w:rsidR="00487615" w:rsidRDefault="00487615" w:rsidP="00263482">
      <w:pPr>
        <w:pStyle w:val="Paragraph1"/>
        <w:numPr>
          <w:ilvl w:val="0"/>
          <w:numId w:val="41"/>
        </w:numPr>
        <w:spacing w:before="120" w:after="120"/>
        <w:rPr>
          <w:rFonts w:asciiTheme="minorHAnsi" w:hAnsiTheme="minorHAnsi" w:cstheme="minorHAnsi"/>
        </w:rPr>
      </w:pPr>
      <w:r>
        <w:rPr>
          <w:rFonts w:asciiTheme="minorHAnsi" w:hAnsiTheme="minorHAnsi" w:cstheme="minorHAnsi"/>
        </w:rPr>
        <w:t>A person conducting a business or undertaking at a workplace must arrange for biological monitoring of each worker who carries out lead risk work for the person to be carried out at the following times:</w:t>
      </w:r>
    </w:p>
    <w:p w:rsidR="00487615" w:rsidRPr="00F95598" w:rsidRDefault="00487615" w:rsidP="00263482">
      <w:pPr>
        <w:pStyle w:val="Paragraph1"/>
        <w:numPr>
          <w:ilvl w:val="0"/>
          <w:numId w:val="42"/>
        </w:numPr>
        <w:spacing w:before="120" w:after="120"/>
        <w:rPr>
          <w:rFonts w:asciiTheme="minorHAnsi" w:hAnsiTheme="minorHAnsi" w:cstheme="minorHAnsi"/>
        </w:rPr>
      </w:pPr>
      <w:r>
        <w:t>f</w:t>
      </w:r>
      <w:r w:rsidRPr="00F95598">
        <w:rPr>
          <w:rFonts w:asciiTheme="minorHAnsi" w:hAnsiTheme="minorHAnsi" w:cstheme="minorHAnsi"/>
        </w:rPr>
        <w:t>or females not of reproductive capacity and males:</w:t>
      </w:r>
    </w:p>
    <w:p w:rsidR="00487615" w:rsidRDefault="00487615" w:rsidP="00263482">
      <w:pPr>
        <w:pStyle w:val="Paragraph1"/>
        <w:numPr>
          <w:ilvl w:val="1"/>
          <w:numId w:val="42"/>
        </w:numPr>
        <w:spacing w:before="120" w:after="120"/>
        <w:rPr>
          <w:rFonts w:asciiTheme="minorHAnsi" w:hAnsiTheme="minorHAnsi" w:cstheme="minorHAnsi"/>
        </w:rPr>
      </w:pPr>
      <w:r>
        <w:rPr>
          <w:rFonts w:asciiTheme="minorHAnsi" w:hAnsiTheme="minorHAnsi" w:cstheme="minorHAnsi"/>
        </w:rPr>
        <w:t xml:space="preserve">if the last blood lead level of less than </w:t>
      </w:r>
      <w:r w:rsidRPr="00C36A37">
        <w:rPr>
          <w:rFonts w:asciiTheme="minorHAnsi" w:hAnsiTheme="minorHAnsi" w:cstheme="minorHAnsi"/>
          <w:b/>
        </w:rPr>
        <w:t>10 μg/dL (0.48 µmol/L)</w:t>
      </w:r>
      <w:r>
        <w:rPr>
          <w:rFonts w:asciiTheme="minorHAnsi" w:hAnsiTheme="minorHAnsi" w:cstheme="minorHAnsi"/>
        </w:rPr>
        <w:t>—6 months after the last biological monitoring of the worker; or</w:t>
      </w:r>
    </w:p>
    <w:p w:rsidR="00487615" w:rsidRDefault="00487615" w:rsidP="00263482">
      <w:pPr>
        <w:pStyle w:val="Paragraph1"/>
        <w:numPr>
          <w:ilvl w:val="1"/>
          <w:numId w:val="42"/>
        </w:numPr>
        <w:spacing w:before="120" w:after="120"/>
        <w:rPr>
          <w:rFonts w:asciiTheme="minorHAnsi" w:hAnsiTheme="minorHAnsi" w:cstheme="minorHAnsi"/>
        </w:rPr>
      </w:pPr>
      <w:r>
        <w:rPr>
          <w:rFonts w:asciiTheme="minorHAnsi" w:hAnsiTheme="minorHAnsi" w:cstheme="minorHAnsi"/>
        </w:rPr>
        <w:t xml:space="preserve">if the last monitoring shows a blood lead level of </w:t>
      </w:r>
      <w:r w:rsidRPr="00C36A37">
        <w:rPr>
          <w:rFonts w:asciiTheme="minorHAnsi" w:hAnsiTheme="minorHAnsi" w:cstheme="minorHAnsi"/>
          <w:b/>
        </w:rPr>
        <w:t>10 μg/dL (0.48 µmol/L) or more but less than 20 μg/dL (0.97 µmol/L)</w:t>
      </w:r>
      <w:r>
        <w:rPr>
          <w:rFonts w:asciiTheme="minorHAnsi" w:hAnsiTheme="minorHAnsi" w:cstheme="minorHAnsi"/>
        </w:rPr>
        <w:t>—3 months after the last biological monitoring of the worker; or</w:t>
      </w:r>
    </w:p>
    <w:p w:rsidR="00487615" w:rsidRDefault="00487615" w:rsidP="00263482">
      <w:pPr>
        <w:pStyle w:val="Paragraph1"/>
        <w:numPr>
          <w:ilvl w:val="1"/>
          <w:numId w:val="42"/>
        </w:numPr>
        <w:spacing w:before="120" w:after="120"/>
        <w:rPr>
          <w:rFonts w:asciiTheme="minorHAnsi" w:hAnsiTheme="minorHAnsi" w:cstheme="minorHAnsi"/>
        </w:rPr>
      </w:pPr>
      <w:r>
        <w:rPr>
          <w:rFonts w:asciiTheme="minorHAnsi" w:hAnsiTheme="minorHAnsi" w:cstheme="minorHAnsi"/>
        </w:rPr>
        <w:t xml:space="preserve">If the last monitoring shows a blood lead level of </w:t>
      </w:r>
      <w:r w:rsidRPr="00C36A37">
        <w:rPr>
          <w:rFonts w:asciiTheme="minorHAnsi" w:hAnsiTheme="minorHAnsi" w:cstheme="minorHAnsi"/>
          <w:b/>
        </w:rPr>
        <w:t>20 μg/dL (0.97 µmol/L) or more</w:t>
      </w:r>
      <w:r>
        <w:rPr>
          <w:rFonts w:asciiTheme="minorHAnsi" w:hAnsiTheme="minorHAnsi" w:cstheme="minorHAnsi"/>
        </w:rPr>
        <w:t>—6 weeks after the last  biological monitoring of the worker</w:t>
      </w:r>
    </w:p>
    <w:p w:rsidR="00487615" w:rsidRPr="00F95598" w:rsidRDefault="00487615" w:rsidP="00263482">
      <w:pPr>
        <w:pStyle w:val="Paragraph1"/>
        <w:numPr>
          <w:ilvl w:val="0"/>
          <w:numId w:val="42"/>
        </w:numPr>
        <w:spacing w:before="120" w:after="120"/>
      </w:pPr>
      <w:r w:rsidRPr="00F95598">
        <w:t>for females of reproductive capacity:</w:t>
      </w:r>
    </w:p>
    <w:p w:rsidR="00487615" w:rsidRDefault="00487615" w:rsidP="00263482">
      <w:pPr>
        <w:pStyle w:val="Paragraph1"/>
        <w:numPr>
          <w:ilvl w:val="1"/>
          <w:numId w:val="42"/>
        </w:numPr>
        <w:spacing w:before="120" w:after="120"/>
        <w:rPr>
          <w:rFonts w:asciiTheme="minorHAnsi" w:hAnsiTheme="minorHAnsi" w:cstheme="minorHAnsi"/>
        </w:rPr>
      </w:pPr>
      <w:r>
        <w:rPr>
          <w:rFonts w:asciiTheme="minorHAnsi" w:hAnsiTheme="minorHAnsi" w:cstheme="minorHAnsi"/>
        </w:rPr>
        <w:t xml:space="preserve">If the last blood lead level of less than </w:t>
      </w:r>
      <w:r w:rsidRPr="00E76734">
        <w:rPr>
          <w:rFonts w:asciiTheme="minorHAnsi" w:hAnsiTheme="minorHAnsi" w:cstheme="minorHAnsi"/>
          <w:b/>
        </w:rPr>
        <w:t>5 μg/dL (0.24 µmol/L)</w:t>
      </w:r>
      <w:r>
        <w:rPr>
          <w:rFonts w:asciiTheme="minorHAnsi" w:hAnsiTheme="minorHAnsi" w:cstheme="minorHAnsi"/>
        </w:rPr>
        <w:t>—3 months after the last biological monitoring of the worker; or</w:t>
      </w:r>
    </w:p>
    <w:p w:rsidR="00487615" w:rsidRDefault="00487615" w:rsidP="00263482">
      <w:pPr>
        <w:pStyle w:val="Paragraph1"/>
        <w:numPr>
          <w:ilvl w:val="1"/>
          <w:numId w:val="42"/>
        </w:numPr>
        <w:spacing w:before="120" w:after="120"/>
        <w:rPr>
          <w:rFonts w:asciiTheme="minorHAnsi" w:hAnsiTheme="minorHAnsi" w:cstheme="minorHAnsi"/>
        </w:rPr>
      </w:pPr>
      <w:r>
        <w:rPr>
          <w:rFonts w:asciiTheme="minorHAnsi" w:hAnsiTheme="minorHAnsi" w:cstheme="minorHAnsi"/>
        </w:rPr>
        <w:t xml:space="preserve">if the last monitoring shows a blood lead level of </w:t>
      </w:r>
      <w:r w:rsidRPr="00E76734">
        <w:rPr>
          <w:rFonts w:asciiTheme="minorHAnsi" w:hAnsiTheme="minorHAnsi" w:cstheme="minorHAnsi"/>
          <w:b/>
        </w:rPr>
        <w:t>5 μg/dL (0.24 µmol/L) or more but less than 10 μg/dL (0.48 µmol/L)</w:t>
      </w:r>
      <w:r>
        <w:rPr>
          <w:rFonts w:asciiTheme="minorHAnsi" w:hAnsiTheme="minorHAnsi" w:cstheme="minorHAnsi"/>
        </w:rPr>
        <w:t>—6 weeks after the last biological monitoring of the worker.</w:t>
      </w:r>
    </w:p>
    <w:p w:rsidR="00487615" w:rsidRDefault="00487615" w:rsidP="00487615"/>
    <w:p w:rsidR="00487615" w:rsidRDefault="00487615" w:rsidP="00487615">
      <w:pPr>
        <w:ind w:left="360"/>
      </w:pPr>
      <w:r w:rsidRPr="00D33ABB">
        <w:rPr>
          <w:b/>
        </w:rPr>
        <w:t>415</w:t>
      </w:r>
      <w:r>
        <w:t xml:space="preserve"> Removal of a worker from lead risk work</w:t>
      </w:r>
    </w:p>
    <w:p w:rsidR="00487615" w:rsidRPr="00F95598" w:rsidRDefault="00487615" w:rsidP="00263482">
      <w:pPr>
        <w:pStyle w:val="Paragraph1"/>
        <w:numPr>
          <w:ilvl w:val="0"/>
          <w:numId w:val="64"/>
        </w:numPr>
        <w:spacing w:before="120" w:after="120"/>
        <w:rPr>
          <w:rFonts w:asciiTheme="minorHAnsi" w:hAnsiTheme="minorHAnsi" w:cstheme="minorHAnsi"/>
        </w:rPr>
      </w:pPr>
      <w:r w:rsidRPr="00F95598">
        <w:rPr>
          <w:rFonts w:asciiTheme="minorHAnsi" w:hAnsiTheme="minorHAnsi" w:cstheme="minorHAnsi"/>
        </w:rPr>
        <w:t>A person conducting a business or undertaking for which a worker is carrying out lead risk work must immediately remove the worker from carrying out lead risk work if the following health monitoring:</w:t>
      </w:r>
    </w:p>
    <w:p w:rsidR="00487615" w:rsidRDefault="00487615" w:rsidP="00263482">
      <w:pPr>
        <w:pStyle w:val="Paragraph1"/>
        <w:numPr>
          <w:ilvl w:val="0"/>
          <w:numId w:val="65"/>
        </w:numPr>
        <w:spacing w:before="120" w:after="120"/>
      </w:pPr>
      <w:r>
        <w:t>biological monitoring of the worker shows that the worker’s blood lead level is, or is more than:</w:t>
      </w:r>
    </w:p>
    <w:p w:rsidR="00487615" w:rsidRDefault="00487615" w:rsidP="00263482">
      <w:pPr>
        <w:pStyle w:val="ListParagraph"/>
        <w:numPr>
          <w:ilvl w:val="0"/>
          <w:numId w:val="66"/>
        </w:numPr>
      </w:pPr>
      <w:r>
        <w:t>for females not of reproductive capacity and males</w:t>
      </w:r>
      <w:r w:rsidRPr="007164C7">
        <w:rPr>
          <w:rFonts w:cstheme="minorHAnsi"/>
        </w:rPr>
        <w:t>—</w:t>
      </w:r>
      <w:r w:rsidRPr="007164C7">
        <w:rPr>
          <w:b/>
        </w:rPr>
        <w:t xml:space="preserve">30 </w:t>
      </w:r>
      <w:r w:rsidRPr="007164C7">
        <w:rPr>
          <w:rFonts w:cstheme="minorHAnsi"/>
          <w:b/>
        </w:rPr>
        <w:t>μg</w:t>
      </w:r>
      <w:r w:rsidRPr="007164C7">
        <w:rPr>
          <w:b/>
        </w:rPr>
        <w:t xml:space="preserve">/dL (1.45 </w:t>
      </w:r>
      <w:r w:rsidRPr="007164C7">
        <w:rPr>
          <w:rFonts w:cstheme="minorHAnsi"/>
          <w:b/>
        </w:rPr>
        <w:t>µ</w:t>
      </w:r>
      <w:r w:rsidRPr="007164C7">
        <w:rPr>
          <w:b/>
        </w:rPr>
        <w:t>mol/L)</w:t>
      </w:r>
      <w:r>
        <w:t>; or</w:t>
      </w:r>
    </w:p>
    <w:p w:rsidR="00487615" w:rsidRPr="007164C7" w:rsidRDefault="00487615" w:rsidP="00263482">
      <w:pPr>
        <w:pStyle w:val="ListParagraph"/>
        <w:numPr>
          <w:ilvl w:val="0"/>
          <w:numId w:val="66"/>
        </w:numPr>
      </w:pPr>
      <w:r w:rsidRPr="005D6180">
        <w:t>for females of reproductive capacity</w:t>
      </w:r>
      <w:r w:rsidRPr="005D6180">
        <w:rPr>
          <w:rFonts w:cstheme="minorHAnsi"/>
        </w:rPr>
        <w:t>—</w:t>
      </w:r>
      <w:r w:rsidRPr="007164C7">
        <w:rPr>
          <w:rFonts w:cstheme="minorHAnsi"/>
          <w:b/>
        </w:rPr>
        <w:t>10 μg/dL (0.48 µmol/L)</w:t>
      </w:r>
      <w:r>
        <w:rPr>
          <w:rFonts w:cstheme="minorHAnsi"/>
        </w:rPr>
        <w:t>; or</w:t>
      </w:r>
    </w:p>
    <w:p w:rsidR="00D33ABB" w:rsidRDefault="00D33ABB" w:rsidP="00263482">
      <w:pPr>
        <w:pStyle w:val="Paragraph1"/>
        <w:numPr>
          <w:ilvl w:val="0"/>
          <w:numId w:val="65"/>
        </w:numPr>
        <w:spacing w:before="120" w:after="120"/>
      </w:pPr>
      <w:r>
        <w:t>the registered medical practitioner who supervised the health monitoring recommends that the worker be removed from carrying out the lead risk work; or</w:t>
      </w:r>
    </w:p>
    <w:p w:rsidR="00D33ABB" w:rsidRPr="007164C7" w:rsidRDefault="00D33ABB" w:rsidP="00263482">
      <w:pPr>
        <w:pStyle w:val="Paragraph1"/>
        <w:numPr>
          <w:ilvl w:val="0"/>
          <w:numId w:val="65"/>
        </w:numPr>
        <w:spacing w:before="120" w:after="120"/>
      </w:pPr>
      <w:r>
        <w:t>there is an indication that a risk control measure has failed and, as a result, the worker’s blood lead level is likely to reach the relevant level for the worker referred to in paragraph (a).</w:t>
      </w:r>
    </w:p>
    <w:p w:rsidR="00487615" w:rsidRDefault="00487615" w:rsidP="00487615"/>
    <w:p w:rsidR="00487615" w:rsidRDefault="00487615" w:rsidP="00487615">
      <w:pPr>
        <w:ind w:left="360"/>
      </w:pPr>
      <w:r w:rsidRPr="00D33ABB">
        <w:rPr>
          <w:b/>
        </w:rPr>
        <w:t>417</w:t>
      </w:r>
      <w:r>
        <w:t xml:space="preserve"> Return to lead risk work after removal</w:t>
      </w:r>
    </w:p>
    <w:p w:rsidR="00487615" w:rsidRPr="00F95598" w:rsidRDefault="00487615" w:rsidP="00263482">
      <w:pPr>
        <w:pStyle w:val="Paragraph1"/>
        <w:numPr>
          <w:ilvl w:val="0"/>
          <w:numId w:val="67"/>
        </w:numPr>
        <w:spacing w:before="120" w:after="120"/>
        <w:rPr>
          <w:rFonts w:asciiTheme="minorHAnsi" w:hAnsiTheme="minorHAnsi" w:cstheme="minorHAnsi"/>
        </w:rPr>
      </w:pPr>
      <w:r w:rsidRPr="00F95598">
        <w:rPr>
          <w:rFonts w:asciiTheme="minorHAnsi" w:hAnsiTheme="minorHAnsi" w:cstheme="minorHAnsi"/>
        </w:rPr>
        <w:t>The person conducting the business or undertaking must ensure that the worker does not return to carrying out lead risk work until:</w:t>
      </w:r>
    </w:p>
    <w:p w:rsidR="00487615" w:rsidRDefault="00487615" w:rsidP="00263482">
      <w:pPr>
        <w:pStyle w:val="Paragraph1"/>
        <w:numPr>
          <w:ilvl w:val="0"/>
          <w:numId w:val="68"/>
        </w:numPr>
        <w:spacing w:before="120" w:after="120"/>
      </w:pPr>
      <w:r>
        <w:t>the worker’s blood lead level is less than:</w:t>
      </w:r>
    </w:p>
    <w:p w:rsidR="00487615" w:rsidRDefault="00487615" w:rsidP="00263482">
      <w:pPr>
        <w:pStyle w:val="ListParagraph"/>
        <w:numPr>
          <w:ilvl w:val="0"/>
          <w:numId w:val="35"/>
        </w:numPr>
      </w:pPr>
      <w:r>
        <w:t>for females not of reproductive capacity and males</w:t>
      </w:r>
      <w:r>
        <w:rPr>
          <w:rFonts w:cstheme="minorHAnsi"/>
        </w:rPr>
        <w:t>—</w:t>
      </w:r>
      <w:r w:rsidRPr="000C5278">
        <w:rPr>
          <w:b/>
        </w:rPr>
        <w:t xml:space="preserve">20 </w:t>
      </w:r>
      <w:r w:rsidRPr="000C5278">
        <w:rPr>
          <w:rFonts w:cstheme="minorHAnsi"/>
          <w:b/>
        </w:rPr>
        <w:t>μg</w:t>
      </w:r>
      <w:r w:rsidRPr="000C5278">
        <w:rPr>
          <w:b/>
        </w:rPr>
        <w:t xml:space="preserve">/dL (0.97 </w:t>
      </w:r>
      <w:r w:rsidRPr="000C5278">
        <w:rPr>
          <w:rFonts w:cstheme="minorHAnsi"/>
          <w:b/>
        </w:rPr>
        <w:t>µ</w:t>
      </w:r>
      <w:r w:rsidRPr="000C5278">
        <w:rPr>
          <w:b/>
        </w:rPr>
        <w:t>mol/L)</w:t>
      </w:r>
      <w:r>
        <w:t>; or</w:t>
      </w:r>
    </w:p>
    <w:p w:rsidR="00487615" w:rsidRDefault="00487615" w:rsidP="00263482">
      <w:pPr>
        <w:pStyle w:val="ListParagraph"/>
        <w:numPr>
          <w:ilvl w:val="0"/>
          <w:numId w:val="35"/>
        </w:numPr>
      </w:pPr>
      <w:r w:rsidRPr="005D6180">
        <w:t>for females of reproductive capacity</w:t>
      </w:r>
      <w:r w:rsidRPr="005D6180">
        <w:rPr>
          <w:rFonts w:cstheme="minorHAnsi"/>
        </w:rPr>
        <w:t>—</w:t>
      </w:r>
      <w:r w:rsidRPr="000C5278">
        <w:rPr>
          <w:b/>
        </w:rPr>
        <w:t xml:space="preserve">5 </w:t>
      </w:r>
      <w:r w:rsidRPr="000C5278">
        <w:rPr>
          <w:rFonts w:cstheme="minorHAnsi"/>
          <w:b/>
        </w:rPr>
        <w:t>μg</w:t>
      </w:r>
      <w:r w:rsidRPr="000C5278">
        <w:rPr>
          <w:b/>
        </w:rPr>
        <w:t xml:space="preserve">/dL (0.24 </w:t>
      </w:r>
      <w:r w:rsidRPr="000C5278">
        <w:rPr>
          <w:rFonts w:cstheme="minorHAnsi"/>
          <w:b/>
        </w:rPr>
        <w:t>µ</w:t>
      </w:r>
      <w:r w:rsidRPr="000C5278">
        <w:rPr>
          <w:b/>
        </w:rPr>
        <w:t>mol/L)</w:t>
      </w:r>
      <w:r>
        <w:t>; and</w:t>
      </w:r>
    </w:p>
    <w:p w:rsidR="00487615" w:rsidRPr="00502F13" w:rsidRDefault="00487615" w:rsidP="00263482">
      <w:pPr>
        <w:pStyle w:val="Paragraph1"/>
        <w:numPr>
          <w:ilvl w:val="0"/>
          <w:numId w:val="68"/>
        </w:numPr>
        <w:spacing w:before="120" w:after="120"/>
      </w:pPr>
      <w:r>
        <w:t>a registered medical practitioner with experience in health monitoring is satisfied that the worker is fit to return to carrying out lead risk work.</w:t>
      </w:r>
    </w:p>
    <w:p w:rsidR="00487615" w:rsidRPr="00313AAD" w:rsidRDefault="00487615" w:rsidP="00E77182">
      <w:pPr>
        <w:pStyle w:val="Heading2"/>
        <w:ind w:left="426"/>
      </w:pPr>
      <w:bookmarkStart w:id="123" w:name="_Toc459276928"/>
      <w:r w:rsidRPr="00313AAD">
        <w:t>Transition period</w:t>
      </w:r>
      <w:bookmarkEnd w:id="123"/>
    </w:p>
    <w:p w:rsidR="00487615" w:rsidRDefault="00487615" w:rsidP="00487615">
      <w:r>
        <w:t>The transition period for compliance with the regulatory requirements outlined above will be two years from adoption.</w:t>
      </w:r>
    </w:p>
    <w:p w:rsidR="00487615" w:rsidRPr="00313AAD" w:rsidRDefault="00487615" w:rsidP="00E77182">
      <w:pPr>
        <w:pStyle w:val="Heading2"/>
        <w:ind w:left="426"/>
      </w:pPr>
      <w:bookmarkStart w:id="124" w:name="_Toc459276929"/>
      <w:r w:rsidRPr="00313AAD">
        <w:t>Review</w:t>
      </w:r>
      <w:bookmarkEnd w:id="124"/>
    </w:p>
    <w:p w:rsidR="00487615" w:rsidRPr="00C9446F" w:rsidRDefault="00487615" w:rsidP="00487615">
      <w:r w:rsidRPr="00C9446F">
        <w:t xml:space="preserve">Review </w:t>
      </w:r>
      <w:r>
        <w:t>of the adopted change to the workplace lead requirements will be conducted as part of the scheduled review of the model WHS Regulations.</w:t>
      </w:r>
    </w:p>
    <w:p w:rsidR="003A43A1" w:rsidRPr="00536A47" w:rsidRDefault="000D3A0E" w:rsidP="0035186A">
      <w:pPr>
        <w:autoSpaceDE w:val="0"/>
        <w:autoSpaceDN w:val="0"/>
        <w:adjustRightInd w:val="0"/>
        <w:rPr>
          <w:rFonts w:eastAsia="Times New Roman" w:cstheme="minorHAnsi"/>
          <w:szCs w:val="20"/>
          <w:lang w:eastAsia="en-AU"/>
        </w:rPr>
      </w:pPr>
      <w:r w:rsidRPr="00536A47">
        <w:rPr>
          <w:rFonts w:cstheme="minorHAnsi"/>
          <w:i/>
        </w:rPr>
        <w:br w:type="page"/>
      </w:r>
    </w:p>
    <w:p w:rsidR="000E236C" w:rsidRPr="00C9446F" w:rsidRDefault="000E236C" w:rsidP="0005799A"/>
    <w:p w:rsidR="003A0AAE" w:rsidRPr="007039D8" w:rsidRDefault="00722AE0" w:rsidP="007039D8">
      <w:pPr>
        <w:pStyle w:val="Heading1-number"/>
        <w:numPr>
          <w:ilvl w:val="0"/>
          <w:numId w:val="0"/>
        </w:numPr>
        <w:rPr>
          <w:rFonts w:asciiTheme="minorHAnsi" w:hAnsiTheme="minorHAnsi" w:cstheme="minorHAnsi"/>
        </w:rPr>
      </w:pPr>
      <w:bookmarkStart w:id="125" w:name="_Toc459276930"/>
      <w:r w:rsidRPr="00536A47">
        <w:rPr>
          <w:rFonts w:asciiTheme="minorHAnsi" w:hAnsiTheme="minorHAnsi" w:cstheme="minorHAnsi"/>
        </w:rPr>
        <w:t>References</w:t>
      </w:r>
      <w:bookmarkEnd w:id="125"/>
    </w:p>
    <w:p w:rsidR="000A72CA" w:rsidRDefault="000A72CA" w:rsidP="00901AB5">
      <w:r>
        <w:t xml:space="preserve">Access Economics (2006) (for the Cancer Council NSW): </w:t>
      </w:r>
      <w:r w:rsidRPr="00F4238C">
        <w:t>Cost of Cancer in NSW</w:t>
      </w:r>
      <w:r>
        <w:t xml:space="preserve">; accessed at: </w:t>
      </w:r>
      <w:hyperlink r:id="rId36" w:history="1">
        <w:r w:rsidRPr="00F4238C">
          <w:rPr>
            <w:rStyle w:val="Hyperlink"/>
          </w:rPr>
          <w:t>http://www.cancercouncil.com.au/wp</w:t>
        </w:r>
        <w:r w:rsidRPr="004F59C5">
          <w:rPr>
            <w:rStyle w:val="Hyperlink"/>
          </w:rPr>
          <w:noBreakHyphen/>
        </w:r>
        <w:r w:rsidRPr="005B02BB">
          <w:rPr>
            <w:rStyle w:val="Hyperlink"/>
          </w:rPr>
          <w:t>content/uploads/2010/11/costofcancer_costs.pdf</w:t>
        </w:r>
      </w:hyperlink>
      <w:r>
        <w:t xml:space="preserve"> </w:t>
      </w:r>
    </w:p>
    <w:p w:rsidR="000A72CA" w:rsidRPr="00F4238C" w:rsidRDefault="000A72CA" w:rsidP="000A72CA">
      <w:pPr>
        <w:spacing w:before="160" w:after="0"/>
      </w:pPr>
      <w:r>
        <w:t xml:space="preserve">Access Economics (2009) (for Eli Lilly): The economic costs of heart attack and chest pain (Acute Coronary Syndrome); accessed at: </w:t>
      </w:r>
      <w:hyperlink r:id="rId37" w:history="1">
        <w:r w:rsidRPr="00F4238C">
          <w:rPr>
            <w:rStyle w:val="Hyperlink"/>
          </w:rPr>
          <w:t>https://www.bakeridi.edu.au/Assets/Files/FullReport%20</w:t>
        </w:r>
        <w:r w:rsidRPr="004F59C5">
          <w:rPr>
            <w:rStyle w:val="Hyperlink"/>
          </w:rPr>
          <w:noBreakHyphen/>
        </w:r>
        <w:r w:rsidRPr="005B02BB">
          <w:rPr>
            <w:rStyle w:val="Hyperlink"/>
          </w:rPr>
          <w:t>%20the%20economic%20costs%20of%20heart%20attack%20and%20chest%20pain%20(emilable.pdf</w:t>
        </w:r>
      </w:hyperlink>
      <w:r>
        <w:t xml:space="preserve"> </w:t>
      </w:r>
    </w:p>
    <w:p w:rsidR="000A72CA" w:rsidRDefault="000A72CA" w:rsidP="000A72CA">
      <w:pPr>
        <w:spacing w:before="160" w:after="160"/>
      </w:pPr>
      <w:r>
        <w:t xml:space="preserve">Access Economics (2013) (for the National Stroke Foundation): </w:t>
      </w:r>
      <w:r w:rsidRPr="00F4238C">
        <w:t>The economic impact of stroke in Australia</w:t>
      </w:r>
      <w:r>
        <w:t xml:space="preserve">; accessed at: </w:t>
      </w:r>
      <w:hyperlink r:id="rId38" w:history="1">
        <w:r w:rsidRPr="00F4238C">
          <w:rPr>
            <w:rStyle w:val="Hyperlink"/>
          </w:rPr>
          <w:t>https://strokefoundation.com.au/What</w:t>
        </w:r>
        <w:r w:rsidRPr="004F59C5">
          <w:rPr>
            <w:rStyle w:val="Hyperlink"/>
          </w:rPr>
          <w:noBreakHyphen/>
        </w:r>
        <w:r w:rsidRPr="005B02BB">
          <w:rPr>
            <w:rStyle w:val="Hyperlink"/>
          </w:rPr>
          <w:t>we</w:t>
        </w:r>
        <w:r w:rsidRPr="005B02BB">
          <w:rPr>
            <w:rStyle w:val="Hyperlink"/>
          </w:rPr>
          <w:noBreakHyphen/>
          <w:t>do/Research/Economic </w:t>
        </w:r>
        <w:r w:rsidRPr="00F52A6F">
          <w:rPr>
            <w:rStyle w:val="Hyperlink"/>
          </w:rPr>
          <w:t>impact of-stroke-in-Australia</w:t>
        </w:r>
      </w:hyperlink>
      <w:r>
        <w:t xml:space="preserve"> </w:t>
      </w:r>
    </w:p>
    <w:p w:rsidR="003A0AAE" w:rsidRDefault="003A0AAE" w:rsidP="003A0AAE">
      <w:pPr>
        <w:spacing w:before="160" w:after="160"/>
      </w:pPr>
      <w:r>
        <w:t>American Conference of Governmental Industrial Hygienists (ACGIH) (2015): TLVs® and BEIs® with 7</w:t>
      </w:r>
      <w:r w:rsidRPr="00F3101A">
        <w:rPr>
          <w:vertAlign w:val="superscript"/>
        </w:rPr>
        <w:t>th</w:t>
      </w:r>
      <w:r>
        <w:t xml:space="preserve"> Edition Documentation, Cincinnati, USA.</w:t>
      </w:r>
    </w:p>
    <w:p w:rsidR="003A0AAE" w:rsidRDefault="003A0AAE" w:rsidP="003A0AAE">
      <w:pPr>
        <w:spacing w:before="160" w:after="160"/>
      </w:pPr>
      <w:r>
        <w:t>Australian Capital Territory Government (2016): Work Health and Safety Regulation 2011</w:t>
      </w:r>
    </w:p>
    <w:p w:rsidR="003A0AAE" w:rsidRDefault="003A0AAE" w:rsidP="003A0AAE">
      <w:pPr>
        <w:spacing w:before="160" w:after="160"/>
      </w:pPr>
      <w:r>
        <w:t xml:space="preserve">Australian Institute of Occupational Hygienists (AIOH) (2009): AIOH Position Paper: Inorganic Lead and Occupational Health Issues; AIOH Exposure Standards Committee; Tullamarine; accessed at: </w:t>
      </w:r>
      <w:hyperlink r:id="rId39" w:history="1">
        <w:r w:rsidRPr="002B577E">
          <w:rPr>
            <w:rStyle w:val="Hyperlink"/>
          </w:rPr>
          <w:t>https://www.aioh.org.au/documents/item/11</w:t>
        </w:r>
      </w:hyperlink>
    </w:p>
    <w:p w:rsidR="003A0AAE" w:rsidRDefault="003A0AAE" w:rsidP="003A0AAE">
      <w:pPr>
        <w:spacing w:before="160" w:after="160"/>
      </w:pPr>
      <w:r>
        <w:t xml:space="preserve">Centers for Disease Control and Prevention (CDC) (2005): Preventing Lead Poisoning in Young Children; U.S. Department of Health and Human Services; Atlanta; accessed at: </w:t>
      </w:r>
      <w:hyperlink r:id="rId40" w:history="1">
        <w:r w:rsidRPr="002B577E">
          <w:rPr>
            <w:rStyle w:val="Hyperlink"/>
          </w:rPr>
          <w:t>http://www.cdc.gov/nceh/lead/publications/PrevLeadPoisoning.pdf</w:t>
        </w:r>
      </w:hyperlink>
    </w:p>
    <w:p w:rsidR="003A0AAE" w:rsidRDefault="003A0AAE" w:rsidP="003A0AAE">
      <w:pPr>
        <w:spacing w:before="160" w:after="160"/>
      </w:pPr>
      <w:r>
        <w:t xml:space="preserve">Deutsche Forschungsgemein schaft (2015): List of MAK and BAT Values 2015; accessed at: </w:t>
      </w:r>
      <w:hyperlink r:id="rId41" w:history="1">
        <w:r w:rsidRPr="002B577E">
          <w:rPr>
            <w:rStyle w:val="Hyperlink"/>
          </w:rPr>
          <w:t>http://onlinelibrary.wiley.com/book/10.1002/9783527695539</w:t>
        </w:r>
      </w:hyperlink>
    </w:p>
    <w:p w:rsidR="003A0AAE" w:rsidRDefault="003A0AAE" w:rsidP="003A0AAE">
      <w:pPr>
        <w:spacing w:before="160" w:after="160"/>
      </w:pPr>
      <w:r>
        <w:t>European Commission (EC) (2002): Recommendation from the Scientific Committee on Occupational Exposure Limits for lead and its inorganic compounds; SCOEL/SUM/83</w:t>
      </w:r>
    </w:p>
    <w:p w:rsidR="003A0AAE" w:rsidRPr="00410634" w:rsidRDefault="003A0AAE" w:rsidP="003A0AAE">
      <w:pPr>
        <w:spacing w:before="160" w:after="160"/>
        <w:rPr>
          <w:i/>
        </w:rPr>
      </w:pPr>
      <w:r w:rsidRPr="00C9446F">
        <w:t xml:space="preserve">Marsden Jacob Associates (2012) </w:t>
      </w:r>
      <w:hyperlink r:id="rId42" w:history="1">
        <w:r w:rsidRPr="00410634">
          <w:rPr>
            <w:rStyle w:val="Hyperlink"/>
            <w:i/>
          </w:rPr>
          <w:t>Regulatory Impact Statement, Model Work Health and Safety Regulations and Codes of Practice in Western Australia</w:t>
        </w:r>
      </w:hyperlink>
    </w:p>
    <w:p w:rsidR="003A0AAE" w:rsidRDefault="003A0AAE" w:rsidP="003A0AAE">
      <w:pPr>
        <w:spacing w:before="160" w:after="160"/>
      </w:pPr>
      <w:r>
        <w:t>New South Wales Government (2011): Work Health and Safety Regulation 2011</w:t>
      </w:r>
    </w:p>
    <w:p w:rsidR="00722AE0" w:rsidRDefault="00E87D8E" w:rsidP="00792D35">
      <w:pPr>
        <w:spacing w:before="160" w:after="160"/>
        <w:rPr>
          <w:rFonts w:eastAsiaTheme="majorEastAsia" w:cstheme="minorHAnsi"/>
        </w:rPr>
      </w:pPr>
      <w:r w:rsidRPr="00D303A1">
        <w:t>NHRMC (2014)</w:t>
      </w:r>
      <w:r w:rsidR="008730AB">
        <w:t>:</w:t>
      </w:r>
      <w:r w:rsidRPr="00D303A1">
        <w:t xml:space="preserve"> </w:t>
      </w:r>
      <w:r w:rsidRPr="008730AB">
        <w:rPr>
          <w:rFonts w:eastAsiaTheme="majorEastAsia" w:cstheme="minorHAnsi"/>
        </w:rPr>
        <w:t>Evaluation of evidence related to exposure to lead</w:t>
      </w:r>
      <w:r w:rsidR="008730AB">
        <w:rPr>
          <w:rFonts w:eastAsiaTheme="majorEastAsia" w:cstheme="minorHAnsi"/>
        </w:rPr>
        <w:t xml:space="preserve">; accessed at: </w:t>
      </w:r>
      <w:hyperlink r:id="rId43" w:history="1">
        <w:r w:rsidR="008730AB" w:rsidRPr="00127055">
          <w:rPr>
            <w:rStyle w:val="Hyperlink"/>
            <w:rFonts w:eastAsiaTheme="majorEastAsia" w:cstheme="minorHAnsi"/>
          </w:rPr>
          <w:t>https://www.nhmrc.gov.au/guidelines-publications/eh58</w:t>
        </w:r>
      </w:hyperlink>
    </w:p>
    <w:p w:rsidR="00E87D8E" w:rsidRPr="00C9446F" w:rsidRDefault="00F3101A" w:rsidP="00792D35">
      <w:pPr>
        <w:spacing w:before="160" w:after="160"/>
      </w:pPr>
      <w:r>
        <w:t xml:space="preserve">NHRMC (2009): </w:t>
      </w:r>
      <w:r w:rsidRPr="00F3101A">
        <w:t>Information Paper – Blood Lead Levels for Australians</w:t>
      </w:r>
      <w:r>
        <w:t>; rescinded May 2015</w:t>
      </w:r>
    </w:p>
    <w:p w:rsidR="00E87D8E" w:rsidRDefault="00E87D8E" w:rsidP="00792D35">
      <w:pPr>
        <w:spacing w:before="160" w:after="160"/>
      </w:pPr>
      <w:r w:rsidRPr="00C9446F">
        <w:t>NHMRC (2015</w:t>
      </w:r>
      <w:r w:rsidR="00F3101A">
        <w:t>a</w:t>
      </w:r>
      <w:r w:rsidRPr="00C9446F">
        <w:t>)</w:t>
      </w:r>
      <w:r w:rsidR="00F3101A">
        <w:t xml:space="preserve">: </w:t>
      </w:r>
      <w:r w:rsidR="00F3101A" w:rsidRPr="00F3101A">
        <w:t xml:space="preserve">NHMRC Statement: Evidence on the </w:t>
      </w:r>
      <w:r w:rsidR="00F3101A">
        <w:t>Effects of Lead on Human Health; accessed at</w:t>
      </w:r>
      <w:r w:rsidRPr="00C9446F">
        <w:t xml:space="preserve"> </w:t>
      </w:r>
      <w:hyperlink r:id="rId44" w:history="1">
        <w:r w:rsidR="00F3101A" w:rsidRPr="002B577E">
          <w:rPr>
            <w:rStyle w:val="Hyperlink"/>
          </w:rPr>
          <w:t>https://www.nhmrc.gov.au/guidelines-publications/eh58</w:t>
        </w:r>
      </w:hyperlink>
    </w:p>
    <w:p w:rsidR="00F3101A" w:rsidRDefault="00F3101A" w:rsidP="00792D35">
      <w:pPr>
        <w:spacing w:before="160" w:after="160"/>
      </w:pPr>
      <w:r>
        <w:t xml:space="preserve">NHMRC (2015b): </w:t>
      </w:r>
      <w:r w:rsidRPr="00F3101A">
        <w:t>Information Paper: Evidence on the Effects of Lead on Human Health</w:t>
      </w:r>
      <w:r>
        <w:t xml:space="preserve">; accessed at </w:t>
      </w:r>
      <w:hyperlink r:id="rId45" w:history="1">
        <w:r w:rsidRPr="002B577E">
          <w:rPr>
            <w:rStyle w:val="Hyperlink"/>
          </w:rPr>
          <w:t>https://www.nhmrc.gov.au/guidelines-publications/eh58</w:t>
        </w:r>
      </w:hyperlink>
    </w:p>
    <w:p w:rsidR="003A0AAE" w:rsidRDefault="003A0AAE" w:rsidP="003A0AAE">
      <w:pPr>
        <w:spacing w:before="160" w:after="160"/>
      </w:pPr>
      <w:r>
        <w:t xml:space="preserve">Northern Territory Government (2012):  </w:t>
      </w:r>
      <w:r w:rsidRPr="000A477A">
        <w:t>Work Health and Safety (National Uniform Legislation) Regulations</w:t>
      </w:r>
    </w:p>
    <w:p w:rsidR="003A0AAE" w:rsidRDefault="003A0AAE" w:rsidP="003A0AAE">
      <w:pPr>
        <w:spacing w:before="160" w:after="160"/>
      </w:pPr>
      <w:r>
        <w:t xml:space="preserve">PriceWaterhouseCoopers Australia (PwC) (2012): Impact of the proposed national Model Work Health and Safety Laws in Victoria; accessed at: </w:t>
      </w:r>
      <w:hyperlink r:id="rId46" w:history="1">
        <w:r w:rsidRPr="00127055">
          <w:rPr>
            <w:rStyle w:val="Hyperlink"/>
          </w:rPr>
          <w:t>http://www.rcsa.com.au/documents/RCSA%20submissions/Impact_of_the_proposed_national_model_work_health_and_safety-PwC.pdf</w:t>
        </w:r>
      </w:hyperlink>
    </w:p>
    <w:p w:rsidR="003A0AAE" w:rsidRDefault="003A0AAE" w:rsidP="003A0AAE">
      <w:pPr>
        <w:spacing w:before="160" w:after="160"/>
      </w:pPr>
      <w:r>
        <w:t>Queensland Government (2016): Work Health and Safety Regulation 2011</w:t>
      </w:r>
    </w:p>
    <w:p w:rsidR="003A0AAE" w:rsidRDefault="003A0AAE" w:rsidP="003A0AAE">
      <w:pPr>
        <w:spacing w:before="160" w:after="160"/>
      </w:pPr>
      <w:r>
        <w:t>Safe Work Australia (2011a): Model Work Health and Safety Act 2010; Canberra</w:t>
      </w:r>
    </w:p>
    <w:p w:rsidR="003A0AAE" w:rsidRDefault="003A0AAE" w:rsidP="003A0AAE">
      <w:pPr>
        <w:spacing w:before="160" w:after="160"/>
      </w:pPr>
      <w:r>
        <w:t>Safe Work Australia (2011b): Decision Regulation Impact Statement for National Harmonisation of Work Health and Safety Regulations and Codes of Practice; Canberra</w:t>
      </w:r>
    </w:p>
    <w:p w:rsidR="003A0AAE" w:rsidRDefault="003A0AAE" w:rsidP="003A0AAE">
      <w:pPr>
        <w:spacing w:before="160" w:after="160"/>
      </w:pPr>
      <w:r>
        <w:t>Safe Work Australia (2013a): Workplace Exposure Standards for Airborne Contaminants; Canberra</w:t>
      </w:r>
    </w:p>
    <w:p w:rsidR="003A0AAE" w:rsidRDefault="003A0AAE" w:rsidP="003A0AAE">
      <w:pPr>
        <w:spacing w:before="160" w:after="160"/>
      </w:pPr>
      <w:r>
        <w:t>Safe Work Australia (2013b): Guidance on the Interpretation of Workplace Exposure Standards for Airborne Contaminants. Canberra</w:t>
      </w:r>
    </w:p>
    <w:p w:rsidR="003A0AAE" w:rsidRDefault="003A0AAE" w:rsidP="003A0AAE">
      <w:pPr>
        <w:spacing w:before="160" w:after="160"/>
      </w:pPr>
      <w:r>
        <w:t>Safe Work Australia (2014a): Model Work Health and Safety Regulations 2011; Canberra</w:t>
      </w:r>
    </w:p>
    <w:p w:rsidR="003A0AAE" w:rsidRDefault="003A0AAE" w:rsidP="003A0AAE">
      <w:pPr>
        <w:spacing w:before="160" w:after="160"/>
      </w:pPr>
      <w:r>
        <w:t>Safe Work Australia (SWA) (</w:t>
      </w:r>
      <w:r w:rsidRPr="00C9446F">
        <w:t>2014</w:t>
      </w:r>
      <w:r>
        <w:t>b</w:t>
      </w:r>
      <w:r w:rsidRPr="00C9446F">
        <w:t>)</w:t>
      </w:r>
      <w:r>
        <w:t xml:space="preserve">: Review of Hazards and Health Effects of Inorganic Lead – Implications for WHS Regulatory Policy; Canberra; accessed at: </w:t>
      </w:r>
      <w:hyperlink r:id="rId47" w:history="1">
        <w:r w:rsidRPr="002B577E">
          <w:rPr>
            <w:rStyle w:val="Hyperlink"/>
          </w:rPr>
          <w:t>http://www.safeworkaustralia.gov.au/sites/SWA/about/Publications/Documents/871/Review-hazards-health-effects-inorganic-lead-report.pdf</w:t>
        </w:r>
      </w:hyperlink>
    </w:p>
    <w:p w:rsidR="003A0AAE" w:rsidRDefault="003A0AAE" w:rsidP="003A0AAE">
      <w:pPr>
        <w:spacing w:before="160" w:after="160"/>
      </w:pPr>
      <w:r>
        <w:t>South Australian Government (2016): Work Health and Safety Regulations 2012</w:t>
      </w:r>
    </w:p>
    <w:p w:rsidR="003A0AAE" w:rsidRDefault="003A0AAE" w:rsidP="003A0AAE">
      <w:pPr>
        <w:spacing w:before="160" w:after="160"/>
      </w:pPr>
      <w:r>
        <w:t>Tasmanian Government (2012): Work Health and Safety Regulations 2012</w:t>
      </w:r>
    </w:p>
    <w:p w:rsidR="00E87D8E" w:rsidRDefault="00E87D8E" w:rsidP="00792D35">
      <w:pPr>
        <w:spacing w:before="160" w:after="160"/>
      </w:pPr>
      <w:r w:rsidRPr="00C9446F">
        <w:t>The Victorian WorkCover Authority’s Regulatory Impact Statement on the Occupational Health and Safety (Lead) Regulations 2000</w:t>
      </w:r>
      <w:r w:rsidR="00E25428">
        <w:t xml:space="preserve">; accessed at: </w:t>
      </w:r>
      <w:hyperlink r:id="rId48" w:history="1">
        <w:r w:rsidR="00E25428" w:rsidRPr="00127055">
          <w:rPr>
            <w:rStyle w:val="Hyperlink"/>
          </w:rPr>
          <w:t>http://www.vcec.vic.gov.au/Regulation-Review/Search-for-a-RIS/2006-07</w:t>
        </w:r>
      </w:hyperlink>
    </w:p>
    <w:p w:rsidR="003A0AAE" w:rsidRDefault="003A0AAE" w:rsidP="003A0AAE">
      <w:pPr>
        <w:spacing w:before="160" w:after="160"/>
      </w:pPr>
      <w:r>
        <w:t xml:space="preserve">US EPA (2013): Integrated science assessment for lead; United States Environmental Protection Agency; EPA/600/R-10/075F. June 2013; accessed at: </w:t>
      </w:r>
      <w:hyperlink r:id="rId49" w:history="1">
        <w:r w:rsidRPr="00127055">
          <w:rPr>
            <w:rStyle w:val="Hyperlink"/>
          </w:rPr>
          <w:t>http://cfpub.epa.gov/ncea/isa/recordisplay.cfm?deid=255721</w:t>
        </w:r>
      </w:hyperlink>
      <w:r>
        <w:t>.</w:t>
      </w:r>
    </w:p>
    <w:p w:rsidR="00E4595F" w:rsidRDefault="00E4595F" w:rsidP="00792D35">
      <w:pPr>
        <w:spacing w:before="160" w:after="160"/>
      </w:pPr>
      <w:r>
        <w:t>Victorian Government (2007): Occupational Health and Safety Regulations 2007</w:t>
      </w:r>
    </w:p>
    <w:p w:rsidR="000A477A" w:rsidRDefault="000A477A" w:rsidP="00792D35">
      <w:pPr>
        <w:spacing w:before="160" w:after="160"/>
      </w:pPr>
      <w:r>
        <w:t>Western Australian Government (1996): Occupational Safety and Health Regulations 1996</w:t>
      </w:r>
    </w:p>
    <w:p w:rsidR="003A0AAE" w:rsidRDefault="003A0AAE" w:rsidP="003A0AAE">
      <w:pPr>
        <w:spacing w:before="160" w:after="160"/>
      </w:pPr>
      <w:r>
        <w:t>World Health Organization (1980): Recommended Health-Based Limits in Occupational Exposure to Heavy Metals; Technical Report Series 647; Geneva</w:t>
      </w:r>
    </w:p>
    <w:p w:rsidR="008908FD" w:rsidRDefault="008908FD" w:rsidP="00792D35">
      <w:pPr>
        <w:spacing w:before="160" w:after="160"/>
      </w:pPr>
      <w:r>
        <w:t>World Health Organization (2000): Air quality guidelines for Europe; 2</w:t>
      </w:r>
      <w:r w:rsidRPr="008908FD">
        <w:rPr>
          <w:vertAlign w:val="superscript"/>
        </w:rPr>
        <w:t>nd</w:t>
      </w:r>
      <w:r>
        <w:t xml:space="preserve"> Edition; </w:t>
      </w:r>
      <w:r w:rsidRPr="008908FD">
        <w:t>WHO regional publications. European series ; No. 91</w:t>
      </w:r>
      <w:r>
        <w:t>; Copenhagen</w:t>
      </w:r>
    </w:p>
    <w:p w:rsidR="00722AE0" w:rsidRPr="00C9446F" w:rsidRDefault="00722AE0" w:rsidP="0005799A">
      <w:pPr>
        <w:rPr>
          <w:rFonts w:eastAsiaTheme="majorEastAsia"/>
          <w:szCs w:val="28"/>
        </w:rPr>
      </w:pPr>
      <w:r w:rsidRPr="00C9446F">
        <w:br w:type="page"/>
      </w:r>
    </w:p>
    <w:p w:rsidR="007369C0" w:rsidRDefault="00BA5BB7" w:rsidP="009C0068">
      <w:pPr>
        <w:pStyle w:val="Heading1"/>
        <w:rPr>
          <w:rFonts w:asciiTheme="minorHAnsi" w:hAnsiTheme="minorHAnsi" w:cstheme="minorHAnsi"/>
        </w:rPr>
      </w:pPr>
      <w:bookmarkStart w:id="126" w:name="_Toc459276931"/>
      <w:r w:rsidRPr="00536A47">
        <w:rPr>
          <w:rFonts w:asciiTheme="minorHAnsi" w:hAnsiTheme="minorHAnsi" w:cstheme="minorHAnsi"/>
        </w:rPr>
        <w:t>Appendix A:</w:t>
      </w:r>
      <w:r w:rsidR="00722AE0" w:rsidRPr="00536A47">
        <w:rPr>
          <w:rFonts w:asciiTheme="minorHAnsi" w:hAnsiTheme="minorHAnsi" w:cstheme="minorHAnsi"/>
        </w:rPr>
        <w:t xml:space="preserve"> </w:t>
      </w:r>
      <w:bookmarkEnd w:id="121"/>
      <w:r w:rsidR="007369C0">
        <w:rPr>
          <w:rFonts w:asciiTheme="minorHAnsi" w:hAnsiTheme="minorHAnsi" w:cstheme="minorHAnsi"/>
        </w:rPr>
        <w:t>Glossary</w:t>
      </w:r>
      <w:bookmarkEnd w:id="126"/>
    </w:p>
    <w:p w:rsidR="007369C0" w:rsidRPr="00E77182" w:rsidRDefault="007369C0" w:rsidP="00E77182">
      <w:pPr>
        <w:pStyle w:val="Heading3"/>
        <w:rPr>
          <w:rStyle w:val="Strong"/>
          <w:b/>
          <w:bCs w:val="0"/>
        </w:rPr>
      </w:pPr>
      <w:r w:rsidRPr="00E77182">
        <w:rPr>
          <w:rStyle w:val="Strong"/>
          <w:b/>
          <w:bCs w:val="0"/>
        </w:rPr>
        <w:t>Acronyms</w:t>
      </w:r>
    </w:p>
    <w:tbl>
      <w:tblPr>
        <w:tblStyle w:val="SWA"/>
        <w:tblW w:w="5000" w:type="pct"/>
        <w:tblLook w:val="04A0" w:firstRow="1" w:lastRow="0" w:firstColumn="1" w:lastColumn="0" w:noHBand="0" w:noVBand="1"/>
        <w:tblCaption w:val="Acronyms"/>
        <w:tblDescription w:val="List of acronyms used in this document."/>
      </w:tblPr>
      <w:tblGrid>
        <w:gridCol w:w="2063"/>
        <w:gridCol w:w="7561"/>
      </w:tblGrid>
      <w:tr w:rsidR="007369C0" w:rsidRPr="005B7535" w:rsidTr="003B7604">
        <w:trPr>
          <w:cnfStyle w:val="100000000000" w:firstRow="1" w:lastRow="0" w:firstColumn="0" w:lastColumn="0" w:oddVBand="0" w:evenVBand="0" w:oddHBand="0" w:evenHBand="0" w:firstRowFirstColumn="0" w:firstRowLastColumn="0" w:lastRowFirstColumn="0" w:lastRowLastColumn="0"/>
        </w:trPr>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Acronym</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Description</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ACGIH</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American Conference of Governmental Industrial Hygienists</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BLRL</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Blood Lead Removal Level</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COAG</w:t>
            </w:r>
          </w:p>
        </w:tc>
        <w:tc>
          <w:tcPr>
            <w:tcW w:w="3928" w:type="pct"/>
          </w:tcPr>
          <w:p w:rsidR="007369C0" w:rsidRPr="005B7535" w:rsidRDefault="007369C0" w:rsidP="003B7604">
            <w:pPr>
              <w:pStyle w:val="GlossaryAbbreviation"/>
              <w:spacing w:before="60" w:after="60"/>
              <w:rPr>
                <w:rFonts w:ascii="Arial" w:hAnsi="Arial"/>
                <w:sz w:val="20"/>
              </w:rPr>
            </w:pPr>
            <w:r w:rsidRPr="005B7535">
              <w:rPr>
                <w:rFonts w:ascii="Arial" w:hAnsi="Arial"/>
                <w:caps w:val="0"/>
                <w:sz w:val="20"/>
              </w:rPr>
              <w:t>Council of Australian Governments</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FRC</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Females of Reproductive Capacity</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FNRC</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Females Not of Reproductive Capacity</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mg/m</w:t>
            </w:r>
            <w:r w:rsidRPr="005B7535">
              <w:rPr>
                <w:rFonts w:ascii="Arial" w:hAnsi="Arial"/>
                <w:caps w:val="0"/>
                <w:sz w:val="20"/>
                <w:vertAlign w:val="superscript"/>
              </w:rPr>
              <w:t>3</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Milligrams per metre cubed</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NHMRC</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National Health and Medical Research Council</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NOHSC</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National Occupational Health and Safety Commission</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OBPR</w:t>
            </w:r>
          </w:p>
        </w:tc>
        <w:tc>
          <w:tcPr>
            <w:tcW w:w="3928" w:type="pct"/>
          </w:tcPr>
          <w:p w:rsidR="007369C0" w:rsidRPr="005B7535" w:rsidRDefault="007369C0" w:rsidP="003B7604">
            <w:pPr>
              <w:pStyle w:val="GlossaryAbbreviation"/>
              <w:spacing w:before="60" w:after="60"/>
              <w:rPr>
                <w:rFonts w:ascii="Arial" w:hAnsi="Arial"/>
                <w:sz w:val="20"/>
              </w:rPr>
            </w:pPr>
            <w:r w:rsidRPr="005B7535">
              <w:rPr>
                <w:rFonts w:ascii="Arial" w:hAnsi="Arial"/>
                <w:caps w:val="0"/>
                <w:sz w:val="20"/>
              </w:rPr>
              <w:t>Office of Best Practice Regulation</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P/BF</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Pregnant and or Breast Feeding</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RIS</w:t>
            </w:r>
          </w:p>
        </w:tc>
        <w:tc>
          <w:tcPr>
            <w:tcW w:w="3928" w:type="pct"/>
          </w:tcPr>
          <w:p w:rsidR="007369C0" w:rsidRPr="005B7535" w:rsidRDefault="007369C0" w:rsidP="003B7604">
            <w:pPr>
              <w:pStyle w:val="GlossaryAbbreviation"/>
              <w:spacing w:before="60" w:after="60"/>
              <w:rPr>
                <w:rFonts w:ascii="Arial" w:hAnsi="Arial"/>
                <w:sz w:val="20"/>
              </w:rPr>
            </w:pPr>
            <w:r w:rsidRPr="005B7535">
              <w:rPr>
                <w:rFonts w:ascii="Arial" w:hAnsi="Arial"/>
                <w:caps w:val="0"/>
                <w:sz w:val="20"/>
              </w:rPr>
              <w:t>Regulation Impact Statement</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TWA</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Time Weighted Average</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µg/dL</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Micrograms per decilitre</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µg/m</w:t>
            </w:r>
            <w:r w:rsidRPr="005B7535">
              <w:rPr>
                <w:rFonts w:ascii="Arial" w:hAnsi="Arial"/>
                <w:caps w:val="0"/>
                <w:sz w:val="20"/>
                <w:vertAlign w:val="superscript"/>
              </w:rPr>
              <w:t>3</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Micrograms per metre cubed</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µmol/L</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Micromoles per litre</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WES</w:t>
            </w:r>
          </w:p>
        </w:tc>
        <w:tc>
          <w:tcPr>
            <w:tcW w:w="3928"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Workplace Exposure Standard</w:t>
            </w:r>
          </w:p>
        </w:tc>
      </w:tr>
      <w:tr w:rsidR="007369C0" w:rsidRPr="005B7535" w:rsidTr="003B7604">
        <w:tc>
          <w:tcPr>
            <w:tcW w:w="1072" w:type="pct"/>
          </w:tcPr>
          <w:p w:rsidR="007369C0" w:rsidRPr="005B7535" w:rsidRDefault="007369C0" w:rsidP="003B7604">
            <w:pPr>
              <w:pStyle w:val="GlossaryAbbreviation"/>
              <w:spacing w:before="60" w:after="60"/>
              <w:rPr>
                <w:rFonts w:ascii="Arial" w:hAnsi="Arial"/>
                <w:caps w:val="0"/>
                <w:sz w:val="20"/>
              </w:rPr>
            </w:pPr>
            <w:r w:rsidRPr="005B7535">
              <w:rPr>
                <w:rFonts w:ascii="Arial" w:hAnsi="Arial"/>
                <w:caps w:val="0"/>
                <w:sz w:val="20"/>
              </w:rPr>
              <w:t>WHS</w:t>
            </w:r>
          </w:p>
        </w:tc>
        <w:tc>
          <w:tcPr>
            <w:tcW w:w="3928" w:type="pct"/>
          </w:tcPr>
          <w:p w:rsidR="007369C0" w:rsidRPr="005B7535" w:rsidRDefault="007369C0" w:rsidP="003B7604">
            <w:pPr>
              <w:pStyle w:val="GlossaryAbbreviation"/>
              <w:spacing w:before="60" w:after="60"/>
              <w:rPr>
                <w:rFonts w:ascii="Arial" w:hAnsi="Arial"/>
                <w:sz w:val="20"/>
              </w:rPr>
            </w:pPr>
            <w:r w:rsidRPr="005B7535">
              <w:rPr>
                <w:rFonts w:ascii="Arial" w:hAnsi="Arial"/>
                <w:caps w:val="0"/>
                <w:sz w:val="20"/>
              </w:rPr>
              <w:t>Work Health and Safety</w:t>
            </w:r>
          </w:p>
        </w:tc>
      </w:tr>
    </w:tbl>
    <w:p w:rsidR="0056274E" w:rsidRDefault="0056274E" w:rsidP="0056274E">
      <w:pPr>
        <w:rPr>
          <w:rStyle w:val="Strong"/>
        </w:rPr>
      </w:pPr>
      <w:bookmarkStart w:id="127" w:name="_Toc317059204"/>
    </w:p>
    <w:p w:rsidR="007369C0" w:rsidRPr="00E77182" w:rsidRDefault="007369C0" w:rsidP="00E77182">
      <w:pPr>
        <w:pStyle w:val="Heading3"/>
        <w:rPr>
          <w:rStyle w:val="Strong"/>
          <w:b/>
          <w:bCs w:val="0"/>
        </w:rPr>
      </w:pPr>
      <w:r w:rsidRPr="00E77182">
        <w:rPr>
          <w:rStyle w:val="Strong"/>
          <w:b/>
          <w:bCs w:val="0"/>
        </w:rPr>
        <w:t>Definitions</w:t>
      </w:r>
      <w:bookmarkEnd w:id="127"/>
    </w:p>
    <w:p w:rsidR="007369C0" w:rsidRPr="00511650" w:rsidRDefault="007369C0" w:rsidP="007369C0">
      <w:pPr>
        <w:spacing w:before="120" w:after="120"/>
        <w:rPr>
          <w:rFonts w:cstheme="minorHAnsi"/>
          <w:b/>
        </w:rPr>
      </w:pPr>
      <w:r w:rsidRPr="00511650">
        <w:rPr>
          <w:rFonts w:cstheme="minorHAnsi"/>
          <w:b/>
        </w:rPr>
        <w:t xml:space="preserve">8-hour Time-weighted average (TWA) </w:t>
      </w:r>
      <w:r w:rsidRPr="00511650">
        <w:t>means the maximum average airborne concentration of a substance when calculated over an eight-hour working day, for a five-day working week.</w:t>
      </w:r>
    </w:p>
    <w:p w:rsidR="007369C0" w:rsidRPr="00511650" w:rsidRDefault="007369C0" w:rsidP="007369C0">
      <w:pPr>
        <w:spacing w:before="120" w:after="120"/>
      </w:pPr>
      <w:r w:rsidRPr="00511650">
        <w:rPr>
          <w:rFonts w:cstheme="minorHAnsi"/>
          <w:b/>
        </w:rPr>
        <w:t>Biological monitoring</w:t>
      </w:r>
      <w:r w:rsidRPr="00511650">
        <w:t xml:space="preserve"> means: </w:t>
      </w:r>
    </w:p>
    <w:p w:rsidR="007369C0" w:rsidRPr="00511650" w:rsidRDefault="007369C0" w:rsidP="00186120">
      <w:pPr>
        <w:pStyle w:val="ListParagraph"/>
        <w:numPr>
          <w:ilvl w:val="0"/>
          <w:numId w:val="14"/>
        </w:numPr>
        <w:tabs>
          <w:tab w:val="num" w:pos="540"/>
        </w:tabs>
        <w:spacing w:before="120" w:after="120"/>
        <w:rPr>
          <w:rFonts w:cstheme="minorHAnsi"/>
        </w:rPr>
      </w:pPr>
      <w:r w:rsidRPr="00511650">
        <w:rPr>
          <w:rFonts w:cstheme="minorHAnsi"/>
        </w:rPr>
        <w:t xml:space="preserve">the measurement and evaluation of a substance, or its metabolites, in the body tissue, fluids or exhaled air of a person exposed to the substance; or </w:t>
      </w:r>
    </w:p>
    <w:p w:rsidR="007369C0" w:rsidRPr="00511650" w:rsidRDefault="007369C0" w:rsidP="00186120">
      <w:pPr>
        <w:pStyle w:val="ListParagraph"/>
        <w:numPr>
          <w:ilvl w:val="0"/>
          <w:numId w:val="14"/>
        </w:numPr>
        <w:tabs>
          <w:tab w:val="num" w:pos="540"/>
        </w:tabs>
        <w:spacing w:before="120" w:after="120"/>
        <w:rPr>
          <w:rFonts w:cstheme="minorHAnsi"/>
        </w:rPr>
      </w:pPr>
      <w:r w:rsidRPr="00511650">
        <w:rPr>
          <w:rFonts w:cstheme="minorHAnsi"/>
        </w:rPr>
        <w:t>blood lead level monitoring.</w:t>
      </w:r>
    </w:p>
    <w:p w:rsidR="007369C0" w:rsidRPr="00511650" w:rsidRDefault="007369C0" w:rsidP="007369C0">
      <w:pPr>
        <w:spacing w:before="120" w:after="120"/>
      </w:pPr>
      <w:r w:rsidRPr="00511650">
        <w:rPr>
          <w:rFonts w:cstheme="minorHAnsi"/>
          <w:b/>
        </w:rPr>
        <w:t xml:space="preserve">Blood lead level </w:t>
      </w:r>
      <w:r w:rsidRPr="00511650">
        <w:t>means the concentration of lead in whole blood expressed in micromoles per litre (μmoI/L) or micrograms per decilitre (μg/dL).</w:t>
      </w:r>
    </w:p>
    <w:p w:rsidR="007369C0" w:rsidRPr="00511650" w:rsidRDefault="007369C0" w:rsidP="007369C0">
      <w:pPr>
        <w:spacing w:before="120" w:after="120"/>
        <w:rPr>
          <w:rFonts w:cstheme="minorHAnsi"/>
          <w:b/>
        </w:rPr>
      </w:pPr>
      <w:r w:rsidRPr="00511650">
        <w:rPr>
          <w:rFonts w:cstheme="minorHAnsi"/>
          <w:b/>
        </w:rPr>
        <w:t xml:space="preserve">Blood lead level monitoring </w:t>
      </w:r>
      <w:r w:rsidRPr="00511650">
        <w:t>means the testing of the venous or capillary blood of a person by a laboratory accredited by the National Association of Testing Authorities (NATA), under the supervision of a registered medical practitioner, to determine the blood lead level.</w:t>
      </w:r>
    </w:p>
    <w:p w:rsidR="007369C0" w:rsidRPr="00511650" w:rsidRDefault="007369C0" w:rsidP="007369C0">
      <w:pPr>
        <w:spacing w:before="120" w:after="120"/>
        <w:rPr>
          <w:rFonts w:cstheme="minorHAnsi"/>
          <w:b/>
        </w:rPr>
      </w:pPr>
      <w:r w:rsidRPr="00511650">
        <w:rPr>
          <w:rFonts w:cstheme="minorHAnsi"/>
          <w:b/>
        </w:rPr>
        <w:t>Blood lead removal level</w:t>
      </w:r>
      <w:r w:rsidRPr="00511650">
        <w:t xml:space="preserve"> means a confirmed blood lead level at which a worker must immediately be removed from carrying out lead risk work.</w:t>
      </w:r>
    </w:p>
    <w:p w:rsidR="007369C0" w:rsidRPr="00511650" w:rsidRDefault="007369C0" w:rsidP="007369C0">
      <w:pPr>
        <w:spacing w:before="120" w:after="120"/>
      </w:pPr>
      <w:r w:rsidRPr="00511650">
        <w:rPr>
          <w:rFonts w:cstheme="minorHAnsi"/>
          <w:b/>
        </w:rPr>
        <w:t>Female of reproductive capacity</w:t>
      </w:r>
      <w:r w:rsidRPr="00511650">
        <w:t xml:space="preserve"> - means a female other than a female who provides information stating that she is not of reproductive capacity.</w:t>
      </w:r>
    </w:p>
    <w:p w:rsidR="007369C0" w:rsidRPr="00511650" w:rsidRDefault="007369C0" w:rsidP="007369C0">
      <w:pPr>
        <w:spacing w:before="120" w:after="120"/>
      </w:pPr>
      <w:r w:rsidRPr="00511650">
        <w:rPr>
          <w:rFonts w:cstheme="minorHAnsi"/>
          <w:b/>
        </w:rPr>
        <w:t>Health monitoring</w:t>
      </w:r>
      <w:r w:rsidRPr="00511650">
        <w:t xml:space="preserve"> (in reference to lead) - means monitoring the person to identify changes in the person's health status because of exposure to lead. Health monitoring includes: demographic, medical and occupational history, physical examination, and biological monitoring.</w:t>
      </w:r>
    </w:p>
    <w:p w:rsidR="007369C0" w:rsidRPr="00511650" w:rsidRDefault="007369C0" w:rsidP="007369C0">
      <w:pPr>
        <w:spacing w:before="120" w:after="120"/>
      </w:pPr>
      <w:r w:rsidRPr="00511650">
        <w:rPr>
          <w:rFonts w:cstheme="minorHAnsi"/>
          <w:b/>
        </w:rPr>
        <w:t xml:space="preserve">Lead </w:t>
      </w:r>
      <w:r w:rsidRPr="00511650">
        <w:t>means lead metal, lead alloys, inorganic lead compounds and lead salts of organic acids.</w:t>
      </w:r>
    </w:p>
    <w:p w:rsidR="007369C0" w:rsidRPr="00511650" w:rsidRDefault="007369C0" w:rsidP="007369C0">
      <w:pPr>
        <w:spacing w:before="120" w:after="120"/>
      </w:pPr>
      <w:r w:rsidRPr="00511650">
        <w:rPr>
          <w:rFonts w:cstheme="minorHAnsi"/>
          <w:b/>
        </w:rPr>
        <w:t>Lead process</w:t>
      </w:r>
      <w:r w:rsidRPr="00511650">
        <w:t xml:space="preserve"> – see </w:t>
      </w:r>
      <w:r w:rsidRPr="00511650">
        <w:rPr>
          <w:rFonts w:cstheme="minorHAnsi"/>
          <w:u w:val="single"/>
        </w:rPr>
        <w:t>Appendix B</w:t>
      </w:r>
    </w:p>
    <w:p w:rsidR="007369C0" w:rsidRPr="00511650" w:rsidRDefault="007369C0" w:rsidP="007369C0">
      <w:pPr>
        <w:spacing w:before="120" w:after="120"/>
        <w:rPr>
          <w:rFonts w:cstheme="minorHAnsi"/>
          <w:b/>
        </w:rPr>
      </w:pPr>
      <w:r w:rsidRPr="00511650">
        <w:rPr>
          <w:rFonts w:cstheme="minorHAnsi"/>
          <w:b/>
        </w:rPr>
        <w:t xml:space="preserve">Lead process area </w:t>
      </w:r>
      <w:r w:rsidRPr="00511650">
        <w:t>means a workplace or part of a workplace where a lead process is carried out.</w:t>
      </w:r>
    </w:p>
    <w:p w:rsidR="007369C0" w:rsidRPr="00511650" w:rsidRDefault="007369C0" w:rsidP="007369C0">
      <w:pPr>
        <w:spacing w:before="120" w:after="120"/>
      </w:pPr>
      <w:r w:rsidRPr="00511650">
        <w:rPr>
          <w:rFonts w:cstheme="minorHAnsi"/>
          <w:b/>
        </w:rPr>
        <w:t xml:space="preserve">Lead risk work </w:t>
      </w:r>
      <w:r w:rsidRPr="00511650">
        <w:t>- means work carried out in a lead process that is likely to cause the blood lead level of a worker carrying out the work to exceed:</w:t>
      </w:r>
    </w:p>
    <w:p w:rsidR="007369C0" w:rsidRPr="00511650" w:rsidRDefault="007369C0" w:rsidP="00186120">
      <w:pPr>
        <w:pStyle w:val="ListParagraph"/>
        <w:numPr>
          <w:ilvl w:val="0"/>
          <w:numId w:val="13"/>
        </w:numPr>
        <w:tabs>
          <w:tab w:val="num" w:pos="540"/>
        </w:tabs>
        <w:spacing w:before="120" w:after="120"/>
        <w:rPr>
          <w:rFonts w:cstheme="minorHAnsi"/>
        </w:rPr>
      </w:pPr>
      <w:r w:rsidRPr="00511650">
        <w:rPr>
          <w:rFonts w:cstheme="minorHAnsi"/>
        </w:rPr>
        <w:t>for a female of reproductive capacity — 10 μg/dL (0.48 μmoI/L); or</w:t>
      </w:r>
    </w:p>
    <w:p w:rsidR="007369C0" w:rsidRPr="00511650" w:rsidRDefault="007369C0" w:rsidP="00186120">
      <w:pPr>
        <w:pStyle w:val="ListParagraph"/>
        <w:numPr>
          <w:ilvl w:val="0"/>
          <w:numId w:val="13"/>
        </w:numPr>
        <w:tabs>
          <w:tab w:val="num" w:pos="540"/>
        </w:tabs>
        <w:spacing w:before="120" w:after="120"/>
        <w:rPr>
          <w:rFonts w:cstheme="minorHAnsi"/>
        </w:rPr>
      </w:pPr>
      <w:r w:rsidRPr="00511650">
        <w:rPr>
          <w:rFonts w:cstheme="minorHAnsi"/>
        </w:rPr>
        <w:t>in any other case — 30 μg/dL (1.45 μmoI/L).</w:t>
      </w:r>
    </w:p>
    <w:p w:rsidR="007369C0" w:rsidRPr="0005799A" w:rsidRDefault="007369C0" w:rsidP="007369C0">
      <w:pPr>
        <w:spacing w:before="120" w:after="120"/>
      </w:pPr>
      <w:r w:rsidRPr="00511650">
        <w:rPr>
          <w:rFonts w:cstheme="minorHAnsi"/>
          <w:b/>
        </w:rPr>
        <w:t>Workplace exposure standard</w:t>
      </w:r>
      <w:r w:rsidRPr="00511650">
        <w:t xml:space="preserve"> means</w:t>
      </w:r>
      <w:r w:rsidRPr="0005799A">
        <w:t xml:space="preserve"> an exposure standard in Safe Work Australia’s </w:t>
      </w:r>
      <w:r w:rsidRPr="00CA1CDF">
        <w:rPr>
          <w:i/>
        </w:rPr>
        <w:t>Workplace Exposure Standard for Airborne Contaminants</w:t>
      </w:r>
      <w:r>
        <w:t xml:space="preserve"> (2013)</w:t>
      </w:r>
      <w:r w:rsidRPr="0005799A">
        <w:t>. An exposure standard represents the airborne concentration of a particular substance or mixture that must not be exceeded. The exposure standard for lead is in the form of an 8-hour time-weighted average</w:t>
      </w:r>
      <w:r>
        <w:t xml:space="preserve"> (TWA)</w:t>
      </w:r>
      <w:r w:rsidRPr="0005799A">
        <w:t>.</w:t>
      </w:r>
    </w:p>
    <w:p w:rsidR="0056274E" w:rsidRDefault="0056274E" w:rsidP="0056274E">
      <w:pPr>
        <w:rPr>
          <w:rStyle w:val="Strong"/>
        </w:rPr>
      </w:pPr>
      <w:bookmarkStart w:id="128" w:name="_Toc317059205"/>
    </w:p>
    <w:p w:rsidR="007369C0" w:rsidRPr="00E77182" w:rsidRDefault="007369C0" w:rsidP="00E77182">
      <w:pPr>
        <w:pStyle w:val="Heading3"/>
        <w:rPr>
          <w:rStyle w:val="Strong"/>
          <w:b/>
          <w:bCs w:val="0"/>
        </w:rPr>
      </w:pPr>
      <w:r w:rsidRPr="00E77182">
        <w:rPr>
          <w:rStyle w:val="Strong"/>
          <w:b/>
          <w:bCs w:val="0"/>
        </w:rPr>
        <w:t>Conversions</w:t>
      </w:r>
      <w:bookmarkEnd w:id="128"/>
    </w:p>
    <w:p w:rsidR="007369C0" w:rsidRPr="0005799A" w:rsidRDefault="007369C0" w:rsidP="007369C0">
      <w:pPr>
        <w:spacing w:before="60" w:after="60"/>
      </w:pPr>
      <w:r w:rsidRPr="0005799A">
        <w:t>1 μg/m</w:t>
      </w:r>
      <w:r w:rsidRPr="00536A47">
        <w:rPr>
          <w:rFonts w:cstheme="minorHAnsi"/>
          <w:vertAlign w:val="superscript"/>
        </w:rPr>
        <w:t>3</w:t>
      </w:r>
      <w:r w:rsidRPr="0005799A">
        <w:t xml:space="preserve"> = 0.001 mg/m</w:t>
      </w:r>
      <w:r w:rsidRPr="00536A47">
        <w:rPr>
          <w:rFonts w:cstheme="minorHAnsi"/>
          <w:vertAlign w:val="superscript"/>
        </w:rPr>
        <w:t xml:space="preserve">3   </w:t>
      </w:r>
      <w:r w:rsidRPr="0005799A">
        <w:t>(1000 micrograms in one milligram)</w:t>
      </w:r>
    </w:p>
    <w:p w:rsidR="007369C0" w:rsidRPr="00C9446F" w:rsidRDefault="007369C0" w:rsidP="007369C0">
      <w:r w:rsidRPr="00C9446F">
        <w:t xml:space="preserve">1 μg/dL = ~0.05 μmoI/L (μg/dL </w:t>
      </w:r>
      <m:oMath>
        <m:r>
          <w:rPr>
            <w:rFonts w:ascii="Cambria Math" w:hAnsi="Cambria Math"/>
          </w:rPr>
          <m:t>×</m:t>
        </m:r>
      </m:oMath>
      <w:r w:rsidRPr="00C9446F">
        <w:t xml:space="preserve"> 0.0483 (conversion factor for lead))</w:t>
      </w:r>
    </w:p>
    <w:p w:rsidR="007369C0" w:rsidRPr="00C9446F" w:rsidRDefault="007369C0" w:rsidP="007369C0">
      <w:r>
        <w:t>1 μmoI/L = ~21 μg/dL (</w:t>
      </w:r>
      <w:r w:rsidRPr="00C9446F">
        <w:t xml:space="preserve">μg/dL </w:t>
      </w:r>
      <m:oMath>
        <m:r>
          <w:rPr>
            <w:rFonts w:ascii="Cambria Math" w:hAnsi="Cambria Math"/>
          </w:rPr>
          <m:t>×</m:t>
        </m:r>
      </m:oMath>
      <w:r w:rsidRPr="00C9446F">
        <w:t xml:space="preserve"> 20.72 (molecular weight of lead per decilitre))</w:t>
      </w:r>
    </w:p>
    <w:p w:rsidR="0056274E" w:rsidRDefault="0056274E" w:rsidP="0056274E">
      <w:pPr>
        <w:rPr>
          <w:rStyle w:val="Strong"/>
        </w:rPr>
      </w:pPr>
    </w:p>
    <w:p w:rsidR="007369C0" w:rsidRPr="00E77182" w:rsidRDefault="007369C0" w:rsidP="00E77182">
      <w:pPr>
        <w:pStyle w:val="Heading3"/>
        <w:rPr>
          <w:rStyle w:val="Strong"/>
          <w:b/>
          <w:bCs w:val="0"/>
        </w:rPr>
      </w:pPr>
      <w:r w:rsidRPr="00E77182">
        <w:rPr>
          <w:rStyle w:val="Strong"/>
          <w:b/>
          <w:bCs w:val="0"/>
        </w:rPr>
        <w:t>Interpretation</w:t>
      </w:r>
    </w:p>
    <w:p w:rsidR="007369C0" w:rsidRPr="00536A47" w:rsidRDefault="007369C0" w:rsidP="007369C0">
      <w:pPr>
        <w:spacing w:before="120"/>
        <w:jc w:val="both"/>
        <w:rPr>
          <w:rFonts w:cstheme="minorHAnsi"/>
        </w:rPr>
      </w:pPr>
      <w:r w:rsidRPr="00536A47">
        <w:rPr>
          <w:rFonts w:cstheme="minorHAnsi"/>
        </w:rPr>
        <w:t xml:space="preserve">This </w:t>
      </w:r>
      <w:r>
        <w:rPr>
          <w:rFonts w:cstheme="minorHAnsi"/>
        </w:rPr>
        <w:t>Decision</w:t>
      </w:r>
      <w:r w:rsidRPr="00536A47">
        <w:rPr>
          <w:rFonts w:cstheme="minorHAnsi"/>
        </w:rPr>
        <w:t xml:space="preserve"> RIS should be read with:</w:t>
      </w:r>
    </w:p>
    <w:p w:rsidR="007369C0" w:rsidRPr="00536A47" w:rsidRDefault="007369C0" w:rsidP="007369C0">
      <w:pPr>
        <w:pStyle w:val="ListBullet"/>
        <w:rPr>
          <w:rFonts w:cstheme="minorHAnsi"/>
        </w:rPr>
      </w:pPr>
      <w:r w:rsidRPr="00536A47">
        <w:rPr>
          <w:rFonts w:cstheme="minorHAnsi"/>
        </w:rPr>
        <w:t xml:space="preserve">Part 7.2 of the </w:t>
      </w:r>
      <w:hyperlink r:id="rId50" w:history="1">
        <w:r w:rsidRPr="00596F40">
          <w:rPr>
            <w:rStyle w:val="Hyperlink"/>
            <w:rFonts w:cstheme="minorHAnsi"/>
            <w:i/>
            <w:color w:val="auto"/>
          </w:rPr>
          <w:t>model Work Health and Safety (WHS) Regulations</w:t>
        </w:r>
      </w:hyperlink>
      <w:r w:rsidRPr="00536A47">
        <w:rPr>
          <w:rFonts w:cstheme="minorHAnsi"/>
        </w:rPr>
        <w:t>, published on the Safe Work Australia website</w:t>
      </w:r>
    </w:p>
    <w:p w:rsidR="007369C0" w:rsidRPr="00536A47" w:rsidRDefault="007369C0" w:rsidP="007369C0">
      <w:pPr>
        <w:pStyle w:val="ListBullet"/>
        <w:rPr>
          <w:rFonts w:cstheme="minorHAnsi"/>
        </w:rPr>
      </w:pPr>
      <w:r w:rsidRPr="00536A47">
        <w:rPr>
          <w:rFonts w:cstheme="minorHAnsi"/>
        </w:rPr>
        <w:t xml:space="preserve">the Safe Work Australia publication </w:t>
      </w:r>
      <w:hyperlink r:id="rId51" w:history="1">
        <w:r w:rsidRPr="00536A47">
          <w:rPr>
            <w:rStyle w:val="Hyperlink"/>
            <w:rFonts w:cstheme="minorHAnsi"/>
            <w:i/>
            <w:color w:val="auto"/>
          </w:rPr>
          <w:t>Workplace Exposure Standards for Airborne Contaminants</w:t>
        </w:r>
      </w:hyperlink>
      <w:r>
        <w:rPr>
          <w:rFonts w:cstheme="minorHAnsi"/>
        </w:rPr>
        <w:t xml:space="preserve">, 18 April 2013, </w:t>
      </w:r>
      <w:r w:rsidRPr="00536A47">
        <w:rPr>
          <w:rFonts w:cstheme="minorHAnsi"/>
        </w:rPr>
        <w:t>published on the Safe Work Australia website</w:t>
      </w:r>
    </w:p>
    <w:p w:rsidR="007369C0" w:rsidRDefault="007369C0" w:rsidP="007369C0">
      <w:pPr>
        <w:pStyle w:val="ListBullet"/>
        <w:rPr>
          <w:rFonts w:cstheme="minorHAnsi"/>
        </w:rPr>
      </w:pPr>
      <w:r w:rsidRPr="00536A47">
        <w:rPr>
          <w:rFonts w:cstheme="minorHAnsi"/>
        </w:rPr>
        <w:t xml:space="preserve">the report </w:t>
      </w:r>
      <w:hyperlink r:id="rId52" w:history="1">
        <w:r w:rsidRPr="00511650">
          <w:rPr>
            <w:rStyle w:val="Hyperlink"/>
            <w:rFonts w:cstheme="minorHAnsi"/>
            <w:i/>
          </w:rPr>
          <w:t>Review of hazards and health effects of inorganic lead – implications for WHS regulatory policy</w:t>
        </w:r>
      </w:hyperlink>
      <w:r w:rsidRPr="00536A47">
        <w:rPr>
          <w:rFonts w:cstheme="minorHAnsi"/>
        </w:rPr>
        <w:t>, July 2014, published on t</w:t>
      </w:r>
      <w:r>
        <w:rPr>
          <w:rFonts w:cstheme="minorHAnsi"/>
        </w:rPr>
        <w:t>he Safe Work Australia website</w:t>
      </w:r>
    </w:p>
    <w:p w:rsidR="007369C0" w:rsidRPr="00536A47" w:rsidRDefault="007369C0" w:rsidP="007369C0">
      <w:pPr>
        <w:pStyle w:val="ListBullet"/>
        <w:rPr>
          <w:rFonts w:cstheme="minorHAnsi"/>
        </w:rPr>
      </w:pPr>
      <w:r>
        <w:rPr>
          <w:rFonts w:cstheme="minorHAnsi"/>
        </w:rPr>
        <w:t xml:space="preserve">the Consultation Regulatory Impact Statement </w:t>
      </w:r>
      <w:hyperlink r:id="rId53" w:history="1">
        <w:r w:rsidRPr="00596F40">
          <w:rPr>
            <w:rStyle w:val="Hyperlink"/>
            <w:rFonts w:cstheme="minorHAnsi"/>
            <w:i/>
          </w:rPr>
          <w:t>Proposed amendments to work health and safety requirements for inorganic lead</w:t>
        </w:r>
      </w:hyperlink>
      <w:r w:rsidRPr="00596F40">
        <w:rPr>
          <w:rFonts w:cstheme="minorHAnsi"/>
        </w:rPr>
        <w:t>,</w:t>
      </w:r>
      <w:r>
        <w:rPr>
          <w:rFonts w:cstheme="minorHAnsi"/>
        </w:rPr>
        <w:t xml:space="preserve"> December 2015, published on the Safe Work Australia website</w:t>
      </w:r>
    </w:p>
    <w:p w:rsidR="007369C0" w:rsidRPr="00536A47" w:rsidRDefault="007369C0" w:rsidP="007369C0">
      <w:pPr>
        <w:spacing w:before="120"/>
        <w:rPr>
          <w:rFonts w:eastAsia="Batang" w:cstheme="minorHAnsi"/>
          <w:b/>
          <w:bCs/>
          <w:color w:val="002060"/>
          <w:sz w:val="36"/>
          <w:szCs w:val="36"/>
          <w:lang w:eastAsia="en-AU"/>
        </w:rPr>
      </w:pPr>
      <w:bookmarkStart w:id="129" w:name="_Toc424900123"/>
      <w:bookmarkStart w:id="130" w:name="_Toc424901849"/>
      <w:r w:rsidRPr="00536A47">
        <w:rPr>
          <w:rFonts w:eastAsia="Batang" w:cstheme="minorHAnsi"/>
          <w:color w:val="002060"/>
          <w:sz w:val="36"/>
          <w:szCs w:val="36"/>
          <w:lang w:eastAsia="en-AU"/>
        </w:rPr>
        <w:br w:type="page"/>
      </w:r>
    </w:p>
    <w:p w:rsidR="00722AE0" w:rsidRPr="00536A47" w:rsidRDefault="007369C0" w:rsidP="009C0068">
      <w:pPr>
        <w:pStyle w:val="Heading1"/>
        <w:rPr>
          <w:rFonts w:asciiTheme="minorHAnsi" w:hAnsiTheme="minorHAnsi" w:cstheme="minorHAnsi"/>
        </w:rPr>
      </w:pPr>
      <w:bookmarkStart w:id="131" w:name="_Toc459276932"/>
      <w:bookmarkEnd w:id="129"/>
      <w:bookmarkEnd w:id="130"/>
      <w:r w:rsidRPr="007369C0">
        <w:rPr>
          <w:rFonts w:asciiTheme="minorHAnsi" w:hAnsiTheme="minorHAnsi" w:cstheme="minorHAnsi"/>
        </w:rPr>
        <w:t>Appendix B</w:t>
      </w:r>
      <w:r>
        <w:rPr>
          <w:rFonts w:asciiTheme="minorHAnsi" w:hAnsiTheme="minorHAnsi" w:cstheme="minorHAnsi"/>
        </w:rPr>
        <w:t xml:space="preserve">: </w:t>
      </w:r>
      <w:r w:rsidR="00722AE0" w:rsidRPr="00536A47">
        <w:rPr>
          <w:rFonts w:asciiTheme="minorHAnsi" w:hAnsiTheme="minorHAnsi" w:cstheme="minorHAnsi"/>
        </w:rPr>
        <w:t>Meaning of a lead process</w:t>
      </w:r>
      <w:bookmarkEnd w:id="122"/>
      <w:bookmarkEnd w:id="131"/>
    </w:p>
    <w:p w:rsidR="00493218" w:rsidRPr="00E77182" w:rsidRDefault="00493218" w:rsidP="00E77182">
      <w:pPr>
        <w:pStyle w:val="Heading3"/>
      </w:pPr>
      <w:r w:rsidRPr="00E77182">
        <w:t>Model WHS Regulations (2014)</w:t>
      </w:r>
      <w:r w:rsidR="004C1E1E" w:rsidRPr="00E77182">
        <w:t xml:space="preserve"> </w:t>
      </w:r>
      <w:r w:rsidRPr="00E77182">
        <w:t>Part 7.2 Division 1</w:t>
      </w:r>
    </w:p>
    <w:p w:rsidR="00722AE0" w:rsidRPr="0005799A" w:rsidRDefault="00493218" w:rsidP="00722AE0">
      <w:r>
        <w:t xml:space="preserve">r392: </w:t>
      </w:r>
      <w:r>
        <w:tab/>
      </w:r>
      <w:r w:rsidR="00722AE0" w:rsidRPr="0005799A">
        <w:t xml:space="preserve">A </w:t>
      </w:r>
      <w:r w:rsidR="00722AE0" w:rsidRPr="00536A47">
        <w:rPr>
          <w:rFonts w:cstheme="minorHAnsi"/>
          <w:b/>
          <w:i/>
        </w:rPr>
        <w:t>lead process</w:t>
      </w:r>
      <w:r w:rsidR="00722AE0" w:rsidRPr="0005799A">
        <w:t xml:space="preserve"> consists of any of the following carried out at a workplace:</w:t>
      </w:r>
    </w:p>
    <w:p w:rsidR="00722AE0" w:rsidRPr="00536A47" w:rsidRDefault="00722AE0" w:rsidP="00722AE0">
      <w:pPr>
        <w:pStyle w:val="DraftHeading3"/>
        <w:tabs>
          <w:tab w:val="left" w:pos="567"/>
        </w:tabs>
        <w:spacing w:before="240"/>
        <w:ind w:left="567" w:hanging="567"/>
        <w:rPr>
          <w:rFonts w:asciiTheme="minorHAnsi" w:hAnsiTheme="minorHAnsi" w:cstheme="minorHAnsi"/>
          <w:sz w:val="22"/>
          <w:szCs w:val="22"/>
        </w:rPr>
      </w:pPr>
      <w:r w:rsidRPr="00536A47">
        <w:rPr>
          <w:rFonts w:asciiTheme="minorHAnsi" w:hAnsiTheme="minorHAnsi" w:cstheme="minorHAnsi"/>
          <w:sz w:val="22"/>
          <w:szCs w:val="22"/>
        </w:rPr>
        <w:t>(a)</w:t>
      </w:r>
      <w:r w:rsidRPr="00536A47">
        <w:rPr>
          <w:rFonts w:asciiTheme="minorHAnsi" w:hAnsiTheme="minorHAnsi" w:cstheme="minorHAnsi"/>
          <w:sz w:val="22"/>
          <w:szCs w:val="22"/>
        </w:rPr>
        <w:tab/>
        <w:t>work that exposes a person to lead dust or lead fumes arising from the manufacture or handling of dry lead compounds;</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(b)</w:t>
      </w:r>
      <w:r w:rsidRPr="00536A47">
        <w:rPr>
          <w:rFonts w:asciiTheme="minorHAnsi" w:hAnsiTheme="minorHAnsi" w:cstheme="minorHAnsi"/>
          <w:sz w:val="22"/>
          <w:szCs w:val="22"/>
        </w:rPr>
        <w:tab/>
        <w:t>work in connection with the manufacture, assembly, handling or repair of, or parts of, batteries containing lead that involves the manipulation of dry lead compounds, or pasting or casting lead;</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(c)</w:t>
      </w:r>
      <w:r w:rsidRPr="00536A47">
        <w:rPr>
          <w:rFonts w:asciiTheme="minorHAnsi" w:hAnsiTheme="minorHAnsi" w:cstheme="minorHAnsi"/>
          <w:sz w:val="22"/>
          <w:szCs w:val="22"/>
        </w:rPr>
        <w:tab/>
        <w:t>breaking up or dismantling batteries containing lead, or sorting, packing and handling plates or other parts containing lead that are removed or recovered from the batteries;</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(d)</w:t>
      </w:r>
      <w:r w:rsidRPr="00536A47">
        <w:rPr>
          <w:rFonts w:asciiTheme="minorHAnsi" w:hAnsiTheme="minorHAnsi" w:cstheme="minorHAnsi"/>
          <w:sz w:val="22"/>
          <w:szCs w:val="22"/>
        </w:rPr>
        <w:tab/>
        <w:t>spraying molten lead metal or alloys containing more than 5% by weight of lead metal;</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(e)</w:t>
      </w:r>
      <w:r w:rsidRPr="00536A47">
        <w:rPr>
          <w:rFonts w:asciiTheme="minorHAnsi" w:hAnsiTheme="minorHAnsi" w:cstheme="minorHAnsi"/>
          <w:sz w:val="22"/>
          <w:szCs w:val="22"/>
        </w:rPr>
        <w:tab/>
        <w:t>melting or casting lead alloys containing more than 5% by weight of lead metal in which the temperature of the molten material exceeds 450°C;</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(f)</w:t>
      </w:r>
      <w:r w:rsidRPr="00536A47">
        <w:rPr>
          <w:rFonts w:asciiTheme="minorHAnsi" w:hAnsiTheme="minorHAnsi" w:cstheme="minorHAnsi"/>
          <w:sz w:val="22"/>
          <w:szCs w:val="22"/>
        </w:rPr>
        <w:tab/>
        <w:t>recovering lead from its ores, oxides or other compounds by thermal reduction process;</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(g)</w:t>
      </w:r>
      <w:r w:rsidRPr="00536A47">
        <w:rPr>
          <w:rFonts w:asciiTheme="minorHAnsi" w:hAnsiTheme="minorHAnsi" w:cstheme="minorHAnsi"/>
          <w:sz w:val="22"/>
          <w:szCs w:val="22"/>
        </w:rPr>
        <w:tab/>
        <w:t>dry machine grinding, discing, buffing or cutting by power tools alloys containing more than 5% by weight of lead metal;</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(h)</w:t>
      </w:r>
      <w:r w:rsidRPr="00536A47">
        <w:rPr>
          <w:rFonts w:asciiTheme="minorHAnsi" w:hAnsiTheme="minorHAnsi" w:cstheme="minorHAnsi"/>
          <w:sz w:val="22"/>
          <w:szCs w:val="22"/>
        </w:rPr>
        <w:tab/>
        <w:t>machine sanding or buffing surfaces coated with paint containing more than 1% by dry weight of lead;</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(i)</w:t>
      </w:r>
      <w:r w:rsidRPr="00536A47">
        <w:rPr>
          <w:rFonts w:asciiTheme="minorHAnsi" w:hAnsiTheme="minorHAnsi" w:cstheme="minorHAnsi"/>
          <w:sz w:val="22"/>
          <w:szCs w:val="22"/>
        </w:rPr>
        <w:tab/>
        <w:t>a process by which electric arc, oxyacetylene, oxy gas, plasma arc or a flame is applied for welding, cutting or cleaning, to the surface of metal coated with lead or paint containing more than 1% by dry weight of lead metal;</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(j)</w:t>
      </w:r>
      <w:r w:rsidRPr="00536A47">
        <w:rPr>
          <w:rFonts w:asciiTheme="minorHAnsi" w:hAnsiTheme="minorHAnsi" w:cstheme="minorHAnsi"/>
          <w:sz w:val="22"/>
          <w:szCs w:val="22"/>
        </w:rPr>
        <w:tab/>
        <w:t>radiator repairs that may cause exposure to lead dust or lead fumes;</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(k)</w:t>
      </w:r>
      <w:r w:rsidRPr="00536A47">
        <w:rPr>
          <w:rFonts w:asciiTheme="minorHAnsi" w:hAnsiTheme="minorHAnsi" w:cstheme="minorHAnsi"/>
          <w:sz w:val="22"/>
          <w:szCs w:val="22"/>
        </w:rPr>
        <w:tab/>
        <w:t>fire assays if lead, lead compounds or lead alloys are used;</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(l)</w:t>
      </w:r>
      <w:r w:rsidRPr="00536A47">
        <w:rPr>
          <w:rFonts w:asciiTheme="minorHAnsi" w:hAnsiTheme="minorHAnsi" w:cstheme="minorHAnsi"/>
          <w:sz w:val="22"/>
          <w:szCs w:val="22"/>
        </w:rPr>
        <w:tab/>
        <w:t>hand grinding and finishing lead or alloys containing more than 50% by dry weight of lead;</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(m)</w:t>
      </w:r>
      <w:r w:rsidRPr="00536A47">
        <w:rPr>
          <w:rFonts w:asciiTheme="minorHAnsi" w:hAnsiTheme="minorHAnsi" w:cstheme="minorHAnsi"/>
          <w:sz w:val="22"/>
          <w:szCs w:val="22"/>
        </w:rPr>
        <w:tab/>
        <w:t>spray painting with lead paint containing more than 1% by dry weight of lead;</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(n)</w:t>
      </w:r>
      <w:r w:rsidRPr="00536A47">
        <w:rPr>
          <w:rFonts w:asciiTheme="minorHAnsi" w:hAnsiTheme="minorHAnsi" w:cstheme="minorHAnsi"/>
          <w:sz w:val="22"/>
          <w:szCs w:val="22"/>
        </w:rPr>
        <w:tab/>
        <w:t>melting lead metal or alloys containing more than 50% by weight of lead metal if the exposed surface area of the molten material exceeds 0.1 square metre and the temperature of the molten material does not exceed 450°C;</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(o)</w:t>
      </w:r>
      <w:r w:rsidRPr="00536A47">
        <w:rPr>
          <w:rFonts w:asciiTheme="minorHAnsi" w:hAnsiTheme="minorHAnsi" w:cstheme="minorHAnsi"/>
          <w:sz w:val="22"/>
          <w:szCs w:val="22"/>
        </w:rPr>
        <w:tab/>
        <w:t>using a power tool, including abrasive blasting and high pressure water jets, to remove a surface coated with paint containing more than 1% by dry weight of lead and handling waste containing lead resulting from the removal;</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(p)</w:t>
      </w:r>
      <w:r w:rsidRPr="00536A47">
        <w:rPr>
          <w:rFonts w:asciiTheme="minorHAnsi" w:hAnsiTheme="minorHAnsi" w:cstheme="minorHAnsi"/>
          <w:sz w:val="22"/>
          <w:szCs w:val="22"/>
        </w:rPr>
        <w:tab/>
        <w:t>a process that exposes a person to lead dust or lead fumes arising from manufacturing or testing detonators or other explosives that contain lead;</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(q)</w:t>
      </w:r>
      <w:r w:rsidRPr="00536A47">
        <w:rPr>
          <w:rFonts w:asciiTheme="minorHAnsi" w:hAnsiTheme="minorHAnsi" w:cstheme="minorHAnsi"/>
          <w:sz w:val="22"/>
          <w:szCs w:val="22"/>
        </w:rPr>
        <w:tab/>
        <w:t>a process that exposes a person to lead dust or lead fumes arising from firing weapons at an indoor firing range;</w:t>
      </w:r>
    </w:p>
    <w:p w:rsidR="00722AE0" w:rsidRPr="00536A47" w:rsidRDefault="00722AE0" w:rsidP="00722AE0">
      <w:pPr>
        <w:pStyle w:val="DraftHeading3"/>
        <w:tabs>
          <w:tab w:val="left" w:pos="567"/>
        </w:tabs>
        <w:ind w:left="567" w:hanging="567"/>
        <w:rPr>
          <w:rFonts w:asciiTheme="minorHAnsi" w:hAnsiTheme="minorHAnsi" w:cstheme="minorHAnsi"/>
          <w:sz w:val="22"/>
          <w:szCs w:val="22"/>
        </w:rPr>
      </w:pPr>
      <w:r w:rsidRPr="00536A47">
        <w:rPr>
          <w:rFonts w:asciiTheme="minorHAnsi" w:hAnsiTheme="minorHAnsi" w:cstheme="minorHAnsi"/>
          <w:sz w:val="22"/>
          <w:szCs w:val="22"/>
        </w:rPr>
        <w:t>(r)</w:t>
      </w:r>
      <w:r w:rsidRPr="00536A47">
        <w:rPr>
          <w:rFonts w:asciiTheme="minorHAnsi" w:hAnsiTheme="minorHAnsi" w:cstheme="minorHAnsi"/>
          <w:sz w:val="22"/>
          <w:szCs w:val="22"/>
        </w:rPr>
        <w:tab/>
        <w:t>foundry processes involving:</w:t>
      </w:r>
    </w:p>
    <w:p w:rsidR="00722AE0" w:rsidRPr="00536A47" w:rsidRDefault="00722AE0" w:rsidP="00722AE0">
      <w:pPr>
        <w:pStyle w:val="DraftHeading3"/>
        <w:tabs>
          <w:tab w:val="left" w:pos="1276"/>
        </w:tabs>
        <w:ind w:left="1276" w:hanging="709"/>
        <w:rPr>
          <w:rFonts w:asciiTheme="minorHAnsi" w:hAnsiTheme="minorHAnsi" w:cstheme="minorHAnsi"/>
          <w:sz w:val="22"/>
          <w:szCs w:val="22"/>
        </w:rPr>
      </w:pPr>
      <w:r w:rsidRPr="00536A47">
        <w:rPr>
          <w:rFonts w:asciiTheme="minorHAnsi" w:hAnsiTheme="minorHAnsi" w:cstheme="minorHAnsi"/>
          <w:sz w:val="22"/>
          <w:szCs w:val="22"/>
        </w:rPr>
        <w:t>(i)</w:t>
      </w:r>
      <w:r w:rsidRPr="00536A47">
        <w:rPr>
          <w:rFonts w:asciiTheme="minorHAnsi" w:hAnsiTheme="minorHAnsi" w:cstheme="minorHAnsi"/>
          <w:sz w:val="22"/>
          <w:szCs w:val="22"/>
        </w:rPr>
        <w:tab/>
        <w:t>melting or casting lead alloys containing more than 1% by weight of lead metal in which the temperature of the molten material exceeds 450°C; or</w:t>
      </w:r>
    </w:p>
    <w:p w:rsidR="00722AE0" w:rsidRPr="00536A47" w:rsidRDefault="00722AE0" w:rsidP="00722AE0">
      <w:pPr>
        <w:pStyle w:val="DraftHeading3"/>
        <w:tabs>
          <w:tab w:val="left" w:pos="1276"/>
        </w:tabs>
        <w:ind w:left="1276" w:hanging="709"/>
        <w:rPr>
          <w:rFonts w:asciiTheme="minorHAnsi" w:hAnsiTheme="minorHAnsi" w:cstheme="minorHAnsi"/>
          <w:sz w:val="22"/>
          <w:szCs w:val="22"/>
        </w:rPr>
      </w:pPr>
      <w:r w:rsidRPr="00536A47">
        <w:rPr>
          <w:rFonts w:asciiTheme="minorHAnsi" w:hAnsiTheme="minorHAnsi" w:cstheme="minorHAnsi"/>
          <w:sz w:val="22"/>
          <w:szCs w:val="22"/>
        </w:rPr>
        <w:t>(ii)</w:t>
      </w:r>
      <w:r w:rsidRPr="00536A47">
        <w:rPr>
          <w:rFonts w:asciiTheme="minorHAnsi" w:hAnsiTheme="minorHAnsi" w:cstheme="minorHAnsi"/>
          <w:sz w:val="22"/>
          <w:szCs w:val="22"/>
        </w:rPr>
        <w:tab/>
        <w:t>dry machine grinding, discing, buffing or cutting by power tools lead alloys containing more than 1% by weight of lead metal;</w:t>
      </w:r>
    </w:p>
    <w:p w:rsidR="004C1E1E" w:rsidRDefault="00722AE0" w:rsidP="004C1E1E">
      <w:pPr>
        <w:pStyle w:val="DraftHeading3"/>
        <w:tabs>
          <w:tab w:val="left" w:pos="567"/>
        </w:tabs>
        <w:ind w:left="567" w:hanging="567"/>
      </w:pPr>
      <w:r w:rsidRPr="00536A47">
        <w:rPr>
          <w:rFonts w:asciiTheme="minorHAnsi" w:hAnsiTheme="minorHAnsi" w:cstheme="minorHAnsi"/>
          <w:sz w:val="22"/>
          <w:szCs w:val="22"/>
        </w:rPr>
        <w:t>(s)</w:t>
      </w:r>
      <w:r w:rsidRPr="00536A47">
        <w:rPr>
          <w:rFonts w:asciiTheme="minorHAnsi" w:hAnsiTheme="minorHAnsi" w:cstheme="minorHAnsi"/>
          <w:sz w:val="22"/>
          <w:szCs w:val="22"/>
        </w:rPr>
        <w:tab/>
        <w:t>a process decided by the regulator to be a lead process under regulation 393 of the model Work Health and Safety Regulations.</w:t>
      </w:r>
      <w:r w:rsidR="004C1E1E">
        <w:br w:type="page"/>
      </w:r>
    </w:p>
    <w:p w:rsidR="00332003" w:rsidRPr="00484AA4" w:rsidRDefault="00332003" w:rsidP="00484AA4">
      <w:pPr>
        <w:pStyle w:val="Heading1"/>
        <w:rPr>
          <w:rFonts w:asciiTheme="minorHAnsi" w:hAnsiTheme="minorHAnsi" w:cstheme="minorHAnsi"/>
        </w:rPr>
      </w:pPr>
      <w:bookmarkStart w:id="132" w:name="_Toc459276933"/>
      <w:r w:rsidRPr="007369C0">
        <w:rPr>
          <w:rFonts w:asciiTheme="minorHAnsi" w:hAnsiTheme="minorHAnsi" w:cstheme="minorHAnsi"/>
        </w:rPr>
        <w:t xml:space="preserve">Appendix </w:t>
      </w:r>
      <w:r>
        <w:rPr>
          <w:rFonts w:asciiTheme="minorHAnsi" w:hAnsiTheme="minorHAnsi" w:cstheme="minorHAnsi"/>
        </w:rPr>
        <w:t>C: Questions asked of stakeholders in the Consultation RIS</w:t>
      </w:r>
      <w:bookmarkEnd w:id="132"/>
    </w:p>
    <w:tbl>
      <w:tblPr>
        <w:tblStyle w:val="TableGrid"/>
        <w:tblW w:w="0" w:type="auto"/>
        <w:tblLook w:val="04A0" w:firstRow="1" w:lastRow="0" w:firstColumn="1" w:lastColumn="0" w:noHBand="0" w:noVBand="1"/>
        <w:tblCaption w:val="Appendix C"/>
        <w:tblDescription w:val="Appendix C: Questions asked of stakeholders in the Consultation RIS"/>
      </w:tblPr>
      <w:tblGrid>
        <w:gridCol w:w="2093"/>
        <w:gridCol w:w="7531"/>
      </w:tblGrid>
      <w:tr w:rsidR="00332003" w:rsidRPr="001D3DAF" w:rsidTr="00332003">
        <w:trPr>
          <w:tblHeader/>
        </w:trPr>
        <w:tc>
          <w:tcPr>
            <w:tcW w:w="2093" w:type="dxa"/>
            <w:shd w:val="clear" w:color="auto" w:fill="BFBFBF" w:themeFill="background1" w:themeFillShade="BF"/>
            <w:vAlign w:val="center"/>
          </w:tcPr>
          <w:p w:rsidR="00332003" w:rsidRPr="00332003" w:rsidRDefault="00332003" w:rsidP="000D1111">
            <w:pPr>
              <w:rPr>
                <w:rFonts w:cstheme="minorHAnsi"/>
                <w:b/>
                <w:sz w:val="20"/>
                <w:szCs w:val="20"/>
              </w:rPr>
            </w:pPr>
            <w:r w:rsidRPr="00332003">
              <w:rPr>
                <w:rFonts w:cstheme="minorHAnsi"/>
                <w:b/>
                <w:sz w:val="20"/>
                <w:szCs w:val="20"/>
              </w:rPr>
              <w:t>Section of the Consultation RIS</w:t>
            </w:r>
          </w:p>
        </w:tc>
        <w:tc>
          <w:tcPr>
            <w:tcW w:w="7531" w:type="dxa"/>
            <w:shd w:val="clear" w:color="auto" w:fill="BFBFBF" w:themeFill="background1" w:themeFillShade="BF"/>
            <w:vAlign w:val="center"/>
          </w:tcPr>
          <w:p w:rsidR="00332003" w:rsidRPr="001D3DAF" w:rsidRDefault="00332003" w:rsidP="000D1111">
            <w:pPr>
              <w:rPr>
                <w:rFonts w:cstheme="minorHAnsi"/>
                <w:b/>
                <w:sz w:val="20"/>
                <w:szCs w:val="20"/>
              </w:rPr>
            </w:pPr>
            <w:r w:rsidRPr="001D3DAF">
              <w:rPr>
                <w:rFonts w:cstheme="minorHAnsi"/>
                <w:b/>
                <w:sz w:val="20"/>
                <w:szCs w:val="20"/>
              </w:rPr>
              <w:t>Question</w:t>
            </w:r>
          </w:p>
        </w:tc>
      </w:tr>
      <w:tr w:rsidR="00332003" w:rsidRPr="001D3DAF" w:rsidTr="000D1111">
        <w:tc>
          <w:tcPr>
            <w:tcW w:w="2093" w:type="dxa"/>
            <w:vMerge w:val="restart"/>
          </w:tcPr>
          <w:p w:rsidR="00332003" w:rsidRPr="00332003" w:rsidRDefault="00332003" w:rsidP="000D1111">
            <w:pPr>
              <w:rPr>
                <w:rFonts w:cstheme="minorHAnsi"/>
                <w:b/>
                <w:sz w:val="20"/>
                <w:szCs w:val="20"/>
              </w:rPr>
            </w:pPr>
            <w:r w:rsidRPr="00332003">
              <w:rPr>
                <w:rFonts w:cstheme="minorHAnsi"/>
                <w:b/>
                <w:sz w:val="20"/>
                <w:szCs w:val="20"/>
              </w:rPr>
              <w:t>5.4 Lead risk work</w:t>
            </w:r>
          </w:p>
        </w:tc>
        <w:tc>
          <w:tcPr>
            <w:tcW w:w="7531" w:type="dxa"/>
          </w:tcPr>
          <w:p w:rsidR="00332003" w:rsidRPr="001D3DAF" w:rsidRDefault="00332003" w:rsidP="000D1111">
            <w:pPr>
              <w:rPr>
                <w:rFonts w:cstheme="minorHAnsi"/>
                <w:sz w:val="20"/>
                <w:szCs w:val="20"/>
              </w:rPr>
            </w:pPr>
            <w:r w:rsidRPr="001D3DAF">
              <w:rPr>
                <w:rFonts w:cstheme="minorHAnsi"/>
                <w:sz w:val="20"/>
                <w:szCs w:val="20"/>
              </w:rPr>
              <w:t>How many workers does your business currently employ?</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cstheme="minorHAnsi"/>
                <w:sz w:val="20"/>
                <w:szCs w:val="20"/>
              </w:rPr>
            </w:pPr>
            <w:r w:rsidRPr="001D3DAF">
              <w:rPr>
                <w:rFonts w:cstheme="minorHAnsi"/>
                <w:sz w:val="20"/>
                <w:szCs w:val="20"/>
              </w:rPr>
              <w:t>How many of these workers are classified as undertaking lead risk work?</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cstheme="minorHAnsi"/>
                <w:sz w:val="20"/>
                <w:szCs w:val="20"/>
              </w:rPr>
            </w:pPr>
            <w:r w:rsidRPr="001D3DAF">
              <w:rPr>
                <w:rFonts w:cstheme="minorHAnsi"/>
                <w:sz w:val="20"/>
                <w:szCs w:val="20"/>
              </w:rPr>
              <w:t>Of those lead risk workers how many are:</w:t>
            </w:r>
          </w:p>
          <w:p w:rsidR="00332003" w:rsidRPr="001D3DAF" w:rsidRDefault="00332003" w:rsidP="000D1111">
            <w:pPr>
              <w:pStyle w:val="ListBullet"/>
              <w:rPr>
                <w:sz w:val="20"/>
                <w:szCs w:val="20"/>
              </w:rPr>
            </w:pPr>
            <w:r w:rsidRPr="001D3DAF">
              <w:rPr>
                <w:sz w:val="20"/>
                <w:szCs w:val="20"/>
              </w:rPr>
              <w:t>Females not of reproductive capacity</w:t>
            </w:r>
          </w:p>
          <w:p w:rsidR="00332003" w:rsidRPr="001D3DAF" w:rsidRDefault="00332003" w:rsidP="000D1111">
            <w:pPr>
              <w:pStyle w:val="ListBullet"/>
              <w:rPr>
                <w:sz w:val="20"/>
                <w:szCs w:val="20"/>
              </w:rPr>
            </w:pPr>
            <w:r w:rsidRPr="001D3DAF">
              <w:rPr>
                <w:sz w:val="20"/>
                <w:szCs w:val="20"/>
              </w:rPr>
              <w:t>Females of reproductive capacity</w:t>
            </w:r>
          </w:p>
          <w:p w:rsidR="00332003" w:rsidRPr="001D3DAF" w:rsidRDefault="00332003" w:rsidP="000D1111">
            <w:pPr>
              <w:pStyle w:val="ListBullet"/>
              <w:rPr>
                <w:sz w:val="20"/>
                <w:szCs w:val="20"/>
              </w:rPr>
            </w:pPr>
            <w:r w:rsidRPr="001D3DAF">
              <w:rPr>
                <w:sz w:val="20"/>
                <w:szCs w:val="20"/>
              </w:rPr>
              <w:t>Males</w:t>
            </w:r>
          </w:p>
        </w:tc>
      </w:tr>
      <w:tr w:rsidR="00332003" w:rsidRPr="00332003" w:rsidTr="000D1111">
        <w:tc>
          <w:tcPr>
            <w:tcW w:w="9624" w:type="dxa"/>
            <w:gridSpan w:val="2"/>
            <w:shd w:val="clear" w:color="auto" w:fill="D9D9D9" w:themeFill="background1" w:themeFillShade="D9"/>
            <w:vAlign w:val="center"/>
          </w:tcPr>
          <w:p w:rsidR="00332003" w:rsidRPr="00332003" w:rsidRDefault="00332003" w:rsidP="000D1111">
            <w:pPr>
              <w:rPr>
                <w:rFonts w:cstheme="minorHAnsi"/>
                <w:b/>
                <w:sz w:val="20"/>
                <w:szCs w:val="20"/>
              </w:rPr>
            </w:pPr>
            <w:r w:rsidRPr="00332003">
              <w:rPr>
                <w:rFonts w:cstheme="minorHAnsi"/>
                <w:b/>
                <w:sz w:val="20"/>
                <w:szCs w:val="20"/>
              </w:rPr>
              <w:t>Blood lead removal levels</w:t>
            </w:r>
          </w:p>
        </w:tc>
      </w:tr>
      <w:tr w:rsidR="00332003" w:rsidRPr="001D3DAF" w:rsidTr="000D1111">
        <w:tc>
          <w:tcPr>
            <w:tcW w:w="2093" w:type="dxa"/>
            <w:vMerge w:val="restart"/>
          </w:tcPr>
          <w:p w:rsidR="00332003" w:rsidRPr="00332003" w:rsidRDefault="00332003" w:rsidP="000D1111">
            <w:pPr>
              <w:rPr>
                <w:rFonts w:cstheme="minorHAnsi"/>
                <w:b/>
                <w:sz w:val="20"/>
                <w:szCs w:val="20"/>
              </w:rPr>
            </w:pPr>
            <w:r w:rsidRPr="00332003">
              <w:rPr>
                <w:rFonts w:cstheme="minorHAnsi"/>
                <w:b/>
                <w:sz w:val="20"/>
                <w:szCs w:val="20"/>
              </w:rPr>
              <w:t>7.1 BLL Option 1 – Maintain the status quo (base case)</w:t>
            </w:r>
          </w:p>
        </w:tc>
        <w:tc>
          <w:tcPr>
            <w:tcW w:w="7531" w:type="dxa"/>
          </w:tcPr>
          <w:p w:rsidR="00332003" w:rsidRPr="001D3DAF" w:rsidRDefault="00332003" w:rsidP="000D1111">
            <w:pPr>
              <w:rPr>
                <w:rFonts w:cstheme="minorHAnsi"/>
                <w:sz w:val="20"/>
                <w:szCs w:val="20"/>
              </w:rPr>
            </w:pPr>
            <w:r w:rsidRPr="001D3DAF">
              <w:rPr>
                <w:rFonts w:cstheme="minorHAnsi"/>
                <w:sz w:val="20"/>
                <w:szCs w:val="20"/>
              </w:rPr>
              <w:t>How do you administer health monitoring?</w:t>
            </w:r>
          </w:p>
          <w:p w:rsidR="00332003" w:rsidRPr="001D3DAF" w:rsidRDefault="00332003" w:rsidP="000D1111">
            <w:pPr>
              <w:pStyle w:val="ListBullet"/>
              <w:rPr>
                <w:sz w:val="20"/>
                <w:szCs w:val="20"/>
              </w:rPr>
            </w:pPr>
            <w:r w:rsidRPr="001D3DAF">
              <w:rPr>
                <w:sz w:val="20"/>
                <w:szCs w:val="20"/>
              </w:rPr>
              <w:t>Medical practitioners hired directly (employed by the business)</w:t>
            </w:r>
          </w:p>
          <w:p w:rsidR="00332003" w:rsidRPr="001D3DAF" w:rsidRDefault="00332003" w:rsidP="000D1111">
            <w:pPr>
              <w:pStyle w:val="ListBullet"/>
              <w:rPr>
                <w:sz w:val="20"/>
                <w:szCs w:val="20"/>
              </w:rPr>
            </w:pPr>
            <w:r w:rsidRPr="001D3DAF">
              <w:rPr>
                <w:sz w:val="20"/>
                <w:szCs w:val="20"/>
              </w:rPr>
              <w:t>Health monitoring outsourced</w:t>
            </w:r>
          </w:p>
          <w:p w:rsidR="00332003" w:rsidRPr="001D3DAF" w:rsidRDefault="00332003" w:rsidP="000D1111">
            <w:pPr>
              <w:pStyle w:val="ListBullet"/>
              <w:rPr>
                <w:rFonts w:cstheme="minorHAnsi"/>
                <w:sz w:val="20"/>
                <w:szCs w:val="20"/>
              </w:rPr>
            </w:pPr>
            <w:r w:rsidRPr="001D3DAF">
              <w:rPr>
                <w:sz w:val="20"/>
                <w:szCs w:val="20"/>
              </w:rPr>
              <w:t>Other- please provide details</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What are the costs associated with managing worker blood lead levels? (Including both direct and indirect costs).</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You should take into consideration:</w:t>
            </w:r>
          </w:p>
          <w:p w:rsidR="00332003" w:rsidRPr="001D3DAF" w:rsidRDefault="00332003" w:rsidP="000D1111">
            <w:pPr>
              <w:pStyle w:val="ListBullet"/>
              <w:rPr>
                <w:sz w:val="20"/>
                <w:szCs w:val="20"/>
              </w:rPr>
            </w:pPr>
            <w:r w:rsidRPr="001D3DAF">
              <w:rPr>
                <w:sz w:val="20"/>
                <w:szCs w:val="20"/>
              </w:rPr>
              <w:t>Biological and health monitoring (e.g. blood tests, pathology expenses, costs for medical</w:t>
            </w:r>
          </w:p>
          <w:p w:rsidR="00332003" w:rsidRPr="001D3DAF" w:rsidRDefault="00332003" w:rsidP="000D1111">
            <w:pPr>
              <w:pStyle w:val="ListBullet"/>
              <w:rPr>
                <w:sz w:val="20"/>
                <w:szCs w:val="20"/>
              </w:rPr>
            </w:pPr>
            <w:r w:rsidRPr="001D3DAF">
              <w:rPr>
                <w:sz w:val="20"/>
                <w:szCs w:val="20"/>
              </w:rPr>
              <w:t>practitioners and other staff)</w:t>
            </w:r>
          </w:p>
          <w:p w:rsidR="00332003" w:rsidRPr="001D3DAF" w:rsidRDefault="00332003" w:rsidP="000D1111">
            <w:pPr>
              <w:pStyle w:val="ListBullet"/>
              <w:rPr>
                <w:sz w:val="20"/>
                <w:szCs w:val="20"/>
              </w:rPr>
            </w:pPr>
            <w:r w:rsidRPr="001D3DAF">
              <w:rPr>
                <w:sz w:val="20"/>
                <w:szCs w:val="20"/>
              </w:rPr>
              <w:t>Removal of lead risk workers</w:t>
            </w:r>
          </w:p>
          <w:p w:rsidR="00332003" w:rsidRPr="001D3DAF" w:rsidRDefault="00332003" w:rsidP="000D1111">
            <w:pPr>
              <w:pStyle w:val="ListBullet"/>
              <w:rPr>
                <w:sz w:val="20"/>
                <w:szCs w:val="20"/>
              </w:rPr>
            </w:pPr>
            <w:r w:rsidRPr="001D3DAF">
              <w:rPr>
                <w:sz w:val="20"/>
                <w:szCs w:val="20"/>
              </w:rPr>
              <w:t>Administrative and notification requirements (e.g. record keeping, notifying the regulator)</w:t>
            </w:r>
          </w:p>
          <w:p w:rsidR="00332003" w:rsidRPr="001D3DAF" w:rsidRDefault="00332003" w:rsidP="000D1111">
            <w:pPr>
              <w:pStyle w:val="ListBullet"/>
              <w:rPr>
                <w:sz w:val="20"/>
                <w:szCs w:val="20"/>
              </w:rPr>
            </w:pPr>
            <w:r w:rsidRPr="001D3DAF">
              <w:rPr>
                <w:sz w:val="20"/>
                <w:szCs w:val="20"/>
              </w:rPr>
              <w:t>Training (e.g. staff time off, costs of facilitator)</w:t>
            </w:r>
          </w:p>
          <w:p w:rsidR="00332003" w:rsidRPr="001D3DAF" w:rsidRDefault="00332003" w:rsidP="000D1111">
            <w:pPr>
              <w:pStyle w:val="ListBullet"/>
              <w:rPr>
                <w:rFonts w:cstheme="minorHAnsi"/>
                <w:sz w:val="20"/>
                <w:szCs w:val="20"/>
              </w:rPr>
            </w:pPr>
            <w:r w:rsidRPr="001D3DAF">
              <w:rPr>
                <w:sz w:val="20"/>
                <w:szCs w:val="20"/>
              </w:rPr>
              <w:t>PPE and engineering controls</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cstheme="minorHAnsi"/>
                <w:sz w:val="20"/>
                <w:szCs w:val="20"/>
              </w:rPr>
            </w:pPr>
            <w:r w:rsidRPr="001D3DAF">
              <w:rPr>
                <w:rFonts w:cstheme="minorHAnsi"/>
                <w:sz w:val="20"/>
                <w:szCs w:val="20"/>
              </w:rPr>
              <w:t>Any information you may have on blood lead removal levels, frequencies for testing or other hazard/risk control methods that are stricter than or exceed those prescribed in the regulations would be appreciated.</w:t>
            </w:r>
          </w:p>
          <w:p w:rsidR="00332003" w:rsidRPr="001D3DAF" w:rsidRDefault="00332003" w:rsidP="000D1111">
            <w:pPr>
              <w:rPr>
                <w:rFonts w:cstheme="minorHAnsi"/>
                <w:sz w:val="20"/>
                <w:szCs w:val="20"/>
              </w:rPr>
            </w:pPr>
            <w:r w:rsidRPr="001D3DAF">
              <w:rPr>
                <w:rFonts w:cstheme="minorHAnsi"/>
                <w:sz w:val="20"/>
                <w:szCs w:val="20"/>
              </w:rPr>
              <w:t>If you are located in a rural or remote area or face particular difficulties in meeting health monitoring requirements we are interested to hear more.</w:t>
            </w:r>
          </w:p>
        </w:tc>
      </w:tr>
      <w:tr w:rsidR="00332003" w:rsidRPr="001D3DAF" w:rsidTr="000D1111">
        <w:tc>
          <w:tcPr>
            <w:tcW w:w="2093" w:type="dxa"/>
            <w:vMerge w:val="restart"/>
          </w:tcPr>
          <w:p w:rsidR="00332003" w:rsidRPr="00332003" w:rsidRDefault="00332003" w:rsidP="000D1111">
            <w:pPr>
              <w:rPr>
                <w:rFonts w:cstheme="minorHAnsi"/>
                <w:b/>
                <w:sz w:val="20"/>
                <w:szCs w:val="20"/>
              </w:rPr>
            </w:pPr>
            <w:r w:rsidRPr="00332003">
              <w:rPr>
                <w:rFonts w:cstheme="minorHAnsi"/>
                <w:b/>
                <w:sz w:val="20"/>
                <w:szCs w:val="20"/>
              </w:rPr>
              <w:t>7.3 Summary of changes to the regulations for Option 2</w:t>
            </w:r>
          </w:p>
        </w:tc>
        <w:tc>
          <w:tcPr>
            <w:tcW w:w="7531" w:type="dxa"/>
          </w:tcPr>
          <w:p w:rsidR="00332003" w:rsidRPr="001D3DAF" w:rsidRDefault="00332003" w:rsidP="000D1111">
            <w:pPr>
              <w:rPr>
                <w:rFonts w:cstheme="minorHAnsi"/>
                <w:sz w:val="20"/>
                <w:szCs w:val="20"/>
              </w:rPr>
            </w:pPr>
            <w:r w:rsidRPr="001D3DAF">
              <w:rPr>
                <w:rFonts w:cstheme="minorHAnsi"/>
                <w:sz w:val="20"/>
                <w:szCs w:val="20"/>
              </w:rPr>
              <w:t>If BLL Option 2 is implemented, how much would the change cost your business?</w:t>
            </w:r>
          </w:p>
          <w:p w:rsidR="00332003" w:rsidRPr="001D3DAF" w:rsidRDefault="00332003" w:rsidP="000D1111">
            <w:pPr>
              <w:rPr>
                <w:rFonts w:cstheme="minorHAnsi"/>
                <w:sz w:val="20"/>
                <w:szCs w:val="20"/>
              </w:rPr>
            </w:pPr>
            <w:r w:rsidRPr="001D3DAF">
              <w:rPr>
                <w:rFonts w:cstheme="minorHAnsi"/>
                <w:sz w:val="20"/>
                <w:szCs w:val="20"/>
              </w:rPr>
              <w:t>For example would you need to undertake more health monitoring more often for more workers?</w:t>
            </w:r>
          </w:p>
          <w:p w:rsidR="00332003" w:rsidRPr="001D3DAF" w:rsidRDefault="00332003" w:rsidP="000D1111">
            <w:pPr>
              <w:rPr>
                <w:rFonts w:cstheme="minorHAnsi"/>
                <w:sz w:val="20"/>
                <w:szCs w:val="20"/>
              </w:rPr>
            </w:pPr>
            <w:r w:rsidRPr="001D3DAF">
              <w:rPr>
                <w:rFonts w:cstheme="minorHAnsi"/>
                <w:sz w:val="20"/>
                <w:szCs w:val="20"/>
              </w:rPr>
              <w:t>Please provide details of transitional and ongoing costs per year if possible.</w:t>
            </w:r>
          </w:p>
          <w:p w:rsidR="00332003" w:rsidRPr="001D3DAF" w:rsidRDefault="00332003" w:rsidP="000D1111">
            <w:pPr>
              <w:rPr>
                <w:rFonts w:cstheme="minorHAnsi"/>
                <w:sz w:val="20"/>
                <w:szCs w:val="20"/>
              </w:rPr>
            </w:pPr>
            <w:r w:rsidRPr="001D3DAF">
              <w:rPr>
                <w:rFonts w:cstheme="minorHAnsi"/>
                <w:sz w:val="20"/>
                <w:szCs w:val="20"/>
              </w:rPr>
              <w:t>If your business already meets the standards in BLL Option 2 then the cost is Nil.</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cstheme="minorHAnsi"/>
                <w:sz w:val="20"/>
                <w:szCs w:val="20"/>
              </w:rPr>
            </w:pPr>
            <w:r w:rsidRPr="001D3DAF">
              <w:rPr>
                <w:rFonts w:cstheme="minorHAnsi"/>
                <w:sz w:val="20"/>
                <w:szCs w:val="20"/>
              </w:rPr>
              <w:t>Based on your current knowledge of blood lead levels in your workplace would you need to:</w:t>
            </w:r>
          </w:p>
          <w:p w:rsidR="00332003" w:rsidRPr="001D3DAF" w:rsidRDefault="00332003" w:rsidP="000D1111">
            <w:pPr>
              <w:pStyle w:val="ListBullet"/>
              <w:rPr>
                <w:sz w:val="20"/>
                <w:szCs w:val="20"/>
              </w:rPr>
            </w:pPr>
            <w:r w:rsidRPr="001D3DAF">
              <w:rPr>
                <w:sz w:val="20"/>
                <w:szCs w:val="20"/>
              </w:rPr>
              <w:t>Increase blood lead level monitoring?</w:t>
            </w:r>
          </w:p>
          <w:p w:rsidR="00332003" w:rsidRPr="001D3DAF" w:rsidRDefault="00332003" w:rsidP="000D1111">
            <w:pPr>
              <w:pStyle w:val="ListBullet"/>
              <w:rPr>
                <w:sz w:val="20"/>
                <w:szCs w:val="20"/>
              </w:rPr>
            </w:pPr>
            <w:r w:rsidRPr="001D3DAF">
              <w:rPr>
                <w:sz w:val="20"/>
                <w:szCs w:val="20"/>
              </w:rPr>
              <w:t>Put in place new controls, or improve existing controls to maintain levels?</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cstheme="minorHAnsi"/>
                <w:sz w:val="20"/>
                <w:szCs w:val="20"/>
              </w:rPr>
            </w:pPr>
            <w:r w:rsidRPr="001D3DAF">
              <w:rPr>
                <w:rFonts w:cstheme="minorHAnsi"/>
                <w:sz w:val="20"/>
                <w:szCs w:val="20"/>
              </w:rPr>
              <w:t>How long would it take you to make the changes needed to meet the new blood lead levels?</w:t>
            </w:r>
          </w:p>
        </w:tc>
      </w:tr>
      <w:tr w:rsidR="00332003" w:rsidRPr="001D3DAF" w:rsidTr="000D1111">
        <w:tc>
          <w:tcPr>
            <w:tcW w:w="2093" w:type="dxa"/>
            <w:vMerge w:val="restart"/>
          </w:tcPr>
          <w:p w:rsidR="00332003" w:rsidRPr="00332003" w:rsidRDefault="00332003" w:rsidP="000D1111">
            <w:pPr>
              <w:rPr>
                <w:rFonts w:cstheme="minorHAnsi"/>
                <w:b/>
                <w:sz w:val="20"/>
                <w:szCs w:val="20"/>
              </w:rPr>
            </w:pPr>
            <w:r w:rsidRPr="00332003">
              <w:rPr>
                <w:rFonts w:cstheme="minorHAnsi"/>
                <w:b/>
                <w:sz w:val="20"/>
                <w:szCs w:val="20"/>
              </w:rPr>
              <w:t>7.5 Summary of changes to the regulations for Option 3</w:t>
            </w:r>
          </w:p>
        </w:tc>
        <w:tc>
          <w:tcPr>
            <w:tcW w:w="7531" w:type="dxa"/>
          </w:tcPr>
          <w:p w:rsidR="00332003" w:rsidRPr="001D3DAF" w:rsidRDefault="00332003" w:rsidP="000D1111">
            <w:pPr>
              <w:rPr>
                <w:rFonts w:cstheme="minorHAnsi"/>
                <w:sz w:val="20"/>
                <w:szCs w:val="20"/>
              </w:rPr>
            </w:pPr>
            <w:r w:rsidRPr="001D3DAF">
              <w:rPr>
                <w:rFonts w:cstheme="minorHAnsi"/>
                <w:sz w:val="20"/>
                <w:szCs w:val="20"/>
              </w:rPr>
              <w:t>If BLL Option 3 is implemented, how much would the change cost your business?</w:t>
            </w:r>
          </w:p>
          <w:p w:rsidR="00332003" w:rsidRPr="001D3DAF" w:rsidRDefault="00332003" w:rsidP="000D1111">
            <w:pPr>
              <w:rPr>
                <w:rFonts w:cstheme="minorHAnsi"/>
                <w:sz w:val="20"/>
                <w:szCs w:val="20"/>
              </w:rPr>
            </w:pPr>
            <w:r w:rsidRPr="001D3DAF">
              <w:rPr>
                <w:rFonts w:cstheme="minorHAnsi"/>
                <w:sz w:val="20"/>
                <w:szCs w:val="20"/>
              </w:rPr>
              <w:t>For example would you need to undertake more health monitoring more often for more workers?</w:t>
            </w:r>
          </w:p>
          <w:p w:rsidR="00332003" w:rsidRPr="001D3DAF" w:rsidRDefault="00332003" w:rsidP="000D1111">
            <w:pPr>
              <w:rPr>
                <w:rFonts w:cstheme="minorHAnsi"/>
                <w:sz w:val="20"/>
                <w:szCs w:val="20"/>
              </w:rPr>
            </w:pPr>
            <w:r w:rsidRPr="001D3DAF">
              <w:rPr>
                <w:rFonts w:cstheme="minorHAnsi"/>
                <w:sz w:val="20"/>
                <w:szCs w:val="20"/>
              </w:rPr>
              <w:t>Please provide details of transitional and ongoing costs per year if possible.</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cstheme="minorHAnsi"/>
                <w:sz w:val="20"/>
                <w:szCs w:val="20"/>
              </w:rPr>
            </w:pPr>
            <w:r w:rsidRPr="001D3DAF">
              <w:rPr>
                <w:rFonts w:cstheme="minorHAnsi"/>
                <w:sz w:val="20"/>
                <w:szCs w:val="20"/>
              </w:rPr>
              <w:t>Based on your current knowledge of blood lead levels in your workplace, to meet the level of 10 μg/dL for all workers, would you need to:</w:t>
            </w:r>
          </w:p>
          <w:p w:rsidR="00332003" w:rsidRPr="001D3DAF" w:rsidRDefault="00332003" w:rsidP="000D1111">
            <w:pPr>
              <w:pStyle w:val="ListBullet"/>
              <w:rPr>
                <w:sz w:val="20"/>
                <w:szCs w:val="20"/>
              </w:rPr>
            </w:pPr>
            <w:r w:rsidRPr="001D3DAF">
              <w:rPr>
                <w:sz w:val="20"/>
                <w:szCs w:val="20"/>
              </w:rPr>
              <w:t>Increase blood lead level monitoring?</w:t>
            </w:r>
          </w:p>
          <w:p w:rsidR="00332003" w:rsidRPr="001D3DAF" w:rsidRDefault="00332003" w:rsidP="000D1111">
            <w:pPr>
              <w:pStyle w:val="ListBullet"/>
              <w:rPr>
                <w:sz w:val="20"/>
                <w:szCs w:val="20"/>
              </w:rPr>
            </w:pPr>
            <w:r w:rsidRPr="001D3DAF">
              <w:rPr>
                <w:sz w:val="20"/>
                <w:szCs w:val="20"/>
              </w:rPr>
              <w:t>Put in place new controls, or improve existing controls to meet these levels?</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cstheme="minorHAnsi"/>
                <w:sz w:val="20"/>
                <w:szCs w:val="20"/>
              </w:rPr>
            </w:pPr>
            <w:r w:rsidRPr="001D3DAF">
              <w:rPr>
                <w:rFonts w:ascii="ArialMT" w:hAnsi="ArialMT" w:cs="ArialMT"/>
                <w:sz w:val="20"/>
                <w:szCs w:val="20"/>
              </w:rPr>
              <w:t>How long would it take you to make the changes needed to meet the new blood lead levels?</w:t>
            </w:r>
          </w:p>
        </w:tc>
      </w:tr>
      <w:tr w:rsidR="00332003" w:rsidRPr="00332003" w:rsidTr="000D1111">
        <w:tc>
          <w:tcPr>
            <w:tcW w:w="9624" w:type="dxa"/>
            <w:gridSpan w:val="2"/>
            <w:shd w:val="clear" w:color="auto" w:fill="D9D9D9" w:themeFill="background1" w:themeFillShade="D9"/>
            <w:vAlign w:val="center"/>
          </w:tcPr>
          <w:p w:rsidR="00332003" w:rsidRPr="00332003" w:rsidRDefault="00332003" w:rsidP="000D1111">
            <w:pPr>
              <w:rPr>
                <w:rFonts w:ascii="ArialMT" w:hAnsi="ArialMT" w:cs="ArialMT"/>
                <w:b/>
                <w:sz w:val="20"/>
                <w:szCs w:val="20"/>
              </w:rPr>
            </w:pPr>
            <w:r w:rsidRPr="00332003">
              <w:rPr>
                <w:rFonts w:ascii="ArialMT" w:hAnsi="ArialMT" w:cs="ArialMT"/>
                <w:b/>
                <w:sz w:val="20"/>
                <w:szCs w:val="20"/>
              </w:rPr>
              <w:t>Workplace exposure standard</w:t>
            </w:r>
          </w:p>
        </w:tc>
      </w:tr>
      <w:tr w:rsidR="00332003" w:rsidRPr="001D3DAF" w:rsidTr="000D1111">
        <w:tc>
          <w:tcPr>
            <w:tcW w:w="2093" w:type="dxa"/>
            <w:vMerge w:val="restart"/>
          </w:tcPr>
          <w:p w:rsidR="00332003" w:rsidRPr="00332003" w:rsidRDefault="00332003" w:rsidP="000D1111">
            <w:pPr>
              <w:rPr>
                <w:rFonts w:cstheme="minorHAnsi"/>
                <w:b/>
                <w:sz w:val="20"/>
                <w:szCs w:val="20"/>
              </w:rPr>
            </w:pPr>
            <w:r w:rsidRPr="00332003">
              <w:rPr>
                <w:rFonts w:cstheme="minorHAnsi"/>
                <w:b/>
                <w:sz w:val="20"/>
                <w:szCs w:val="20"/>
              </w:rPr>
              <w:t>9.1 WES Option 1 – Status quo</w:t>
            </w:r>
          </w:p>
        </w:tc>
        <w:tc>
          <w:tcPr>
            <w:tcW w:w="7531" w:type="dxa"/>
          </w:tcPr>
          <w:p w:rsidR="00332003" w:rsidRPr="001D3DAF" w:rsidRDefault="00332003" w:rsidP="000D1111">
            <w:pPr>
              <w:rPr>
                <w:rFonts w:ascii="ArialMT" w:hAnsi="ArialMT" w:cs="ArialMT"/>
                <w:sz w:val="20"/>
                <w:szCs w:val="20"/>
              </w:rPr>
            </w:pPr>
            <w:r w:rsidRPr="001D3DAF">
              <w:rPr>
                <w:rFonts w:ascii="ArialMT" w:hAnsi="ArialMT" w:cs="ArialMT"/>
                <w:sz w:val="20"/>
                <w:szCs w:val="20"/>
              </w:rPr>
              <w:t>How often do you undertake air monitoring for lead levels?</w:t>
            </w:r>
          </w:p>
          <w:p w:rsidR="00332003" w:rsidRPr="001D3DAF" w:rsidRDefault="00332003" w:rsidP="000D1111">
            <w:pPr>
              <w:rPr>
                <w:rFonts w:ascii="ArialMT" w:hAnsi="ArialMT" w:cs="ArialMT"/>
                <w:sz w:val="20"/>
                <w:szCs w:val="20"/>
              </w:rPr>
            </w:pPr>
            <w:r w:rsidRPr="001D3DAF">
              <w:rPr>
                <w:rFonts w:ascii="ArialMT" w:hAnsi="ArialMT" w:cs="ArialMT"/>
                <w:sz w:val="20"/>
                <w:szCs w:val="20"/>
              </w:rPr>
              <w:t>For example: regularly or on an ad hoc basis.</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ascii="ArialMT" w:hAnsi="ArialMT" w:cs="ArialMT"/>
                <w:sz w:val="20"/>
                <w:szCs w:val="20"/>
              </w:rPr>
            </w:pPr>
            <w:r w:rsidRPr="001D3DAF">
              <w:rPr>
                <w:rFonts w:ascii="ArialMT" w:hAnsi="ArialMT" w:cs="ArialMT"/>
                <w:sz w:val="20"/>
                <w:szCs w:val="20"/>
              </w:rPr>
              <w:t>How much does ensuring compliance with exposure standards cost your business?</w:t>
            </w:r>
          </w:p>
          <w:p w:rsidR="00332003" w:rsidRPr="001D3DAF" w:rsidRDefault="00332003" w:rsidP="000D1111">
            <w:pPr>
              <w:rPr>
                <w:rFonts w:ascii="ArialMT" w:hAnsi="ArialMT" w:cs="ArialMT"/>
                <w:sz w:val="20"/>
                <w:szCs w:val="20"/>
              </w:rPr>
            </w:pPr>
            <w:r w:rsidRPr="001D3DAF">
              <w:rPr>
                <w:rFonts w:ascii="ArialMT" w:hAnsi="ArialMT" w:cs="ArialMT"/>
                <w:sz w:val="20"/>
                <w:szCs w:val="20"/>
              </w:rPr>
              <w:t>You should take into consideration:</w:t>
            </w:r>
          </w:p>
          <w:p w:rsidR="00332003" w:rsidRPr="001D3DAF" w:rsidRDefault="00332003" w:rsidP="000D1111">
            <w:pPr>
              <w:pStyle w:val="ListBullet"/>
              <w:rPr>
                <w:sz w:val="20"/>
                <w:szCs w:val="20"/>
              </w:rPr>
            </w:pPr>
            <w:r w:rsidRPr="001D3DAF">
              <w:rPr>
                <w:sz w:val="20"/>
                <w:szCs w:val="20"/>
              </w:rPr>
              <w:t>Air monitoring costs (e.g. equipment)</w:t>
            </w:r>
          </w:p>
          <w:p w:rsidR="00332003" w:rsidRPr="001D3DAF" w:rsidRDefault="00332003" w:rsidP="000D1111">
            <w:pPr>
              <w:pStyle w:val="ListBullet"/>
              <w:rPr>
                <w:sz w:val="20"/>
                <w:szCs w:val="20"/>
              </w:rPr>
            </w:pPr>
            <w:r w:rsidRPr="001D3DAF">
              <w:rPr>
                <w:sz w:val="20"/>
                <w:szCs w:val="20"/>
              </w:rPr>
              <w:t>Staffing costs (e.g. in-house occupational hygienist, external consultant)</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rPr>
                <w:rFonts w:ascii="ArialMT" w:hAnsi="ArialMT" w:cs="ArialMT"/>
                <w:sz w:val="20"/>
                <w:szCs w:val="20"/>
              </w:rPr>
            </w:pPr>
            <w:r w:rsidRPr="001D3DAF">
              <w:rPr>
                <w:rFonts w:ascii="ArialMT" w:hAnsi="ArialMT" w:cs="ArialMT"/>
                <w:sz w:val="20"/>
                <w:szCs w:val="20"/>
              </w:rPr>
              <w:t>Have you needed to implement controls because of a high or increasing airborne lead contamination levels?</w:t>
            </w:r>
          </w:p>
        </w:tc>
      </w:tr>
      <w:tr w:rsidR="00332003" w:rsidRPr="001D3DAF" w:rsidTr="000D1111">
        <w:tc>
          <w:tcPr>
            <w:tcW w:w="2093" w:type="dxa"/>
            <w:vMerge w:val="restart"/>
          </w:tcPr>
          <w:p w:rsidR="00332003" w:rsidRPr="00332003" w:rsidRDefault="00332003" w:rsidP="000D1111">
            <w:pPr>
              <w:rPr>
                <w:rFonts w:cstheme="minorHAnsi"/>
                <w:b/>
                <w:sz w:val="20"/>
                <w:szCs w:val="20"/>
              </w:rPr>
            </w:pPr>
            <w:r w:rsidRPr="00332003">
              <w:rPr>
                <w:rFonts w:cstheme="minorHAnsi"/>
                <w:b/>
                <w:sz w:val="20"/>
                <w:szCs w:val="20"/>
              </w:rPr>
              <w:t>9.2 WES Option 2 – Evidence-based approach</w:t>
            </w:r>
          </w:p>
        </w:tc>
        <w:tc>
          <w:tcPr>
            <w:tcW w:w="7531" w:type="dxa"/>
          </w:tcPr>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Comment is sought on whether this option is reasonably practicable. In particular detailed</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information is sought about compliance costs for this option, including information about:</w:t>
            </w:r>
          </w:p>
          <w:p w:rsidR="00332003" w:rsidRPr="001D3DAF" w:rsidRDefault="00332003" w:rsidP="000D1111">
            <w:pPr>
              <w:pStyle w:val="ListBullet"/>
              <w:rPr>
                <w:sz w:val="20"/>
                <w:szCs w:val="20"/>
              </w:rPr>
            </w:pPr>
            <w:r w:rsidRPr="001D3DAF">
              <w:rPr>
                <w:sz w:val="20"/>
                <w:szCs w:val="20"/>
              </w:rPr>
              <w:t>whether businesses already meet or exceed the proposed standard</w:t>
            </w:r>
          </w:p>
          <w:p w:rsidR="00332003" w:rsidRPr="001D3DAF" w:rsidRDefault="00332003" w:rsidP="000D1111">
            <w:pPr>
              <w:pStyle w:val="ListBullet"/>
              <w:rPr>
                <w:sz w:val="20"/>
                <w:szCs w:val="20"/>
              </w:rPr>
            </w:pPr>
            <w:r w:rsidRPr="001D3DAF">
              <w:rPr>
                <w:sz w:val="20"/>
                <w:szCs w:val="20"/>
              </w:rPr>
              <w:t>how difficult the proposed standard would be to meet (e.g. technical feasibility), and</w:t>
            </w:r>
          </w:p>
          <w:p w:rsidR="00332003" w:rsidRPr="001D3DAF" w:rsidRDefault="00332003" w:rsidP="000D1111">
            <w:pPr>
              <w:pStyle w:val="ListBullet"/>
              <w:rPr>
                <w:sz w:val="20"/>
                <w:szCs w:val="20"/>
              </w:rPr>
            </w:pPr>
            <w:r w:rsidRPr="001D3DAF">
              <w:rPr>
                <w:sz w:val="20"/>
                <w:szCs w:val="20"/>
              </w:rPr>
              <w:t>whether existing controls could be used to meet the proposed standard (e.g. ventilation).</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If WES Option 2 is implemented, how much would the change cost your business per year?</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Please provide details of transitional and ongoing costs if possible.</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If your business already meets the standards in WES Option 2 then the cost is Nil.</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Based on your knowledge of meeting the current requirements, to meet the level of 0.05 mg/m3</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would you need to:</w:t>
            </w:r>
          </w:p>
          <w:p w:rsidR="00332003" w:rsidRPr="001D3DAF" w:rsidRDefault="00332003" w:rsidP="000D1111">
            <w:pPr>
              <w:pStyle w:val="ListBullet"/>
              <w:rPr>
                <w:sz w:val="20"/>
                <w:szCs w:val="20"/>
              </w:rPr>
            </w:pPr>
            <w:r w:rsidRPr="001D3DAF">
              <w:rPr>
                <w:sz w:val="20"/>
                <w:szCs w:val="20"/>
              </w:rPr>
              <w:t>Increase the monitoring on your workplace?</w:t>
            </w:r>
          </w:p>
          <w:p w:rsidR="00332003" w:rsidRPr="001D3DAF" w:rsidRDefault="00332003" w:rsidP="000D1111">
            <w:pPr>
              <w:pStyle w:val="ListBullet"/>
              <w:rPr>
                <w:sz w:val="20"/>
                <w:szCs w:val="20"/>
              </w:rPr>
            </w:pPr>
            <w:r w:rsidRPr="001D3DAF">
              <w:rPr>
                <w:sz w:val="20"/>
                <w:szCs w:val="20"/>
              </w:rPr>
              <w:t>Increase other any other controls to maintain levels?</w:t>
            </w:r>
          </w:p>
        </w:tc>
      </w:tr>
      <w:tr w:rsidR="00332003" w:rsidRPr="001D3DAF" w:rsidTr="000D1111">
        <w:tc>
          <w:tcPr>
            <w:tcW w:w="2093" w:type="dxa"/>
            <w:vMerge w:val="restart"/>
          </w:tcPr>
          <w:p w:rsidR="00332003" w:rsidRPr="00332003" w:rsidRDefault="00332003" w:rsidP="000D1111">
            <w:pPr>
              <w:rPr>
                <w:rFonts w:cstheme="minorHAnsi"/>
                <w:b/>
                <w:sz w:val="20"/>
                <w:szCs w:val="20"/>
              </w:rPr>
            </w:pPr>
            <w:r w:rsidRPr="00332003">
              <w:rPr>
                <w:rFonts w:cstheme="minorHAnsi"/>
                <w:b/>
                <w:sz w:val="20"/>
                <w:szCs w:val="20"/>
              </w:rPr>
              <w:t>9.3 WES Option 3 – Most protective</w:t>
            </w:r>
          </w:p>
        </w:tc>
        <w:tc>
          <w:tcPr>
            <w:tcW w:w="7531" w:type="dxa"/>
          </w:tcPr>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There is uncertainty as to whether this option is reasonably practicable. Comments are sought on this point.</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If WES Option 3 is implemented, how much would the change cost your business per year?</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Please provide details of transitional and ongoing costs if possible.</w:t>
            </w:r>
          </w:p>
        </w:tc>
      </w:tr>
      <w:tr w:rsidR="00332003" w:rsidRPr="001D3DAF" w:rsidTr="000D1111">
        <w:tc>
          <w:tcPr>
            <w:tcW w:w="2093" w:type="dxa"/>
            <w:vMerge/>
          </w:tcPr>
          <w:p w:rsidR="00332003" w:rsidRPr="00332003" w:rsidRDefault="00332003" w:rsidP="000D1111">
            <w:pPr>
              <w:rPr>
                <w:rFonts w:cstheme="minorHAnsi"/>
                <w:b/>
                <w:sz w:val="20"/>
                <w:szCs w:val="20"/>
              </w:rPr>
            </w:pPr>
          </w:p>
        </w:tc>
        <w:tc>
          <w:tcPr>
            <w:tcW w:w="7531" w:type="dxa"/>
          </w:tcPr>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Based on your knowledge of meeting the current requirements, to meet the level of 0.01 mg/m3</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would you need to:</w:t>
            </w:r>
          </w:p>
          <w:p w:rsidR="00332003" w:rsidRPr="001D3DAF" w:rsidRDefault="00332003" w:rsidP="000D1111">
            <w:pPr>
              <w:pStyle w:val="ListBullet"/>
              <w:rPr>
                <w:sz w:val="20"/>
                <w:szCs w:val="20"/>
              </w:rPr>
            </w:pPr>
            <w:r w:rsidRPr="001D3DAF">
              <w:rPr>
                <w:sz w:val="20"/>
                <w:szCs w:val="20"/>
              </w:rPr>
              <w:t>Increase the monitoring on your workplace?</w:t>
            </w:r>
          </w:p>
          <w:p w:rsidR="00332003" w:rsidRPr="001D3DAF" w:rsidRDefault="00332003" w:rsidP="000D1111">
            <w:pPr>
              <w:pStyle w:val="ListBullet"/>
              <w:rPr>
                <w:sz w:val="20"/>
                <w:szCs w:val="20"/>
              </w:rPr>
            </w:pPr>
            <w:r w:rsidRPr="001D3DAF">
              <w:rPr>
                <w:sz w:val="20"/>
                <w:szCs w:val="20"/>
              </w:rPr>
              <w:t>Increase other any other controls to maintain levels?</w:t>
            </w:r>
          </w:p>
        </w:tc>
      </w:tr>
      <w:tr w:rsidR="00332003" w:rsidRPr="001D3DAF" w:rsidTr="000D1111">
        <w:tc>
          <w:tcPr>
            <w:tcW w:w="2093" w:type="dxa"/>
          </w:tcPr>
          <w:p w:rsidR="00332003" w:rsidRPr="00332003" w:rsidRDefault="00332003" w:rsidP="000D1111">
            <w:pPr>
              <w:rPr>
                <w:rFonts w:cstheme="minorHAnsi"/>
                <w:b/>
                <w:sz w:val="20"/>
                <w:szCs w:val="20"/>
              </w:rPr>
            </w:pPr>
            <w:r w:rsidRPr="00332003">
              <w:rPr>
                <w:rFonts w:cstheme="minorHAnsi"/>
                <w:b/>
                <w:sz w:val="20"/>
                <w:szCs w:val="20"/>
              </w:rPr>
              <w:t>9.4 WES Option 4 – Non-regulatory approach</w:t>
            </w:r>
          </w:p>
        </w:tc>
        <w:tc>
          <w:tcPr>
            <w:tcW w:w="7531" w:type="dxa"/>
          </w:tcPr>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Based on your knowledge of meeting the current requirements, to meet the requirement of</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managing health and safety risks so far as is reasonably practicable without a prescribed WES,</w:t>
            </w:r>
          </w:p>
          <w:p w:rsidR="00332003" w:rsidRPr="001D3DAF" w:rsidRDefault="00332003" w:rsidP="000D1111">
            <w:pPr>
              <w:autoSpaceDE w:val="0"/>
              <w:autoSpaceDN w:val="0"/>
              <w:adjustRightInd w:val="0"/>
              <w:rPr>
                <w:rFonts w:ascii="ArialMT" w:hAnsi="ArialMT" w:cs="ArialMT"/>
                <w:sz w:val="20"/>
                <w:szCs w:val="20"/>
              </w:rPr>
            </w:pPr>
            <w:r w:rsidRPr="001D3DAF">
              <w:rPr>
                <w:rFonts w:ascii="ArialMT" w:hAnsi="ArialMT" w:cs="ArialMT"/>
                <w:sz w:val="20"/>
                <w:szCs w:val="20"/>
              </w:rPr>
              <w:t>would you need to:</w:t>
            </w:r>
          </w:p>
          <w:p w:rsidR="00332003" w:rsidRPr="001D3DAF" w:rsidRDefault="00332003" w:rsidP="000D1111">
            <w:pPr>
              <w:pStyle w:val="ListBullet"/>
              <w:rPr>
                <w:sz w:val="20"/>
                <w:szCs w:val="20"/>
              </w:rPr>
            </w:pPr>
            <w:r w:rsidRPr="001D3DAF">
              <w:rPr>
                <w:sz w:val="20"/>
                <w:szCs w:val="20"/>
              </w:rPr>
              <w:t>Change the way you approach air monitoring in your workplace?</w:t>
            </w:r>
          </w:p>
          <w:p w:rsidR="00332003" w:rsidRPr="001D3DAF" w:rsidRDefault="00332003" w:rsidP="000D1111">
            <w:pPr>
              <w:pStyle w:val="ListBullet"/>
              <w:rPr>
                <w:sz w:val="20"/>
                <w:szCs w:val="20"/>
              </w:rPr>
            </w:pPr>
            <w:r w:rsidRPr="001D3DAF">
              <w:rPr>
                <w:sz w:val="20"/>
                <w:szCs w:val="20"/>
              </w:rPr>
              <w:t>Would this reduce your costs?</w:t>
            </w:r>
          </w:p>
          <w:p w:rsidR="00332003" w:rsidRPr="001D3DAF" w:rsidRDefault="00332003" w:rsidP="000D1111">
            <w:pPr>
              <w:pStyle w:val="ListBullet"/>
              <w:rPr>
                <w:sz w:val="20"/>
                <w:szCs w:val="20"/>
              </w:rPr>
            </w:pPr>
            <w:r w:rsidRPr="001D3DAF">
              <w:rPr>
                <w:sz w:val="20"/>
                <w:szCs w:val="20"/>
              </w:rPr>
              <w:t>Do you think it would be harder or easier to comply with blood lead level requirements if the exposure standard was non mandatory?</w:t>
            </w:r>
          </w:p>
        </w:tc>
      </w:tr>
    </w:tbl>
    <w:p w:rsidR="00722AE0" w:rsidRPr="00C9446F" w:rsidRDefault="00722AE0" w:rsidP="0005799A">
      <w:pPr>
        <w:sectPr w:rsidR="00722AE0" w:rsidRPr="00C9446F" w:rsidSect="00B70DBB">
          <w:type w:val="continuous"/>
          <w:pgSz w:w="11906" w:h="16838"/>
          <w:pgMar w:top="1440" w:right="1080" w:bottom="1440" w:left="1418" w:header="708" w:footer="708" w:gutter="0"/>
          <w:cols w:space="708"/>
          <w:titlePg/>
          <w:docGrid w:linePitch="360"/>
        </w:sectPr>
      </w:pPr>
      <w:r w:rsidRPr="00C9446F">
        <w:br w:type="page"/>
      </w:r>
    </w:p>
    <w:p w:rsidR="00722AE0" w:rsidRDefault="00722AE0" w:rsidP="009C0068">
      <w:pPr>
        <w:pStyle w:val="Heading1"/>
        <w:rPr>
          <w:rFonts w:asciiTheme="minorHAnsi" w:hAnsiTheme="minorHAnsi" w:cstheme="minorHAnsi"/>
        </w:rPr>
      </w:pPr>
      <w:bookmarkStart w:id="133" w:name="_Toc459276934"/>
      <w:r w:rsidRPr="00536A47">
        <w:rPr>
          <w:rFonts w:asciiTheme="minorHAnsi" w:hAnsiTheme="minorHAnsi" w:cstheme="minorHAnsi"/>
        </w:rPr>
        <w:t xml:space="preserve">Appendix </w:t>
      </w:r>
      <w:r w:rsidR="00332003">
        <w:rPr>
          <w:rFonts w:asciiTheme="minorHAnsi" w:hAnsiTheme="minorHAnsi" w:cstheme="minorHAnsi"/>
        </w:rPr>
        <w:t>D</w:t>
      </w:r>
      <w:r w:rsidRPr="00536A47">
        <w:rPr>
          <w:rFonts w:asciiTheme="minorHAnsi" w:hAnsiTheme="minorHAnsi" w:cstheme="minorHAnsi"/>
        </w:rPr>
        <w:t xml:space="preserve">: </w:t>
      </w:r>
      <w:r w:rsidR="00943F66" w:rsidRPr="00943F66">
        <w:rPr>
          <w:rFonts w:asciiTheme="minorHAnsi" w:hAnsiTheme="minorHAnsi" w:cstheme="minorHAnsi"/>
        </w:rPr>
        <w:t>Common assumptions used in CBA</w:t>
      </w:r>
      <w:bookmarkEnd w:id="133"/>
    </w:p>
    <w:tbl>
      <w:tblPr>
        <w:tblW w:w="5000" w:type="pct"/>
        <w:tblCellMar>
          <w:left w:w="0" w:type="dxa"/>
          <w:right w:w="0" w:type="dxa"/>
        </w:tblCellMar>
        <w:tblLook w:val="04A0" w:firstRow="1" w:lastRow="0" w:firstColumn="1" w:lastColumn="0" w:noHBand="0" w:noVBand="1"/>
      </w:tblPr>
      <w:tblGrid>
        <w:gridCol w:w="2519"/>
        <w:gridCol w:w="2266"/>
        <w:gridCol w:w="4842"/>
      </w:tblGrid>
      <w:tr w:rsidR="001B16B6" w:rsidTr="000D0502">
        <w:trPr>
          <w:tblHeader/>
        </w:trPr>
        <w:tc>
          <w:tcPr>
            <w:tcW w:w="1308"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b/>
                <w:bCs/>
                <w:caps w:val="0"/>
                <w:sz w:val="20"/>
                <w:lang w:eastAsia="en-AU"/>
              </w:rPr>
            </w:pPr>
            <w:r>
              <w:rPr>
                <w:rFonts w:ascii="Arial" w:hAnsi="Arial"/>
                <w:b/>
                <w:bCs/>
                <w:caps w:val="0"/>
                <w:sz w:val="20"/>
                <w:lang w:eastAsia="en-AU"/>
              </w:rPr>
              <w:t>Assumption</w:t>
            </w:r>
          </w:p>
        </w:tc>
        <w:tc>
          <w:tcPr>
            <w:tcW w:w="1177"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b/>
                <w:bCs/>
                <w:caps w:val="0"/>
                <w:sz w:val="20"/>
                <w:lang w:eastAsia="en-AU"/>
              </w:rPr>
            </w:pPr>
            <w:r>
              <w:rPr>
                <w:rFonts w:ascii="Arial" w:hAnsi="Arial"/>
                <w:b/>
                <w:bCs/>
                <w:caps w:val="0"/>
                <w:sz w:val="20"/>
                <w:lang w:eastAsia="en-AU"/>
              </w:rPr>
              <w:t>Value</w:t>
            </w:r>
          </w:p>
        </w:tc>
        <w:tc>
          <w:tcPr>
            <w:tcW w:w="251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b/>
                <w:bCs/>
                <w:caps w:val="0"/>
                <w:sz w:val="20"/>
                <w:lang w:eastAsia="en-AU"/>
              </w:rPr>
            </w:pPr>
            <w:r>
              <w:rPr>
                <w:rFonts w:ascii="Arial" w:hAnsi="Arial"/>
                <w:b/>
                <w:bCs/>
                <w:caps w:val="0"/>
                <w:sz w:val="20"/>
                <w:lang w:eastAsia="en-AU"/>
              </w:rPr>
              <w:t>Description</w:t>
            </w:r>
          </w:p>
        </w:tc>
      </w:tr>
      <w:tr w:rsidR="001B16B6" w:rsidTr="000D0502">
        <w:trPr>
          <w:tblHead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b/>
                <w:bCs/>
                <w:caps w:val="0"/>
                <w:sz w:val="20"/>
                <w:lang w:eastAsia="en-AU"/>
              </w:rPr>
            </w:pPr>
            <w:r>
              <w:rPr>
                <w:rFonts w:ascii="Arial" w:hAnsi="Arial"/>
                <w:b/>
                <w:bCs/>
                <w:caps w:val="0"/>
                <w:sz w:val="20"/>
                <w:lang w:eastAsia="en-AU"/>
              </w:rPr>
              <w:t>Population assumptions:</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Lead process workers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9,893</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 xml:space="preserve">The total number of lead process workers in Australia </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Businesses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eastAsiaTheme="minorHAnsi" w:hAnsi="Arial"/>
                <w:caps w:val="0"/>
                <w:sz w:val="20"/>
                <w:lang w:eastAsia="en-AU"/>
              </w:rPr>
            </w:pPr>
            <w:r>
              <w:rPr>
                <w:rFonts w:ascii="Arial" w:hAnsi="Arial"/>
                <w:caps w:val="0"/>
                <w:sz w:val="20"/>
                <w:lang w:eastAsia="en-AU"/>
              </w:rPr>
              <w:t>Very large: 5</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Medium to large: 100</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Small: 500</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 xml:space="preserve">The total number of businesses undertaking lead-risk work </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Workers exceeding removal thresholds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eastAsiaTheme="minorHAnsi" w:hAnsi="Arial"/>
                <w:caps w:val="0"/>
                <w:sz w:val="20"/>
                <w:lang w:eastAsia="en-AU"/>
              </w:rPr>
            </w:pPr>
            <w:r>
              <w:rPr>
                <w:rFonts w:ascii="Arial" w:hAnsi="Arial"/>
                <w:caps w:val="0"/>
                <w:sz w:val="20"/>
                <w:lang w:eastAsia="en-AU"/>
              </w:rPr>
              <w:t>BLL Option 1: 6</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BLL Option 2: 157</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BLL Option 3: 2,596</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Based on 2015 blood lead level tests, the number of workers who would exceed the relevant threshold for removal under Options 1-3,</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 xml:space="preserve">Blood lead testing frequencies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eastAsiaTheme="minorHAnsi" w:hAnsi="Arial"/>
                <w:caps w:val="0"/>
                <w:sz w:val="20"/>
                <w:lang w:eastAsia="en-AU"/>
              </w:rPr>
            </w:pPr>
            <w:r>
              <w:rPr>
                <w:rFonts w:ascii="Arial" w:hAnsi="Arial"/>
                <w:caps w:val="0"/>
                <w:sz w:val="20"/>
                <w:lang w:eastAsia="en-AU"/>
              </w:rPr>
              <w:t>Current: 2.35</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Option 2: 3</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Option 3: 6</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The number of times lead process workers are tested each year</w:t>
            </w:r>
          </w:p>
        </w:tc>
      </w:tr>
      <w:tr w:rsidR="001B16B6" w:rsidTr="000D0502">
        <w:trPr>
          <w:tblHead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b/>
                <w:bCs/>
                <w:caps w:val="0"/>
                <w:sz w:val="20"/>
                <w:lang w:eastAsia="en-AU"/>
              </w:rPr>
            </w:pPr>
            <w:r>
              <w:rPr>
                <w:rFonts w:ascii="Arial" w:hAnsi="Arial"/>
                <w:b/>
                <w:bCs/>
                <w:caps w:val="0"/>
                <w:sz w:val="20"/>
                <w:lang w:eastAsia="en-AU"/>
              </w:rPr>
              <w:t>Cost assumptions</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Wage rates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$93 per hour</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The average wage rate of lead-process work, including the 75 per on-costs required by OBPR</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Blood lead tests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$86 per test</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Includes testing costs of $55 per test, plus $31 of lost productive time</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Removing workers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eastAsiaTheme="minorHAnsi" w:hAnsi="Arial"/>
                <w:caps w:val="0"/>
                <w:sz w:val="20"/>
                <w:lang w:eastAsia="en-AU"/>
              </w:rPr>
            </w:pPr>
            <w:r>
              <w:rPr>
                <w:rFonts w:ascii="Arial" w:hAnsi="Arial"/>
                <w:caps w:val="0"/>
                <w:sz w:val="20"/>
                <w:lang w:eastAsia="en-AU"/>
              </w:rPr>
              <w:t>Option 1: $3,240</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Option 2: $4,300</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Option 3: $5,360</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The average cost of removing a worker who exceeds the relevant removal threshold under each option</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Review of measures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$2,000</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The cost associated with undertaking a review of lead exposure measures, following the removal of a worker</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Other removal costs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$2,000</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Regulator costs associated with investigation and follow-up after a worker is removed</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eastAsiaTheme="minorHAnsi" w:hAnsi="Arial"/>
                <w:caps w:val="0"/>
                <w:sz w:val="20"/>
                <w:lang w:eastAsia="en-AU"/>
              </w:rPr>
            </w:pPr>
            <w:r>
              <w:rPr>
                <w:rFonts w:ascii="Arial" w:hAnsi="Arial"/>
                <w:caps w:val="0"/>
                <w:sz w:val="20"/>
                <w:lang w:eastAsia="en-AU"/>
              </w:rPr>
              <w:t>Increases in operating costs</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(by business)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eastAsiaTheme="minorHAnsi" w:hAnsi="Arial"/>
                <w:caps w:val="0"/>
                <w:sz w:val="20"/>
                <w:lang w:eastAsia="en-AU"/>
              </w:rPr>
            </w:pPr>
            <w:r>
              <w:rPr>
                <w:rFonts w:ascii="Arial" w:hAnsi="Arial"/>
                <w:caps w:val="0"/>
                <w:sz w:val="20"/>
                <w:lang w:eastAsia="en-AU"/>
              </w:rPr>
              <w:t>Very large: $100k</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M-large: $5,000</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Small: $1,000</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The annual increases in operating costs associated with Option 2 (Option 3 was not considered feasible, so could not be quantified)</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Increases in capital costs (by business)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eastAsiaTheme="minorHAnsi" w:hAnsi="Arial"/>
                <w:caps w:val="0"/>
                <w:sz w:val="20"/>
                <w:lang w:eastAsia="en-AU"/>
              </w:rPr>
            </w:pPr>
            <w:r>
              <w:rPr>
                <w:rFonts w:ascii="Arial" w:hAnsi="Arial"/>
                <w:caps w:val="0"/>
                <w:sz w:val="20"/>
                <w:lang w:eastAsia="en-AU"/>
              </w:rPr>
              <w:t>Very large: $1m</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M-large: $20k</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Small: $5k</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The capital costs associated with Option 2 (Option 3 was not considered feasible, so could not be quantified)</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Timing of capital costs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2 years</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Capital costs are assumed to be incurred evenly over two years</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Business affected  by Option 2</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30%</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The proportion of businesses that will incur additional costs associated with Options 2 and 3 (other businesses do not have workers who exceed the relevant removal threshold)</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Additional costs due to changes in the WES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eastAsiaTheme="minorHAnsi" w:hAnsi="Arial"/>
                <w:caps w:val="0"/>
                <w:sz w:val="20"/>
                <w:lang w:eastAsia="en-AU"/>
              </w:rPr>
            </w:pPr>
            <w:r>
              <w:rPr>
                <w:rFonts w:ascii="Arial" w:hAnsi="Arial"/>
                <w:caps w:val="0"/>
                <w:sz w:val="20"/>
                <w:lang w:eastAsia="en-AU"/>
              </w:rPr>
              <w:t>Option 2: 10%</w:t>
            </w:r>
          </w:p>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Option 3: unfeasible</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The cost of increasing the WES, relative to other costs associated with Option 2.</w:t>
            </w:r>
          </w:p>
        </w:tc>
      </w:tr>
      <w:tr w:rsidR="001B16B6" w:rsidTr="000D0502">
        <w:trPr>
          <w:tblHead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b/>
                <w:bCs/>
                <w:caps w:val="0"/>
                <w:sz w:val="20"/>
                <w:lang w:eastAsia="en-AU"/>
              </w:rPr>
            </w:pPr>
            <w:r>
              <w:rPr>
                <w:rFonts w:ascii="Arial" w:hAnsi="Arial"/>
                <w:b/>
                <w:bCs/>
                <w:caps w:val="0"/>
                <w:sz w:val="20"/>
                <w:lang w:eastAsia="en-AU"/>
              </w:rPr>
              <w:t>Benefits</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Health benefits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$5 million</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Minimum value of annual health benefits from Option 2</w:t>
            </w:r>
          </w:p>
        </w:tc>
      </w:tr>
      <w:tr w:rsidR="001B16B6" w:rsidTr="000D0502">
        <w:trPr>
          <w:tblHeader/>
        </w:trPr>
        <w:tc>
          <w:tcPr>
            <w:tcW w:w="13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Workers compensation benefits</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$293,000</w:t>
            </w:r>
          </w:p>
        </w:tc>
        <w:tc>
          <w:tcPr>
            <w:tcW w:w="2514" w:type="pct"/>
            <w:tcBorders>
              <w:top w:val="nil"/>
              <w:left w:val="nil"/>
              <w:bottom w:val="single" w:sz="8" w:space="0" w:color="auto"/>
              <w:right w:val="single" w:sz="8" w:space="0" w:color="auto"/>
            </w:tcBorders>
            <w:tcMar>
              <w:top w:w="0" w:type="dxa"/>
              <w:left w:w="108" w:type="dxa"/>
              <w:bottom w:w="0" w:type="dxa"/>
              <w:right w:w="108" w:type="dxa"/>
            </w:tcMar>
            <w:hideMark/>
          </w:tcPr>
          <w:p w:rsidR="001B16B6" w:rsidRDefault="001B16B6" w:rsidP="001B16B6">
            <w:pPr>
              <w:pStyle w:val="GlossaryAbbreviation"/>
              <w:spacing w:beforeLines="20" w:before="48" w:afterLines="20" w:after="48"/>
              <w:rPr>
                <w:rFonts w:ascii="Arial" w:hAnsi="Arial"/>
                <w:caps w:val="0"/>
                <w:sz w:val="20"/>
                <w:lang w:eastAsia="en-AU"/>
              </w:rPr>
            </w:pPr>
            <w:r>
              <w:rPr>
                <w:rFonts w:ascii="Arial" w:hAnsi="Arial"/>
                <w:caps w:val="0"/>
                <w:sz w:val="20"/>
                <w:lang w:eastAsia="en-AU"/>
              </w:rPr>
              <w:t>Value of avoided workers compensation costs from Option 2</w:t>
            </w:r>
          </w:p>
        </w:tc>
      </w:tr>
    </w:tbl>
    <w:p w:rsidR="00AC2AE6" w:rsidRPr="00AC2AE6" w:rsidRDefault="00AC2AE6" w:rsidP="00AC2AE6">
      <w:pPr>
        <w:pStyle w:val="Heading1"/>
        <w:rPr>
          <w:rFonts w:asciiTheme="minorHAnsi" w:hAnsiTheme="minorHAnsi" w:cstheme="minorHAnsi"/>
        </w:rPr>
      </w:pPr>
      <w:bookmarkStart w:id="134" w:name="_Toc459276935"/>
      <w:r w:rsidRPr="00AC2AE6">
        <w:rPr>
          <w:rFonts w:asciiTheme="minorHAnsi" w:hAnsiTheme="minorHAnsi" w:cstheme="minorHAnsi"/>
        </w:rPr>
        <w:t>Appendix E: Regulatory Burden Measurement Framework Costings</w:t>
      </w:r>
      <w:bookmarkEnd w:id="134"/>
    </w:p>
    <w:p w:rsidR="0096769A" w:rsidRPr="00EE671F" w:rsidRDefault="0096769A" w:rsidP="0096769A">
      <w:pPr>
        <w:rPr>
          <w:rFonts w:cstheme="minorHAnsi"/>
        </w:rPr>
      </w:pPr>
      <w:r w:rsidRPr="0096769A">
        <w:rPr>
          <w:rFonts w:cstheme="minorHAnsi"/>
        </w:rPr>
        <w:t>The R</w:t>
      </w:r>
      <w:r w:rsidRPr="00574A68">
        <w:rPr>
          <w:rFonts w:cstheme="minorHAnsi"/>
        </w:rPr>
        <w:t>egulatory Burden Measurement (RBM) Framework applies to new regulations or changes to existing regulations and requires any additional regulatory costs they impose on businesses, community o</w:t>
      </w:r>
      <w:r w:rsidRPr="00EE671F">
        <w:rPr>
          <w:rFonts w:cstheme="minorHAnsi"/>
        </w:rPr>
        <w:t>rganisations and individuals be quantified. The Commonwealth is attributed fifty percent of the regulatory burden cost.</w:t>
      </w:r>
    </w:p>
    <w:p w:rsidR="0096769A" w:rsidRPr="00673EC2" w:rsidRDefault="0096769A" w:rsidP="0096769A">
      <w:pPr>
        <w:rPr>
          <w:rFonts w:cstheme="minorHAnsi"/>
        </w:rPr>
      </w:pPr>
      <w:r w:rsidRPr="00687577">
        <w:rPr>
          <w:rFonts w:cstheme="minorHAnsi"/>
          <w:b/>
        </w:rPr>
        <w:t xml:space="preserve">NOTE: </w:t>
      </w:r>
      <w:r w:rsidRPr="008D5BD5">
        <w:rPr>
          <w:rFonts w:cstheme="minorHAnsi"/>
        </w:rPr>
        <w:t>The numbers reflected in the table below may not necessarily replicate the numbers in the cost benefit analysis.</w:t>
      </w:r>
    </w:p>
    <w:tbl>
      <w:tblPr>
        <w:tblStyle w:val="TableGrid"/>
        <w:tblW w:w="0" w:type="auto"/>
        <w:tblLook w:val="04A0" w:firstRow="1" w:lastRow="0" w:firstColumn="1" w:lastColumn="0" w:noHBand="0" w:noVBand="1"/>
        <w:tblCaption w:val="Appendix E"/>
        <w:tblDescription w:val="Appendix E: Regulatory Burden Measurement Framework Costings"/>
      </w:tblPr>
      <w:tblGrid>
        <w:gridCol w:w="6487"/>
        <w:gridCol w:w="3140"/>
      </w:tblGrid>
      <w:tr w:rsidR="0096769A" w:rsidRPr="0096769A" w:rsidTr="00772D66">
        <w:trPr>
          <w:tblHeader/>
        </w:trPr>
        <w:tc>
          <w:tcPr>
            <w:tcW w:w="6487" w:type="dxa"/>
            <w:shd w:val="clear" w:color="auto" w:fill="BFBFBF" w:themeFill="background1" w:themeFillShade="BF"/>
            <w:vAlign w:val="center"/>
          </w:tcPr>
          <w:p w:rsidR="0096769A" w:rsidRPr="00E620A2" w:rsidRDefault="0096769A" w:rsidP="005373E9">
            <w:pPr>
              <w:rPr>
                <w:rFonts w:cstheme="minorHAnsi"/>
                <w:b/>
              </w:rPr>
            </w:pPr>
            <w:r w:rsidRPr="00E620A2">
              <w:rPr>
                <w:rFonts w:cstheme="minorHAnsi"/>
                <w:b/>
              </w:rPr>
              <w:t>Activity</w:t>
            </w:r>
          </w:p>
        </w:tc>
        <w:tc>
          <w:tcPr>
            <w:tcW w:w="3140" w:type="dxa"/>
            <w:shd w:val="clear" w:color="auto" w:fill="BFBFBF" w:themeFill="background1" w:themeFillShade="BF"/>
            <w:vAlign w:val="center"/>
          </w:tcPr>
          <w:p w:rsidR="0096769A" w:rsidRPr="00D75F43" w:rsidRDefault="0096769A" w:rsidP="005373E9">
            <w:pPr>
              <w:jc w:val="right"/>
              <w:rPr>
                <w:rFonts w:cstheme="minorHAnsi"/>
                <w:b/>
              </w:rPr>
            </w:pPr>
            <w:r w:rsidRPr="004E25FA">
              <w:rPr>
                <w:rFonts w:cstheme="minorHAnsi"/>
                <w:b/>
              </w:rPr>
              <w:t xml:space="preserve">Additional cost per annum </w:t>
            </w:r>
            <w:r w:rsidRPr="004E25FA">
              <w:rPr>
                <w:rFonts w:cstheme="minorHAnsi"/>
                <w:b/>
              </w:rPr>
              <w:br/>
              <w:t>(total across lead industry)</w:t>
            </w:r>
          </w:p>
        </w:tc>
      </w:tr>
      <w:tr w:rsidR="0096769A" w:rsidRPr="0096769A" w:rsidTr="00772D66">
        <w:trPr>
          <w:tblHeader/>
        </w:trPr>
        <w:tc>
          <w:tcPr>
            <w:tcW w:w="9627" w:type="dxa"/>
            <w:gridSpan w:val="2"/>
          </w:tcPr>
          <w:p w:rsidR="0096769A" w:rsidRPr="005373E9" w:rsidRDefault="0096769A" w:rsidP="005373E9">
            <w:pPr>
              <w:spacing w:before="60" w:after="60"/>
              <w:rPr>
                <w:rFonts w:cstheme="minorHAnsi"/>
                <w:i/>
              </w:rPr>
            </w:pPr>
            <w:r w:rsidRPr="00574A68">
              <w:rPr>
                <w:rFonts w:cstheme="minorHAnsi"/>
                <w:i/>
              </w:rPr>
              <w:t xml:space="preserve">Blood lead level Option 2 </w:t>
            </w:r>
          </w:p>
        </w:tc>
      </w:tr>
      <w:tr w:rsidR="0096769A" w:rsidRPr="0096769A" w:rsidTr="00772D66">
        <w:trPr>
          <w:tblHeader/>
        </w:trPr>
        <w:tc>
          <w:tcPr>
            <w:tcW w:w="6487" w:type="dxa"/>
          </w:tcPr>
          <w:p w:rsidR="0096769A" w:rsidRPr="005373E9" w:rsidRDefault="0096769A" w:rsidP="005373E9">
            <w:pPr>
              <w:rPr>
                <w:rFonts w:cstheme="minorHAnsi"/>
              </w:rPr>
            </w:pPr>
            <w:r w:rsidRPr="00574A68">
              <w:rPr>
                <w:rFonts w:cstheme="minorHAnsi"/>
              </w:rPr>
              <w:t>Notify regulator of lead risk work</w:t>
            </w:r>
          </w:p>
        </w:tc>
        <w:tc>
          <w:tcPr>
            <w:tcW w:w="3140" w:type="dxa"/>
            <w:vAlign w:val="center"/>
          </w:tcPr>
          <w:p w:rsidR="0096769A" w:rsidRPr="00EE671F" w:rsidRDefault="0096769A" w:rsidP="005373E9">
            <w:pPr>
              <w:jc w:val="right"/>
              <w:rPr>
                <w:rFonts w:cstheme="minorHAnsi"/>
              </w:rPr>
            </w:pPr>
            <w:r w:rsidRPr="00EE671F">
              <w:rPr>
                <w:rFonts w:cstheme="minorHAnsi"/>
              </w:rPr>
              <w:t>$1000</w:t>
            </w:r>
          </w:p>
        </w:tc>
      </w:tr>
      <w:tr w:rsidR="0096769A" w:rsidRPr="0096769A" w:rsidTr="00772D66">
        <w:trPr>
          <w:tblHeader/>
        </w:trPr>
        <w:tc>
          <w:tcPr>
            <w:tcW w:w="6487" w:type="dxa"/>
          </w:tcPr>
          <w:p w:rsidR="0096769A" w:rsidRPr="00EE671F" w:rsidRDefault="0096769A" w:rsidP="005373E9">
            <w:pPr>
              <w:rPr>
                <w:rFonts w:cstheme="minorHAnsi"/>
              </w:rPr>
            </w:pPr>
            <w:r w:rsidRPr="00574A68">
              <w:rPr>
                <w:rFonts w:cstheme="minorHAnsi"/>
              </w:rPr>
              <w:t xml:space="preserve">Undertake health monitoring </w:t>
            </w:r>
            <w:r w:rsidRPr="005373E9">
              <w:rPr>
                <w:rFonts w:cstheme="minorHAnsi"/>
                <w:vertAlign w:val="superscript"/>
              </w:rPr>
              <w:t>1</w:t>
            </w:r>
            <w:r w:rsidRPr="00EE671F">
              <w:rPr>
                <w:rFonts w:cstheme="minorHAnsi"/>
              </w:rPr>
              <w:t xml:space="preserve"> </w:t>
            </w:r>
          </w:p>
        </w:tc>
        <w:tc>
          <w:tcPr>
            <w:tcW w:w="3140" w:type="dxa"/>
            <w:vAlign w:val="center"/>
          </w:tcPr>
          <w:p w:rsidR="0096769A" w:rsidRPr="00687577" w:rsidRDefault="0096769A" w:rsidP="005373E9">
            <w:pPr>
              <w:jc w:val="right"/>
              <w:rPr>
                <w:rFonts w:cstheme="minorHAnsi"/>
              </w:rPr>
            </w:pPr>
            <w:r w:rsidRPr="00687577">
              <w:rPr>
                <w:rFonts w:cstheme="minorHAnsi"/>
              </w:rPr>
              <w:t>$723,000</w:t>
            </w:r>
          </w:p>
        </w:tc>
      </w:tr>
      <w:tr w:rsidR="0096769A" w:rsidRPr="0096769A" w:rsidTr="00772D66">
        <w:trPr>
          <w:tblHeader/>
        </w:trPr>
        <w:tc>
          <w:tcPr>
            <w:tcW w:w="6487" w:type="dxa"/>
          </w:tcPr>
          <w:p w:rsidR="0096769A" w:rsidRPr="00EE671F" w:rsidRDefault="0096769A" w:rsidP="005373E9">
            <w:pPr>
              <w:rPr>
                <w:rFonts w:cstheme="minorHAnsi"/>
              </w:rPr>
            </w:pPr>
            <w:r w:rsidRPr="00574A68">
              <w:rPr>
                <w:rFonts w:cstheme="minorHAnsi"/>
              </w:rPr>
              <w:t xml:space="preserve">Remove workers who exceed the mandated blood lead level from lead risk work </w:t>
            </w:r>
            <w:r w:rsidRPr="005373E9">
              <w:rPr>
                <w:rFonts w:cstheme="minorHAnsi"/>
                <w:vertAlign w:val="superscript"/>
              </w:rPr>
              <w:t>2</w:t>
            </w:r>
          </w:p>
        </w:tc>
        <w:tc>
          <w:tcPr>
            <w:tcW w:w="3140" w:type="dxa"/>
            <w:vAlign w:val="center"/>
          </w:tcPr>
          <w:p w:rsidR="0096769A" w:rsidRPr="00687577" w:rsidRDefault="0096769A" w:rsidP="005373E9">
            <w:pPr>
              <w:jc w:val="right"/>
              <w:rPr>
                <w:rFonts w:cstheme="minorHAnsi"/>
              </w:rPr>
            </w:pPr>
            <w:r w:rsidRPr="00687577">
              <w:rPr>
                <w:rFonts w:cstheme="minorHAnsi"/>
              </w:rPr>
              <w:t>$1,994,000</w:t>
            </w:r>
          </w:p>
        </w:tc>
      </w:tr>
      <w:tr w:rsidR="0096769A" w:rsidRPr="0096769A" w:rsidTr="00772D66">
        <w:trPr>
          <w:tblHeader/>
        </w:trPr>
        <w:tc>
          <w:tcPr>
            <w:tcW w:w="6487" w:type="dxa"/>
          </w:tcPr>
          <w:p w:rsidR="0096769A" w:rsidRPr="00EE671F" w:rsidRDefault="0096769A" w:rsidP="005373E9">
            <w:pPr>
              <w:rPr>
                <w:rFonts w:cstheme="minorHAnsi"/>
              </w:rPr>
            </w:pPr>
            <w:r w:rsidRPr="00574A68">
              <w:rPr>
                <w:rFonts w:cstheme="minorHAnsi"/>
              </w:rPr>
              <w:t xml:space="preserve">Capital expenditure </w:t>
            </w:r>
            <w:r w:rsidRPr="005373E9">
              <w:rPr>
                <w:rFonts w:cstheme="minorHAnsi"/>
                <w:vertAlign w:val="superscript"/>
              </w:rPr>
              <w:t>3</w:t>
            </w:r>
          </w:p>
        </w:tc>
        <w:tc>
          <w:tcPr>
            <w:tcW w:w="3140" w:type="dxa"/>
            <w:vAlign w:val="center"/>
          </w:tcPr>
          <w:p w:rsidR="0096769A" w:rsidRPr="00687577" w:rsidRDefault="0096769A" w:rsidP="005373E9">
            <w:pPr>
              <w:jc w:val="right"/>
              <w:rPr>
                <w:rFonts w:cstheme="minorHAnsi"/>
              </w:rPr>
            </w:pPr>
            <w:r w:rsidRPr="00687577">
              <w:rPr>
                <w:rFonts w:cstheme="minorHAnsi"/>
              </w:rPr>
              <w:t>$515,000</w:t>
            </w:r>
          </w:p>
        </w:tc>
      </w:tr>
      <w:tr w:rsidR="0096769A" w:rsidRPr="0096769A" w:rsidTr="00772D66">
        <w:trPr>
          <w:tblHeader/>
        </w:trPr>
        <w:tc>
          <w:tcPr>
            <w:tcW w:w="6487" w:type="dxa"/>
            <w:tcBorders>
              <w:bottom w:val="single" w:sz="4" w:space="0" w:color="auto"/>
            </w:tcBorders>
          </w:tcPr>
          <w:p w:rsidR="0096769A" w:rsidRPr="00EE671F" w:rsidRDefault="0096769A" w:rsidP="005373E9">
            <w:pPr>
              <w:rPr>
                <w:rFonts w:cstheme="minorHAnsi"/>
              </w:rPr>
            </w:pPr>
            <w:r w:rsidRPr="00574A68">
              <w:rPr>
                <w:rFonts w:cstheme="minorHAnsi"/>
              </w:rPr>
              <w:t>Air monitoring activities – WES Option 2 – 0.05 mg/m</w:t>
            </w:r>
            <w:r w:rsidRPr="005373E9">
              <w:rPr>
                <w:rFonts w:cstheme="minorHAnsi"/>
                <w:vertAlign w:val="superscript"/>
              </w:rPr>
              <w:t>3</w:t>
            </w:r>
            <w:r w:rsidRPr="00EE671F">
              <w:rPr>
                <w:rFonts w:cstheme="minorHAnsi"/>
              </w:rPr>
              <w:t xml:space="preserve"> </w:t>
            </w:r>
          </w:p>
        </w:tc>
        <w:tc>
          <w:tcPr>
            <w:tcW w:w="3140" w:type="dxa"/>
            <w:tcBorders>
              <w:bottom w:val="single" w:sz="4" w:space="0" w:color="auto"/>
            </w:tcBorders>
            <w:vAlign w:val="center"/>
          </w:tcPr>
          <w:p w:rsidR="0096769A" w:rsidRPr="00687577" w:rsidRDefault="0096769A" w:rsidP="005373E9">
            <w:pPr>
              <w:jc w:val="right"/>
              <w:rPr>
                <w:rFonts w:cstheme="minorHAnsi"/>
              </w:rPr>
            </w:pPr>
            <w:r w:rsidRPr="00687577">
              <w:rPr>
                <w:rFonts w:cstheme="minorHAnsi"/>
              </w:rPr>
              <w:t>$231,000</w:t>
            </w:r>
          </w:p>
        </w:tc>
      </w:tr>
      <w:tr w:rsidR="0096769A" w:rsidRPr="0096769A" w:rsidTr="00772D66">
        <w:trPr>
          <w:tblHeader/>
        </w:trPr>
        <w:tc>
          <w:tcPr>
            <w:tcW w:w="6487" w:type="dxa"/>
            <w:tcBorders>
              <w:bottom w:val="single" w:sz="4" w:space="0" w:color="auto"/>
              <w:right w:val="nil"/>
            </w:tcBorders>
            <w:shd w:val="clear" w:color="auto" w:fill="D9D9D9" w:themeFill="background1" w:themeFillShade="D9"/>
          </w:tcPr>
          <w:p w:rsidR="0096769A" w:rsidRPr="005373E9" w:rsidRDefault="0096769A" w:rsidP="005373E9">
            <w:pPr>
              <w:spacing w:before="60" w:after="60"/>
              <w:rPr>
                <w:rFonts w:cstheme="minorHAnsi"/>
                <w:b/>
              </w:rPr>
            </w:pPr>
            <w:r w:rsidRPr="00574A68">
              <w:rPr>
                <w:rFonts w:cstheme="minorHAnsi"/>
                <w:b/>
              </w:rPr>
              <w:t>BUSINESS COST PER ANNUM OVER 10 YEARS</w:t>
            </w:r>
          </w:p>
        </w:tc>
        <w:tc>
          <w:tcPr>
            <w:tcW w:w="3140" w:type="dxa"/>
            <w:tcBorders>
              <w:left w:val="nil"/>
              <w:bottom w:val="single" w:sz="4" w:space="0" w:color="auto"/>
            </w:tcBorders>
            <w:shd w:val="clear" w:color="auto" w:fill="D9D9D9" w:themeFill="background1" w:themeFillShade="D9"/>
            <w:vAlign w:val="center"/>
          </w:tcPr>
          <w:p w:rsidR="0096769A" w:rsidRPr="00EE671F" w:rsidRDefault="0096769A" w:rsidP="005373E9">
            <w:pPr>
              <w:spacing w:before="60" w:after="60"/>
              <w:jc w:val="right"/>
              <w:rPr>
                <w:rFonts w:cstheme="minorHAnsi"/>
                <w:b/>
              </w:rPr>
            </w:pPr>
            <w:r w:rsidRPr="00EE671F">
              <w:rPr>
                <w:rFonts w:cstheme="minorHAnsi"/>
                <w:b/>
              </w:rPr>
              <w:t>$3,464,000</w:t>
            </w:r>
          </w:p>
        </w:tc>
      </w:tr>
      <w:tr w:rsidR="0096769A" w:rsidRPr="0096769A" w:rsidTr="00772D66">
        <w:trPr>
          <w:tblHeader/>
        </w:trPr>
        <w:tc>
          <w:tcPr>
            <w:tcW w:w="9627" w:type="dxa"/>
            <w:gridSpan w:val="2"/>
          </w:tcPr>
          <w:p w:rsidR="0096769A" w:rsidRPr="005373E9" w:rsidRDefault="0096769A" w:rsidP="005373E9">
            <w:pPr>
              <w:spacing w:before="60" w:after="60"/>
              <w:rPr>
                <w:rFonts w:cstheme="minorHAnsi"/>
              </w:rPr>
            </w:pPr>
            <w:r w:rsidRPr="00574A68">
              <w:rPr>
                <w:rFonts w:cstheme="minorHAnsi"/>
                <w:i/>
              </w:rPr>
              <w:t>Blood lead level Option 3</w:t>
            </w:r>
          </w:p>
        </w:tc>
      </w:tr>
      <w:tr w:rsidR="0096769A" w:rsidRPr="0096769A" w:rsidTr="00772D66">
        <w:trPr>
          <w:tblHeader/>
        </w:trPr>
        <w:tc>
          <w:tcPr>
            <w:tcW w:w="6487" w:type="dxa"/>
          </w:tcPr>
          <w:p w:rsidR="0096769A" w:rsidRPr="005373E9" w:rsidRDefault="0096769A" w:rsidP="005373E9">
            <w:pPr>
              <w:rPr>
                <w:rFonts w:cstheme="minorHAnsi"/>
              </w:rPr>
            </w:pPr>
            <w:r w:rsidRPr="00574A68">
              <w:rPr>
                <w:rFonts w:cstheme="minorHAnsi"/>
              </w:rPr>
              <w:t>Notify regulator of lead risk work</w:t>
            </w:r>
          </w:p>
        </w:tc>
        <w:tc>
          <w:tcPr>
            <w:tcW w:w="3140" w:type="dxa"/>
            <w:vAlign w:val="center"/>
          </w:tcPr>
          <w:p w:rsidR="0096769A" w:rsidRPr="00EE671F" w:rsidRDefault="0096769A" w:rsidP="005373E9">
            <w:pPr>
              <w:jc w:val="right"/>
              <w:rPr>
                <w:rFonts w:cstheme="minorHAnsi"/>
              </w:rPr>
            </w:pPr>
            <w:r w:rsidRPr="00EE671F">
              <w:rPr>
                <w:rFonts w:cstheme="minorHAnsi"/>
              </w:rPr>
              <w:t>$1000</w:t>
            </w:r>
          </w:p>
        </w:tc>
      </w:tr>
      <w:tr w:rsidR="0096769A" w:rsidRPr="0096769A" w:rsidTr="00772D66">
        <w:trPr>
          <w:tblHeader/>
        </w:trPr>
        <w:tc>
          <w:tcPr>
            <w:tcW w:w="6487" w:type="dxa"/>
          </w:tcPr>
          <w:p w:rsidR="0096769A" w:rsidRPr="00EE671F" w:rsidRDefault="0096769A" w:rsidP="005373E9">
            <w:pPr>
              <w:rPr>
                <w:rFonts w:cstheme="minorHAnsi"/>
              </w:rPr>
            </w:pPr>
            <w:r w:rsidRPr="00574A68">
              <w:rPr>
                <w:rFonts w:cstheme="minorHAnsi"/>
              </w:rPr>
              <w:t xml:space="preserve">Undertake health monitoring </w:t>
            </w:r>
            <w:r w:rsidRPr="005373E9">
              <w:rPr>
                <w:rFonts w:cstheme="minorHAnsi"/>
                <w:vertAlign w:val="superscript"/>
              </w:rPr>
              <w:t>1</w:t>
            </w:r>
            <w:r w:rsidRPr="00EE671F">
              <w:rPr>
                <w:rFonts w:cstheme="minorHAnsi"/>
              </w:rPr>
              <w:t xml:space="preserve"> </w:t>
            </w:r>
          </w:p>
        </w:tc>
        <w:tc>
          <w:tcPr>
            <w:tcW w:w="3140" w:type="dxa"/>
            <w:vAlign w:val="center"/>
          </w:tcPr>
          <w:p w:rsidR="0096769A" w:rsidRPr="00687577" w:rsidRDefault="0096769A" w:rsidP="005373E9">
            <w:pPr>
              <w:jc w:val="right"/>
              <w:rPr>
                <w:rFonts w:cstheme="minorHAnsi"/>
              </w:rPr>
            </w:pPr>
            <w:r w:rsidRPr="00687577">
              <w:rPr>
                <w:rFonts w:cstheme="minorHAnsi"/>
              </w:rPr>
              <w:t>$3,188,000</w:t>
            </w:r>
          </w:p>
        </w:tc>
      </w:tr>
      <w:tr w:rsidR="0096769A" w:rsidRPr="0096769A" w:rsidTr="00772D66">
        <w:trPr>
          <w:tblHeader/>
        </w:trPr>
        <w:tc>
          <w:tcPr>
            <w:tcW w:w="6487" w:type="dxa"/>
          </w:tcPr>
          <w:p w:rsidR="0096769A" w:rsidRPr="00EE671F" w:rsidRDefault="0096769A" w:rsidP="005373E9">
            <w:pPr>
              <w:rPr>
                <w:rFonts w:cstheme="minorHAnsi"/>
              </w:rPr>
            </w:pPr>
            <w:r w:rsidRPr="00574A68">
              <w:rPr>
                <w:rFonts w:cstheme="minorHAnsi"/>
              </w:rPr>
              <w:t xml:space="preserve">Remove workers who exceed the mandated blood lead level from lead risk work </w:t>
            </w:r>
            <w:r w:rsidRPr="005373E9">
              <w:rPr>
                <w:rFonts w:cstheme="minorHAnsi"/>
                <w:vertAlign w:val="superscript"/>
              </w:rPr>
              <w:t>2</w:t>
            </w:r>
          </w:p>
        </w:tc>
        <w:tc>
          <w:tcPr>
            <w:tcW w:w="3140" w:type="dxa"/>
            <w:vAlign w:val="center"/>
          </w:tcPr>
          <w:p w:rsidR="0096769A" w:rsidRPr="00687577" w:rsidRDefault="0096769A" w:rsidP="005373E9">
            <w:pPr>
              <w:jc w:val="right"/>
              <w:rPr>
                <w:rFonts w:cstheme="minorHAnsi"/>
              </w:rPr>
            </w:pPr>
            <w:r w:rsidRPr="00687577">
              <w:rPr>
                <w:rFonts w:cstheme="minorHAnsi"/>
              </w:rPr>
              <w:t>$34,247,000</w:t>
            </w:r>
          </w:p>
        </w:tc>
      </w:tr>
      <w:tr w:rsidR="0096769A" w:rsidRPr="0096769A" w:rsidTr="00772D66">
        <w:trPr>
          <w:tblHeader/>
        </w:trPr>
        <w:tc>
          <w:tcPr>
            <w:tcW w:w="6487" w:type="dxa"/>
          </w:tcPr>
          <w:p w:rsidR="0096769A" w:rsidRPr="00EE671F" w:rsidRDefault="0096769A" w:rsidP="005373E9">
            <w:pPr>
              <w:rPr>
                <w:rFonts w:cstheme="minorHAnsi"/>
              </w:rPr>
            </w:pPr>
            <w:r w:rsidRPr="00574A68">
              <w:rPr>
                <w:rFonts w:cstheme="minorHAnsi"/>
              </w:rPr>
              <w:t xml:space="preserve">Capital expenditure </w:t>
            </w:r>
            <w:r w:rsidRPr="005373E9">
              <w:rPr>
                <w:rFonts w:cstheme="minorHAnsi"/>
                <w:vertAlign w:val="superscript"/>
              </w:rPr>
              <w:t>4</w:t>
            </w:r>
            <w:r w:rsidRPr="00EE671F">
              <w:rPr>
                <w:rFonts w:cstheme="minorHAnsi"/>
              </w:rPr>
              <w:t xml:space="preserve"> </w:t>
            </w:r>
          </w:p>
        </w:tc>
        <w:tc>
          <w:tcPr>
            <w:tcW w:w="3140" w:type="dxa"/>
            <w:vAlign w:val="center"/>
          </w:tcPr>
          <w:p w:rsidR="0096769A" w:rsidRPr="00687577" w:rsidRDefault="0096769A" w:rsidP="005373E9">
            <w:pPr>
              <w:jc w:val="right"/>
              <w:rPr>
                <w:rFonts w:cstheme="minorHAnsi"/>
              </w:rPr>
            </w:pPr>
            <w:r w:rsidRPr="00687577">
              <w:rPr>
                <w:rFonts w:cstheme="minorHAnsi"/>
              </w:rPr>
              <w:t>$60,500,000</w:t>
            </w:r>
          </w:p>
        </w:tc>
      </w:tr>
      <w:tr w:rsidR="0096769A" w:rsidRPr="0096769A" w:rsidTr="00772D66">
        <w:trPr>
          <w:tblHeader/>
        </w:trPr>
        <w:tc>
          <w:tcPr>
            <w:tcW w:w="6487" w:type="dxa"/>
            <w:tcBorders>
              <w:bottom w:val="single" w:sz="4" w:space="0" w:color="auto"/>
            </w:tcBorders>
          </w:tcPr>
          <w:p w:rsidR="0096769A" w:rsidRPr="00EE671F" w:rsidRDefault="0096769A" w:rsidP="005373E9">
            <w:pPr>
              <w:rPr>
                <w:rFonts w:cstheme="minorHAnsi"/>
              </w:rPr>
            </w:pPr>
            <w:r w:rsidRPr="00574A68">
              <w:rPr>
                <w:rFonts w:cstheme="minorHAnsi"/>
              </w:rPr>
              <w:t>Air monitoring activities – WES Option 3 – 0.01 mg/m</w:t>
            </w:r>
            <w:r w:rsidRPr="005373E9">
              <w:rPr>
                <w:rFonts w:cstheme="minorHAnsi"/>
                <w:vertAlign w:val="superscript"/>
              </w:rPr>
              <w:t>3</w:t>
            </w:r>
            <w:r w:rsidRPr="00EE671F">
              <w:rPr>
                <w:rFonts w:cstheme="minorHAnsi"/>
              </w:rPr>
              <w:t xml:space="preserve"> </w:t>
            </w:r>
          </w:p>
        </w:tc>
        <w:tc>
          <w:tcPr>
            <w:tcW w:w="3140" w:type="dxa"/>
            <w:tcBorders>
              <w:bottom w:val="single" w:sz="4" w:space="0" w:color="auto"/>
            </w:tcBorders>
            <w:vAlign w:val="center"/>
          </w:tcPr>
          <w:p w:rsidR="0096769A" w:rsidRPr="00687577" w:rsidRDefault="0096769A" w:rsidP="005373E9">
            <w:pPr>
              <w:jc w:val="right"/>
              <w:rPr>
                <w:rFonts w:cstheme="minorHAnsi"/>
              </w:rPr>
            </w:pPr>
            <w:r w:rsidRPr="00687577">
              <w:rPr>
                <w:rFonts w:cstheme="minorHAnsi"/>
              </w:rPr>
              <w:t>$64,244,000</w:t>
            </w:r>
          </w:p>
        </w:tc>
      </w:tr>
      <w:tr w:rsidR="0096769A" w:rsidRPr="0096769A" w:rsidTr="00772D66">
        <w:trPr>
          <w:tblHeader/>
        </w:trPr>
        <w:tc>
          <w:tcPr>
            <w:tcW w:w="6487" w:type="dxa"/>
            <w:tcBorders>
              <w:bottom w:val="single" w:sz="4" w:space="0" w:color="auto"/>
              <w:right w:val="nil"/>
            </w:tcBorders>
            <w:shd w:val="clear" w:color="auto" w:fill="D9D9D9" w:themeFill="background1" w:themeFillShade="D9"/>
          </w:tcPr>
          <w:p w:rsidR="0096769A" w:rsidRPr="005373E9" w:rsidRDefault="0096769A" w:rsidP="005373E9">
            <w:pPr>
              <w:spacing w:before="60" w:after="60"/>
              <w:rPr>
                <w:rFonts w:cstheme="minorHAnsi"/>
                <w:b/>
              </w:rPr>
            </w:pPr>
            <w:r w:rsidRPr="00574A68">
              <w:rPr>
                <w:rFonts w:cstheme="minorHAnsi"/>
                <w:b/>
              </w:rPr>
              <w:t>BUSINESS COST PER ANNUM OVER 10 YEARS</w:t>
            </w:r>
          </w:p>
        </w:tc>
        <w:tc>
          <w:tcPr>
            <w:tcW w:w="3140" w:type="dxa"/>
            <w:tcBorders>
              <w:left w:val="nil"/>
              <w:bottom w:val="single" w:sz="4" w:space="0" w:color="auto"/>
            </w:tcBorders>
            <w:shd w:val="clear" w:color="auto" w:fill="D9D9D9" w:themeFill="background1" w:themeFillShade="D9"/>
            <w:vAlign w:val="center"/>
          </w:tcPr>
          <w:p w:rsidR="0096769A" w:rsidRPr="00EE671F" w:rsidRDefault="0096769A" w:rsidP="005373E9">
            <w:pPr>
              <w:spacing w:before="60" w:after="60"/>
              <w:jc w:val="right"/>
              <w:rPr>
                <w:rFonts w:cstheme="minorHAnsi"/>
                <w:b/>
              </w:rPr>
            </w:pPr>
            <w:r w:rsidRPr="00EE671F">
              <w:rPr>
                <w:rFonts w:cstheme="minorHAnsi"/>
                <w:b/>
              </w:rPr>
              <w:t>$162,180,000</w:t>
            </w:r>
          </w:p>
        </w:tc>
      </w:tr>
      <w:tr w:rsidR="0096769A" w:rsidRPr="0096769A" w:rsidTr="00772D66">
        <w:trPr>
          <w:tblHeader/>
        </w:trPr>
        <w:tc>
          <w:tcPr>
            <w:tcW w:w="6487" w:type="dxa"/>
            <w:tcBorders>
              <w:right w:val="single" w:sz="4" w:space="0" w:color="auto"/>
            </w:tcBorders>
            <w:shd w:val="clear" w:color="auto" w:fill="BFBFBF" w:themeFill="background1" w:themeFillShade="BF"/>
            <w:vAlign w:val="center"/>
          </w:tcPr>
          <w:p w:rsidR="0096769A" w:rsidRPr="005373E9" w:rsidRDefault="0096769A" w:rsidP="005373E9">
            <w:pPr>
              <w:rPr>
                <w:rFonts w:cstheme="minorHAnsi"/>
                <w:b/>
              </w:rPr>
            </w:pPr>
            <w:r w:rsidRPr="00574A68">
              <w:rPr>
                <w:rFonts w:cstheme="minorHAnsi"/>
                <w:b/>
              </w:rPr>
              <w:t>Agency (OBPR ID)</w:t>
            </w:r>
          </w:p>
        </w:tc>
        <w:tc>
          <w:tcPr>
            <w:tcW w:w="3140" w:type="dxa"/>
            <w:tcBorders>
              <w:left w:val="single" w:sz="4" w:space="0" w:color="auto"/>
            </w:tcBorders>
            <w:shd w:val="clear" w:color="auto" w:fill="BFBFBF" w:themeFill="background1" w:themeFillShade="BF"/>
            <w:vAlign w:val="center"/>
          </w:tcPr>
          <w:p w:rsidR="0096769A" w:rsidRPr="00EE671F" w:rsidRDefault="0096769A" w:rsidP="005373E9">
            <w:pPr>
              <w:jc w:val="right"/>
              <w:rPr>
                <w:rFonts w:cstheme="minorHAnsi"/>
                <w:b/>
              </w:rPr>
            </w:pPr>
            <w:r w:rsidRPr="00EE671F">
              <w:rPr>
                <w:rFonts w:cstheme="minorHAnsi"/>
                <w:b/>
              </w:rPr>
              <w:t xml:space="preserve">Cost Offset </w:t>
            </w:r>
            <w:r w:rsidRPr="00EE671F">
              <w:rPr>
                <w:rFonts w:cstheme="minorHAnsi"/>
                <w:b/>
              </w:rPr>
              <w:br/>
              <w:t>(total savings per annum)</w:t>
            </w:r>
          </w:p>
        </w:tc>
      </w:tr>
      <w:tr w:rsidR="0096769A" w:rsidRPr="0096769A" w:rsidTr="00772D66">
        <w:trPr>
          <w:tblHeader/>
        </w:trPr>
        <w:tc>
          <w:tcPr>
            <w:tcW w:w="6487" w:type="dxa"/>
            <w:tcBorders>
              <w:right w:val="single" w:sz="4" w:space="0" w:color="auto"/>
            </w:tcBorders>
            <w:shd w:val="clear" w:color="auto" w:fill="auto"/>
          </w:tcPr>
          <w:p w:rsidR="0096769A" w:rsidRPr="005373E9" w:rsidRDefault="0096769A" w:rsidP="005373E9">
            <w:pPr>
              <w:spacing w:before="60" w:after="60"/>
              <w:rPr>
                <w:rFonts w:cstheme="minorHAnsi"/>
              </w:rPr>
            </w:pPr>
            <w:r w:rsidRPr="00574A68">
              <w:rPr>
                <w:rFonts w:cstheme="minorHAnsi"/>
              </w:rPr>
              <w:t>Employment portfolio (17063)</w:t>
            </w:r>
          </w:p>
        </w:tc>
        <w:tc>
          <w:tcPr>
            <w:tcW w:w="3140" w:type="dxa"/>
            <w:tcBorders>
              <w:left w:val="single" w:sz="4" w:space="0" w:color="auto"/>
            </w:tcBorders>
            <w:shd w:val="clear" w:color="auto" w:fill="auto"/>
            <w:vAlign w:val="center"/>
          </w:tcPr>
          <w:p w:rsidR="0096769A" w:rsidRPr="00EE671F" w:rsidRDefault="0096769A" w:rsidP="005373E9">
            <w:pPr>
              <w:spacing w:before="60" w:after="60"/>
              <w:jc w:val="right"/>
              <w:rPr>
                <w:rFonts w:cstheme="minorHAnsi"/>
              </w:rPr>
            </w:pPr>
            <w:r w:rsidRPr="00EE671F">
              <w:rPr>
                <w:rFonts w:cstheme="minorHAnsi"/>
              </w:rPr>
              <w:t>$21.2 million</w:t>
            </w:r>
          </w:p>
        </w:tc>
      </w:tr>
      <w:tr w:rsidR="0096769A" w:rsidRPr="0096769A" w:rsidTr="00772D66">
        <w:trPr>
          <w:tblHeader/>
        </w:trPr>
        <w:tc>
          <w:tcPr>
            <w:tcW w:w="9627" w:type="dxa"/>
            <w:gridSpan w:val="2"/>
            <w:shd w:val="clear" w:color="auto" w:fill="auto"/>
          </w:tcPr>
          <w:p w:rsidR="0096769A" w:rsidRPr="005373E9" w:rsidRDefault="0096769A" w:rsidP="005373E9">
            <w:pPr>
              <w:spacing w:before="60" w:after="60"/>
              <w:rPr>
                <w:rFonts w:cstheme="minorHAnsi"/>
                <w:b/>
              </w:rPr>
            </w:pPr>
            <w:r w:rsidRPr="00574A68">
              <w:rPr>
                <w:rFonts w:cstheme="minorHAnsi"/>
                <w:b/>
              </w:rPr>
              <w:t>Are all new costs offset?</w:t>
            </w:r>
          </w:p>
          <w:p w:rsidR="000D0502" w:rsidRDefault="0096769A" w:rsidP="000D0502">
            <w:pPr>
              <w:spacing w:before="60" w:after="60"/>
              <w:rPr>
                <w:rFonts w:cstheme="minorHAnsi"/>
              </w:rPr>
            </w:pPr>
            <w:r w:rsidRPr="00EE671F">
              <w:rPr>
                <w:rFonts w:cstheme="minorHAnsi"/>
                <w:b/>
              </w:rPr>
              <w:t>X Yes, costs are offset</w:t>
            </w:r>
          </w:p>
          <w:p w:rsidR="000D0502" w:rsidRDefault="0096769A" w:rsidP="000D0502">
            <w:pPr>
              <w:spacing w:before="60" w:after="60"/>
              <w:rPr>
                <w:rFonts w:cstheme="minorHAnsi"/>
              </w:rPr>
            </w:pPr>
            <w:r w:rsidRPr="00EE671F">
              <w:rPr>
                <w:rFonts w:cstheme="minorHAnsi"/>
              </w:rPr>
              <w:t>□ No, costs are not offset</w:t>
            </w:r>
          </w:p>
          <w:p w:rsidR="0096769A" w:rsidRPr="00EE671F" w:rsidRDefault="0096769A" w:rsidP="000D0502">
            <w:pPr>
              <w:spacing w:before="60" w:after="60"/>
              <w:rPr>
                <w:rFonts w:cstheme="minorHAnsi"/>
              </w:rPr>
            </w:pPr>
            <w:r w:rsidRPr="00EE671F">
              <w:rPr>
                <w:rFonts w:cstheme="minorHAnsi"/>
              </w:rPr>
              <w:t>□ Deregulatory—no offsets required</w:t>
            </w:r>
          </w:p>
        </w:tc>
      </w:tr>
      <w:tr w:rsidR="0096769A" w:rsidRPr="0096769A" w:rsidTr="00772D66">
        <w:trPr>
          <w:tblHeader/>
        </w:trPr>
        <w:tc>
          <w:tcPr>
            <w:tcW w:w="6487" w:type="dxa"/>
            <w:shd w:val="clear" w:color="auto" w:fill="D9D9D9" w:themeFill="background1" w:themeFillShade="D9"/>
          </w:tcPr>
          <w:p w:rsidR="0096769A" w:rsidRPr="00EE671F" w:rsidRDefault="0096769A" w:rsidP="005373E9">
            <w:pPr>
              <w:spacing w:before="60" w:after="60"/>
              <w:rPr>
                <w:rFonts w:cstheme="minorHAnsi"/>
              </w:rPr>
            </w:pPr>
            <w:r w:rsidRPr="00574A68">
              <w:rPr>
                <w:rFonts w:cstheme="minorHAnsi"/>
                <w:b/>
              </w:rPr>
              <w:t xml:space="preserve">Total </w:t>
            </w:r>
            <w:r w:rsidRPr="005373E9">
              <w:rPr>
                <w:rFonts w:cstheme="minorHAnsi"/>
              </w:rPr>
              <w:t xml:space="preserve">(Change in costs [preferred option] – Cost offset)  </w:t>
            </w:r>
          </w:p>
        </w:tc>
        <w:tc>
          <w:tcPr>
            <w:tcW w:w="3140" w:type="dxa"/>
            <w:shd w:val="clear" w:color="auto" w:fill="D9D9D9" w:themeFill="background1" w:themeFillShade="D9"/>
          </w:tcPr>
          <w:p w:rsidR="0096769A" w:rsidRPr="00574A68" w:rsidRDefault="0096769A" w:rsidP="005373E9">
            <w:pPr>
              <w:spacing w:before="60" w:after="60"/>
              <w:jc w:val="right"/>
              <w:rPr>
                <w:rFonts w:cstheme="minorHAnsi"/>
              </w:rPr>
            </w:pPr>
            <w:r w:rsidRPr="0096769A">
              <w:rPr>
                <w:rFonts w:cstheme="minorHAnsi"/>
                <w:b/>
              </w:rPr>
              <w:t>— $ 17.7 million</w:t>
            </w:r>
          </w:p>
        </w:tc>
      </w:tr>
    </w:tbl>
    <w:p w:rsidR="0096769A" w:rsidRPr="00EE671F" w:rsidRDefault="0096769A" w:rsidP="0096769A">
      <w:pPr>
        <w:rPr>
          <w:rFonts w:cstheme="minorHAnsi"/>
        </w:rPr>
      </w:pPr>
      <w:r w:rsidRPr="00574A68">
        <w:rPr>
          <w:rFonts w:cstheme="minorHAnsi"/>
          <w:vertAlign w:val="superscript"/>
        </w:rPr>
        <w:t>1</w:t>
      </w:r>
      <w:r w:rsidRPr="005373E9">
        <w:rPr>
          <w:rFonts w:cstheme="minorHAnsi"/>
        </w:rPr>
        <w:t xml:space="preserve"> including cost of testing and time lost to take test</w:t>
      </w:r>
    </w:p>
    <w:p w:rsidR="0096769A" w:rsidRPr="00673EC2" w:rsidRDefault="0096769A" w:rsidP="0096769A">
      <w:pPr>
        <w:rPr>
          <w:rFonts w:cstheme="minorHAnsi"/>
        </w:rPr>
      </w:pPr>
      <w:r w:rsidRPr="00687577">
        <w:rPr>
          <w:rFonts w:cstheme="minorHAnsi"/>
          <w:vertAlign w:val="superscript"/>
        </w:rPr>
        <w:t>2</w:t>
      </w:r>
      <w:r w:rsidRPr="008D5BD5">
        <w:rPr>
          <w:rFonts w:cstheme="minorHAnsi"/>
        </w:rPr>
        <w:t xml:space="preserve"> including cost to business of removal as outlined in Chapter 6 and notification of the regulator</w:t>
      </w:r>
    </w:p>
    <w:p w:rsidR="0096769A" w:rsidRPr="00D75F43" w:rsidRDefault="0096769A" w:rsidP="0096769A">
      <w:pPr>
        <w:rPr>
          <w:rFonts w:cstheme="minorHAnsi"/>
        </w:rPr>
      </w:pPr>
      <w:r w:rsidRPr="00E620A2">
        <w:rPr>
          <w:rFonts w:cstheme="minorHAnsi"/>
          <w:vertAlign w:val="superscript"/>
        </w:rPr>
        <w:t xml:space="preserve">3 </w:t>
      </w:r>
      <w:r w:rsidRPr="004E25FA">
        <w:rPr>
          <w:rFonts w:cstheme="minorHAnsi"/>
        </w:rPr>
        <w:t>implementation (capital) costs of $5.15 million averaged over 10 years</w:t>
      </w:r>
    </w:p>
    <w:p w:rsidR="0096769A" w:rsidRPr="00D75F43" w:rsidRDefault="0096769A" w:rsidP="0096769A">
      <w:pPr>
        <w:rPr>
          <w:rFonts w:cstheme="minorHAnsi"/>
        </w:rPr>
      </w:pPr>
      <w:r w:rsidRPr="00D75F43">
        <w:rPr>
          <w:rFonts w:cstheme="minorHAnsi"/>
          <w:vertAlign w:val="superscript"/>
        </w:rPr>
        <w:t xml:space="preserve">4 </w:t>
      </w:r>
      <w:r w:rsidRPr="00D75F43">
        <w:rPr>
          <w:rFonts w:cstheme="minorHAnsi"/>
        </w:rPr>
        <w:t>implementation (capital) costs of $605 million averaged over 10 years</w:t>
      </w:r>
    </w:p>
    <w:p w:rsidR="0096769A" w:rsidRDefault="0096769A" w:rsidP="0096769A"/>
    <w:p w:rsidR="00503B67" w:rsidRPr="00503B67" w:rsidRDefault="00503B67" w:rsidP="0096769A"/>
    <w:sectPr w:rsidR="00503B67" w:rsidRPr="00503B67" w:rsidSect="007039D8">
      <w:footerReference w:type="default" r:id="rId54"/>
      <w:pgSz w:w="11906" w:h="16838"/>
      <w:pgMar w:top="1440" w:right="107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A5" w:rsidRDefault="00834AA5" w:rsidP="00722AE0">
      <w:pPr>
        <w:spacing w:after="0"/>
      </w:pPr>
      <w:r>
        <w:separator/>
      </w:r>
    </w:p>
  </w:endnote>
  <w:endnote w:type="continuationSeparator" w:id="0">
    <w:p w:rsidR="00834AA5" w:rsidRDefault="00834AA5" w:rsidP="00722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263091"/>
      <w:docPartObj>
        <w:docPartGallery w:val="Page Numbers (Bottom of Page)"/>
        <w:docPartUnique/>
      </w:docPartObj>
    </w:sdtPr>
    <w:sdtEndPr>
      <w:rPr>
        <w:noProof/>
      </w:rPr>
    </w:sdtEndPr>
    <w:sdtContent>
      <w:p w:rsidR="00E705D4" w:rsidRDefault="00E705D4">
        <w:pPr>
          <w:pStyle w:val="Footer"/>
          <w:jc w:val="right"/>
        </w:pPr>
        <w:r>
          <w:fldChar w:fldCharType="begin"/>
        </w:r>
        <w:r>
          <w:instrText xml:space="preserve"> PAGE   \* MERGEFORMAT </w:instrText>
        </w:r>
        <w:r>
          <w:fldChar w:fldCharType="separate"/>
        </w:r>
        <w:r w:rsidR="00CB69C0">
          <w:rPr>
            <w:noProof/>
          </w:rPr>
          <w:t>2</w:t>
        </w:r>
        <w:r>
          <w:rPr>
            <w:noProof/>
          </w:rPr>
          <w:fldChar w:fldCharType="end"/>
        </w:r>
      </w:p>
    </w:sdtContent>
  </w:sdt>
  <w:p w:rsidR="00E705D4" w:rsidRDefault="00E70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D4" w:rsidRDefault="00E705D4" w:rsidP="00722AE0">
    <w:pPr>
      <w:pStyle w:val="Footer"/>
      <w:jc w:val="right"/>
      <w:rPr>
        <w:noProof/>
      </w:rPr>
    </w:pPr>
  </w:p>
  <w:sdt>
    <w:sdtPr>
      <w:id w:val="-506749146"/>
      <w:docPartObj>
        <w:docPartGallery w:val="Page Numbers (Bottom of Page)"/>
        <w:docPartUnique/>
      </w:docPartObj>
    </w:sdtPr>
    <w:sdtEndPr>
      <w:rPr>
        <w:noProof/>
      </w:rPr>
    </w:sdtEndPr>
    <w:sdtContent>
      <w:p w:rsidR="00E705D4" w:rsidRDefault="00E705D4" w:rsidP="0077091B">
        <w:pPr>
          <w:pStyle w:val="Footer"/>
          <w:jc w:val="right"/>
        </w:pPr>
        <w:r>
          <w:fldChar w:fldCharType="begin"/>
        </w:r>
        <w:r>
          <w:instrText xml:space="preserve"> PAGE   \* MERGEFORMAT </w:instrText>
        </w:r>
        <w:r>
          <w:fldChar w:fldCharType="separate"/>
        </w:r>
        <w:r w:rsidR="00CB69C0">
          <w:rPr>
            <w:noProof/>
          </w:rPr>
          <w:t>1</w:t>
        </w:r>
        <w:r>
          <w:rPr>
            <w:noProof/>
          </w:rPr>
          <w:fldChar w:fldCharType="end"/>
        </w:r>
      </w:p>
    </w:sdtContent>
  </w:sdt>
  <w:p w:rsidR="00E705D4" w:rsidRPr="003B73EF" w:rsidRDefault="00E705D4" w:rsidP="00722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4708"/>
      <w:docPartObj>
        <w:docPartGallery w:val="Page Numbers (Bottom of Page)"/>
        <w:docPartUnique/>
      </w:docPartObj>
    </w:sdtPr>
    <w:sdtEndPr>
      <w:rPr>
        <w:noProof/>
      </w:rPr>
    </w:sdtEndPr>
    <w:sdtContent>
      <w:p w:rsidR="00E705D4" w:rsidRDefault="00E705D4">
        <w:pPr>
          <w:pStyle w:val="Footer"/>
          <w:jc w:val="right"/>
        </w:pPr>
        <w:r>
          <w:fldChar w:fldCharType="begin"/>
        </w:r>
        <w:r>
          <w:instrText xml:space="preserve"> PAGE   \* MERGEFORMAT </w:instrText>
        </w:r>
        <w:r>
          <w:fldChar w:fldCharType="separate"/>
        </w:r>
        <w:r w:rsidR="00CB69C0">
          <w:rPr>
            <w:noProof/>
          </w:rPr>
          <w:t>24</w:t>
        </w:r>
        <w:r>
          <w:rPr>
            <w:noProof/>
          </w:rPr>
          <w:fldChar w:fldCharType="end"/>
        </w:r>
      </w:p>
    </w:sdtContent>
  </w:sdt>
  <w:p w:rsidR="00E705D4" w:rsidRDefault="00E705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D4" w:rsidRDefault="00E705D4" w:rsidP="00722AE0">
    <w:pPr>
      <w:pStyle w:val="Footer"/>
      <w:jc w:val="right"/>
      <w:rPr>
        <w:noProof/>
      </w:rPr>
    </w:pPr>
  </w:p>
  <w:sdt>
    <w:sdtPr>
      <w:id w:val="504863273"/>
      <w:docPartObj>
        <w:docPartGallery w:val="Page Numbers (Bottom of Page)"/>
        <w:docPartUnique/>
      </w:docPartObj>
    </w:sdtPr>
    <w:sdtEndPr>
      <w:rPr>
        <w:noProof/>
      </w:rPr>
    </w:sdtEndPr>
    <w:sdtContent>
      <w:p w:rsidR="00E705D4" w:rsidRDefault="00E705D4" w:rsidP="0077091B">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rsidR="00E705D4" w:rsidRPr="003B73EF" w:rsidRDefault="00E705D4" w:rsidP="00722A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557235"/>
      <w:docPartObj>
        <w:docPartGallery w:val="Page Numbers (Bottom of Page)"/>
        <w:docPartUnique/>
      </w:docPartObj>
    </w:sdtPr>
    <w:sdtEndPr>
      <w:rPr>
        <w:noProof/>
      </w:rPr>
    </w:sdtEndPr>
    <w:sdtContent>
      <w:p w:rsidR="00E705D4" w:rsidRDefault="00E705D4">
        <w:pPr>
          <w:pStyle w:val="Footer"/>
          <w:jc w:val="right"/>
        </w:pPr>
        <w:r>
          <w:fldChar w:fldCharType="begin"/>
        </w:r>
        <w:r>
          <w:instrText xml:space="preserve"> PAGE   \* MERGEFORMAT </w:instrText>
        </w:r>
        <w:r>
          <w:fldChar w:fldCharType="separate"/>
        </w:r>
        <w:r w:rsidR="00F77AD9">
          <w:rPr>
            <w:noProof/>
          </w:rPr>
          <w:t>66</w:t>
        </w:r>
        <w:r>
          <w:rPr>
            <w:noProof/>
          </w:rPr>
          <w:fldChar w:fldCharType="end"/>
        </w:r>
      </w:p>
    </w:sdtContent>
  </w:sdt>
  <w:p w:rsidR="00E705D4" w:rsidRDefault="00E70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A5" w:rsidRDefault="00834AA5" w:rsidP="00722AE0">
      <w:pPr>
        <w:spacing w:after="0"/>
      </w:pPr>
      <w:r>
        <w:separator/>
      </w:r>
    </w:p>
  </w:footnote>
  <w:footnote w:type="continuationSeparator" w:id="0">
    <w:p w:rsidR="00834AA5" w:rsidRDefault="00834AA5" w:rsidP="00722AE0">
      <w:pPr>
        <w:spacing w:after="0"/>
      </w:pPr>
      <w:r>
        <w:continuationSeparator/>
      </w:r>
    </w:p>
  </w:footnote>
  <w:footnote w:id="1">
    <w:p w:rsidR="00E705D4" w:rsidRDefault="00E705D4" w:rsidP="0002395E">
      <w:pPr>
        <w:pStyle w:val="FootnoteText"/>
      </w:pPr>
      <w:r>
        <w:rPr>
          <w:rStyle w:val="FootnoteReference"/>
        </w:rPr>
        <w:footnoteRef/>
      </w:r>
      <w:r>
        <w:t xml:space="preserve"> This will include females who are pregnant and/or breastfeeding. </w:t>
      </w:r>
    </w:p>
  </w:footnote>
  <w:footnote w:id="2">
    <w:p w:rsidR="00E705D4" w:rsidRPr="00771AF7" w:rsidRDefault="00E705D4" w:rsidP="005773F5">
      <w:pPr>
        <w:spacing w:after="0"/>
        <w:rPr>
          <w:sz w:val="20"/>
          <w:szCs w:val="20"/>
        </w:rPr>
      </w:pPr>
      <w:r w:rsidRPr="00771AF7">
        <w:rPr>
          <w:rStyle w:val="FootnoteReference"/>
          <w:sz w:val="20"/>
          <w:szCs w:val="20"/>
        </w:rPr>
        <w:footnoteRef/>
      </w:r>
      <w:r w:rsidRPr="00771AF7">
        <w:rPr>
          <w:sz w:val="20"/>
          <w:szCs w:val="20"/>
        </w:rPr>
        <w:t xml:space="preserve"> COAG (2007) </w:t>
      </w:r>
      <w:hyperlink r:id="rId1" w:history="1">
        <w:r w:rsidRPr="00771AF7">
          <w:rPr>
            <w:rStyle w:val="Hyperlink"/>
            <w:i/>
            <w:sz w:val="20"/>
            <w:szCs w:val="20"/>
          </w:rPr>
          <w:t>Best Practice Regulation: A guide for ministerial councils and national standard setting bodies</w:t>
        </w:r>
      </w:hyperlink>
    </w:p>
  </w:footnote>
  <w:footnote w:id="3">
    <w:p w:rsidR="00E705D4" w:rsidRDefault="00E705D4" w:rsidP="006E2907">
      <w:pPr>
        <w:pStyle w:val="FootnoteText"/>
      </w:pPr>
      <w:r>
        <w:rPr>
          <w:rStyle w:val="FootnoteReference"/>
        </w:rPr>
        <w:footnoteRef/>
      </w:r>
      <w:r>
        <w:t xml:space="preserve"> </w:t>
      </w:r>
      <w:r w:rsidRPr="00B336FD">
        <w:rPr>
          <w:rFonts w:ascii="Arial" w:hAnsi="Arial" w:cs="Arial"/>
          <w:color w:val="000000"/>
          <w:sz w:val="16"/>
          <w:szCs w:val="16"/>
        </w:rPr>
        <w:t xml:space="preserve">On 15 March 2000, the Australian Government announced a phase-out of leaded petrol in Australia under </w:t>
      </w:r>
      <w:r w:rsidRPr="006B5757">
        <w:rPr>
          <w:rFonts w:ascii="Arial" w:hAnsi="Arial" w:cs="Arial"/>
          <w:b/>
          <w:color w:val="000000"/>
          <w:sz w:val="16"/>
          <w:szCs w:val="16"/>
        </w:rPr>
        <w:t xml:space="preserve">the </w:t>
      </w:r>
      <w:r w:rsidRPr="006B5757">
        <w:rPr>
          <w:rStyle w:val="Emphasis"/>
          <w:rFonts w:ascii="Arial" w:hAnsi="Arial" w:cs="Arial"/>
          <w:b w:val="0"/>
          <w:color w:val="000000"/>
          <w:sz w:val="16"/>
          <w:szCs w:val="16"/>
          <w:bdr w:val="none" w:sz="0" w:space="0" w:color="auto" w:frame="1"/>
        </w:rPr>
        <w:t>National Fuel Quality Standards Act 2000</w:t>
      </w:r>
      <w:r w:rsidRPr="00B336FD">
        <w:rPr>
          <w:rFonts w:ascii="Arial" w:hAnsi="Arial" w:cs="Arial"/>
          <w:color w:val="000000"/>
          <w:sz w:val="16"/>
          <w:szCs w:val="16"/>
        </w:rPr>
        <w:t xml:space="preserve">. On 1 January 2002, that phase-out was </w:t>
      </w:r>
      <w:r w:rsidRPr="00321D71">
        <w:rPr>
          <w:rFonts w:ascii="Arial" w:hAnsi="Arial" w:cs="Arial"/>
          <w:sz w:val="16"/>
          <w:szCs w:val="16"/>
        </w:rPr>
        <w:t>completed. Lead was completely banned as an additive to paint in Australia in 2010, although it’s usually still present in trace amounts (and still limited to 0.1% and 0.2% for zinc-based paints).</w:t>
      </w:r>
    </w:p>
  </w:footnote>
  <w:footnote w:id="4">
    <w:p w:rsidR="00E705D4" w:rsidRPr="00CB3F5A" w:rsidRDefault="00E705D4" w:rsidP="00D23201">
      <w:pPr>
        <w:pStyle w:val="FootnoteText"/>
        <w:rPr>
          <w:sz w:val="18"/>
        </w:rPr>
      </w:pPr>
      <w:r>
        <w:rPr>
          <w:rStyle w:val="FootnoteReference"/>
        </w:rPr>
        <w:footnoteRef/>
      </w:r>
      <w:r>
        <w:t xml:space="preserve"> </w:t>
      </w:r>
      <w:r w:rsidRPr="00CB3F5A">
        <w:rPr>
          <w:sz w:val="18"/>
        </w:rPr>
        <w:t>Lead risk work - means work carried out in a lead process that is likely to cause the blood lead level of a worker carrying out the work to exceed:</w:t>
      </w:r>
    </w:p>
    <w:p w:rsidR="00E705D4" w:rsidRPr="00CB3F5A" w:rsidRDefault="00E705D4" w:rsidP="00D23201">
      <w:pPr>
        <w:pStyle w:val="FootnoteText"/>
        <w:rPr>
          <w:sz w:val="18"/>
        </w:rPr>
      </w:pPr>
      <w:r>
        <w:rPr>
          <w:sz w:val="18"/>
        </w:rPr>
        <w:t xml:space="preserve">a) </w:t>
      </w:r>
      <w:r w:rsidRPr="00CB3F5A">
        <w:rPr>
          <w:sz w:val="18"/>
        </w:rPr>
        <w:t>for a female of reproductive capacity — 10</w:t>
      </w:r>
      <w:r>
        <w:rPr>
          <w:sz w:val="18"/>
        </w:rPr>
        <w:t xml:space="preserve"> </w:t>
      </w:r>
      <w:r w:rsidRPr="00CB3F5A">
        <w:rPr>
          <w:sz w:val="18"/>
        </w:rPr>
        <w:t>μg/dL (0.48</w:t>
      </w:r>
      <w:r>
        <w:rPr>
          <w:sz w:val="18"/>
        </w:rPr>
        <w:t xml:space="preserve"> </w:t>
      </w:r>
      <w:r w:rsidRPr="00CB3F5A">
        <w:rPr>
          <w:sz w:val="18"/>
        </w:rPr>
        <w:t>μmoI/L); or</w:t>
      </w:r>
    </w:p>
    <w:p w:rsidR="00E705D4" w:rsidRPr="00B74E28" w:rsidRDefault="00E705D4" w:rsidP="00D23201">
      <w:pPr>
        <w:pStyle w:val="FootnoteText"/>
        <w:rPr>
          <w:sz w:val="16"/>
        </w:rPr>
      </w:pPr>
      <w:r>
        <w:rPr>
          <w:sz w:val="18"/>
        </w:rPr>
        <w:t xml:space="preserve">b) </w:t>
      </w:r>
      <w:r w:rsidRPr="00CB3F5A">
        <w:rPr>
          <w:sz w:val="18"/>
        </w:rPr>
        <w:t>in any other case — 30</w:t>
      </w:r>
      <w:r>
        <w:rPr>
          <w:sz w:val="18"/>
        </w:rPr>
        <w:t xml:space="preserve"> </w:t>
      </w:r>
      <w:r w:rsidRPr="00CB3F5A">
        <w:rPr>
          <w:sz w:val="18"/>
        </w:rPr>
        <w:t>μg/dL (1.45</w:t>
      </w:r>
      <w:r>
        <w:rPr>
          <w:sz w:val="18"/>
        </w:rPr>
        <w:t xml:space="preserve"> </w:t>
      </w:r>
      <w:r w:rsidRPr="00CB3F5A">
        <w:rPr>
          <w:sz w:val="18"/>
        </w:rPr>
        <w:t>μmoI/L).</w:t>
      </w:r>
    </w:p>
  </w:footnote>
  <w:footnote w:id="5">
    <w:p w:rsidR="00E705D4" w:rsidRDefault="00E705D4">
      <w:pPr>
        <w:pStyle w:val="FootnoteText"/>
      </w:pPr>
      <w:r>
        <w:rPr>
          <w:rStyle w:val="FootnoteReference"/>
        </w:rPr>
        <w:footnoteRef/>
      </w:r>
      <w:r>
        <w:t xml:space="preserve"> </w:t>
      </w:r>
      <w:r w:rsidRPr="00B74E28">
        <w:rPr>
          <w:sz w:val="18"/>
        </w:rPr>
        <w:t>These fumes contain the highly soluble lead suboxide</w:t>
      </w:r>
      <w:r w:rsidRPr="00B74E28">
        <w:t>.</w:t>
      </w:r>
    </w:p>
  </w:footnote>
  <w:footnote w:id="6">
    <w:p w:rsidR="00E705D4" w:rsidRDefault="00E705D4">
      <w:pPr>
        <w:pStyle w:val="FootnoteText"/>
      </w:pPr>
      <w:r>
        <w:rPr>
          <w:rStyle w:val="FootnoteReference"/>
        </w:rPr>
        <w:footnoteRef/>
      </w:r>
      <w:r>
        <w:t xml:space="preserve"> </w:t>
      </w:r>
      <w:r>
        <w:rPr>
          <w:sz w:val="18"/>
        </w:rPr>
        <w:t>Except for those in the</w:t>
      </w:r>
      <w:r w:rsidRPr="00744A82">
        <w:rPr>
          <w:sz w:val="18"/>
        </w:rPr>
        <w:t xml:space="preserve"> Australian Capital Territory</w:t>
      </w:r>
      <w:r>
        <w:rPr>
          <w:sz w:val="18"/>
        </w:rPr>
        <w:t>.</w:t>
      </w:r>
    </w:p>
  </w:footnote>
  <w:footnote w:id="7">
    <w:p w:rsidR="00E705D4" w:rsidRDefault="00E705D4">
      <w:pPr>
        <w:pStyle w:val="FootnoteText"/>
      </w:pPr>
      <w:r>
        <w:rPr>
          <w:rStyle w:val="FootnoteReference"/>
        </w:rPr>
        <w:footnoteRef/>
      </w:r>
      <w:r>
        <w:t xml:space="preserve"> </w:t>
      </w:r>
      <w:r w:rsidRPr="00E87D8E">
        <w:rPr>
          <w:sz w:val="16"/>
        </w:rPr>
        <w:t xml:space="preserve">All jurisdictions other than Victoria, Western Australia and the ACT apply </w:t>
      </w:r>
      <w:r>
        <w:rPr>
          <w:sz w:val="16"/>
        </w:rPr>
        <w:t xml:space="preserve">Part 7.2 of </w:t>
      </w:r>
      <w:r w:rsidRPr="00E87D8E">
        <w:rPr>
          <w:sz w:val="16"/>
        </w:rPr>
        <w:t xml:space="preserve">the model WHS Regulations </w:t>
      </w:r>
      <w:r>
        <w:rPr>
          <w:sz w:val="16"/>
        </w:rPr>
        <w:t>for</w:t>
      </w:r>
      <w:r w:rsidRPr="00E87D8E">
        <w:rPr>
          <w:sz w:val="16"/>
        </w:rPr>
        <w:t xml:space="preserve"> lead.</w:t>
      </w:r>
      <w:r>
        <w:rPr>
          <w:sz w:val="16"/>
        </w:rPr>
        <w:br/>
      </w:r>
      <w:r w:rsidRPr="00E87D8E">
        <w:rPr>
          <w:sz w:val="16"/>
        </w:rPr>
        <w:t>While the ACT adopted the model WHS laws, it did not adopt Part 7.1 (hazardous chemicals) or Part 7.2 (lead) of the regulations. Hazardous chemicals are regulated under the Dangerous Substances</w:t>
      </w:r>
      <w:r>
        <w:rPr>
          <w:sz w:val="16"/>
        </w:rPr>
        <w:t xml:space="preserve"> Act.</w:t>
      </w:r>
    </w:p>
  </w:footnote>
  <w:footnote w:id="8">
    <w:p w:rsidR="00E705D4" w:rsidRDefault="00E705D4">
      <w:pPr>
        <w:pStyle w:val="FootnoteText"/>
      </w:pPr>
      <w:r>
        <w:rPr>
          <w:rStyle w:val="FootnoteReference"/>
        </w:rPr>
        <w:footnoteRef/>
      </w:r>
      <w:r>
        <w:t xml:space="preserve"> </w:t>
      </w:r>
      <w:r w:rsidRPr="003D331D">
        <w:t>Exposure standards represent airborne concentrations of individual chemical substances in the worker’s breathing zone, which, according to current knowledge, should not cause adverse health effects nor cause undue discomfort to nearly all workers.</w:t>
      </w:r>
    </w:p>
  </w:footnote>
  <w:footnote w:id="9">
    <w:p w:rsidR="00E705D4" w:rsidRDefault="00E705D4" w:rsidP="00EF1C6D">
      <w:pPr>
        <w:pStyle w:val="FootnoteText"/>
      </w:pPr>
      <w:r>
        <w:rPr>
          <w:rStyle w:val="FootnoteReference"/>
        </w:rPr>
        <w:footnoteRef/>
      </w:r>
      <w:r>
        <w:t xml:space="preserve"> The model WHS Regulations require persons conducting a business or undertaking (PCBU) to:</w:t>
      </w:r>
    </w:p>
    <w:p w:rsidR="00E705D4" w:rsidRDefault="00E705D4" w:rsidP="00263482">
      <w:pPr>
        <w:pStyle w:val="FootnoteText"/>
        <w:numPr>
          <w:ilvl w:val="0"/>
          <w:numId w:val="36"/>
        </w:numPr>
        <w:ind w:left="709" w:hanging="349"/>
      </w:pPr>
      <w:r>
        <w:t>ensure that no person is exposed to airborne contaminants above the workplace exposure standard for the chemical (r49), and</w:t>
      </w:r>
    </w:p>
    <w:p w:rsidR="00E705D4" w:rsidRDefault="00E705D4" w:rsidP="00263482">
      <w:pPr>
        <w:pStyle w:val="FootnoteText"/>
        <w:numPr>
          <w:ilvl w:val="0"/>
          <w:numId w:val="36"/>
        </w:numPr>
        <w:ind w:left="709" w:hanging="349"/>
      </w:pPr>
      <w:r>
        <w:t>conduct air monitoring if it is not known whether exposure will exceed the exposure standard or if monitoring is necessary to determine if there is a risk to health (r50).</w:t>
      </w:r>
    </w:p>
  </w:footnote>
  <w:footnote w:id="10">
    <w:p w:rsidR="00E705D4" w:rsidRDefault="00E705D4">
      <w:pPr>
        <w:pStyle w:val="FootnoteText"/>
      </w:pPr>
      <w:r>
        <w:rPr>
          <w:rStyle w:val="FootnoteReference"/>
        </w:rPr>
        <w:footnoteRef/>
      </w:r>
      <w:r>
        <w:t xml:space="preserve"> Air slope factor monitoring is modelled assuming inhalation is the primary source of exposure</w:t>
      </w:r>
      <w:r>
        <w:rPr>
          <w:rFonts w:cstheme="minorHAnsi"/>
        </w:rPr>
        <w:t>—</w:t>
      </w:r>
      <w:r>
        <w:t xml:space="preserve">it does not take exposure </w:t>
      </w:r>
      <w:r w:rsidRPr="005B33AA">
        <w:rPr>
          <w:i/>
        </w:rPr>
        <w:t>via</w:t>
      </w:r>
      <w:r>
        <w:t xml:space="preserve"> ingestion into account.</w:t>
      </w:r>
    </w:p>
  </w:footnote>
  <w:footnote w:id="11">
    <w:p w:rsidR="00E705D4" w:rsidRDefault="00E705D4" w:rsidP="00E62C24">
      <w:pPr>
        <w:pStyle w:val="FootnoteText"/>
      </w:pPr>
      <w:r>
        <w:rPr>
          <w:rStyle w:val="FootnoteReference"/>
        </w:rPr>
        <w:footnoteRef/>
      </w:r>
      <w:r>
        <w:t xml:space="preserve"> This will include females who are pregnant and/or breastfeeding. </w:t>
      </w:r>
    </w:p>
  </w:footnote>
  <w:footnote w:id="12">
    <w:p w:rsidR="00E705D4" w:rsidRDefault="00E705D4">
      <w:pPr>
        <w:pStyle w:val="FootnoteText"/>
      </w:pPr>
      <w:r>
        <w:rPr>
          <w:rStyle w:val="FootnoteReference"/>
        </w:rPr>
        <w:footnoteRef/>
      </w:r>
      <w:r>
        <w:t xml:space="preserve"> Including those who are pregnant and/or breastfeeding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D4" w:rsidRPr="00372A5B" w:rsidRDefault="00E705D4" w:rsidP="00876D81">
    <w:pPr>
      <w:pStyle w:val="Header"/>
      <w:rPr>
        <w:b/>
        <w:color w:val="FF0000"/>
        <w:sz w:val="24"/>
      </w:rPr>
    </w:pPr>
    <w:r>
      <w:rPr>
        <w:noProof/>
        <w:lang w:eastAsia="en-AU"/>
      </w:rPr>
      <w:drawing>
        <wp:inline distT="0" distB="0" distL="0" distR="0" wp14:anchorId="08FF08F5" wp14:editId="3B075B79">
          <wp:extent cx="2761615" cy="554990"/>
          <wp:effectExtent l="0" t="0" r="635" b="0"/>
          <wp:docPr id="6" name="Picture 6" descr="Safe Work Australia" title="Safe Wor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5499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D4" w:rsidRPr="00372A5B" w:rsidRDefault="00E705D4" w:rsidP="00372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5D4" w:rsidRPr="00372A5B" w:rsidRDefault="00E705D4" w:rsidP="00372A5B">
    <w:pPr>
      <w:pStyle w:val="Header"/>
      <w:jc w:val="center"/>
      <w:rPr>
        <w:b/>
        <w:color w:val="FF0000"/>
        <w:sz w:val="24"/>
      </w:rPr>
    </w:pPr>
    <w:r w:rsidRPr="00372A5B">
      <w:rPr>
        <w:b/>
        <w:color w:val="FF0000"/>
        <w:sz w:val="24"/>
      </w:rPr>
      <w:t>CONFIDENTIAL – NOT FOR FURTHER DISTRIBUTION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010C804E"/>
    <w:lvl w:ilvl="0">
      <w:start w:val="1"/>
      <w:numFmt w:val="decimal"/>
      <w:pStyle w:val="ListNumber"/>
      <w:lvlText w:val="%1."/>
      <w:lvlJc w:val="left"/>
      <w:pPr>
        <w:ind w:left="36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1">
    <w:nsid w:val="012816C3"/>
    <w:multiLevelType w:val="hybridMultilevel"/>
    <w:tmpl w:val="664A7F34"/>
    <w:lvl w:ilvl="0" w:tplc="6B5AB52C">
      <w:start w:val="1"/>
      <w:numFmt w:val="bullet"/>
      <w:pStyle w:val="FSBullet"/>
      <w:lvlText w:val=""/>
      <w:lvlJc w:val="left"/>
      <w:pPr>
        <w:ind w:left="720" w:hanging="360"/>
      </w:pPr>
      <w:rPr>
        <w:rFonts w:ascii="Symbol" w:hAnsi="Symbol" w:hint="default"/>
        <w:sz w:val="22"/>
      </w:rPr>
    </w:lvl>
    <w:lvl w:ilvl="1" w:tplc="B65EDDC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A76D2"/>
    <w:multiLevelType w:val="hybridMultilevel"/>
    <w:tmpl w:val="3870A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0E27DC"/>
    <w:multiLevelType w:val="hybridMultilevel"/>
    <w:tmpl w:val="687CC6E2"/>
    <w:lvl w:ilvl="0" w:tplc="B6DA66B6">
      <w:start w:val="1"/>
      <w:numFmt w:val="decimal"/>
      <w:lvlText w:val="(%1)"/>
      <w:lvlJc w:val="left"/>
      <w:pPr>
        <w:ind w:left="720" w:hanging="360"/>
      </w:pPr>
      <w:rPr>
        <w:rFonts w:hint="default"/>
      </w:rPr>
    </w:lvl>
    <w:lvl w:ilvl="1" w:tplc="DE946E18">
      <w:start w:val="1"/>
      <w:numFmt w:val="lowerRoman"/>
      <w:lvlText w:val="(%2)"/>
      <w:lvlJc w:val="left"/>
      <w:pPr>
        <w:ind w:left="1440" w:hanging="360"/>
      </w:pPr>
      <w:rPr>
        <w:rFonts w:asciiTheme="minorHAnsi" w:eastAsia="Times New Roman" w:hAnsiTheme="minorHAnsi" w:cstheme="minorHAnsi"/>
      </w:rPr>
    </w:lvl>
    <w:lvl w:ilvl="2" w:tplc="E3B080AA">
      <w:start w:val="2"/>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493DCD"/>
    <w:multiLevelType w:val="hybridMultilevel"/>
    <w:tmpl w:val="4FF6F8B0"/>
    <w:lvl w:ilvl="0" w:tplc="A250698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8407E4"/>
    <w:multiLevelType w:val="hybridMultilevel"/>
    <w:tmpl w:val="C8B2C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5F6CDF"/>
    <w:multiLevelType w:val="hybridMultilevel"/>
    <w:tmpl w:val="D1845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3723C0"/>
    <w:multiLevelType w:val="hybridMultilevel"/>
    <w:tmpl w:val="6EC4E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5A6558"/>
    <w:multiLevelType w:val="hybridMultilevel"/>
    <w:tmpl w:val="D10AFDAE"/>
    <w:lvl w:ilvl="0" w:tplc="964EBEBA">
      <w:start w:val="1"/>
      <w:numFmt w:val="lowerLetter"/>
      <w:lvlText w:val="(%1)"/>
      <w:lvlJc w:val="left"/>
      <w:pPr>
        <w:ind w:left="720" w:hanging="360"/>
      </w:pPr>
      <w:rPr>
        <w:rFonts w:asciiTheme="minorHAnsi" w:eastAsia="Times New Roman" w:hAnsiTheme="minorHAnsi" w:cstheme="minorHAnsi"/>
      </w:rPr>
    </w:lvl>
    <w:lvl w:ilvl="1" w:tplc="DE946E18">
      <w:start w:val="1"/>
      <w:numFmt w:val="lowerRoman"/>
      <w:lvlText w:val="(%2)"/>
      <w:lvlJc w:val="left"/>
      <w:pPr>
        <w:ind w:left="1440" w:hanging="360"/>
      </w:pPr>
      <w:rPr>
        <w:rFonts w:asciiTheme="minorHAnsi" w:eastAsia="Times New Roman" w:hAnsiTheme="minorHAnsi" w:cstheme="minorHAnsi"/>
      </w:rPr>
    </w:lvl>
    <w:lvl w:ilvl="2" w:tplc="E3B080AA">
      <w:start w:val="2"/>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D37F3B"/>
    <w:multiLevelType w:val="hybridMultilevel"/>
    <w:tmpl w:val="80B2C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F516DB"/>
    <w:multiLevelType w:val="hybridMultilevel"/>
    <w:tmpl w:val="270EC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DE376D"/>
    <w:multiLevelType w:val="hybridMultilevel"/>
    <w:tmpl w:val="1954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29243B"/>
    <w:multiLevelType w:val="hybridMultilevel"/>
    <w:tmpl w:val="49165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C08252E"/>
    <w:multiLevelType w:val="hybridMultilevel"/>
    <w:tmpl w:val="65304DBA"/>
    <w:lvl w:ilvl="0" w:tplc="1428AA02">
      <w:start w:val="1"/>
      <w:numFmt w:val="bullet"/>
      <w:pStyle w:val="Paragraph1bulletinde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374FF9"/>
    <w:multiLevelType w:val="hybridMultilevel"/>
    <w:tmpl w:val="83B4197A"/>
    <w:lvl w:ilvl="0" w:tplc="B08222B0">
      <w:start w:val="1"/>
      <w:numFmt w:val="lowerRoman"/>
      <w:lvlText w:val="(%1)"/>
      <w:lvlJc w:val="left"/>
      <w:pPr>
        <w:ind w:left="1800" w:hanging="720"/>
      </w:pPr>
      <w:rPr>
        <w:rFonts w:asciiTheme="minorHAnsi" w:eastAsiaTheme="minorEastAsia"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5265DD1"/>
    <w:multiLevelType w:val="hybridMultilevel"/>
    <w:tmpl w:val="CDA0F8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9A4EDA"/>
    <w:multiLevelType w:val="hybridMultilevel"/>
    <w:tmpl w:val="70D29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62A5EC3"/>
    <w:multiLevelType w:val="hybridMultilevel"/>
    <w:tmpl w:val="77044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7A74D7"/>
    <w:multiLevelType w:val="hybridMultilevel"/>
    <w:tmpl w:val="625A6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1B4210"/>
    <w:multiLevelType w:val="hybridMultilevel"/>
    <w:tmpl w:val="34AC0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6E3647"/>
    <w:multiLevelType w:val="hybridMultilevel"/>
    <w:tmpl w:val="F266C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D6D5B66"/>
    <w:multiLevelType w:val="hybridMultilevel"/>
    <w:tmpl w:val="632C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957965"/>
    <w:multiLevelType w:val="hybridMultilevel"/>
    <w:tmpl w:val="D10AFDAE"/>
    <w:lvl w:ilvl="0" w:tplc="964EBEBA">
      <w:start w:val="1"/>
      <w:numFmt w:val="lowerLetter"/>
      <w:lvlText w:val="(%1)"/>
      <w:lvlJc w:val="left"/>
      <w:pPr>
        <w:ind w:left="720" w:hanging="360"/>
      </w:pPr>
      <w:rPr>
        <w:rFonts w:asciiTheme="minorHAnsi" w:eastAsia="Times New Roman" w:hAnsiTheme="minorHAnsi" w:cstheme="minorHAnsi"/>
      </w:rPr>
    </w:lvl>
    <w:lvl w:ilvl="1" w:tplc="DE946E18">
      <w:start w:val="1"/>
      <w:numFmt w:val="lowerRoman"/>
      <w:lvlText w:val="(%2)"/>
      <w:lvlJc w:val="left"/>
      <w:pPr>
        <w:ind w:left="1440" w:hanging="360"/>
      </w:pPr>
      <w:rPr>
        <w:rFonts w:asciiTheme="minorHAnsi" w:eastAsia="Times New Roman" w:hAnsiTheme="minorHAnsi" w:cstheme="minorHAnsi"/>
      </w:rPr>
    </w:lvl>
    <w:lvl w:ilvl="2" w:tplc="E3B080AA">
      <w:start w:val="2"/>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A67C3F"/>
    <w:multiLevelType w:val="hybridMultilevel"/>
    <w:tmpl w:val="C51C7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FA2075F"/>
    <w:multiLevelType w:val="hybridMultilevel"/>
    <w:tmpl w:val="E3AE4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F95E7A"/>
    <w:multiLevelType w:val="hybridMultilevel"/>
    <w:tmpl w:val="638ED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624A6A"/>
    <w:multiLevelType w:val="hybridMultilevel"/>
    <w:tmpl w:val="25DE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B61DB4"/>
    <w:multiLevelType w:val="hybridMultilevel"/>
    <w:tmpl w:val="93BE6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7A5A65"/>
    <w:multiLevelType w:val="hybridMultilevel"/>
    <w:tmpl w:val="4FF85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0A7074A"/>
    <w:multiLevelType w:val="hybridMultilevel"/>
    <w:tmpl w:val="D10AFDAE"/>
    <w:lvl w:ilvl="0" w:tplc="964EBEBA">
      <w:start w:val="1"/>
      <w:numFmt w:val="lowerLetter"/>
      <w:lvlText w:val="(%1)"/>
      <w:lvlJc w:val="left"/>
      <w:pPr>
        <w:ind w:left="720" w:hanging="360"/>
      </w:pPr>
      <w:rPr>
        <w:rFonts w:asciiTheme="minorHAnsi" w:eastAsia="Times New Roman" w:hAnsiTheme="minorHAnsi" w:cstheme="minorHAnsi"/>
      </w:rPr>
    </w:lvl>
    <w:lvl w:ilvl="1" w:tplc="DE946E18">
      <w:start w:val="1"/>
      <w:numFmt w:val="lowerRoman"/>
      <w:lvlText w:val="(%2)"/>
      <w:lvlJc w:val="left"/>
      <w:pPr>
        <w:ind w:left="1440" w:hanging="360"/>
      </w:pPr>
      <w:rPr>
        <w:rFonts w:asciiTheme="minorHAnsi" w:eastAsia="Times New Roman" w:hAnsiTheme="minorHAnsi" w:cstheme="minorHAnsi"/>
      </w:rPr>
    </w:lvl>
    <w:lvl w:ilvl="2" w:tplc="E3B080AA">
      <w:start w:val="2"/>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4506CFB"/>
    <w:multiLevelType w:val="hybridMultilevel"/>
    <w:tmpl w:val="13B66D32"/>
    <w:lvl w:ilvl="0" w:tplc="B2F012B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45A630C"/>
    <w:multiLevelType w:val="multilevel"/>
    <w:tmpl w:val="268C2042"/>
    <w:lvl w:ilvl="0">
      <w:start w:val="1"/>
      <w:numFmt w:val="decimal"/>
      <w:pStyle w:val="Heading1-number"/>
      <w:lvlText w:val="%1."/>
      <w:lvlJc w:val="left"/>
      <w:pPr>
        <w:ind w:left="502"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4B51E5A"/>
    <w:multiLevelType w:val="hybridMultilevel"/>
    <w:tmpl w:val="54B07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53A152B"/>
    <w:multiLevelType w:val="hybridMultilevel"/>
    <w:tmpl w:val="791CB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53F3C8F"/>
    <w:multiLevelType w:val="hybridMultilevel"/>
    <w:tmpl w:val="F6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8757CA1"/>
    <w:multiLevelType w:val="hybridMultilevel"/>
    <w:tmpl w:val="F45C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9690575"/>
    <w:multiLevelType w:val="hybridMultilevel"/>
    <w:tmpl w:val="163A0494"/>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8">
    <w:nsid w:val="4AEE43AB"/>
    <w:multiLevelType w:val="hybridMultilevel"/>
    <w:tmpl w:val="6DF0F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C68043D"/>
    <w:multiLevelType w:val="multilevel"/>
    <w:tmpl w:val="F9AA82BA"/>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40">
    <w:nsid w:val="5006320C"/>
    <w:multiLevelType w:val="hybridMultilevel"/>
    <w:tmpl w:val="4DF04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0AA5CB9"/>
    <w:multiLevelType w:val="hybridMultilevel"/>
    <w:tmpl w:val="389A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2E0180C"/>
    <w:multiLevelType w:val="hybridMultilevel"/>
    <w:tmpl w:val="92A8A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3285ABC"/>
    <w:multiLevelType w:val="hybridMultilevel"/>
    <w:tmpl w:val="687CC6E2"/>
    <w:lvl w:ilvl="0" w:tplc="B6DA66B6">
      <w:start w:val="1"/>
      <w:numFmt w:val="decimal"/>
      <w:lvlText w:val="(%1)"/>
      <w:lvlJc w:val="left"/>
      <w:pPr>
        <w:ind w:left="720" w:hanging="360"/>
      </w:pPr>
      <w:rPr>
        <w:rFonts w:hint="default"/>
      </w:rPr>
    </w:lvl>
    <w:lvl w:ilvl="1" w:tplc="DE946E18">
      <w:start w:val="1"/>
      <w:numFmt w:val="lowerRoman"/>
      <w:lvlText w:val="(%2)"/>
      <w:lvlJc w:val="left"/>
      <w:pPr>
        <w:ind w:left="1440" w:hanging="360"/>
      </w:pPr>
      <w:rPr>
        <w:rFonts w:asciiTheme="minorHAnsi" w:eastAsia="Times New Roman" w:hAnsiTheme="minorHAnsi" w:cstheme="minorHAnsi"/>
      </w:rPr>
    </w:lvl>
    <w:lvl w:ilvl="2" w:tplc="E3B080AA">
      <w:start w:val="2"/>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3EA78AA"/>
    <w:multiLevelType w:val="hybridMultilevel"/>
    <w:tmpl w:val="E762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43A79C9"/>
    <w:multiLevelType w:val="hybridMultilevel"/>
    <w:tmpl w:val="D10AFDAE"/>
    <w:lvl w:ilvl="0" w:tplc="964EBEBA">
      <w:start w:val="1"/>
      <w:numFmt w:val="lowerLetter"/>
      <w:lvlText w:val="(%1)"/>
      <w:lvlJc w:val="left"/>
      <w:pPr>
        <w:ind w:left="720" w:hanging="360"/>
      </w:pPr>
      <w:rPr>
        <w:rFonts w:asciiTheme="minorHAnsi" w:eastAsia="Times New Roman" w:hAnsiTheme="minorHAnsi" w:cstheme="minorHAnsi"/>
      </w:rPr>
    </w:lvl>
    <w:lvl w:ilvl="1" w:tplc="DE946E18">
      <w:start w:val="1"/>
      <w:numFmt w:val="lowerRoman"/>
      <w:lvlText w:val="(%2)"/>
      <w:lvlJc w:val="left"/>
      <w:pPr>
        <w:ind w:left="1440" w:hanging="360"/>
      </w:pPr>
      <w:rPr>
        <w:rFonts w:asciiTheme="minorHAnsi" w:eastAsia="Times New Roman" w:hAnsiTheme="minorHAnsi" w:cstheme="minorHAnsi"/>
      </w:rPr>
    </w:lvl>
    <w:lvl w:ilvl="2" w:tplc="E3B080AA">
      <w:start w:val="2"/>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61231F2"/>
    <w:multiLevelType w:val="hybridMultilevel"/>
    <w:tmpl w:val="C194D2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8266962"/>
    <w:multiLevelType w:val="hybridMultilevel"/>
    <w:tmpl w:val="52DC2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9">
    <w:nsid w:val="5EDA0F2E"/>
    <w:multiLevelType w:val="hybridMultilevel"/>
    <w:tmpl w:val="D10AFDAE"/>
    <w:lvl w:ilvl="0" w:tplc="964EBEBA">
      <w:start w:val="1"/>
      <w:numFmt w:val="lowerLetter"/>
      <w:lvlText w:val="(%1)"/>
      <w:lvlJc w:val="left"/>
      <w:pPr>
        <w:ind w:left="720" w:hanging="360"/>
      </w:pPr>
      <w:rPr>
        <w:rFonts w:asciiTheme="minorHAnsi" w:eastAsia="Times New Roman" w:hAnsiTheme="minorHAnsi" w:cstheme="minorHAnsi"/>
      </w:rPr>
    </w:lvl>
    <w:lvl w:ilvl="1" w:tplc="DE946E18">
      <w:start w:val="1"/>
      <w:numFmt w:val="lowerRoman"/>
      <w:lvlText w:val="(%2)"/>
      <w:lvlJc w:val="left"/>
      <w:pPr>
        <w:ind w:left="1440" w:hanging="360"/>
      </w:pPr>
      <w:rPr>
        <w:rFonts w:asciiTheme="minorHAnsi" w:eastAsia="Times New Roman" w:hAnsiTheme="minorHAnsi" w:cstheme="minorHAnsi"/>
      </w:rPr>
    </w:lvl>
    <w:lvl w:ilvl="2" w:tplc="E3B080AA">
      <w:start w:val="2"/>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FAF0B3A"/>
    <w:multiLevelType w:val="hybridMultilevel"/>
    <w:tmpl w:val="C0306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0027453"/>
    <w:multiLevelType w:val="hybridMultilevel"/>
    <w:tmpl w:val="E88E4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07368D2"/>
    <w:multiLevelType w:val="hybridMultilevel"/>
    <w:tmpl w:val="14D8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0A26023"/>
    <w:multiLevelType w:val="hybridMultilevel"/>
    <w:tmpl w:val="B78CE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0E4646A"/>
    <w:multiLevelType w:val="hybridMultilevel"/>
    <w:tmpl w:val="1E2CD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10955A0"/>
    <w:multiLevelType w:val="multilevel"/>
    <w:tmpl w:val="94C82A18"/>
    <w:lvl w:ilvl="0">
      <w:start w:val="1"/>
      <w:numFmt w:val="upperLetter"/>
      <w:pStyle w:val="Appendix"/>
      <w:suff w:val="nothing"/>
      <w:lvlText w:val="Appendix %1"/>
      <w:lvlJc w:val="left"/>
      <w:pPr>
        <w:ind w:left="-30193" w:firstLine="0"/>
      </w:pPr>
      <w:rPr>
        <w:rFonts w:hint="default"/>
      </w:rPr>
    </w:lvl>
    <w:lvl w:ilvl="1">
      <w:start w:val="1"/>
      <w:numFmt w:val="decimal"/>
      <w:pStyle w:val="AppendixTableCaption"/>
      <w:suff w:val="nothing"/>
      <w:lvlText w:val="Table %1.%2"/>
      <w:lvlJc w:val="left"/>
      <w:pPr>
        <w:ind w:left="28255" w:firstLine="0"/>
      </w:pPr>
      <w:rPr>
        <w:rFonts w:ascii="Calibri" w:hAnsi="Calibri" w:cs="Arial" w:hint="default"/>
        <w:b/>
        <w:i w:val="0"/>
        <w:color w:val="002776"/>
        <w:sz w:val="22"/>
      </w:rPr>
    </w:lvl>
    <w:lvl w:ilvl="2">
      <w:start w:val="1"/>
      <w:numFmt w:val="decimal"/>
      <w:lvlRestart w:val="1"/>
      <w:pStyle w:val="AppendixChartCaption"/>
      <w:suff w:val="nothing"/>
      <w:lvlText w:val="Chart %1.%3"/>
      <w:lvlJc w:val="left"/>
      <w:pPr>
        <w:ind w:left="30240" w:firstLine="0"/>
      </w:pPr>
      <w:rPr>
        <w:rFonts w:ascii="Calibri" w:hAnsi="Calibri" w:cs="Arial" w:hint="default"/>
        <w:b/>
        <w:i w:val="0"/>
        <w:color w:val="002776"/>
        <w:sz w:val="22"/>
        <w:szCs w:val="24"/>
      </w:rPr>
    </w:lvl>
    <w:lvl w:ilvl="3">
      <w:start w:val="1"/>
      <w:numFmt w:val="decimal"/>
      <w:lvlRestart w:val="1"/>
      <w:pStyle w:val="AppendixFigureCaption"/>
      <w:suff w:val="nothing"/>
      <w:lvlText w:val="Figure %1.%4"/>
      <w:lvlJc w:val="left"/>
      <w:pPr>
        <w:ind w:left="28255" w:firstLine="0"/>
      </w:pPr>
      <w:rPr>
        <w:rFonts w:ascii="Calibri" w:hAnsi="Calibri" w:cs="Arial" w:hint="default"/>
        <w:b/>
        <w:i w:val="0"/>
        <w:color w:val="002776"/>
        <w:sz w:val="22"/>
        <w:szCs w:val="24"/>
      </w:rPr>
    </w:lvl>
    <w:lvl w:ilvl="4">
      <w:start w:val="1"/>
      <w:numFmt w:val="decimal"/>
      <w:lvlText w:val="%1.%2.%3.%4.%5"/>
      <w:lvlJc w:val="left"/>
      <w:pPr>
        <w:tabs>
          <w:tab w:val="num" w:pos="29389"/>
        </w:tabs>
        <w:ind w:left="29389" w:hanging="1134"/>
      </w:pPr>
      <w:rPr>
        <w:rFonts w:ascii="Arial" w:hAnsi="Arial" w:cs="Arial" w:hint="default"/>
        <w:b w:val="0"/>
        <w:i w:val="0"/>
        <w:color w:val="931638"/>
        <w:sz w:val="20"/>
      </w:rPr>
    </w:lvl>
    <w:lvl w:ilvl="5">
      <w:start w:val="1"/>
      <w:numFmt w:val="decimal"/>
      <w:lvlText w:val="%1.%2.%3.%4.%5.%6"/>
      <w:lvlJc w:val="left"/>
      <w:pPr>
        <w:tabs>
          <w:tab w:val="num" w:pos="29956"/>
        </w:tabs>
        <w:ind w:left="29956" w:hanging="1701"/>
      </w:pPr>
      <w:rPr>
        <w:rFonts w:ascii="Arial" w:hAnsi="Arial" w:cs="Arial" w:hint="default"/>
        <w:b w:val="0"/>
        <w:i w:val="0"/>
        <w:color w:val="931638"/>
        <w:sz w:val="20"/>
      </w:rPr>
    </w:lvl>
    <w:lvl w:ilvl="6">
      <w:start w:val="1"/>
      <w:numFmt w:val="decimal"/>
      <w:lvlText w:val="%1.%2.%3.%4.%5.%6.%7"/>
      <w:lvlJc w:val="left"/>
      <w:pPr>
        <w:tabs>
          <w:tab w:val="num" w:pos="29956"/>
        </w:tabs>
        <w:ind w:left="29956" w:hanging="1701"/>
      </w:pPr>
      <w:rPr>
        <w:rFonts w:ascii="Arial" w:hAnsi="Arial" w:cs="Arial" w:hint="default"/>
        <w:b w:val="0"/>
        <w:i w:val="0"/>
        <w:color w:val="931638"/>
        <w:sz w:val="20"/>
      </w:rPr>
    </w:lvl>
    <w:lvl w:ilvl="7">
      <w:start w:val="1"/>
      <w:numFmt w:val="decimal"/>
      <w:lvlText w:val="%1.%2.%3.%4.%5.%6.%7.%8"/>
      <w:lvlJc w:val="left"/>
      <w:pPr>
        <w:tabs>
          <w:tab w:val="num" w:pos="29956"/>
        </w:tabs>
        <w:ind w:left="29956" w:hanging="1701"/>
      </w:pPr>
      <w:rPr>
        <w:rFonts w:ascii="Arial" w:hAnsi="Arial" w:cs="Arial" w:hint="default"/>
        <w:b w:val="0"/>
        <w:i w:val="0"/>
        <w:color w:val="931638"/>
        <w:sz w:val="20"/>
      </w:rPr>
    </w:lvl>
    <w:lvl w:ilvl="8">
      <w:start w:val="1"/>
      <w:numFmt w:val="decimal"/>
      <w:lvlText w:val="%1.%2.%3.%4.%5.%6.%7.%8.%9"/>
      <w:lvlJc w:val="left"/>
      <w:pPr>
        <w:tabs>
          <w:tab w:val="num" w:pos="29956"/>
        </w:tabs>
        <w:ind w:left="29956" w:hanging="1701"/>
      </w:pPr>
      <w:rPr>
        <w:rFonts w:ascii="Arial" w:hAnsi="Arial" w:cs="Arial" w:hint="default"/>
        <w:b w:val="0"/>
        <w:i w:val="0"/>
        <w:color w:val="931638"/>
        <w:sz w:val="20"/>
      </w:rPr>
    </w:lvl>
  </w:abstractNum>
  <w:abstractNum w:abstractNumId="56">
    <w:nsid w:val="6C636B86"/>
    <w:multiLevelType w:val="hybridMultilevel"/>
    <w:tmpl w:val="7428B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C90316C"/>
    <w:multiLevelType w:val="hybridMultilevel"/>
    <w:tmpl w:val="8188A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1755AD1"/>
    <w:multiLevelType w:val="hybridMultilevel"/>
    <w:tmpl w:val="7020E97E"/>
    <w:lvl w:ilvl="0" w:tplc="EEB42172">
      <w:start w:val="1"/>
      <w:numFmt w:val="bullet"/>
      <w:pStyle w:val="FSBullet1"/>
      <w:lvlText w:val=""/>
      <w:lvlJc w:val="left"/>
      <w:pPr>
        <w:ind w:left="720"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9">
    <w:nsid w:val="74D31029"/>
    <w:multiLevelType w:val="multilevel"/>
    <w:tmpl w:val="7AE888A6"/>
    <w:lvl w:ilvl="0">
      <w:start w:val="1"/>
      <w:numFmt w:val="bullet"/>
      <w:pStyle w:val="Bullet1"/>
      <w:lvlText w:val=""/>
      <w:lvlJc w:val="left"/>
      <w:pPr>
        <w:ind w:left="360" w:hanging="360"/>
      </w:pPr>
      <w:rPr>
        <w:rFonts w:ascii="Symbol" w:hAnsi="Symbol" w:hint="default"/>
        <w:color w:val="auto"/>
        <w:sz w:val="22"/>
      </w:rPr>
    </w:lvl>
    <w:lvl w:ilvl="1">
      <w:start w:val="1"/>
      <w:numFmt w:val="bullet"/>
      <w:pStyle w:val="Bullet2"/>
      <w:lvlText w:val="o"/>
      <w:lvlJc w:val="left"/>
      <w:pPr>
        <w:tabs>
          <w:tab w:val="num" w:pos="850"/>
        </w:tabs>
        <w:ind w:left="850" w:hanging="567"/>
      </w:pPr>
      <w:rPr>
        <w:rFonts w:ascii="Courier New" w:hAnsi="Courier New" w:cs="Courier New" w:hint="default"/>
        <w:b w:val="0"/>
        <w:i w:val="0"/>
        <w:color w:val="auto"/>
        <w:sz w:val="20"/>
        <w:szCs w:val="20"/>
      </w:rPr>
    </w:lvl>
    <w:lvl w:ilvl="2">
      <w:start w:val="1"/>
      <w:numFmt w:val="bullet"/>
      <w:lvlText w:val="-"/>
      <w:lvlJc w:val="left"/>
      <w:pPr>
        <w:tabs>
          <w:tab w:val="num" w:pos="1417"/>
        </w:tabs>
        <w:ind w:left="1417" w:hanging="567"/>
      </w:pPr>
      <w:rPr>
        <w:rFonts w:ascii="Arial" w:hAnsi="Arial" w:hint="default"/>
        <w:color w:val="931638"/>
      </w:rPr>
    </w:lvl>
    <w:lvl w:ilvl="3">
      <w:start w:val="1"/>
      <w:numFmt w:val="decimal"/>
      <w:lvlText w:val="(%4)"/>
      <w:lvlJc w:val="left"/>
      <w:pPr>
        <w:tabs>
          <w:tab w:val="num" w:pos="1156"/>
        </w:tabs>
        <w:ind w:left="1156" w:hanging="360"/>
      </w:pPr>
      <w:rPr>
        <w:rFonts w:hint="default"/>
      </w:rPr>
    </w:lvl>
    <w:lvl w:ilvl="4">
      <w:start w:val="1"/>
      <w:numFmt w:val="lowerLetter"/>
      <w:lvlText w:val="(%5)"/>
      <w:lvlJc w:val="left"/>
      <w:pPr>
        <w:tabs>
          <w:tab w:val="num" w:pos="1516"/>
        </w:tabs>
        <w:ind w:left="1516" w:hanging="360"/>
      </w:pPr>
      <w:rPr>
        <w:rFonts w:hint="default"/>
      </w:rPr>
    </w:lvl>
    <w:lvl w:ilvl="5">
      <w:start w:val="1"/>
      <w:numFmt w:val="lowerRoman"/>
      <w:lvlText w:val="(%6)"/>
      <w:lvlJc w:val="left"/>
      <w:pPr>
        <w:tabs>
          <w:tab w:val="num" w:pos="1876"/>
        </w:tabs>
        <w:ind w:left="1876" w:hanging="360"/>
      </w:pPr>
      <w:rPr>
        <w:rFonts w:hint="default"/>
      </w:rPr>
    </w:lvl>
    <w:lvl w:ilvl="6">
      <w:start w:val="1"/>
      <w:numFmt w:val="decimal"/>
      <w:lvlText w:val="%7."/>
      <w:lvlJc w:val="left"/>
      <w:pPr>
        <w:tabs>
          <w:tab w:val="num" w:pos="2236"/>
        </w:tabs>
        <w:ind w:left="2236" w:hanging="360"/>
      </w:pPr>
      <w:rPr>
        <w:rFonts w:hint="default"/>
      </w:rPr>
    </w:lvl>
    <w:lvl w:ilvl="7">
      <w:start w:val="1"/>
      <w:numFmt w:val="lowerLetter"/>
      <w:lvlText w:val="%8."/>
      <w:lvlJc w:val="left"/>
      <w:pPr>
        <w:tabs>
          <w:tab w:val="num" w:pos="2596"/>
        </w:tabs>
        <w:ind w:left="2596" w:hanging="360"/>
      </w:pPr>
      <w:rPr>
        <w:rFonts w:hint="default"/>
      </w:rPr>
    </w:lvl>
    <w:lvl w:ilvl="8">
      <w:start w:val="1"/>
      <w:numFmt w:val="lowerRoman"/>
      <w:lvlText w:val="%9."/>
      <w:lvlJc w:val="left"/>
      <w:pPr>
        <w:tabs>
          <w:tab w:val="num" w:pos="2956"/>
        </w:tabs>
        <w:ind w:left="2956" w:hanging="360"/>
      </w:pPr>
      <w:rPr>
        <w:rFonts w:hint="default"/>
      </w:rPr>
    </w:lvl>
  </w:abstractNum>
  <w:abstractNum w:abstractNumId="60">
    <w:nsid w:val="76394BD5"/>
    <w:multiLevelType w:val="hybridMultilevel"/>
    <w:tmpl w:val="D2AE0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6AB6086"/>
    <w:multiLevelType w:val="hybridMultilevel"/>
    <w:tmpl w:val="F1FCCFE2"/>
    <w:lvl w:ilvl="0" w:tplc="B964A5E6">
      <w:start w:val="1"/>
      <w:numFmt w:val="bullet"/>
      <w:pStyle w:val="OBPR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7B80CD7"/>
    <w:multiLevelType w:val="hybridMultilevel"/>
    <w:tmpl w:val="91D4E8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A18334C"/>
    <w:multiLevelType w:val="hybridMultilevel"/>
    <w:tmpl w:val="55480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B4969AF"/>
    <w:multiLevelType w:val="hybridMultilevel"/>
    <w:tmpl w:val="7394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D15675E"/>
    <w:multiLevelType w:val="hybridMultilevel"/>
    <w:tmpl w:val="4504FDAA"/>
    <w:lvl w:ilvl="0" w:tplc="F8CE7B42">
      <w:start w:val="1"/>
      <w:numFmt w:val="bullet"/>
      <w:pStyle w:val="ListBullet2"/>
      <w:lvlText w:val="-"/>
      <w:lvlJc w:val="left"/>
      <w:pPr>
        <w:ind w:left="643" w:hanging="360"/>
      </w:pPr>
      <w:rPr>
        <w:rFonts w:ascii="Courier New" w:hAnsi="Courier New"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6">
    <w:nsid w:val="7DC710BD"/>
    <w:multiLevelType w:val="hybridMultilevel"/>
    <w:tmpl w:val="B8901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ECD56B4"/>
    <w:multiLevelType w:val="hybridMultilevel"/>
    <w:tmpl w:val="BD7CB462"/>
    <w:lvl w:ilvl="0" w:tplc="12F0D20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F4434F7"/>
    <w:multiLevelType w:val="hybridMultilevel"/>
    <w:tmpl w:val="23609902"/>
    <w:lvl w:ilvl="0" w:tplc="C7D60CD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7"/>
  </w:num>
  <w:num w:numId="2">
    <w:abstractNumId w:val="0"/>
  </w:num>
  <w:num w:numId="3">
    <w:abstractNumId w:val="65"/>
  </w:num>
  <w:num w:numId="4">
    <w:abstractNumId w:val="48"/>
  </w:num>
  <w:num w:numId="5">
    <w:abstractNumId w:val="13"/>
  </w:num>
  <w:num w:numId="6">
    <w:abstractNumId w:val="55"/>
  </w:num>
  <w:num w:numId="7">
    <w:abstractNumId w:val="30"/>
  </w:num>
  <w:num w:numId="8">
    <w:abstractNumId w:val="61"/>
  </w:num>
  <w:num w:numId="9">
    <w:abstractNumId w:val="58"/>
  </w:num>
  <w:num w:numId="10">
    <w:abstractNumId w:val="1"/>
  </w:num>
  <w:num w:numId="11">
    <w:abstractNumId w:val="32"/>
  </w:num>
  <w:num w:numId="12">
    <w:abstractNumId w:val="66"/>
  </w:num>
  <w:num w:numId="13">
    <w:abstractNumId w:val="15"/>
  </w:num>
  <w:num w:numId="14">
    <w:abstractNumId w:val="62"/>
  </w:num>
  <w:num w:numId="15">
    <w:abstractNumId w:val="17"/>
  </w:num>
  <w:num w:numId="16">
    <w:abstractNumId w:val="11"/>
  </w:num>
  <w:num w:numId="17">
    <w:abstractNumId w:val="46"/>
  </w:num>
  <w:num w:numId="18">
    <w:abstractNumId w:val="18"/>
  </w:num>
  <w:num w:numId="19">
    <w:abstractNumId w:val="41"/>
  </w:num>
  <w:num w:numId="20">
    <w:abstractNumId w:val="16"/>
  </w:num>
  <w:num w:numId="21">
    <w:abstractNumId w:val="59"/>
  </w:num>
  <w:num w:numId="22">
    <w:abstractNumId w:val="21"/>
  </w:num>
  <w:num w:numId="23">
    <w:abstractNumId w:val="64"/>
  </w:num>
  <w:num w:numId="24">
    <w:abstractNumId w:val="56"/>
  </w:num>
  <w:num w:numId="25">
    <w:abstractNumId w:val="2"/>
  </w:num>
  <w:num w:numId="26">
    <w:abstractNumId w:val="20"/>
  </w:num>
  <w:num w:numId="27">
    <w:abstractNumId w:val="33"/>
  </w:num>
  <w:num w:numId="28">
    <w:abstractNumId w:val="5"/>
  </w:num>
  <w:num w:numId="29">
    <w:abstractNumId w:val="26"/>
  </w:num>
  <w:num w:numId="30">
    <w:abstractNumId w:val="63"/>
  </w:num>
  <w:num w:numId="31">
    <w:abstractNumId w:val="36"/>
  </w:num>
  <w:num w:numId="32">
    <w:abstractNumId w:val="12"/>
  </w:num>
  <w:num w:numId="33">
    <w:abstractNumId w:val="54"/>
  </w:num>
  <w:num w:numId="34">
    <w:abstractNumId w:val="60"/>
  </w:num>
  <w:num w:numId="35">
    <w:abstractNumId w:val="68"/>
  </w:num>
  <w:num w:numId="36">
    <w:abstractNumId w:val="31"/>
  </w:num>
  <w:num w:numId="37">
    <w:abstractNumId w:val="44"/>
  </w:num>
  <w:num w:numId="38">
    <w:abstractNumId w:val="10"/>
  </w:num>
  <w:num w:numId="39">
    <w:abstractNumId w:val="29"/>
  </w:num>
  <w:num w:numId="40">
    <w:abstractNumId w:val="24"/>
  </w:num>
  <w:num w:numId="41">
    <w:abstractNumId w:val="43"/>
  </w:num>
  <w:num w:numId="42">
    <w:abstractNumId w:val="49"/>
  </w:num>
  <w:num w:numId="43">
    <w:abstractNumId w:val="45"/>
  </w:num>
  <w:num w:numId="44">
    <w:abstractNumId w:val="42"/>
  </w:num>
  <w:num w:numId="45">
    <w:abstractNumId w:val="47"/>
  </w:num>
  <w:num w:numId="46">
    <w:abstractNumId w:val="40"/>
  </w:num>
  <w:num w:numId="47">
    <w:abstractNumId w:val="50"/>
  </w:num>
  <w:num w:numId="48">
    <w:abstractNumId w:val="57"/>
  </w:num>
  <w:num w:numId="49">
    <w:abstractNumId w:val="23"/>
  </w:num>
  <w:num w:numId="50">
    <w:abstractNumId w:val="27"/>
  </w:num>
  <w:num w:numId="51">
    <w:abstractNumId w:val="51"/>
  </w:num>
  <w:num w:numId="52">
    <w:abstractNumId w:val="39"/>
  </w:num>
  <w:num w:numId="53">
    <w:abstractNumId w:val="38"/>
  </w:num>
  <w:num w:numId="54">
    <w:abstractNumId w:val="52"/>
  </w:num>
  <w:num w:numId="55">
    <w:abstractNumId w:val="6"/>
  </w:num>
  <w:num w:numId="56">
    <w:abstractNumId w:val="53"/>
  </w:num>
  <w:num w:numId="57">
    <w:abstractNumId w:val="7"/>
  </w:num>
  <w:num w:numId="58">
    <w:abstractNumId w:val="34"/>
  </w:num>
  <w:num w:numId="59">
    <w:abstractNumId w:val="25"/>
  </w:num>
  <w:num w:numId="60">
    <w:abstractNumId w:val="19"/>
  </w:num>
  <w:num w:numId="61">
    <w:abstractNumId w:val="9"/>
  </w:num>
  <w:num w:numId="62">
    <w:abstractNumId w:val="35"/>
  </w:num>
  <w:num w:numId="63">
    <w:abstractNumId w:val="37"/>
  </w:num>
  <w:num w:numId="64">
    <w:abstractNumId w:val="3"/>
  </w:num>
  <w:num w:numId="65">
    <w:abstractNumId w:val="22"/>
  </w:num>
  <w:num w:numId="66">
    <w:abstractNumId w:val="14"/>
  </w:num>
  <w:num w:numId="67">
    <w:abstractNumId w:val="4"/>
  </w:num>
  <w:num w:numId="68">
    <w:abstractNumId w:val="8"/>
  </w:num>
  <w:num w:numId="69">
    <w:abstractNumId w:val="28"/>
  </w:num>
  <w:num w:numId="70">
    <w:abstractNumId w:val="32"/>
  </w:num>
  <w:num w:numId="71">
    <w:abstractNumId w:val="32"/>
  </w:num>
  <w:num w:numId="72">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F8"/>
    <w:rsid w:val="00001C9E"/>
    <w:rsid w:val="0000320A"/>
    <w:rsid w:val="000049F3"/>
    <w:rsid w:val="000058C8"/>
    <w:rsid w:val="00005AAB"/>
    <w:rsid w:val="000126AE"/>
    <w:rsid w:val="000132DC"/>
    <w:rsid w:val="0001448A"/>
    <w:rsid w:val="00017600"/>
    <w:rsid w:val="00022105"/>
    <w:rsid w:val="000234E3"/>
    <w:rsid w:val="0002395E"/>
    <w:rsid w:val="00027827"/>
    <w:rsid w:val="00030035"/>
    <w:rsid w:val="000309D5"/>
    <w:rsid w:val="000317D8"/>
    <w:rsid w:val="00032CF2"/>
    <w:rsid w:val="00033A49"/>
    <w:rsid w:val="00036889"/>
    <w:rsid w:val="00036F1F"/>
    <w:rsid w:val="0004149D"/>
    <w:rsid w:val="00042A67"/>
    <w:rsid w:val="0004465B"/>
    <w:rsid w:val="00046025"/>
    <w:rsid w:val="00046C64"/>
    <w:rsid w:val="00047625"/>
    <w:rsid w:val="00050E31"/>
    <w:rsid w:val="00052580"/>
    <w:rsid w:val="00052CE1"/>
    <w:rsid w:val="00054FE2"/>
    <w:rsid w:val="000576C3"/>
    <w:rsid w:val="0005799A"/>
    <w:rsid w:val="00071E16"/>
    <w:rsid w:val="0007207B"/>
    <w:rsid w:val="00072429"/>
    <w:rsid w:val="0007375B"/>
    <w:rsid w:val="00073B13"/>
    <w:rsid w:val="000755F5"/>
    <w:rsid w:val="0007669C"/>
    <w:rsid w:val="00076E6A"/>
    <w:rsid w:val="00080BB3"/>
    <w:rsid w:val="00082B7E"/>
    <w:rsid w:val="00084A77"/>
    <w:rsid w:val="000900A0"/>
    <w:rsid w:val="00091F0A"/>
    <w:rsid w:val="00092044"/>
    <w:rsid w:val="00095DC4"/>
    <w:rsid w:val="00097016"/>
    <w:rsid w:val="000971E6"/>
    <w:rsid w:val="000A1A75"/>
    <w:rsid w:val="000A221E"/>
    <w:rsid w:val="000A36B4"/>
    <w:rsid w:val="000A3965"/>
    <w:rsid w:val="000A470D"/>
    <w:rsid w:val="000A477A"/>
    <w:rsid w:val="000A5045"/>
    <w:rsid w:val="000A72CA"/>
    <w:rsid w:val="000A7CC6"/>
    <w:rsid w:val="000B3680"/>
    <w:rsid w:val="000B3AD1"/>
    <w:rsid w:val="000C10E5"/>
    <w:rsid w:val="000C1A5F"/>
    <w:rsid w:val="000C1BBD"/>
    <w:rsid w:val="000C5278"/>
    <w:rsid w:val="000C62B2"/>
    <w:rsid w:val="000C70BF"/>
    <w:rsid w:val="000D03E0"/>
    <w:rsid w:val="000D0502"/>
    <w:rsid w:val="000D0DCB"/>
    <w:rsid w:val="000D1111"/>
    <w:rsid w:val="000D28E1"/>
    <w:rsid w:val="000D2B4D"/>
    <w:rsid w:val="000D383B"/>
    <w:rsid w:val="000D3907"/>
    <w:rsid w:val="000D3A0E"/>
    <w:rsid w:val="000D41FB"/>
    <w:rsid w:val="000D478A"/>
    <w:rsid w:val="000D48BD"/>
    <w:rsid w:val="000D54B5"/>
    <w:rsid w:val="000D71AA"/>
    <w:rsid w:val="000E236C"/>
    <w:rsid w:val="000E33AA"/>
    <w:rsid w:val="000E6482"/>
    <w:rsid w:val="000E6766"/>
    <w:rsid w:val="000E7651"/>
    <w:rsid w:val="000F2F87"/>
    <w:rsid w:val="000F44F3"/>
    <w:rsid w:val="000F4F24"/>
    <w:rsid w:val="00100EB7"/>
    <w:rsid w:val="00102EAB"/>
    <w:rsid w:val="00104010"/>
    <w:rsid w:val="001066E6"/>
    <w:rsid w:val="001067DD"/>
    <w:rsid w:val="00106ECB"/>
    <w:rsid w:val="00110B98"/>
    <w:rsid w:val="00110D6D"/>
    <w:rsid w:val="00111F3E"/>
    <w:rsid w:val="00112E7A"/>
    <w:rsid w:val="00112F1A"/>
    <w:rsid w:val="00114AEE"/>
    <w:rsid w:val="00116943"/>
    <w:rsid w:val="00124376"/>
    <w:rsid w:val="00124811"/>
    <w:rsid w:val="0013099F"/>
    <w:rsid w:val="00132656"/>
    <w:rsid w:val="00132877"/>
    <w:rsid w:val="00135070"/>
    <w:rsid w:val="0013788D"/>
    <w:rsid w:val="00137AB9"/>
    <w:rsid w:val="00137EE2"/>
    <w:rsid w:val="00144DD7"/>
    <w:rsid w:val="001503A8"/>
    <w:rsid w:val="00153DFF"/>
    <w:rsid w:val="00155199"/>
    <w:rsid w:val="00155565"/>
    <w:rsid w:val="00156503"/>
    <w:rsid w:val="001573B0"/>
    <w:rsid w:val="00157650"/>
    <w:rsid w:val="00157D0D"/>
    <w:rsid w:val="00160220"/>
    <w:rsid w:val="00161491"/>
    <w:rsid w:val="00161FBE"/>
    <w:rsid w:val="00162215"/>
    <w:rsid w:val="00162419"/>
    <w:rsid w:val="001646DF"/>
    <w:rsid w:val="00164E3E"/>
    <w:rsid w:val="001677CA"/>
    <w:rsid w:val="00167AB4"/>
    <w:rsid w:val="00167EE9"/>
    <w:rsid w:val="00170445"/>
    <w:rsid w:val="00171FF2"/>
    <w:rsid w:val="0017321C"/>
    <w:rsid w:val="00175BEF"/>
    <w:rsid w:val="001806F9"/>
    <w:rsid w:val="00180780"/>
    <w:rsid w:val="00180CA0"/>
    <w:rsid w:val="0018289C"/>
    <w:rsid w:val="00186120"/>
    <w:rsid w:val="001924E4"/>
    <w:rsid w:val="00195A46"/>
    <w:rsid w:val="00196725"/>
    <w:rsid w:val="0019794C"/>
    <w:rsid w:val="001A07A7"/>
    <w:rsid w:val="001A143F"/>
    <w:rsid w:val="001A592B"/>
    <w:rsid w:val="001A72D0"/>
    <w:rsid w:val="001B09C9"/>
    <w:rsid w:val="001B16B6"/>
    <w:rsid w:val="001B5581"/>
    <w:rsid w:val="001B5DBF"/>
    <w:rsid w:val="001B6747"/>
    <w:rsid w:val="001C03D5"/>
    <w:rsid w:val="001C23E1"/>
    <w:rsid w:val="001C2EAA"/>
    <w:rsid w:val="001C4607"/>
    <w:rsid w:val="001C4CB8"/>
    <w:rsid w:val="001C67D9"/>
    <w:rsid w:val="001C6B43"/>
    <w:rsid w:val="001D3DAF"/>
    <w:rsid w:val="001D625B"/>
    <w:rsid w:val="001D6515"/>
    <w:rsid w:val="001D7396"/>
    <w:rsid w:val="001D7A87"/>
    <w:rsid w:val="001E06D4"/>
    <w:rsid w:val="001E360E"/>
    <w:rsid w:val="001E5347"/>
    <w:rsid w:val="001E5BA8"/>
    <w:rsid w:val="001E78DD"/>
    <w:rsid w:val="001E7D3F"/>
    <w:rsid w:val="001F0658"/>
    <w:rsid w:val="001F1BA8"/>
    <w:rsid w:val="001F2F38"/>
    <w:rsid w:val="001F44DE"/>
    <w:rsid w:val="001F6F58"/>
    <w:rsid w:val="001F7EED"/>
    <w:rsid w:val="0020007C"/>
    <w:rsid w:val="00202DBF"/>
    <w:rsid w:val="00205A5A"/>
    <w:rsid w:val="00206403"/>
    <w:rsid w:val="00206488"/>
    <w:rsid w:val="00206B7D"/>
    <w:rsid w:val="002101EC"/>
    <w:rsid w:val="002131AF"/>
    <w:rsid w:val="002176CB"/>
    <w:rsid w:val="002178CD"/>
    <w:rsid w:val="00217FAA"/>
    <w:rsid w:val="00220249"/>
    <w:rsid w:val="00220A06"/>
    <w:rsid w:val="00221826"/>
    <w:rsid w:val="0022372A"/>
    <w:rsid w:val="00223C2D"/>
    <w:rsid w:val="00226635"/>
    <w:rsid w:val="00226E87"/>
    <w:rsid w:val="00231904"/>
    <w:rsid w:val="00232647"/>
    <w:rsid w:val="002352CD"/>
    <w:rsid w:val="002357C1"/>
    <w:rsid w:val="00242148"/>
    <w:rsid w:val="002421F8"/>
    <w:rsid w:val="00243874"/>
    <w:rsid w:val="00243F21"/>
    <w:rsid w:val="00246EC0"/>
    <w:rsid w:val="00250621"/>
    <w:rsid w:val="00252DE7"/>
    <w:rsid w:val="00255BA1"/>
    <w:rsid w:val="00257A52"/>
    <w:rsid w:val="00260B07"/>
    <w:rsid w:val="00261591"/>
    <w:rsid w:val="00263482"/>
    <w:rsid w:val="00263C91"/>
    <w:rsid w:val="0026435C"/>
    <w:rsid w:val="0027167A"/>
    <w:rsid w:val="00271936"/>
    <w:rsid w:val="00271996"/>
    <w:rsid w:val="00275307"/>
    <w:rsid w:val="00275620"/>
    <w:rsid w:val="00276084"/>
    <w:rsid w:val="00277812"/>
    <w:rsid w:val="002872C5"/>
    <w:rsid w:val="00290B4B"/>
    <w:rsid w:val="0029249B"/>
    <w:rsid w:val="00293D28"/>
    <w:rsid w:val="00293E0C"/>
    <w:rsid w:val="0029760E"/>
    <w:rsid w:val="002A0057"/>
    <w:rsid w:val="002A04A6"/>
    <w:rsid w:val="002A1586"/>
    <w:rsid w:val="002A4844"/>
    <w:rsid w:val="002A51AD"/>
    <w:rsid w:val="002A661E"/>
    <w:rsid w:val="002A78DF"/>
    <w:rsid w:val="002A7C47"/>
    <w:rsid w:val="002B029A"/>
    <w:rsid w:val="002B17D0"/>
    <w:rsid w:val="002B1CA4"/>
    <w:rsid w:val="002B43A3"/>
    <w:rsid w:val="002B4ED0"/>
    <w:rsid w:val="002B6C47"/>
    <w:rsid w:val="002C01CE"/>
    <w:rsid w:val="002C0FCF"/>
    <w:rsid w:val="002C2334"/>
    <w:rsid w:val="002C28A8"/>
    <w:rsid w:val="002C343B"/>
    <w:rsid w:val="002C65CE"/>
    <w:rsid w:val="002D3259"/>
    <w:rsid w:val="002D3B14"/>
    <w:rsid w:val="002D5B7C"/>
    <w:rsid w:val="002D6A00"/>
    <w:rsid w:val="002D6CDF"/>
    <w:rsid w:val="002D756F"/>
    <w:rsid w:val="002E1EC3"/>
    <w:rsid w:val="002E4A3D"/>
    <w:rsid w:val="002E4FF8"/>
    <w:rsid w:val="002E73BF"/>
    <w:rsid w:val="002E76C0"/>
    <w:rsid w:val="002E7796"/>
    <w:rsid w:val="002F007C"/>
    <w:rsid w:val="002F0C79"/>
    <w:rsid w:val="002F18A0"/>
    <w:rsid w:val="002F1F22"/>
    <w:rsid w:val="002F4002"/>
    <w:rsid w:val="002F7718"/>
    <w:rsid w:val="003018DE"/>
    <w:rsid w:val="0030357F"/>
    <w:rsid w:val="00305408"/>
    <w:rsid w:val="00306492"/>
    <w:rsid w:val="00306ADC"/>
    <w:rsid w:val="00306F76"/>
    <w:rsid w:val="003106B2"/>
    <w:rsid w:val="00310E5B"/>
    <w:rsid w:val="00312983"/>
    <w:rsid w:val="00313AAD"/>
    <w:rsid w:val="0031462E"/>
    <w:rsid w:val="003167D1"/>
    <w:rsid w:val="00320087"/>
    <w:rsid w:val="0032157E"/>
    <w:rsid w:val="00321D71"/>
    <w:rsid w:val="0032375A"/>
    <w:rsid w:val="00326BA9"/>
    <w:rsid w:val="003314A6"/>
    <w:rsid w:val="00331F96"/>
    <w:rsid w:val="00332003"/>
    <w:rsid w:val="003404CE"/>
    <w:rsid w:val="0034276B"/>
    <w:rsid w:val="00343ECD"/>
    <w:rsid w:val="00344264"/>
    <w:rsid w:val="0035166C"/>
    <w:rsid w:val="0035186A"/>
    <w:rsid w:val="00352472"/>
    <w:rsid w:val="0035298A"/>
    <w:rsid w:val="00355E0B"/>
    <w:rsid w:val="00355F7C"/>
    <w:rsid w:val="00356F53"/>
    <w:rsid w:val="00361131"/>
    <w:rsid w:val="0036170B"/>
    <w:rsid w:val="00364465"/>
    <w:rsid w:val="00365191"/>
    <w:rsid w:val="003653CD"/>
    <w:rsid w:val="0036773F"/>
    <w:rsid w:val="00370960"/>
    <w:rsid w:val="00372A5B"/>
    <w:rsid w:val="00374733"/>
    <w:rsid w:val="00375DC0"/>
    <w:rsid w:val="00380009"/>
    <w:rsid w:val="00383EA4"/>
    <w:rsid w:val="0038425E"/>
    <w:rsid w:val="00387312"/>
    <w:rsid w:val="00390050"/>
    <w:rsid w:val="00393C03"/>
    <w:rsid w:val="00395FD7"/>
    <w:rsid w:val="00396904"/>
    <w:rsid w:val="003975CD"/>
    <w:rsid w:val="003A0AAE"/>
    <w:rsid w:val="003A0F08"/>
    <w:rsid w:val="003A2143"/>
    <w:rsid w:val="003A284D"/>
    <w:rsid w:val="003A43A1"/>
    <w:rsid w:val="003A5552"/>
    <w:rsid w:val="003A5E22"/>
    <w:rsid w:val="003A6DA0"/>
    <w:rsid w:val="003B31D7"/>
    <w:rsid w:val="003B4B46"/>
    <w:rsid w:val="003B5A61"/>
    <w:rsid w:val="003B7604"/>
    <w:rsid w:val="003B79DA"/>
    <w:rsid w:val="003B7B91"/>
    <w:rsid w:val="003C2589"/>
    <w:rsid w:val="003C5DE5"/>
    <w:rsid w:val="003C6019"/>
    <w:rsid w:val="003C6E65"/>
    <w:rsid w:val="003C7312"/>
    <w:rsid w:val="003D02F1"/>
    <w:rsid w:val="003D20A9"/>
    <w:rsid w:val="003D331D"/>
    <w:rsid w:val="003D53D8"/>
    <w:rsid w:val="003D55D8"/>
    <w:rsid w:val="003D6360"/>
    <w:rsid w:val="003E4B2F"/>
    <w:rsid w:val="003E51AA"/>
    <w:rsid w:val="003E5FF1"/>
    <w:rsid w:val="003F347A"/>
    <w:rsid w:val="003F7A9C"/>
    <w:rsid w:val="004005F5"/>
    <w:rsid w:val="0040088F"/>
    <w:rsid w:val="00401A5C"/>
    <w:rsid w:val="00410634"/>
    <w:rsid w:val="004141C7"/>
    <w:rsid w:val="00417EBC"/>
    <w:rsid w:val="004207F1"/>
    <w:rsid w:val="004208B5"/>
    <w:rsid w:val="00422140"/>
    <w:rsid w:val="00422206"/>
    <w:rsid w:val="004230E9"/>
    <w:rsid w:val="00423732"/>
    <w:rsid w:val="00423C5C"/>
    <w:rsid w:val="0042510C"/>
    <w:rsid w:val="004263E0"/>
    <w:rsid w:val="00433298"/>
    <w:rsid w:val="0043356B"/>
    <w:rsid w:val="00433D3B"/>
    <w:rsid w:val="004413EF"/>
    <w:rsid w:val="0044203F"/>
    <w:rsid w:val="00442D9D"/>
    <w:rsid w:val="00443604"/>
    <w:rsid w:val="0044443E"/>
    <w:rsid w:val="00447E8A"/>
    <w:rsid w:val="00453A5A"/>
    <w:rsid w:val="00455068"/>
    <w:rsid w:val="0045512F"/>
    <w:rsid w:val="00457382"/>
    <w:rsid w:val="00457BF4"/>
    <w:rsid w:val="00460FFB"/>
    <w:rsid w:val="00462A13"/>
    <w:rsid w:val="00463548"/>
    <w:rsid w:val="0046384A"/>
    <w:rsid w:val="00463B6A"/>
    <w:rsid w:val="004656D9"/>
    <w:rsid w:val="00467923"/>
    <w:rsid w:val="00471641"/>
    <w:rsid w:val="00473089"/>
    <w:rsid w:val="00473D77"/>
    <w:rsid w:val="00474E97"/>
    <w:rsid w:val="00477F6E"/>
    <w:rsid w:val="00480667"/>
    <w:rsid w:val="004806C2"/>
    <w:rsid w:val="00482EF7"/>
    <w:rsid w:val="0048373D"/>
    <w:rsid w:val="00484AA4"/>
    <w:rsid w:val="0048664C"/>
    <w:rsid w:val="00487615"/>
    <w:rsid w:val="00493218"/>
    <w:rsid w:val="004938D2"/>
    <w:rsid w:val="004960D3"/>
    <w:rsid w:val="004A26AD"/>
    <w:rsid w:val="004A2D23"/>
    <w:rsid w:val="004B1AD5"/>
    <w:rsid w:val="004B287F"/>
    <w:rsid w:val="004B715F"/>
    <w:rsid w:val="004C1A95"/>
    <w:rsid w:val="004C1E1E"/>
    <w:rsid w:val="004C30AB"/>
    <w:rsid w:val="004C4651"/>
    <w:rsid w:val="004C4DEF"/>
    <w:rsid w:val="004C6048"/>
    <w:rsid w:val="004C6375"/>
    <w:rsid w:val="004D64D3"/>
    <w:rsid w:val="004E006B"/>
    <w:rsid w:val="004E1A15"/>
    <w:rsid w:val="004E25FA"/>
    <w:rsid w:val="004E31F2"/>
    <w:rsid w:val="004E36DD"/>
    <w:rsid w:val="004E449C"/>
    <w:rsid w:val="004E5C26"/>
    <w:rsid w:val="004E75A2"/>
    <w:rsid w:val="004E7DEE"/>
    <w:rsid w:val="004F0142"/>
    <w:rsid w:val="004F0713"/>
    <w:rsid w:val="004F0C9E"/>
    <w:rsid w:val="004F0ED9"/>
    <w:rsid w:val="004F18D0"/>
    <w:rsid w:val="004F3038"/>
    <w:rsid w:val="004F37F6"/>
    <w:rsid w:val="004F3F1F"/>
    <w:rsid w:val="004F451D"/>
    <w:rsid w:val="004F4AA1"/>
    <w:rsid w:val="004F59FF"/>
    <w:rsid w:val="004F6958"/>
    <w:rsid w:val="005010C2"/>
    <w:rsid w:val="00502EC3"/>
    <w:rsid w:val="00502F13"/>
    <w:rsid w:val="00503B67"/>
    <w:rsid w:val="005072E2"/>
    <w:rsid w:val="00511650"/>
    <w:rsid w:val="0051427A"/>
    <w:rsid w:val="00514B7D"/>
    <w:rsid w:val="00515D48"/>
    <w:rsid w:val="00517AF1"/>
    <w:rsid w:val="00523C28"/>
    <w:rsid w:val="00525A7E"/>
    <w:rsid w:val="0052666C"/>
    <w:rsid w:val="005313C9"/>
    <w:rsid w:val="00532205"/>
    <w:rsid w:val="00535072"/>
    <w:rsid w:val="005352A3"/>
    <w:rsid w:val="00536A47"/>
    <w:rsid w:val="005373E9"/>
    <w:rsid w:val="00540A55"/>
    <w:rsid w:val="00541466"/>
    <w:rsid w:val="00542710"/>
    <w:rsid w:val="00544BC5"/>
    <w:rsid w:val="00552008"/>
    <w:rsid w:val="005553F2"/>
    <w:rsid w:val="0055661E"/>
    <w:rsid w:val="00557AA6"/>
    <w:rsid w:val="0056252C"/>
    <w:rsid w:val="0056274E"/>
    <w:rsid w:val="0056282F"/>
    <w:rsid w:val="005679D2"/>
    <w:rsid w:val="00567AC8"/>
    <w:rsid w:val="00570791"/>
    <w:rsid w:val="005722D4"/>
    <w:rsid w:val="00573484"/>
    <w:rsid w:val="00574104"/>
    <w:rsid w:val="00574A68"/>
    <w:rsid w:val="005759F2"/>
    <w:rsid w:val="005773F5"/>
    <w:rsid w:val="005805E1"/>
    <w:rsid w:val="00582173"/>
    <w:rsid w:val="005845BF"/>
    <w:rsid w:val="005853EB"/>
    <w:rsid w:val="005853F2"/>
    <w:rsid w:val="0058664C"/>
    <w:rsid w:val="00590A8B"/>
    <w:rsid w:val="005916B1"/>
    <w:rsid w:val="00593F76"/>
    <w:rsid w:val="0059445E"/>
    <w:rsid w:val="0059467C"/>
    <w:rsid w:val="00596395"/>
    <w:rsid w:val="00596F40"/>
    <w:rsid w:val="0059721E"/>
    <w:rsid w:val="0059738E"/>
    <w:rsid w:val="005A02CC"/>
    <w:rsid w:val="005A0303"/>
    <w:rsid w:val="005A2659"/>
    <w:rsid w:val="005A5D34"/>
    <w:rsid w:val="005A6F5B"/>
    <w:rsid w:val="005A73E8"/>
    <w:rsid w:val="005B06B5"/>
    <w:rsid w:val="005B33AA"/>
    <w:rsid w:val="005B34CF"/>
    <w:rsid w:val="005B3F97"/>
    <w:rsid w:val="005B71ED"/>
    <w:rsid w:val="005B7535"/>
    <w:rsid w:val="005C5BDB"/>
    <w:rsid w:val="005D029A"/>
    <w:rsid w:val="005D2652"/>
    <w:rsid w:val="005D3716"/>
    <w:rsid w:val="005D4D99"/>
    <w:rsid w:val="005D6180"/>
    <w:rsid w:val="005E0EB4"/>
    <w:rsid w:val="005E5218"/>
    <w:rsid w:val="005E7E71"/>
    <w:rsid w:val="005F07A8"/>
    <w:rsid w:val="005F0C0E"/>
    <w:rsid w:val="005F0C77"/>
    <w:rsid w:val="005F2525"/>
    <w:rsid w:val="005F2C8F"/>
    <w:rsid w:val="005F3687"/>
    <w:rsid w:val="005F532B"/>
    <w:rsid w:val="005F53D5"/>
    <w:rsid w:val="005F7FDB"/>
    <w:rsid w:val="0060004D"/>
    <w:rsid w:val="00602D44"/>
    <w:rsid w:val="006044AE"/>
    <w:rsid w:val="0060484E"/>
    <w:rsid w:val="00607640"/>
    <w:rsid w:val="006122E2"/>
    <w:rsid w:val="00613468"/>
    <w:rsid w:val="006165EB"/>
    <w:rsid w:val="00616EC7"/>
    <w:rsid w:val="00617F2B"/>
    <w:rsid w:val="006222FC"/>
    <w:rsid w:val="006300FC"/>
    <w:rsid w:val="006302B9"/>
    <w:rsid w:val="00631B07"/>
    <w:rsid w:val="006342EC"/>
    <w:rsid w:val="0063490A"/>
    <w:rsid w:val="00634D81"/>
    <w:rsid w:val="006353AA"/>
    <w:rsid w:val="00635FF3"/>
    <w:rsid w:val="006374CB"/>
    <w:rsid w:val="00643B76"/>
    <w:rsid w:val="00646A10"/>
    <w:rsid w:val="006516A2"/>
    <w:rsid w:val="00652316"/>
    <w:rsid w:val="006544E3"/>
    <w:rsid w:val="006549F2"/>
    <w:rsid w:val="00655258"/>
    <w:rsid w:val="0065734F"/>
    <w:rsid w:val="00662CD3"/>
    <w:rsid w:val="00663F95"/>
    <w:rsid w:val="006658DE"/>
    <w:rsid w:val="00666EB6"/>
    <w:rsid w:val="00673255"/>
    <w:rsid w:val="00673EC2"/>
    <w:rsid w:val="00675111"/>
    <w:rsid w:val="00675810"/>
    <w:rsid w:val="00677999"/>
    <w:rsid w:val="00677C7B"/>
    <w:rsid w:val="006816DD"/>
    <w:rsid w:val="00682665"/>
    <w:rsid w:val="00684513"/>
    <w:rsid w:val="00685610"/>
    <w:rsid w:val="00687577"/>
    <w:rsid w:val="00690091"/>
    <w:rsid w:val="00691DA8"/>
    <w:rsid w:val="00691DDC"/>
    <w:rsid w:val="00691EF9"/>
    <w:rsid w:val="00693767"/>
    <w:rsid w:val="0069419C"/>
    <w:rsid w:val="00694626"/>
    <w:rsid w:val="0069564B"/>
    <w:rsid w:val="0069565C"/>
    <w:rsid w:val="00695F65"/>
    <w:rsid w:val="006A0B2B"/>
    <w:rsid w:val="006B0547"/>
    <w:rsid w:val="006B4FA3"/>
    <w:rsid w:val="006B5757"/>
    <w:rsid w:val="006B763B"/>
    <w:rsid w:val="006C00E4"/>
    <w:rsid w:val="006C20FD"/>
    <w:rsid w:val="006C29D3"/>
    <w:rsid w:val="006C465F"/>
    <w:rsid w:val="006D011B"/>
    <w:rsid w:val="006D10A0"/>
    <w:rsid w:val="006D248F"/>
    <w:rsid w:val="006D408B"/>
    <w:rsid w:val="006D5CC4"/>
    <w:rsid w:val="006D6E29"/>
    <w:rsid w:val="006E0446"/>
    <w:rsid w:val="006E133F"/>
    <w:rsid w:val="006E2907"/>
    <w:rsid w:val="006E2B25"/>
    <w:rsid w:val="006E3F8C"/>
    <w:rsid w:val="006E4AFC"/>
    <w:rsid w:val="006E55B8"/>
    <w:rsid w:val="006E58E9"/>
    <w:rsid w:val="006E6CF4"/>
    <w:rsid w:val="006F1ABE"/>
    <w:rsid w:val="006F1FB1"/>
    <w:rsid w:val="006F430F"/>
    <w:rsid w:val="006F68BD"/>
    <w:rsid w:val="006F7F51"/>
    <w:rsid w:val="0070092C"/>
    <w:rsid w:val="00701A8E"/>
    <w:rsid w:val="007039D8"/>
    <w:rsid w:val="00704AA6"/>
    <w:rsid w:val="00706235"/>
    <w:rsid w:val="00706A50"/>
    <w:rsid w:val="00707D59"/>
    <w:rsid w:val="007104D9"/>
    <w:rsid w:val="00710667"/>
    <w:rsid w:val="00711751"/>
    <w:rsid w:val="007164C7"/>
    <w:rsid w:val="0071680D"/>
    <w:rsid w:val="007173E3"/>
    <w:rsid w:val="00717E86"/>
    <w:rsid w:val="00720823"/>
    <w:rsid w:val="00722AE0"/>
    <w:rsid w:val="007230F6"/>
    <w:rsid w:val="007232EE"/>
    <w:rsid w:val="0072462F"/>
    <w:rsid w:val="00725086"/>
    <w:rsid w:val="007261B9"/>
    <w:rsid w:val="007269AC"/>
    <w:rsid w:val="007279DD"/>
    <w:rsid w:val="00730041"/>
    <w:rsid w:val="00730C8F"/>
    <w:rsid w:val="00733E93"/>
    <w:rsid w:val="00735E35"/>
    <w:rsid w:val="007368CC"/>
    <w:rsid w:val="007369C0"/>
    <w:rsid w:val="00741924"/>
    <w:rsid w:val="007426B3"/>
    <w:rsid w:val="00744652"/>
    <w:rsid w:val="00744A82"/>
    <w:rsid w:val="00744B2E"/>
    <w:rsid w:val="007479DC"/>
    <w:rsid w:val="00747EAF"/>
    <w:rsid w:val="007509D7"/>
    <w:rsid w:val="00751C53"/>
    <w:rsid w:val="00754AF0"/>
    <w:rsid w:val="007550F8"/>
    <w:rsid w:val="007562D9"/>
    <w:rsid w:val="00757FE9"/>
    <w:rsid w:val="00763639"/>
    <w:rsid w:val="00764021"/>
    <w:rsid w:val="0076551D"/>
    <w:rsid w:val="0077091B"/>
    <w:rsid w:val="00770A33"/>
    <w:rsid w:val="00770FA9"/>
    <w:rsid w:val="00771134"/>
    <w:rsid w:val="0077127D"/>
    <w:rsid w:val="00772554"/>
    <w:rsid w:val="00772D66"/>
    <w:rsid w:val="00773093"/>
    <w:rsid w:val="0077664F"/>
    <w:rsid w:val="0077734E"/>
    <w:rsid w:val="00777AD1"/>
    <w:rsid w:val="00777D09"/>
    <w:rsid w:val="00777F28"/>
    <w:rsid w:val="0078094C"/>
    <w:rsid w:val="00782597"/>
    <w:rsid w:val="00782846"/>
    <w:rsid w:val="0078682A"/>
    <w:rsid w:val="00787CCE"/>
    <w:rsid w:val="0079162D"/>
    <w:rsid w:val="00791DB2"/>
    <w:rsid w:val="00792D35"/>
    <w:rsid w:val="0079388A"/>
    <w:rsid w:val="0079403E"/>
    <w:rsid w:val="007949E2"/>
    <w:rsid w:val="007A132F"/>
    <w:rsid w:val="007A1A30"/>
    <w:rsid w:val="007A2B58"/>
    <w:rsid w:val="007A2ECF"/>
    <w:rsid w:val="007A2F23"/>
    <w:rsid w:val="007A3648"/>
    <w:rsid w:val="007A5967"/>
    <w:rsid w:val="007B704B"/>
    <w:rsid w:val="007C0F55"/>
    <w:rsid w:val="007C1D9E"/>
    <w:rsid w:val="007C4C42"/>
    <w:rsid w:val="007C691B"/>
    <w:rsid w:val="007D0C52"/>
    <w:rsid w:val="007D26D4"/>
    <w:rsid w:val="007D3FD5"/>
    <w:rsid w:val="007D48E7"/>
    <w:rsid w:val="007D530A"/>
    <w:rsid w:val="007D7A21"/>
    <w:rsid w:val="007E2DB2"/>
    <w:rsid w:val="007E3828"/>
    <w:rsid w:val="007E3AFE"/>
    <w:rsid w:val="007E5ECF"/>
    <w:rsid w:val="007E654F"/>
    <w:rsid w:val="007E67C9"/>
    <w:rsid w:val="007E7A53"/>
    <w:rsid w:val="007E7C6C"/>
    <w:rsid w:val="007F116B"/>
    <w:rsid w:val="007F45BD"/>
    <w:rsid w:val="007F4C44"/>
    <w:rsid w:val="007F514D"/>
    <w:rsid w:val="007F5324"/>
    <w:rsid w:val="00801357"/>
    <w:rsid w:val="008037EC"/>
    <w:rsid w:val="00806F58"/>
    <w:rsid w:val="00810D34"/>
    <w:rsid w:val="00811140"/>
    <w:rsid w:val="008118DD"/>
    <w:rsid w:val="00812113"/>
    <w:rsid w:val="008164C9"/>
    <w:rsid w:val="00822BD6"/>
    <w:rsid w:val="00824361"/>
    <w:rsid w:val="008246EE"/>
    <w:rsid w:val="00824CD8"/>
    <w:rsid w:val="008312E4"/>
    <w:rsid w:val="0083225B"/>
    <w:rsid w:val="00832AF3"/>
    <w:rsid w:val="00834482"/>
    <w:rsid w:val="0083448E"/>
    <w:rsid w:val="00834AA5"/>
    <w:rsid w:val="00841639"/>
    <w:rsid w:val="00841CD1"/>
    <w:rsid w:val="00842691"/>
    <w:rsid w:val="00843B26"/>
    <w:rsid w:val="00846C5B"/>
    <w:rsid w:val="0085301F"/>
    <w:rsid w:val="00853D53"/>
    <w:rsid w:val="0085460C"/>
    <w:rsid w:val="00855810"/>
    <w:rsid w:val="00857D6C"/>
    <w:rsid w:val="00860E34"/>
    <w:rsid w:val="008617E9"/>
    <w:rsid w:val="00861DAB"/>
    <w:rsid w:val="0086311D"/>
    <w:rsid w:val="00863D77"/>
    <w:rsid w:val="0086410B"/>
    <w:rsid w:val="008649B3"/>
    <w:rsid w:val="00864CC6"/>
    <w:rsid w:val="008671A9"/>
    <w:rsid w:val="008730AB"/>
    <w:rsid w:val="008739A0"/>
    <w:rsid w:val="008739C9"/>
    <w:rsid w:val="00873B03"/>
    <w:rsid w:val="00874529"/>
    <w:rsid w:val="00876D81"/>
    <w:rsid w:val="00876EA5"/>
    <w:rsid w:val="00877BB9"/>
    <w:rsid w:val="00880708"/>
    <w:rsid w:val="00880AC7"/>
    <w:rsid w:val="00883879"/>
    <w:rsid w:val="008872AE"/>
    <w:rsid w:val="00890881"/>
    <w:rsid w:val="008908FD"/>
    <w:rsid w:val="00890BA2"/>
    <w:rsid w:val="00891B85"/>
    <w:rsid w:val="008922DC"/>
    <w:rsid w:val="00895B1A"/>
    <w:rsid w:val="008A2182"/>
    <w:rsid w:val="008A4A53"/>
    <w:rsid w:val="008A6737"/>
    <w:rsid w:val="008A6B0D"/>
    <w:rsid w:val="008B10EF"/>
    <w:rsid w:val="008B79C0"/>
    <w:rsid w:val="008C00B4"/>
    <w:rsid w:val="008C0F36"/>
    <w:rsid w:val="008C104E"/>
    <w:rsid w:val="008C1FAE"/>
    <w:rsid w:val="008C2108"/>
    <w:rsid w:val="008C2639"/>
    <w:rsid w:val="008C28FD"/>
    <w:rsid w:val="008C3259"/>
    <w:rsid w:val="008C32B1"/>
    <w:rsid w:val="008C4BD1"/>
    <w:rsid w:val="008C52F2"/>
    <w:rsid w:val="008C7826"/>
    <w:rsid w:val="008D0344"/>
    <w:rsid w:val="008D0985"/>
    <w:rsid w:val="008D3843"/>
    <w:rsid w:val="008D4ABA"/>
    <w:rsid w:val="008D5B06"/>
    <w:rsid w:val="008D5BD5"/>
    <w:rsid w:val="008E0248"/>
    <w:rsid w:val="008E35C9"/>
    <w:rsid w:val="008E3B87"/>
    <w:rsid w:val="008E6C0D"/>
    <w:rsid w:val="008E7AC2"/>
    <w:rsid w:val="008F17D4"/>
    <w:rsid w:val="008F2D52"/>
    <w:rsid w:val="008F3241"/>
    <w:rsid w:val="00901AB5"/>
    <w:rsid w:val="00903444"/>
    <w:rsid w:val="00906A78"/>
    <w:rsid w:val="009139BA"/>
    <w:rsid w:val="00913F81"/>
    <w:rsid w:val="00913FC0"/>
    <w:rsid w:val="009141B9"/>
    <w:rsid w:val="00915D2D"/>
    <w:rsid w:val="0091605B"/>
    <w:rsid w:val="009174FB"/>
    <w:rsid w:val="00921CAE"/>
    <w:rsid w:val="009223E6"/>
    <w:rsid w:val="00925804"/>
    <w:rsid w:val="00925DCA"/>
    <w:rsid w:val="009271FF"/>
    <w:rsid w:val="00931B49"/>
    <w:rsid w:val="00933051"/>
    <w:rsid w:val="0094027D"/>
    <w:rsid w:val="009419AB"/>
    <w:rsid w:val="00942E2B"/>
    <w:rsid w:val="00943058"/>
    <w:rsid w:val="009431E0"/>
    <w:rsid w:val="00943F66"/>
    <w:rsid w:val="009444CB"/>
    <w:rsid w:val="00944C26"/>
    <w:rsid w:val="00947169"/>
    <w:rsid w:val="00947308"/>
    <w:rsid w:val="00950A51"/>
    <w:rsid w:val="00953206"/>
    <w:rsid w:val="0095332A"/>
    <w:rsid w:val="00953B1F"/>
    <w:rsid w:val="009550CB"/>
    <w:rsid w:val="00955588"/>
    <w:rsid w:val="009562ED"/>
    <w:rsid w:val="009609C0"/>
    <w:rsid w:val="009633A2"/>
    <w:rsid w:val="00963FEC"/>
    <w:rsid w:val="0096769A"/>
    <w:rsid w:val="009705B2"/>
    <w:rsid w:val="0097211E"/>
    <w:rsid w:val="00972BC7"/>
    <w:rsid w:val="00973624"/>
    <w:rsid w:val="009751BB"/>
    <w:rsid w:val="009753D6"/>
    <w:rsid w:val="00975DB9"/>
    <w:rsid w:val="0097637D"/>
    <w:rsid w:val="009811C1"/>
    <w:rsid w:val="00981701"/>
    <w:rsid w:val="00981B48"/>
    <w:rsid w:val="00983792"/>
    <w:rsid w:val="009868E7"/>
    <w:rsid w:val="00995807"/>
    <w:rsid w:val="0099654E"/>
    <w:rsid w:val="00997ADB"/>
    <w:rsid w:val="00997B3B"/>
    <w:rsid w:val="009A1DB9"/>
    <w:rsid w:val="009A2ED6"/>
    <w:rsid w:val="009A3040"/>
    <w:rsid w:val="009A35AB"/>
    <w:rsid w:val="009B047C"/>
    <w:rsid w:val="009B0570"/>
    <w:rsid w:val="009B0F16"/>
    <w:rsid w:val="009B3139"/>
    <w:rsid w:val="009B5CBD"/>
    <w:rsid w:val="009B5E88"/>
    <w:rsid w:val="009B6A82"/>
    <w:rsid w:val="009C0068"/>
    <w:rsid w:val="009C01DE"/>
    <w:rsid w:val="009C055E"/>
    <w:rsid w:val="009C0E08"/>
    <w:rsid w:val="009C406C"/>
    <w:rsid w:val="009C431C"/>
    <w:rsid w:val="009C53A3"/>
    <w:rsid w:val="009E1135"/>
    <w:rsid w:val="009F0679"/>
    <w:rsid w:val="009F2291"/>
    <w:rsid w:val="009F28EB"/>
    <w:rsid w:val="009F5585"/>
    <w:rsid w:val="009F57FC"/>
    <w:rsid w:val="009F5F27"/>
    <w:rsid w:val="00A00757"/>
    <w:rsid w:val="00A021A1"/>
    <w:rsid w:val="00A03D1C"/>
    <w:rsid w:val="00A1178E"/>
    <w:rsid w:val="00A129BB"/>
    <w:rsid w:val="00A1462F"/>
    <w:rsid w:val="00A163EF"/>
    <w:rsid w:val="00A2308C"/>
    <w:rsid w:val="00A2383F"/>
    <w:rsid w:val="00A24B94"/>
    <w:rsid w:val="00A2604B"/>
    <w:rsid w:val="00A260AA"/>
    <w:rsid w:val="00A336E6"/>
    <w:rsid w:val="00A35C88"/>
    <w:rsid w:val="00A37CE9"/>
    <w:rsid w:val="00A40086"/>
    <w:rsid w:val="00A409E9"/>
    <w:rsid w:val="00A40A7E"/>
    <w:rsid w:val="00A40DEC"/>
    <w:rsid w:val="00A410DB"/>
    <w:rsid w:val="00A41DF2"/>
    <w:rsid w:val="00A424B7"/>
    <w:rsid w:val="00A43262"/>
    <w:rsid w:val="00A50260"/>
    <w:rsid w:val="00A5065F"/>
    <w:rsid w:val="00A52C55"/>
    <w:rsid w:val="00A53CDA"/>
    <w:rsid w:val="00A55240"/>
    <w:rsid w:val="00A611C7"/>
    <w:rsid w:val="00A61BCC"/>
    <w:rsid w:val="00A6419C"/>
    <w:rsid w:val="00A644E3"/>
    <w:rsid w:val="00A708CC"/>
    <w:rsid w:val="00A71635"/>
    <w:rsid w:val="00A758EB"/>
    <w:rsid w:val="00A810E4"/>
    <w:rsid w:val="00A824CD"/>
    <w:rsid w:val="00A84C1B"/>
    <w:rsid w:val="00A84DDE"/>
    <w:rsid w:val="00A85480"/>
    <w:rsid w:val="00A8641F"/>
    <w:rsid w:val="00A92397"/>
    <w:rsid w:val="00A95FDA"/>
    <w:rsid w:val="00AA2DF4"/>
    <w:rsid w:val="00AB02EC"/>
    <w:rsid w:val="00AB22EB"/>
    <w:rsid w:val="00AB306F"/>
    <w:rsid w:val="00AB3322"/>
    <w:rsid w:val="00AB378A"/>
    <w:rsid w:val="00AB4485"/>
    <w:rsid w:val="00AB5EF3"/>
    <w:rsid w:val="00AB681F"/>
    <w:rsid w:val="00AC0D29"/>
    <w:rsid w:val="00AC130B"/>
    <w:rsid w:val="00AC2AE6"/>
    <w:rsid w:val="00AC4C3B"/>
    <w:rsid w:val="00AC6F14"/>
    <w:rsid w:val="00AD2207"/>
    <w:rsid w:val="00AD3713"/>
    <w:rsid w:val="00AD789C"/>
    <w:rsid w:val="00AE2154"/>
    <w:rsid w:val="00AE26B2"/>
    <w:rsid w:val="00AE3581"/>
    <w:rsid w:val="00AF4EAB"/>
    <w:rsid w:val="00AF5250"/>
    <w:rsid w:val="00AF5A5A"/>
    <w:rsid w:val="00B04CA6"/>
    <w:rsid w:val="00B06047"/>
    <w:rsid w:val="00B111F0"/>
    <w:rsid w:val="00B128F4"/>
    <w:rsid w:val="00B13500"/>
    <w:rsid w:val="00B14AAA"/>
    <w:rsid w:val="00B15340"/>
    <w:rsid w:val="00B1708D"/>
    <w:rsid w:val="00B20EE3"/>
    <w:rsid w:val="00B2131C"/>
    <w:rsid w:val="00B216CD"/>
    <w:rsid w:val="00B217FA"/>
    <w:rsid w:val="00B26982"/>
    <w:rsid w:val="00B2765A"/>
    <w:rsid w:val="00B27FFC"/>
    <w:rsid w:val="00B31477"/>
    <w:rsid w:val="00B36B9F"/>
    <w:rsid w:val="00B4023E"/>
    <w:rsid w:val="00B42513"/>
    <w:rsid w:val="00B42FC3"/>
    <w:rsid w:val="00B433D1"/>
    <w:rsid w:val="00B457AC"/>
    <w:rsid w:val="00B47AF7"/>
    <w:rsid w:val="00B54B48"/>
    <w:rsid w:val="00B603ED"/>
    <w:rsid w:val="00B60C48"/>
    <w:rsid w:val="00B614A6"/>
    <w:rsid w:val="00B61C3C"/>
    <w:rsid w:val="00B61CA3"/>
    <w:rsid w:val="00B62195"/>
    <w:rsid w:val="00B625E3"/>
    <w:rsid w:val="00B65850"/>
    <w:rsid w:val="00B664BF"/>
    <w:rsid w:val="00B673D2"/>
    <w:rsid w:val="00B70DBB"/>
    <w:rsid w:val="00B70EAC"/>
    <w:rsid w:val="00B724D3"/>
    <w:rsid w:val="00B74E28"/>
    <w:rsid w:val="00B7541A"/>
    <w:rsid w:val="00B7557F"/>
    <w:rsid w:val="00B76566"/>
    <w:rsid w:val="00B81103"/>
    <w:rsid w:val="00B821BF"/>
    <w:rsid w:val="00B861DA"/>
    <w:rsid w:val="00B905FE"/>
    <w:rsid w:val="00B91348"/>
    <w:rsid w:val="00B9261C"/>
    <w:rsid w:val="00B9465B"/>
    <w:rsid w:val="00B95BD7"/>
    <w:rsid w:val="00B969C2"/>
    <w:rsid w:val="00B97E0E"/>
    <w:rsid w:val="00BA227C"/>
    <w:rsid w:val="00BA3A14"/>
    <w:rsid w:val="00BA5BB7"/>
    <w:rsid w:val="00BB011C"/>
    <w:rsid w:val="00BB02C5"/>
    <w:rsid w:val="00BB167B"/>
    <w:rsid w:val="00BB23EA"/>
    <w:rsid w:val="00BB268A"/>
    <w:rsid w:val="00BB3C5D"/>
    <w:rsid w:val="00BB541C"/>
    <w:rsid w:val="00BB624F"/>
    <w:rsid w:val="00BC0E23"/>
    <w:rsid w:val="00BC2AFB"/>
    <w:rsid w:val="00BC3304"/>
    <w:rsid w:val="00BC5391"/>
    <w:rsid w:val="00BD1DCA"/>
    <w:rsid w:val="00BD79EC"/>
    <w:rsid w:val="00BE0E8B"/>
    <w:rsid w:val="00BE346B"/>
    <w:rsid w:val="00BE46F0"/>
    <w:rsid w:val="00BE4812"/>
    <w:rsid w:val="00BE5BF8"/>
    <w:rsid w:val="00BE6B99"/>
    <w:rsid w:val="00BE7ABE"/>
    <w:rsid w:val="00BF0F7F"/>
    <w:rsid w:val="00BF4BD6"/>
    <w:rsid w:val="00BF4FF2"/>
    <w:rsid w:val="00C00401"/>
    <w:rsid w:val="00C00C65"/>
    <w:rsid w:val="00C0148B"/>
    <w:rsid w:val="00C0173F"/>
    <w:rsid w:val="00C01804"/>
    <w:rsid w:val="00C02492"/>
    <w:rsid w:val="00C03C4C"/>
    <w:rsid w:val="00C04307"/>
    <w:rsid w:val="00C04396"/>
    <w:rsid w:val="00C04AFB"/>
    <w:rsid w:val="00C07510"/>
    <w:rsid w:val="00C1332B"/>
    <w:rsid w:val="00C13BBB"/>
    <w:rsid w:val="00C228C7"/>
    <w:rsid w:val="00C235A4"/>
    <w:rsid w:val="00C252BC"/>
    <w:rsid w:val="00C26283"/>
    <w:rsid w:val="00C26559"/>
    <w:rsid w:val="00C27405"/>
    <w:rsid w:val="00C30D5B"/>
    <w:rsid w:val="00C32273"/>
    <w:rsid w:val="00C3324E"/>
    <w:rsid w:val="00C3482A"/>
    <w:rsid w:val="00C36A37"/>
    <w:rsid w:val="00C37395"/>
    <w:rsid w:val="00C37B19"/>
    <w:rsid w:val="00C37E31"/>
    <w:rsid w:val="00C4456B"/>
    <w:rsid w:val="00C479C6"/>
    <w:rsid w:val="00C526E6"/>
    <w:rsid w:val="00C53753"/>
    <w:rsid w:val="00C57C15"/>
    <w:rsid w:val="00C60A4E"/>
    <w:rsid w:val="00C618EB"/>
    <w:rsid w:val="00C61DED"/>
    <w:rsid w:val="00C64A8A"/>
    <w:rsid w:val="00C64BF9"/>
    <w:rsid w:val="00C64C86"/>
    <w:rsid w:val="00C6638D"/>
    <w:rsid w:val="00C70135"/>
    <w:rsid w:val="00C70791"/>
    <w:rsid w:val="00C71458"/>
    <w:rsid w:val="00C7203C"/>
    <w:rsid w:val="00C723E2"/>
    <w:rsid w:val="00C75DE3"/>
    <w:rsid w:val="00C760E1"/>
    <w:rsid w:val="00C7730C"/>
    <w:rsid w:val="00C80908"/>
    <w:rsid w:val="00C82781"/>
    <w:rsid w:val="00C832DD"/>
    <w:rsid w:val="00C834BC"/>
    <w:rsid w:val="00C84FEA"/>
    <w:rsid w:val="00C854FE"/>
    <w:rsid w:val="00C85606"/>
    <w:rsid w:val="00C858D3"/>
    <w:rsid w:val="00C85991"/>
    <w:rsid w:val="00C9208C"/>
    <w:rsid w:val="00C92845"/>
    <w:rsid w:val="00C9446F"/>
    <w:rsid w:val="00CA1CDF"/>
    <w:rsid w:val="00CA5C5B"/>
    <w:rsid w:val="00CA6006"/>
    <w:rsid w:val="00CA6774"/>
    <w:rsid w:val="00CA7858"/>
    <w:rsid w:val="00CA7EBB"/>
    <w:rsid w:val="00CB21F2"/>
    <w:rsid w:val="00CB3F5A"/>
    <w:rsid w:val="00CB69C0"/>
    <w:rsid w:val="00CB747E"/>
    <w:rsid w:val="00CC1007"/>
    <w:rsid w:val="00CC13E5"/>
    <w:rsid w:val="00CC1823"/>
    <w:rsid w:val="00CC3A06"/>
    <w:rsid w:val="00CD0F1F"/>
    <w:rsid w:val="00CD2076"/>
    <w:rsid w:val="00CD2529"/>
    <w:rsid w:val="00CD5E62"/>
    <w:rsid w:val="00CE2882"/>
    <w:rsid w:val="00CE5440"/>
    <w:rsid w:val="00CE58A1"/>
    <w:rsid w:val="00CE6B8B"/>
    <w:rsid w:val="00CE78AE"/>
    <w:rsid w:val="00CF2938"/>
    <w:rsid w:val="00CF2FC4"/>
    <w:rsid w:val="00CF4A6B"/>
    <w:rsid w:val="00D01654"/>
    <w:rsid w:val="00D01CC3"/>
    <w:rsid w:val="00D02463"/>
    <w:rsid w:val="00D02660"/>
    <w:rsid w:val="00D035D9"/>
    <w:rsid w:val="00D03839"/>
    <w:rsid w:val="00D038BC"/>
    <w:rsid w:val="00D03B4D"/>
    <w:rsid w:val="00D05954"/>
    <w:rsid w:val="00D05C30"/>
    <w:rsid w:val="00D0642C"/>
    <w:rsid w:val="00D13871"/>
    <w:rsid w:val="00D16954"/>
    <w:rsid w:val="00D16C29"/>
    <w:rsid w:val="00D16E6B"/>
    <w:rsid w:val="00D16FCF"/>
    <w:rsid w:val="00D20590"/>
    <w:rsid w:val="00D20B7C"/>
    <w:rsid w:val="00D23201"/>
    <w:rsid w:val="00D235C3"/>
    <w:rsid w:val="00D24896"/>
    <w:rsid w:val="00D303A1"/>
    <w:rsid w:val="00D30F19"/>
    <w:rsid w:val="00D329EA"/>
    <w:rsid w:val="00D3362F"/>
    <w:rsid w:val="00D33ABB"/>
    <w:rsid w:val="00D34324"/>
    <w:rsid w:val="00D34500"/>
    <w:rsid w:val="00D35BF2"/>
    <w:rsid w:val="00D4088D"/>
    <w:rsid w:val="00D42A5E"/>
    <w:rsid w:val="00D4510C"/>
    <w:rsid w:val="00D45F5A"/>
    <w:rsid w:val="00D47E99"/>
    <w:rsid w:val="00D53AC7"/>
    <w:rsid w:val="00D57158"/>
    <w:rsid w:val="00D5733E"/>
    <w:rsid w:val="00D576F4"/>
    <w:rsid w:val="00D61897"/>
    <w:rsid w:val="00D67573"/>
    <w:rsid w:val="00D70F9D"/>
    <w:rsid w:val="00D75738"/>
    <w:rsid w:val="00D75F43"/>
    <w:rsid w:val="00D80F50"/>
    <w:rsid w:val="00D8242E"/>
    <w:rsid w:val="00D82759"/>
    <w:rsid w:val="00D83696"/>
    <w:rsid w:val="00D83F18"/>
    <w:rsid w:val="00D86CAD"/>
    <w:rsid w:val="00D87722"/>
    <w:rsid w:val="00D904A7"/>
    <w:rsid w:val="00D91FE7"/>
    <w:rsid w:val="00D972A6"/>
    <w:rsid w:val="00D975A4"/>
    <w:rsid w:val="00DA2387"/>
    <w:rsid w:val="00DA300D"/>
    <w:rsid w:val="00DA30B9"/>
    <w:rsid w:val="00DA4718"/>
    <w:rsid w:val="00DA55E2"/>
    <w:rsid w:val="00DA6E57"/>
    <w:rsid w:val="00DB1CA5"/>
    <w:rsid w:val="00DB6BBE"/>
    <w:rsid w:val="00DC1FAE"/>
    <w:rsid w:val="00DC55FC"/>
    <w:rsid w:val="00DC66A7"/>
    <w:rsid w:val="00DD14EB"/>
    <w:rsid w:val="00DD5CCF"/>
    <w:rsid w:val="00DE232D"/>
    <w:rsid w:val="00DE3868"/>
    <w:rsid w:val="00DE3ADF"/>
    <w:rsid w:val="00DE51D2"/>
    <w:rsid w:val="00DE6166"/>
    <w:rsid w:val="00DE67CF"/>
    <w:rsid w:val="00DE689B"/>
    <w:rsid w:val="00DE7D5D"/>
    <w:rsid w:val="00DF16F9"/>
    <w:rsid w:val="00DF60E2"/>
    <w:rsid w:val="00DF660E"/>
    <w:rsid w:val="00DF675E"/>
    <w:rsid w:val="00DF7365"/>
    <w:rsid w:val="00DF7E7E"/>
    <w:rsid w:val="00E04C66"/>
    <w:rsid w:val="00E11B62"/>
    <w:rsid w:val="00E11CAD"/>
    <w:rsid w:val="00E11FAA"/>
    <w:rsid w:val="00E146F7"/>
    <w:rsid w:val="00E14FA4"/>
    <w:rsid w:val="00E1669E"/>
    <w:rsid w:val="00E2314D"/>
    <w:rsid w:val="00E232FB"/>
    <w:rsid w:val="00E25428"/>
    <w:rsid w:val="00E27625"/>
    <w:rsid w:val="00E30E5B"/>
    <w:rsid w:val="00E30FA1"/>
    <w:rsid w:val="00E33C20"/>
    <w:rsid w:val="00E37C5F"/>
    <w:rsid w:val="00E40600"/>
    <w:rsid w:val="00E44C57"/>
    <w:rsid w:val="00E4595F"/>
    <w:rsid w:val="00E46AF6"/>
    <w:rsid w:val="00E50C33"/>
    <w:rsid w:val="00E50C72"/>
    <w:rsid w:val="00E5149E"/>
    <w:rsid w:val="00E51EDF"/>
    <w:rsid w:val="00E53F9A"/>
    <w:rsid w:val="00E5414F"/>
    <w:rsid w:val="00E54661"/>
    <w:rsid w:val="00E620A2"/>
    <w:rsid w:val="00E62C24"/>
    <w:rsid w:val="00E67075"/>
    <w:rsid w:val="00E67FCC"/>
    <w:rsid w:val="00E705D4"/>
    <w:rsid w:val="00E74961"/>
    <w:rsid w:val="00E75DB6"/>
    <w:rsid w:val="00E76734"/>
    <w:rsid w:val="00E76C6F"/>
    <w:rsid w:val="00E77182"/>
    <w:rsid w:val="00E82C71"/>
    <w:rsid w:val="00E84541"/>
    <w:rsid w:val="00E846F7"/>
    <w:rsid w:val="00E87D8E"/>
    <w:rsid w:val="00E92406"/>
    <w:rsid w:val="00E92F23"/>
    <w:rsid w:val="00E96354"/>
    <w:rsid w:val="00EA0CB3"/>
    <w:rsid w:val="00EA2EF3"/>
    <w:rsid w:val="00EA34A3"/>
    <w:rsid w:val="00EA42B0"/>
    <w:rsid w:val="00EA4E7A"/>
    <w:rsid w:val="00EA7A83"/>
    <w:rsid w:val="00EB1B48"/>
    <w:rsid w:val="00EB4C23"/>
    <w:rsid w:val="00EC350E"/>
    <w:rsid w:val="00EC5D49"/>
    <w:rsid w:val="00EC5EBA"/>
    <w:rsid w:val="00ED2208"/>
    <w:rsid w:val="00ED7CE3"/>
    <w:rsid w:val="00EE1773"/>
    <w:rsid w:val="00EE1E4E"/>
    <w:rsid w:val="00EE21D9"/>
    <w:rsid w:val="00EE430C"/>
    <w:rsid w:val="00EE471A"/>
    <w:rsid w:val="00EE671F"/>
    <w:rsid w:val="00EF09A8"/>
    <w:rsid w:val="00EF0D03"/>
    <w:rsid w:val="00EF1C6D"/>
    <w:rsid w:val="00EF2A60"/>
    <w:rsid w:val="00EF4C49"/>
    <w:rsid w:val="00EF5088"/>
    <w:rsid w:val="00EF71EF"/>
    <w:rsid w:val="00EF755F"/>
    <w:rsid w:val="00F0072C"/>
    <w:rsid w:val="00F036E3"/>
    <w:rsid w:val="00F04FE0"/>
    <w:rsid w:val="00F056FF"/>
    <w:rsid w:val="00F05AB7"/>
    <w:rsid w:val="00F06E07"/>
    <w:rsid w:val="00F07A6C"/>
    <w:rsid w:val="00F10315"/>
    <w:rsid w:val="00F10347"/>
    <w:rsid w:val="00F10E13"/>
    <w:rsid w:val="00F12C4A"/>
    <w:rsid w:val="00F224C2"/>
    <w:rsid w:val="00F233CF"/>
    <w:rsid w:val="00F23A44"/>
    <w:rsid w:val="00F243A6"/>
    <w:rsid w:val="00F253ED"/>
    <w:rsid w:val="00F25525"/>
    <w:rsid w:val="00F25AFA"/>
    <w:rsid w:val="00F3101A"/>
    <w:rsid w:val="00F32A3C"/>
    <w:rsid w:val="00F34583"/>
    <w:rsid w:val="00F34731"/>
    <w:rsid w:val="00F422A3"/>
    <w:rsid w:val="00F44B19"/>
    <w:rsid w:val="00F554CD"/>
    <w:rsid w:val="00F62AD9"/>
    <w:rsid w:val="00F6544B"/>
    <w:rsid w:val="00F65F34"/>
    <w:rsid w:val="00F66310"/>
    <w:rsid w:val="00F71A9E"/>
    <w:rsid w:val="00F74983"/>
    <w:rsid w:val="00F77AD9"/>
    <w:rsid w:val="00F81B1E"/>
    <w:rsid w:val="00F829E8"/>
    <w:rsid w:val="00F841B0"/>
    <w:rsid w:val="00F903C8"/>
    <w:rsid w:val="00F922D8"/>
    <w:rsid w:val="00F95598"/>
    <w:rsid w:val="00F96474"/>
    <w:rsid w:val="00F9725D"/>
    <w:rsid w:val="00FA24C7"/>
    <w:rsid w:val="00FA553F"/>
    <w:rsid w:val="00FA590E"/>
    <w:rsid w:val="00FA71EA"/>
    <w:rsid w:val="00FB1829"/>
    <w:rsid w:val="00FB7668"/>
    <w:rsid w:val="00FC2452"/>
    <w:rsid w:val="00FC5A79"/>
    <w:rsid w:val="00FC5C25"/>
    <w:rsid w:val="00FC5E56"/>
    <w:rsid w:val="00FC7F36"/>
    <w:rsid w:val="00FD0F8F"/>
    <w:rsid w:val="00FD6413"/>
    <w:rsid w:val="00FE4E4C"/>
    <w:rsid w:val="00FE57D0"/>
    <w:rsid w:val="00FE5D6B"/>
    <w:rsid w:val="00FF0582"/>
    <w:rsid w:val="00FF0D04"/>
    <w:rsid w:val="00FF1A06"/>
    <w:rsid w:val="00FF2A74"/>
    <w:rsid w:val="00FF527B"/>
    <w:rsid w:val="00FF64FB"/>
    <w:rsid w:val="00FF6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4"/>
    <w:lsdException w:name="header" w:uiPriority="99"/>
    <w:lsdException w:name="footer" w:uiPriority="99"/>
    <w:lsdException w:name="caption" w:semiHidden="1" w:unhideWhenUsed="1"/>
    <w:lsdException w:name="footnote reference" w:uiPriority="4"/>
    <w:lsdException w:name="annotation reference" w:uiPriority="4"/>
    <w:lsdException w:name="endnote reference" w:uiPriority="99"/>
    <w:lsdException w:name="endnote text" w:uiPriority="99"/>
    <w:lsdException w:name="List Bullet" w:qFormat="1"/>
    <w:lsdException w:name="List Bullet 2" w:qFormat="1"/>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312"/>
  </w:style>
  <w:style w:type="paragraph" w:styleId="Heading1">
    <w:name w:val="heading 1"/>
    <w:basedOn w:val="Normal"/>
    <w:next w:val="Normal"/>
    <w:link w:val="Heading1Char"/>
    <w:uiPriority w:val="9"/>
    <w:qFormat/>
    <w:rsid w:val="00477F6E"/>
    <w:pPr>
      <w:spacing w:before="120" w:after="120"/>
      <w:contextualSpacing/>
      <w:outlineLvl w:val="0"/>
    </w:pPr>
    <w:rPr>
      <w:rFonts w:asciiTheme="majorHAnsi" w:eastAsiaTheme="majorEastAsia" w:hAnsiTheme="majorHAnsi" w:cstheme="majorBidi"/>
      <w:b/>
      <w:bCs/>
      <w:sz w:val="28"/>
      <w:szCs w:val="28"/>
    </w:rPr>
  </w:style>
  <w:style w:type="paragraph" w:styleId="Heading2">
    <w:name w:val="heading 2"/>
    <w:basedOn w:val="Heading1-number"/>
    <w:next w:val="Normal"/>
    <w:link w:val="Heading2Char"/>
    <w:uiPriority w:val="9"/>
    <w:unhideWhenUsed/>
    <w:qFormat/>
    <w:rsid w:val="00263482"/>
    <w:pPr>
      <w:keepNext/>
      <w:numPr>
        <w:ilvl w:val="1"/>
      </w:numPr>
      <w:outlineLvl w:val="1"/>
    </w:pPr>
    <w:rPr>
      <w:sz w:val="24"/>
    </w:rPr>
  </w:style>
  <w:style w:type="paragraph" w:styleId="Heading3">
    <w:name w:val="heading 3"/>
    <w:basedOn w:val="Heading4"/>
    <w:next w:val="Normal"/>
    <w:link w:val="Heading3Char"/>
    <w:uiPriority w:val="9"/>
    <w:unhideWhenUsed/>
    <w:qFormat/>
    <w:rsid w:val="00B13500"/>
    <w:pPr>
      <w:outlineLvl w:val="2"/>
    </w:pPr>
  </w:style>
  <w:style w:type="paragraph" w:styleId="Heading4">
    <w:name w:val="heading 4"/>
    <w:basedOn w:val="Normal"/>
    <w:next w:val="Normal"/>
    <w:link w:val="Heading4Char"/>
    <w:uiPriority w:val="9"/>
    <w:unhideWhenUsed/>
    <w:qFormat/>
    <w:rsid w:val="00B13500"/>
    <w:pPr>
      <w:keepNext/>
      <w:outlineLvl w:val="3"/>
    </w:pPr>
    <w:rPr>
      <w:rFonts w:cstheme="minorHAnsi"/>
      <w:b/>
    </w:rPr>
  </w:style>
  <w:style w:type="paragraph" w:styleId="Heading5">
    <w:name w:val="heading 5"/>
    <w:basedOn w:val="Normal"/>
    <w:next w:val="Normal"/>
    <w:link w:val="Heading5Char"/>
    <w:uiPriority w:val="9"/>
    <w:unhideWhenUsed/>
    <w:qFormat/>
    <w:rsid w:val="00E77182"/>
    <w:pPr>
      <w:outlineLvl w:val="4"/>
    </w:pPr>
    <w:rPr>
      <w:rFonts w:cstheme="minorHAnsi"/>
      <w:i/>
    </w:rPr>
  </w:style>
  <w:style w:type="paragraph" w:styleId="Heading6">
    <w:name w:val="heading 6"/>
    <w:basedOn w:val="Normal"/>
    <w:next w:val="Normal"/>
    <w:link w:val="Heading6Char"/>
    <w:uiPriority w:val="9"/>
    <w:semiHidden/>
    <w:unhideWhenUsed/>
    <w:qFormat/>
    <w:rsid w:val="003C731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C731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731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731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2">
    <w:name w:val="List Para 2"/>
    <w:basedOn w:val="ListParagraph"/>
    <w:link w:val="ListPara2Char"/>
    <w:rsid w:val="007368CC"/>
    <w:pPr>
      <w:ind w:left="1208" w:hanging="357"/>
    </w:pPr>
  </w:style>
  <w:style w:type="character" w:customStyle="1" w:styleId="ListPara2Char">
    <w:name w:val="List Para 2 Char"/>
    <w:basedOn w:val="ListParagraphChar"/>
    <w:link w:val="ListPara2"/>
    <w:rsid w:val="007368CC"/>
    <w:rPr>
      <w:rFonts w:ascii="Arial" w:hAnsi="Arial"/>
      <w:szCs w:val="24"/>
    </w:rPr>
  </w:style>
  <w:style w:type="paragraph" w:styleId="ListParagraph">
    <w:name w:val="List Paragraph"/>
    <w:basedOn w:val="Normal"/>
    <w:link w:val="ListParagraphChar"/>
    <w:uiPriority w:val="34"/>
    <w:qFormat/>
    <w:rsid w:val="003C7312"/>
    <w:pPr>
      <w:ind w:left="720"/>
      <w:contextualSpacing/>
    </w:pPr>
  </w:style>
  <w:style w:type="paragraph" w:customStyle="1" w:styleId="Bulletlist">
    <w:name w:val="Bullet list"/>
    <w:basedOn w:val="ListParagraph"/>
    <w:link w:val="BulletlistChar"/>
    <w:rsid w:val="007368CC"/>
    <w:pPr>
      <w:spacing w:after="0"/>
      <w:ind w:hanging="360"/>
    </w:pPr>
  </w:style>
  <w:style w:type="character" w:customStyle="1" w:styleId="BulletlistChar">
    <w:name w:val="Bullet list Char"/>
    <w:basedOn w:val="ListParagraphChar"/>
    <w:link w:val="Bulletlist"/>
    <w:rsid w:val="007368CC"/>
    <w:rPr>
      <w:rFonts w:ascii="Arial" w:hAnsi="Arial"/>
      <w:szCs w:val="24"/>
    </w:rPr>
  </w:style>
  <w:style w:type="character" w:customStyle="1" w:styleId="Heading1Char">
    <w:name w:val="Heading 1 Char"/>
    <w:basedOn w:val="DefaultParagraphFont"/>
    <w:link w:val="Heading1"/>
    <w:uiPriority w:val="9"/>
    <w:rsid w:val="00477F6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63482"/>
    <w:rPr>
      <w:rFonts w:asciiTheme="majorHAnsi" w:eastAsia="Batang" w:hAnsiTheme="majorHAnsi" w:cs="Arial"/>
      <w:b/>
      <w:bCs/>
      <w:sz w:val="24"/>
      <w:szCs w:val="32"/>
    </w:rPr>
  </w:style>
  <w:style w:type="character" w:customStyle="1" w:styleId="Heading3Char">
    <w:name w:val="Heading 3 Char"/>
    <w:basedOn w:val="DefaultParagraphFont"/>
    <w:link w:val="Heading3"/>
    <w:uiPriority w:val="9"/>
    <w:rsid w:val="00B13500"/>
    <w:rPr>
      <w:rFonts w:cstheme="minorHAnsi"/>
      <w:b/>
    </w:rPr>
  </w:style>
  <w:style w:type="character" w:customStyle="1" w:styleId="Heading4Char">
    <w:name w:val="Heading 4 Char"/>
    <w:basedOn w:val="DefaultParagraphFont"/>
    <w:link w:val="Heading4"/>
    <w:uiPriority w:val="9"/>
    <w:rsid w:val="00B13500"/>
    <w:rPr>
      <w:rFonts w:cstheme="minorHAnsi"/>
      <w:b/>
    </w:rPr>
  </w:style>
  <w:style w:type="character" w:customStyle="1" w:styleId="Heading5Char">
    <w:name w:val="Heading 5 Char"/>
    <w:basedOn w:val="DefaultParagraphFont"/>
    <w:link w:val="Heading5"/>
    <w:uiPriority w:val="9"/>
    <w:rsid w:val="00E77182"/>
    <w:rPr>
      <w:rFonts w:cstheme="minorHAnsi"/>
      <w:i/>
    </w:rPr>
  </w:style>
  <w:style w:type="character" w:customStyle="1" w:styleId="Heading6Char">
    <w:name w:val="Heading 6 Char"/>
    <w:basedOn w:val="DefaultParagraphFont"/>
    <w:link w:val="Heading6"/>
    <w:uiPriority w:val="9"/>
    <w:semiHidden/>
    <w:rsid w:val="003C731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C731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C731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C731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C731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C731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C731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C7312"/>
    <w:rPr>
      <w:rFonts w:asciiTheme="majorHAnsi" w:eastAsiaTheme="majorEastAsia" w:hAnsiTheme="majorHAnsi" w:cstheme="majorBidi"/>
      <w:i/>
      <w:iCs/>
      <w:spacing w:val="13"/>
      <w:sz w:val="24"/>
      <w:szCs w:val="24"/>
    </w:rPr>
  </w:style>
  <w:style w:type="character" w:styleId="Strong">
    <w:name w:val="Strong"/>
    <w:uiPriority w:val="22"/>
    <w:qFormat/>
    <w:rsid w:val="003C7312"/>
    <w:rPr>
      <w:b/>
      <w:bCs/>
    </w:rPr>
  </w:style>
  <w:style w:type="character" w:styleId="Emphasis">
    <w:name w:val="Emphasis"/>
    <w:uiPriority w:val="20"/>
    <w:qFormat/>
    <w:rsid w:val="003C7312"/>
    <w:rPr>
      <w:b/>
      <w:bCs/>
      <w:i/>
      <w:iCs/>
      <w:spacing w:val="10"/>
      <w:bdr w:val="none" w:sz="0" w:space="0" w:color="auto"/>
      <w:shd w:val="clear" w:color="auto" w:fill="auto"/>
    </w:rPr>
  </w:style>
  <w:style w:type="paragraph" w:styleId="NoSpacing">
    <w:name w:val="No Spacing"/>
    <w:basedOn w:val="Normal"/>
    <w:uiPriority w:val="1"/>
    <w:qFormat/>
    <w:rsid w:val="003C7312"/>
    <w:pPr>
      <w:spacing w:after="0"/>
    </w:pPr>
  </w:style>
  <w:style w:type="character" w:customStyle="1" w:styleId="ListParagraphChar">
    <w:name w:val="List Paragraph Char"/>
    <w:basedOn w:val="DefaultParagraphFont"/>
    <w:link w:val="ListParagraph"/>
    <w:uiPriority w:val="34"/>
    <w:rsid w:val="007368CC"/>
  </w:style>
  <w:style w:type="paragraph" w:styleId="Quote">
    <w:name w:val="Quote"/>
    <w:basedOn w:val="Normal"/>
    <w:next w:val="Normal"/>
    <w:link w:val="QuoteChar"/>
    <w:uiPriority w:val="29"/>
    <w:qFormat/>
    <w:rsid w:val="003C7312"/>
    <w:pPr>
      <w:spacing w:before="200" w:after="0"/>
      <w:ind w:left="360" w:right="360"/>
    </w:pPr>
    <w:rPr>
      <w:i/>
      <w:iCs/>
    </w:rPr>
  </w:style>
  <w:style w:type="character" w:customStyle="1" w:styleId="QuoteChar">
    <w:name w:val="Quote Char"/>
    <w:basedOn w:val="DefaultParagraphFont"/>
    <w:link w:val="Quote"/>
    <w:uiPriority w:val="29"/>
    <w:rsid w:val="003C7312"/>
    <w:rPr>
      <w:i/>
      <w:iCs/>
    </w:rPr>
  </w:style>
  <w:style w:type="character" w:styleId="SubtleEmphasis">
    <w:name w:val="Subtle Emphasis"/>
    <w:uiPriority w:val="19"/>
    <w:qFormat/>
    <w:rsid w:val="003C7312"/>
    <w:rPr>
      <w:i/>
      <w:iCs/>
    </w:rPr>
  </w:style>
  <w:style w:type="character" w:styleId="IntenseEmphasis">
    <w:name w:val="Intense Emphasis"/>
    <w:uiPriority w:val="21"/>
    <w:qFormat/>
    <w:rsid w:val="003C7312"/>
    <w:rPr>
      <w:b/>
      <w:bCs/>
    </w:rPr>
  </w:style>
  <w:style w:type="character" w:styleId="SubtleReference">
    <w:name w:val="Subtle Reference"/>
    <w:uiPriority w:val="31"/>
    <w:qFormat/>
    <w:rsid w:val="003C7312"/>
    <w:rPr>
      <w:smallCaps/>
    </w:rPr>
  </w:style>
  <w:style w:type="paragraph" w:styleId="TOCHeading">
    <w:name w:val="TOC Heading"/>
    <w:basedOn w:val="Heading1"/>
    <w:next w:val="Normal"/>
    <w:uiPriority w:val="39"/>
    <w:unhideWhenUsed/>
    <w:qFormat/>
    <w:rsid w:val="003C7312"/>
    <w:pPr>
      <w:outlineLvl w:val="9"/>
    </w:pPr>
    <w:rPr>
      <w:lang w:bidi="en-US"/>
    </w:rPr>
  </w:style>
  <w:style w:type="paragraph" w:customStyle="1" w:styleId="TOC">
    <w:name w:val="TOC"/>
    <w:basedOn w:val="TOC1"/>
    <w:link w:val="TOCChar"/>
    <w:rsid w:val="00180780"/>
    <w:pPr>
      <w:tabs>
        <w:tab w:val="right" w:leader="dot" w:pos="9344"/>
      </w:tabs>
      <w:spacing w:before="360" w:after="360"/>
    </w:pPr>
    <w:rPr>
      <w:rFonts w:eastAsia="Times New Roman" w:cs="Arial"/>
      <w:b/>
      <w:bCs/>
      <w:caps/>
      <w:sz w:val="32"/>
      <w:szCs w:val="32"/>
    </w:rPr>
  </w:style>
  <w:style w:type="character" w:customStyle="1" w:styleId="TOCChar">
    <w:name w:val="TOC Char"/>
    <w:basedOn w:val="DefaultParagraphFont"/>
    <w:link w:val="TOC"/>
    <w:rsid w:val="00180780"/>
    <w:rPr>
      <w:rFonts w:ascii="Arial" w:eastAsia="Times New Roman" w:hAnsi="Arial" w:cs="Arial"/>
      <w:b/>
      <w:bCs/>
      <w:caps/>
      <w:sz w:val="32"/>
      <w:szCs w:val="32"/>
    </w:rPr>
  </w:style>
  <w:style w:type="paragraph" w:styleId="TOC1">
    <w:name w:val="toc 1"/>
    <w:basedOn w:val="Normal"/>
    <w:next w:val="Normal"/>
    <w:autoRedefine/>
    <w:uiPriority w:val="39"/>
    <w:qFormat/>
    <w:rsid w:val="00180780"/>
    <w:pPr>
      <w:spacing w:after="100"/>
    </w:pPr>
  </w:style>
  <w:style w:type="paragraph" w:styleId="ListBullet">
    <w:name w:val="List Bullet"/>
    <w:basedOn w:val="Normal"/>
    <w:link w:val="ListBulletChar"/>
    <w:qFormat/>
    <w:rsid w:val="006D6E29"/>
    <w:pPr>
      <w:numPr>
        <w:numId w:val="1"/>
      </w:numPr>
    </w:pPr>
    <w:rPr>
      <w:rFonts w:eastAsia="Times New Roman" w:cs="Times New Roman"/>
    </w:rPr>
  </w:style>
  <w:style w:type="paragraph" w:styleId="ListNumber">
    <w:name w:val="List Number"/>
    <w:basedOn w:val="Normal"/>
    <w:rsid w:val="009C0068"/>
    <w:pPr>
      <w:numPr>
        <w:numId w:val="2"/>
      </w:numPr>
    </w:pPr>
    <w:rPr>
      <w:rFonts w:eastAsia="Times New Roman" w:cs="Times New Roman"/>
    </w:rPr>
  </w:style>
  <w:style w:type="paragraph" w:styleId="ListBullet2">
    <w:name w:val="List Bullet 2"/>
    <w:basedOn w:val="Normal"/>
    <w:qFormat/>
    <w:rsid w:val="00E27625"/>
    <w:pPr>
      <w:numPr>
        <w:numId w:val="3"/>
      </w:numPr>
    </w:pPr>
    <w:rPr>
      <w:rFonts w:eastAsia="Times New Roman" w:cs="Times New Roman"/>
    </w:rPr>
  </w:style>
  <w:style w:type="paragraph" w:styleId="ListNumber2">
    <w:name w:val="List Number 2"/>
    <w:basedOn w:val="Normal"/>
    <w:rsid w:val="00180780"/>
    <w:pPr>
      <w:numPr>
        <w:numId w:val="4"/>
      </w:numPr>
    </w:pPr>
    <w:rPr>
      <w:rFonts w:eastAsia="Times New Roman" w:cs="Times New Roman"/>
    </w:rPr>
  </w:style>
  <w:style w:type="table" w:customStyle="1" w:styleId="SWA">
    <w:name w:val="SWA"/>
    <w:basedOn w:val="TableNormal"/>
    <w:uiPriority w:val="99"/>
    <w:rsid w:val="00180780"/>
    <w:pPr>
      <w:spacing w:after="0"/>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styleId="Header">
    <w:name w:val="header"/>
    <w:basedOn w:val="Normal"/>
    <w:link w:val="HeaderChar"/>
    <w:uiPriority w:val="99"/>
    <w:unhideWhenUsed/>
    <w:rsid w:val="00722AE0"/>
    <w:pPr>
      <w:tabs>
        <w:tab w:val="center" w:pos="4513"/>
        <w:tab w:val="right" w:pos="9026"/>
      </w:tabs>
      <w:spacing w:after="0"/>
    </w:pPr>
  </w:style>
  <w:style w:type="character" w:customStyle="1" w:styleId="HeaderChar">
    <w:name w:val="Header Char"/>
    <w:basedOn w:val="DefaultParagraphFont"/>
    <w:link w:val="Header"/>
    <w:uiPriority w:val="99"/>
    <w:rsid w:val="00722AE0"/>
  </w:style>
  <w:style w:type="paragraph" w:styleId="Footer">
    <w:name w:val="footer"/>
    <w:basedOn w:val="Normal"/>
    <w:link w:val="FooterChar"/>
    <w:uiPriority w:val="99"/>
    <w:unhideWhenUsed/>
    <w:rsid w:val="00722AE0"/>
    <w:pPr>
      <w:tabs>
        <w:tab w:val="center" w:pos="4513"/>
        <w:tab w:val="right" w:pos="9026"/>
      </w:tabs>
      <w:spacing w:after="0"/>
    </w:pPr>
  </w:style>
  <w:style w:type="character" w:customStyle="1" w:styleId="FooterChar">
    <w:name w:val="Footer Char"/>
    <w:basedOn w:val="DefaultParagraphFont"/>
    <w:link w:val="Footer"/>
    <w:uiPriority w:val="99"/>
    <w:rsid w:val="00722AE0"/>
  </w:style>
  <w:style w:type="character" w:styleId="Hyperlink">
    <w:name w:val="Hyperlink"/>
    <w:basedOn w:val="DefaultParagraphFont"/>
    <w:uiPriority w:val="99"/>
    <w:unhideWhenUsed/>
    <w:rsid w:val="00722AE0"/>
    <w:rPr>
      <w:color w:val="0000FF"/>
      <w:u w:val="single"/>
    </w:rPr>
  </w:style>
  <w:style w:type="character" w:styleId="FollowedHyperlink">
    <w:name w:val="FollowedHyperlink"/>
    <w:basedOn w:val="DefaultParagraphFont"/>
    <w:uiPriority w:val="99"/>
    <w:unhideWhenUsed/>
    <w:rsid w:val="00722AE0"/>
    <w:rPr>
      <w:color w:val="919191" w:themeColor="followedHyperlink"/>
      <w:u w:val="single"/>
    </w:rPr>
  </w:style>
  <w:style w:type="paragraph" w:styleId="FootnoteText">
    <w:name w:val="footnote text"/>
    <w:aliases w:val="Footnotes Text,FSFootnotes Text,FSFootnote Text,FN,Footnote Text Char1 Char,Footnote Text Char1,Footnote Text Char Char1,Footnote Text Char1 Char Char Char,Footnote Text Char1 Char Char1,Footnote Text Char Char Char"/>
    <w:basedOn w:val="Normal"/>
    <w:link w:val="FootnoteTextChar"/>
    <w:unhideWhenUsed/>
    <w:qFormat/>
    <w:rsid w:val="00722AE0"/>
    <w:pPr>
      <w:spacing w:after="0"/>
    </w:pPr>
    <w:rPr>
      <w:sz w:val="20"/>
      <w:szCs w:val="20"/>
    </w:rPr>
  </w:style>
  <w:style w:type="character" w:customStyle="1" w:styleId="FootnoteTextChar">
    <w:name w:val="Footnote Text Char"/>
    <w:aliases w:val="Footnotes Text Char,FSFootnotes Text Char,FSFootnote Text Char,FN Char,Footnote Text Char1 Char Char,Footnote Text Char1 Char1,Footnote Text Char Char1 Char,Footnote Text Char1 Char Char Char Char,Footnote Text Char1 Char Char1 Char"/>
    <w:basedOn w:val="DefaultParagraphFont"/>
    <w:link w:val="FootnoteText"/>
    <w:rsid w:val="00722AE0"/>
    <w:rPr>
      <w:sz w:val="20"/>
      <w:szCs w:val="20"/>
    </w:rPr>
  </w:style>
  <w:style w:type="character" w:styleId="FootnoteReference">
    <w:name w:val="footnote reference"/>
    <w:aliases w:val="NO"/>
    <w:basedOn w:val="DefaultParagraphFont"/>
    <w:uiPriority w:val="4"/>
    <w:unhideWhenUsed/>
    <w:rsid w:val="00722AE0"/>
    <w:rPr>
      <w:vertAlign w:val="superscript"/>
    </w:rPr>
  </w:style>
  <w:style w:type="table" w:styleId="TableGrid">
    <w:name w:val="Table Grid"/>
    <w:basedOn w:val="TableNormal"/>
    <w:rsid w:val="00722A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AE0"/>
    <w:pPr>
      <w:autoSpaceDE w:val="0"/>
      <w:autoSpaceDN w:val="0"/>
      <w:adjustRightInd w:val="0"/>
      <w:spacing w:after="0"/>
    </w:pPr>
    <w:rPr>
      <w:rFonts w:ascii="Times New Roman" w:hAnsi="Times New Roman" w:cs="Times New Roman"/>
      <w:color w:val="000000"/>
      <w:sz w:val="24"/>
      <w:szCs w:val="24"/>
    </w:rPr>
  </w:style>
  <w:style w:type="paragraph" w:styleId="CommentText">
    <w:name w:val="annotation text"/>
    <w:basedOn w:val="Normal"/>
    <w:link w:val="CommentTextChar"/>
    <w:uiPriority w:val="4"/>
    <w:unhideWhenUsed/>
    <w:rsid w:val="00722AE0"/>
    <w:pPr>
      <w:spacing w:after="200"/>
    </w:pPr>
    <w:rPr>
      <w:sz w:val="20"/>
      <w:szCs w:val="20"/>
    </w:rPr>
  </w:style>
  <w:style w:type="character" w:customStyle="1" w:styleId="CommentTextChar">
    <w:name w:val="Comment Text Char"/>
    <w:basedOn w:val="DefaultParagraphFont"/>
    <w:link w:val="CommentText"/>
    <w:uiPriority w:val="4"/>
    <w:rsid w:val="00722AE0"/>
    <w:rPr>
      <w:sz w:val="20"/>
      <w:szCs w:val="20"/>
    </w:rPr>
  </w:style>
  <w:style w:type="character" w:styleId="CommentReference">
    <w:name w:val="annotation reference"/>
    <w:basedOn w:val="DefaultParagraphFont"/>
    <w:uiPriority w:val="4"/>
    <w:unhideWhenUsed/>
    <w:rsid w:val="00722AE0"/>
    <w:rPr>
      <w:sz w:val="16"/>
      <w:szCs w:val="16"/>
    </w:rPr>
  </w:style>
  <w:style w:type="paragraph" w:styleId="BalloonText">
    <w:name w:val="Balloon Text"/>
    <w:basedOn w:val="Normal"/>
    <w:link w:val="BalloonTextChar"/>
    <w:uiPriority w:val="99"/>
    <w:unhideWhenUsed/>
    <w:rsid w:val="00722AE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722AE0"/>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722AE0"/>
    <w:rPr>
      <w:b/>
      <w:bCs/>
    </w:rPr>
  </w:style>
  <w:style w:type="character" w:customStyle="1" w:styleId="CommentSubjectChar">
    <w:name w:val="Comment Subject Char"/>
    <w:basedOn w:val="CommentTextChar"/>
    <w:link w:val="CommentSubject"/>
    <w:uiPriority w:val="99"/>
    <w:rsid w:val="00722AE0"/>
    <w:rPr>
      <w:b/>
      <w:bCs/>
      <w:sz w:val="20"/>
      <w:szCs w:val="20"/>
    </w:rPr>
  </w:style>
  <w:style w:type="paragraph" w:styleId="Revision">
    <w:name w:val="Revision"/>
    <w:hidden/>
    <w:uiPriority w:val="99"/>
    <w:semiHidden/>
    <w:rsid w:val="00722AE0"/>
    <w:pPr>
      <w:spacing w:after="0"/>
    </w:pPr>
  </w:style>
  <w:style w:type="paragraph" w:styleId="TOC2">
    <w:name w:val="toc 2"/>
    <w:basedOn w:val="Normal"/>
    <w:next w:val="Normal"/>
    <w:autoRedefine/>
    <w:uiPriority w:val="39"/>
    <w:unhideWhenUsed/>
    <w:qFormat/>
    <w:rsid w:val="00D30F19"/>
    <w:pPr>
      <w:tabs>
        <w:tab w:val="left" w:pos="851"/>
        <w:tab w:val="right" w:leader="dot" w:pos="9398"/>
      </w:tabs>
      <w:spacing w:before="40" w:after="40" w:line="276" w:lineRule="auto"/>
      <w:ind w:left="220"/>
    </w:pPr>
  </w:style>
  <w:style w:type="numbering" w:customStyle="1" w:styleId="NoList1">
    <w:name w:val="No List1"/>
    <w:next w:val="NoList"/>
    <w:uiPriority w:val="99"/>
    <w:semiHidden/>
    <w:unhideWhenUsed/>
    <w:rsid w:val="00722AE0"/>
  </w:style>
  <w:style w:type="table" w:customStyle="1" w:styleId="TableGrid1">
    <w:name w:val="Table Grid1"/>
    <w:basedOn w:val="TableNormal"/>
    <w:next w:val="TableGrid"/>
    <w:uiPriority w:val="59"/>
    <w:rsid w:val="00722A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2A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basedOn w:val="BodyText"/>
    <w:link w:val="Paragraph1Char"/>
    <w:rsid w:val="00722AE0"/>
    <w:pPr>
      <w:spacing w:before="240" w:after="0" w:line="240" w:lineRule="auto"/>
    </w:pPr>
    <w:rPr>
      <w:rFonts w:ascii="Arial" w:eastAsia="Times New Roman" w:hAnsi="Arial" w:cs="Times New Roman"/>
      <w:szCs w:val="20"/>
      <w:lang w:eastAsia="en-AU"/>
    </w:rPr>
  </w:style>
  <w:style w:type="character" w:customStyle="1" w:styleId="Paragraph1Char">
    <w:name w:val="Paragraph 1 Char"/>
    <w:basedOn w:val="BodyTextChar"/>
    <w:link w:val="Paragraph1"/>
    <w:rsid w:val="00722AE0"/>
    <w:rPr>
      <w:rFonts w:eastAsia="Times New Roman" w:cs="Times New Roman"/>
      <w:szCs w:val="20"/>
      <w:lang w:eastAsia="en-AU"/>
    </w:rPr>
  </w:style>
  <w:style w:type="paragraph" w:styleId="BodyText">
    <w:name w:val="Body Text"/>
    <w:basedOn w:val="Normal"/>
    <w:link w:val="BodyTextChar"/>
    <w:uiPriority w:val="99"/>
    <w:unhideWhenUsed/>
    <w:rsid w:val="00722AE0"/>
    <w:pPr>
      <w:spacing w:line="276" w:lineRule="auto"/>
    </w:pPr>
  </w:style>
  <w:style w:type="character" w:customStyle="1" w:styleId="BodyTextChar">
    <w:name w:val="Body Text Char"/>
    <w:basedOn w:val="DefaultParagraphFont"/>
    <w:link w:val="BodyText"/>
    <w:uiPriority w:val="99"/>
    <w:rsid w:val="00722AE0"/>
  </w:style>
  <w:style w:type="paragraph" w:customStyle="1" w:styleId="Paragraph1bulletindent">
    <w:name w:val="Paragraph 1 bullet indent"/>
    <w:basedOn w:val="Paragraph1"/>
    <w:rsid w:val="00722AE0"/>
    <w:pPr>
      <w:numPr>
        <w:numId w:val="5"/>
      </w:numPr>
      <w:ind w:left="1440"/>
    </w:pPr>
  </w:style>
  <w:style w:type="paragraph" w:customStyle="1" w:styleId="Subheader3">
    <w:name w:val="Subheader 3"/>
    <w:basedOn w:val="Normal"/>
    <w:rsid w:val="00722AE0"/>
    <w:pPr>
      <w:spacing w:before="240" w:after="0"/>
    </w:pPr>
    <w:rPr>
      <w:rFonts w:ascii="Calibri" w:eastAsia="Times New Roman" w:hAnsi="Calibri" w:cs="Times New Roman"/>
      <w:b/>
      <w:bCs/>
      <w:color w:val="A5A5A5" w:themeColor="accent1" w:themeShade="BF"/>
      <w:sz w:val="24"/>
      <w:szCs w:val="20"/>
    </w:rPr>
  </w:style>
  <w:style w:type="paragraph" w:customStyle="1" w:styleId="Subheader4">
    <w:name w:val="Subheader 4"/>
    <w:basedOn w:val="Normal"/>
    <w:rsid w:val="00722AE0"/>
    <w:pPr>
      <w:spacing w:before="240" w:after="0"/>
    </w:pPr>
    <w:rPr>
      <w:rFonts w:ascii="Calibri" w:eastAsia="Times New Roman" w:hAnsi="Calibri" w:cs="Times New Roman"/>
      <w:b/>
      <w:bCs/>
      <w:i/>
      <w:iCs/>
      <w:color w:val="A5A5A5" w:themeColor="accent1" w:themeShade="BF"/>
      <w:sz w:val="24"/>
      <w:szCs w:val="20"/>
    </w:rPr>
  </w:style>
  <w:style w:type="paragraph" w:customStyle="1" w:styleId="StyleLatinBodyArial10ptBlackBefore3ptAfter3">
    <w:name w:val="Style (Latin) +Body (Arial) 10 pt Black Before:  3 pt After:  3..."/>
    <w:basedOn w:val="Normal"/>
    <w:next w:val="Normal"/>
    <w:rsid w:val="0005799A"/>
    <w:pPr>
      <w:spacing w:before="60" w:after="60"/>
    </w:pPr>
    <w:rPr>
      <w:rFonts w:eastAsia="Times New Roman" w:cs="Times New Roman"/>
      <w:color w:val="000000"/>
      <w:sz w:val="20"/>
      <w:szCs w:val="20"/>
    </w:rPr>
  </w:style>
  <w:style w:type="paragraph" w:styleId="IntenseQuote">
    <w:name w:val="Intense Quote"/>
    <w:basedOn w:val="Normal"/>
    <w:next w:val="Normal"/>
    <w:link w:val="IntenseQuoteChar"/>
    <w:uiPriority w:val="30"/>
    <w:qFormat/>
    <w:rsid w:val="003C7312"/>
    <w:pPr>
      <w:pBdr>
        <w:bottom w:val="single" w:sz="4" w:space="1" w:color="auto"/>
      </w:pBdr>
      <w:spacing w:before="200" w:after="280"/>
      <w:ind w:left="1008" w:right="1152"/>
      <w:jc w:val="both"/>
    </w:pPr>
    <w:rPr>
      <w:b/>
      <w:bCs/>
      <w:i/>
      <w:iCs/>
    </w:rPr>
  </w:style>
  <w:style w:type="paragraph" w:customStyle="1" w:styleId="GlossaryAbbreviation">
    <w:name w:val="Glossary Abbreviation"/>
    <w:basedOn w:val="Normal"/>
    <w:uiPriority w:val="99"/>
    <w:rsid w:val="00722AE0"/>
    <w:pPr>
      <w:spacing w:before="120" w:after="0"/>
    </w:pPr>
    <w:rPr>
      <w:rFonts w:ascii="Calibri" w:eastAsia="Times New Roman" w:hAnsi="Calibri" w:cs="Arial"/>
      <w:caps/>
      <w:szCs w:val="20"/>
    </w:rPr>
  </w:style>
  <w:style w:type="character" w:customStyle="1" w:styleId="CharDefText">
    <w:name w:val="CharDefText"/>
    <w:basedOn w:val="DefaultParagraphFont"/>
    <w:rsid w:val="00722AE0"/>
    <w:rPr>
      <w:b/>
      <w:bCs w:val="0"/>
      <w:i/>
      <w:iCs w:val="0"/>
    </w:rPr>
  </w:style>
  <w:style w:type="character" w:customStyle="1" w:styleId="IntenseQuoteChar">
    <w:name w:val="Intense Quote Char"/>
    <w:basedOn w:val="DefaultParagraphFont"/>
    <w:link w:val="IntenseQuote"/>
    <w:uiPriority w:val="30"/>
    <w:rsid w:val="003C7312"/>
    <w:rPr>
      <w:b/>
      <w:bCs/>
      <w:i/>
      <w:iCs/>
    </w:rPr>
  </w:style>
  <w:style w:type="character" w:styleId="IntenseReference">
    <w:name w:val="Intense Reference"/>
    <w:uiPriority w:val="32"/>
    <w:qFormat/>
    <w:rsid w:val="003C7312"/>
    <w:rPr>
      <w:smallCaps/>
      <w:spacing w:val="5"/>
      <w:u w:val="single"/>
    </w:rPr>
  </w:style>
  <w:style w:type="paragraph" w:customStyle="1" w:styleId="DraftHeading3">
    <w:name w:val="Draft Heading 3"/>
    <w:basedOn w:val="Normal"/>
    <w:next w:val="Normal"/>
    <w:rsid w:val="00722AE0"/>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paragraph" w:customStyle="1" w:styleId="Appendix">
    <w:name w:val="Appendix"/>
    <w:basedOn w:val="Heading1"/>
    <w:next w:val="Normal"/>
    <w:rsid w:val="00722AE0"/>
    <w:pPr>
      <w:keepLines/>
      <w:pageBreakBefore/>
      <w:numPr>
        <w:numId w:val="6"/>
      </w:numPr>
      <w:spacing w:after="180"/>
    </w:pPr>
    <w:rPr>
      <w:rFonts w:ascii="Calibri" w:eastAsia="Times New Roman" w:hAnsi="Calibri" w:cs="Times New Roman"/>
      <w:bCs w:val="0"/>
      <w:color w:val="002776"/>
      <w:kern w:val="28"/>
      <w:sz w:val="56"/>
      <w:lang w:eastAsia="en-AU"/>
    </w:rPr>
  </w:style>
  <w:style w:type="paragraph" w:customStyle="1" w:styleId="AppendixTableCaption">
    <w:name w:val="Appendix Table Caption"/>
    <w:basedOn w:val="Normal"/>
    <w:next w:val="BodyText"/>
    <w:rsid w:val="00722AE0"/>
    <w:pPr>
      <w:keepNext/>
      <w:keepLines/>
      <w:numPr>
        <w:ilvl w:val="1"/>
        <w:numId w:val="6"/>
      </w:numPr>
      <w:spacing w:before="240" w:after="240"/>
      <w:jc w:val="center"/>
    </w:pPr>
    <w:rPr>
      <w:rFonts w:ascii="Calibri" w:eastAsia="Times New Roman" w:hAnsi="Calibri" w:cs="Times New Roman"/>
      <w:b/>
      <w:color w:val="002776"/>
      <w:szCs w:val="20"/>
    </w:rPr>
  </w:style>
  <w:style w:type="paragraph" w:customStyle="1" w:styleId="AppendixChartCaption">
    <w:name w:val="Appendix Chart Caption"/>
    <w:basedOn w:val="Normal"/>
    <w:next w:val="BodyText"/>
    <w:rsid w:val="00722AE0"/>
    <w:pPr>
      <w:keepNext/>
      <w:keepLines/>
      <w:numPr>
        <w:ilvl w:val="2"/>
        <w:numId w:val="6"/>
      </w:numPr>
      <w:spacing w:before="240" w:after="240"/>
      <w:ind w:left="0"/>
      <w:jc w:val="center"/>
    </w:pPr>
    <w:rPr>
      <w:rFonts w:ascii="Calibri" w:eastAsia="Times New Roman" w:hAnsi="Calibri" w:cs="Times New Roman"/>
      <w:b/>
      <w:color w:val="002776"/>
      <w:szCs w:val="20"/>
    </w:rPr>
  </w:style>
  <w:style w:type="paragraph" w:customStyle="1" w:styleId="AppendixFigureCaption">
    <w:name w:val="Appendix Figure Caption"/>
    <w:basedOn w:val="Normal"/>
    <w:next w:val="BodyText"/>
    <w:rsid w:val="00722AE0"/>
    <w:pPr>
      <w:keepNext/>
      <w:keepLines/>
      <w:numPr>
        <w:ilvl w:val="3"/>
        <w:numId w:val="6"/>
      </w:numPr>
      <w:spacing w:before="240" w:after="240"/>
      <w:jc w:val="center"/>
    </w:pPr>
    <w:rPr>
      <w:rFonts w:ascii="Calibri" w:eastAsia="Times New Roman" w:hAnsi="Calibri" w:cs="Times New Roman"/>
      <w:b/>
      <w:color w:val="002776"/>
      <w:szCs w:val="20"/>
    </w:rPr>
  </w:style>
  <w:style w:type="paragraph" w:styleId="TOC3">
    <w:name w:val="toc 3"/>
    <w:basedOn w:val="Normal"/>
    <w:next w:val="Normal"/>
    <w:autoRedefine/>
    <w:uiPriority w:val="39"/>
    <w:unhideWhenUsed/>
    <w:qFormat/>
    <w:rsid w:val="00722AE0"/>
    <w:pPr>
      <w:spacing w:after="100" w:line="276" w:lineRule="auto"/>
      <w:ind w:left="440"/>
    </w:pPr>
  </w:style>
  <w:style w:type="character" w:styleId="BookTitle">
    <w:name w:val="Book Title"/>
    <w:uiPriority w:val="33"/>
    <w:qFormat/>
    <w:rsid w:val="003C7312"/>
    <w:rPr>
      <w:i/>
      <w:iCs/>
      <w:smallCaps/>
      <w:spacing w:val="5"/>
    </w:rPr>
  </w:style>
  <w:style w:type="numbering" w:customStyle="1" w:styleId="StyleOutlinenumberedVerdana">
    <w:name w:val="Style Outline numbered Verdana"/>
    <w:basedOn w:val="NoList"/>
    <w:rsid w:val="00722AE0"/>
    <w:pPr>
      <w:numPr>
        <w:numId w:val="7"/>
      </w:numPr>
    </w:pPr>
  </w:style>
  <w:style w:type="paragraph" w:customStyle="1" w:styleId="OBPRpoints">
    <w:name w:val="OBPR points"/>
    <w:basedOn w:val="Default"/>
    <w:rsid w:val="00722AE0"/>
    <w:pPr>
      <w:numPr>
        <w:numId w:val="8"/>
      </w:numPr>
      <w:spacing w:before="120" w:after="120"/>
    </w:pPr>
    <w:rPr>
      <w:rFonts w:ascii="Arial" w:eastAsia="Times New Roman" w:hAnsi="Arial" w:cs="Arial"/>
      <w:i/>
      <w:sz w:val="22"/>
      <w:szCs w:val="22"/>
      <w:lang w:eastAsia="en-AU"/>
    </w:rPr>
  </w:style>
  <w:style w:type="paragraph" w:customStyle="1" w:styleId="FSBullet1">
    <w:name w:val="FSBullet 1"/>
    <w:basedOn w:val="Normal"/>
    <w:next w:val="Normal"/>
    <w:link w:val="FSBullet1Char"/>
    <w:rsid w:val="00722AE0"/>
    <w:pPr>
      <w:numPr>
        <w:numId w:val="9"/>
      </w:numPr>
      <w:spacing w:after="0"/>
    </w:pPr>
    <w:rPr>
      <w:rFonts w:eastAsia="Times New Roman" w:cs="Arial"/>
      <w:lang w:val="en-GB"/>
    </w:rPr>
  </w:style>
  <w:style w:type="character" w:customStyle="1" w:styleId="FSBullet1Char">
    <w:name w:val="FSBullet 1 Char"/>
    <w:basedOn w:val="DefaultParagraphFont"/>
    <w:link w:val="FSBullet1"/>
    <w:rsid w:val="00722AE0"/>
    <w:rPr>
      <w:rFonts w:eastAsia="Times New Roman" w:cs="Arial"/>
      <w:lang w:val="en-GB"/>
    </w:rPr>
  </w:style>
  <w:style w:type="paragraph" w:customStyle="1" w:styleId="FSBullet">
    <w:name w:val="FS Bullet"/>
    <w:basedOn w:val="Normal"/>
    <w:next w:val="Normal"/>
    <w:link w:val="FSBulletChar"/>
    <w:rsid w:val="00722AE0"/>
    <w:pPr>
      <w:widowControl w:val="0"/>
      <w:numPr>
        <w:numId w:val="10"/>
      </w:numPr>
      <w:spacing w:after="0"/>
    </w:pPr>
    <w:rPr>
      <w:rFonts w:eastAsia="Times New Roman" w:cs="Arial"/>
      <w:lang w:val="en-GB" w:bidi="en-US"/>
    </w:rPr>
  </w:style>
  <w:style w:type="character" w:customStyle="1" w:styleId="FSBulletChar">
    <w:name w:val="FS Bullet Char"/>
    <w:basedOn w:val="DefaultParagraphFont"/>
    <w:link w:val="FSBullet"/>
    <w:rsid w:val="00722AE0"/>
    <w:rPr>
      <w:rFonts w:eastAsia="Times New Roman" w:cs="Arial"/>
      <w:lang w:val="en-GB" w:bidi="en-US"/>
    </w:rPr>
  </w:style>
  <w:style w:type="table" w:styleId="MediumList2-Accent1">
    <w:name w:val="Medium List 2 Accent 1"/>
    <w:basedOn w:val="TableNormal"/>
    <w:uiPriority w:val="66"/>
    <w:rsid w:val="00722AE0"/>
    <w:pPr>
      <w:spacing w:after="0"/>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722AE0"/>
    <w:pPr>
      <w:spacing w:before="100" w:beforeAutospacing="1" w:after="100" w:afterAutospacing="1"/>
    </w:pPr>
    <w:rPr>
      <w:rFonts w:ascii="Times New Roman" w:eastAsia="Times New Roman" w:hAnsi="Times New Roman" w:cs="Times New Roman"/>
      <w:sz w:val="24"/>
      <w:lang w:eastAsia="en-AU"/>
    </w:rPr>
  </w:style>
  <w:style w:type="paragraph" w:styleId="EndnoteText">
    <w:name w:val="endnote text"/>
    <w:basedOn w:val="Normal"/>
    <w:link w:val="EndnoteTextChar"/>
    <w:uiPriority w:val="99"/>
    <w:unhideWhenUsed/>
    <w:rsid w:val="00722AE0"/>
    <w:pPr>
      <w:spacing w:after="0"/>
    </w:pPr>
    <w:rPr>
      <w:sz w:val="20"/>
      <w:szCs w:val="20"/>
    </w:rPr>
  </w:style>
  <w:style w:type="character" w:customStyle="1" w:styleId="EndnoteTextChar">
    <w:name w:val="Endnote Text Char"/>
    <w:basedOn w:val="DefaultParagraphFont"/>
    <w:link w:val="EndnoteText"/>
    <w:uiPriority w:val="99"/>
    <w:rsid w:val="00722AE0"/>
    <w:rPr>
      <w:sz w:val="20"/>
      <w:szCs w:val="20"/>
    </w:rPr>
  </w:style>
  <w:style w:type="character" w:styleId="EndnoteReference">
    <w:name w:val="endnote reference"/>
    <w:basedOn w:val="DefaultParagraphFont"/>
    <w:uiPriority w:val="99"/>
    <w:unhideWhenUsed/>
    <w:rsid w:val="00722AE0"/>
    <w:rPr>
      <w:vertAlign w:val="superscript"/>
    </w:rPr>
  </w:style>
  <w:style w:type="character" w:customStyle="1" w:styleId="apple-converted-space">
    <w:name w:val="apple-converted-space"/>
    <w:basedOn w:val="DefaultParagraphFont"/>
    <w:rsid w:val="00722AE0"/>
  </w:style>
  <w:style w:type="paragraph" w:customStyle="1" w:styleId="Heading1-number">
    <w:name w:val="Heading 1 - number"/>
    <w:basedOn w:val="Heading1"/>
    <w:link w:val="Heading1-numberChar"/>
    <w:qFormat/>
    <w:rsid w:val="00596395"/>
    <w:pPr>
      <w:numPr>
        <w:numId w:val="11"/>
      </w:numPr>
      <w:spacing w:after="60"/>
      <w:ind w:left="357" w:hanging="357"/>
    </w:pPr>
    <w:rPr>
      <w:rFonts w:eastAsia="Batang" w:cs="Arial"/>
      <w:szCs w:val="32"/>
    </w:rPr>
  </w:style>
  <w:style w:type="paragraph" w:customStyle="1" w:styleId="IndentedListBullet">
    <w:name w:val="Indented List Bullet"/>
    <w:basedOn w:val="ListBullet"/>
    <w:link w:val="IndentedListBulletChar"/>
    <w:rsid w:val="009C0068"/>
    <w:pPr>
      <w:ind w:left="1134" w:hanging="425"/>
    </w:pPr>
  </w:style>
  <w:style w:type="character" w:customStyle="1" w:styleId="Heading1-numberChar">
    <w:name w:val="Heading 1 - number Char"/>
    <w:basedOn w:val="Heading1Char"/>
    <w:link w:val="Heading1-number"/>
    <w:rsid w:val="00596395"/>
    <w:rPr>
      <w:rFonts w:asciiTheme="majorHAnsi" w:eastAsia="Batang" w:hAnsiTheme="majorHAnsi" w:cs="Arial"/>
      <w:b/>
      <w:bCs/>
      <w:sz w:val="28"/>
      <w:szCs w:val="32"/>
    </w:rPr>
  </w:style>
  <w:style w:type="character" w:customStyle="1" w:styleId="ListBulletChar">
    <w:name w:val="List Bullet Char"/>
    <w:basedOn w:val="DefaultParagraphFont"/>
    <w:link w:val="ListBullet"/>
    <w:rsid w:val="006D6E29"/>
    <w:rPr>
      <w:rFonts w:eastAsia="Times New Roman" w:cs="Times New Roman"/>
    </w:rPr>
  </w:style>
  <w:style w:type="character" w:customStyle="1" w:styleId="IndentedListBulletChar">
    <w:name w:val="Indented List Bullet Char"/>
    <w:basedOn w:val="ListBulletChar"/>
    <w:link w:val="IndentedListBullet"/>
    <w:rsid w:val="009C0068"/>
    <w:rPr>
      <w:rFonts w:eastAsia="Times New Roman" w:cs="Times New Roman"/>
    </w:rPr>
  </w:style>
  <w:style w:type="paragraph" w:styleId="Caption">
    <w:name w:val="caption"/>
    <w:basedOn w:val="Normal"/>
    <w:next w:val="Normal"/>
    <w:link w:val="CaptionChar"/>
    <w:unhideWhenUsed/>
    <w:rsid w:val="00277812"/>
    <w:pPr>
      <w:spacing w:after="200"/>
    </w:pPr>
    <w:rPr>
      <w:b/>
      <w:bCs/>
      <w:color w:val="DDDDDD" w:themeColor="accent1"/>
      <w:sz w:val="18"/>
      <w:szCs w:val="18"/>
    </w:rPr>
  </w:style>
  <w:style w:type="paragraph" w:customStyle="1" w:styleId="TableTitle">
    <w:name w:val="Table Title"/>
    <w:basedOn w:val="Caption"/>
    <w:link w:val="TableTitleChar"/>
    <w:qFormat/>
    <w:rsid w:val="00277812"/>
    <w:pPr>
      <w:keepNext/>
      <w:spacing w:after="0"/>
    </w:pPr>
    <w:rPr>
      <w:color w:val="auto"/>
    </w:rPr>
  </w:style>
  <w:style w:type="character" w:customStyle="1" w:styleId="CaptionChar">
    <w:name w:val="Caption Char"/>
    <w:basedOn w:val="DefaultParagraphFont"/>
    <w:link w:val="Caption"/>
    <w:rsid w:val="00277812"/>
    <w:rPr>
      <w:b/>
      <w:bCs/>
      <w:color w:val="DDDDDD" w:themeColor="accent1"/>
      <w:sz w:val="18"/>
      <w:szCs w:val="18"/>
    </w:rPr>
  </w:style>
  <w:style w:type="character" w:customStyle="1" w:styleId="TableTitleChar">
    <w:name w:val="Table Title Char"/>
    <w:basedOn w:val="CaptionChar"/>
    <w:link w:val="TableTitle"/>
    <w:rsid w:val="00277812"/>
    <w:rPr>
      <w:b/>
      <w:bCs/>
      <w:color w:val="DDDDDD" w:themeColor="accent1"/>
      <w:sz w:val="18"/>
      <w:szCs w:val="18"/>
    </w:rPr>
  </w:style>
  <w:style w:type="character" w:styleId="PlaceholderText">
    <w:name w:val="Placeholder Text"/>
    <w:basedOn w:val="DefaultParagraphFont"/>
    <w:uiPriority w:val="99"/>
    <w:semiHidden/>
    <w:rsid w:val="00BF0F7F"/>
    <w:rPr>
      <w:color w:val="808080"/>
    </w:rPr>
  </w:style>
  <w:style w:type="paragraph" w:customStyle="1" w:styleId="Bullet1">
    <w:name w:val="Bullet 1"/>
    <w:basedOn w:val="Normal"/>
    <w:qFormat/>
    <w:rsid w:val="00463548"/>
    <w:pPr>
      <w:numPr>
        <w:numId w:val="21"/>
      </w:numPr>
      <w:spacing w:before="120" w:after="0"/>
      <w:ind w:left="357" w:hanging="357"/>
    </w:pPr>
    <w:rPr>
      <w:rFonts w:ascii="Arial" w:eastAsia="Times New Roman" w:hAnsi="Arial" w:cs="Arial"/>
      <w:szCs w:val="20"/>
      <w:lang w:eastAsia="en-AU"/>
    </w:rPr>
  </w:style>
  <w:style w:type="paragraph" w:customStyle="1" w:styleId="Bullet2">
    <w:name w:val="Bullet 2"/>
    <w:basedOn w:val="Bullet1"/>
    <w:qFormat/>
    <w:rsid w:val="00463548"/>
    <w:pPr>
      <w:numPr>
        <w:ilvl w:val="1"/>
      </w:numPr>
      <w:tabs>
        <w:tab w:val="clear" w:pos="850"/>
        <w:tab w:val="num" w:pos="1134"/>
      </w:tabs>
      <w:ind w:left="1134"/>
    </w:pPr>
  </w:style>
  <w:style w:type="paragraph" w:customStyle="1" w:styleId="TableHeadingText">
    <w:name w:val="Table Heading Text"/>
    <w:basedOn w:val="Normal"/>
    <w:qFormat/>
    <w:rsid w:val="00C834BC"/>
    <w:pPr>
      <w:keepNext/>
      <w:keepLines/>
      <w:spacing w:before="60" w:after="60"/>
    </w:pPr>
    <w:rPr>
      <w:rFonts w:asciiTheme="majorHAnsi" w:eastAsiaTheme="majorEastAsia" w:hAnsiTheme="majorHAnsi" w:cstheme="majorBidi"/>
      <w:b/>
      <w:bCs/>
      <w:sz w:val="18"/>
      <w:szCs w:val="18"/>
      <w:lang w:eastAsia="ja-JP"/>
    </w:rPr>
  </w:style>
  <w:style w:type="numbering" w:customStyle="1" w:styleId="AppendicesList">
    <w:name w:val="Appendices List"/>
    <w:uiPriority w:val="99"/>
    <w:rsid w:val="00C834BC"/>
    <w:pPr>
      <w:numPr>
        <w:numId w:val="52"/>
      </w:numPr>
    </w:pPr>
  </w:style>
  <w:style w:type="paragraph" w:styleId="DocumentMap">
    <w:name w:val="Document Map"/>
    <w:basedOn w:val="Normal"/>
    <w:link w:val="DocumentMapChar"/>
    <w:rsid w:val="00A611C7"/>
    <w:pPr>
      <w:spacing w:after="0"/>
    </w:pPr>
    <w:rPr>
      <w:rFonts w:ascii="Tahoma" w:hAnsi="Tahoma" w:cs="Tahoma"/>
      <w:sz w:val="16"/>
      <w:szCs w:val="16"/>
    </w:rPr>
  </w:style>
  <w:style w:type="character" w:customStyle="1" w:styleId="DocumentMapChar">
    <w:name w:val="Document Map Char"/>
    <w:basedOn w:val="DefaultParagraphFont"/>
    <w:link w:val="DocumentMap"/>
    <w:rsid w:val="00A611C7"/>
    <w:rPr>
      <w:rFonts w:ascii="Tahoma" w:hAnsi="Tahoma" w:cs="Tahoma"/>
      <w:sz w:val="16"/>
      <w:szCs w:val="16"/>
    </w:rPr>
  </w:style>
  <w:style w:type="paragraph" w:styleId="TOC4">
    <w:name w:val="toc 4"/>
    <w:basedOn w:val="Normal"/>
    <w:next w:val="Normal"/>
    <w:autoRedefine/>
    <w:uiPriority w:val="39"/>
    <w:unhideWhenUsed/>
    <w:rsid w:val="009C431C"/>
    <w:pPr>
      <w:spacing w:after="100" w:line="276" w:lineRule="auto"/>
      <w:ind w:left="660"/>
    </w:pPr>
    <w:rPr>
      <w:lang w:eastAsia="en-AU"/>
    </w:rPr>
  </w:style>
  <w:style w:type="paragraph" w:styleId="TOC5">
    <w:name w:val="toc 5"/>
    <w:basedOn w:val="Normal"/>
    <w:next w:val="Normal"/>
    <w:autoRedefine/>
    <w:uiPriority w:val="39"/>
    <w:unhideWhenUsed/>
    <w:rsid w:val="009C431C"/>
    <w:pPr>
      <w:spacing w:after="100" w:line="276" w:lineRule="auto"/>
      <w:ind w:left="880"/>
    </w:pPr>
    <w:rPr>
      <w:lang w:eastAsia="en-AU"/>
    </w:rPr>
  </w:style>
  <w:style w:type="paragraph" w:styleId="TOC6">
    <w:name w:val="toc 6"/>
    <w:basedOn w:val="Normal"/>
    <w:next w:val="Normal"/>
    <w:autoRedefine/>
    <w:uiPriority w:val="39"/>
    <w:unhideWhenUsed/>
    <w:rsid w:val="009C431C"/>
    <w:pPr>
      <w:spacing w:after="100" w:line="276" w:lineRule="auto"/>
      <w:ind w:left="1100"/>
    </w:pPr>
    <w:rPr>
      <w:lang w:eastAsia="en-AU"/>
    </w:rPr>
  </w:style>
  <w:style w:type="paragraph" w:styleId="TOC7">
    <w:name w:val="toc 7"/>
    <w:basedOn w:val="Normal"/>
    <w:next w:val="Normal"/>
    <w:autoRedefine/>
    <w:uiPriority w:val="39"/>
    <w:unhideWhenUsed/>
    <w:rsid w:val="009C431C"/>
    <w:pPr>
      <w:spacing w:after="100" w:line="276" w:lineRule="auto"/>
      <w:ind w:left="1320"/>
    </w:pPr>
    <w:rPr>
      <w:lang w:eastAsia="en-AU"/>
    </w:rPr>
  </w:style>
  <w:style w:type="paragraph" w:styleId="TOC8">
    <w:name w:val="toc 8"/>
    <w:basedOn w:val="Normal"/>
    <w:next w:val="Normal"/>
    <w:autoRedefine/>
    <w:uiPriority w:val="39"/>
    <w:unhideWhenUsed/>
    <w:rsid w:val="009C431C"/>
    <w:pPr>
      <w:spacing w:after="100" w:line="276" w:lineRule="auto"/>
      <w:ind w:left="1540"/>
    </w:pPr>
    <w:rPr>
      <w:lang w:eastAsia="en-AU"/>
    </w:rPr>
  </w:style>
  <w:style w:type="paragraph" w:styleId="TOC9">
    <w:name w:val="toc 9"/>
    <w:basedOn w:val="Normal"/>
    <w:next w:val="Normal"/>
    <w:autoRedefine/>
    <w:uiPriority w:val="39"/>
    <w:unhideWhenUsed/>
    <w:rsid w:val="009C431C"/>
    <w:pPr>
      <w:spacing w:after="100" w:line="276" w:lineRule="auto"/>
      <w:ind w:left="1760"/>
    </w:pPr>
    <w:rPr>
      <w:lang w:eastAsia="en-AU"/>
    </w:rPr>
  </w:style>
  <w:style w:type="paragraph" w:customStyle="1" w:styleId="Bodycopy">
    <w:name w:val="Body copy"/>
    <w:basedOn w:val="Normal"/>
    <w:uiPriority w:val="99"/>
    <w:rsid w:val="0040088F"/>
    <w:pPr>
      <w:suppressAutoHyphens/>
      <w:autoSpaceDE w:val="0"/>
      <w:autoSpaceDN w:val="0"/>
      <w:adjustRightInd w:val="0"/>
      <w:spacing w:before="120" w:after="170" w:line="220" w:lineRule="atLeast"/>
      <w:ind w:left="170"/>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400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4"/>
    <w:lsdException w:name="header" w:uiPriority="99"/>
    <w:lsdException w:name="footer" w:uiPriority="99"/>
    <w:lsdException w:name="caption" w:semiHidden="1" w:unhideWhenUsed="1"/>
    <w:lsdException w:name="footnote reference" w:uiPriority="4"/>
    <w:lsdException w:name="annotation reference" w:uiPriority="4"/>
    <w:lsdException w:name="endnote reference" w:uiPriority="99"/>
    <w:lsdException w:name="endnote text" w:uiPriority="99"/>
    <w:lsdException w:name="List Bullet" w:qFormat="1"/>
    <w:lsdException w:name="List Bullet 2" w:qFormat="1"/>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312"/>
  </w:style>
  <w:style w:type="paragraph" w:styleId="Heading1">
    <w:name w:val="heading 1"/>
    <w:basedOn w:val="Normal"/>
    <w:next w:val="Normal"/>
    <w:link w:val="Heading1Char"/>
    <w:uiPriority w:val="9"/>
    <w:qFormat/>
    <w:rsid w:val="00477F6E"/>
    <w:pPr>
      <w:spacing w:before="120" w:after="120"/>
      <w:contextualSpacing/>
      <w:outlineLvl w:val="0"/>
    </w:pPr>
    <w:rPr>
      <w:rFonts w:asciiTheme="majorHAnsi" w:eastAsiaTheme="majorEastAsia" w:hAnsiTheme="majorHAnsi" w:cstheme="majorBidi"/>
      <w:b/>
      <w:bCs/>
      <w:sz w:val="28"/>
      <w:szCs w:val="28"/>
    </w:rPr>
  </w:style>
  <w:style w:type="paragraph" w:styleId="Heading2">
    <w:name w:val="heading 2"/>
    <w:basedOn w:val="Heading1-number"/>
    <w:next w:val="Normal"/>
    <w:link w:val="Heading2Char"/>
    <w:uiPriority w:val="9"/>
    <w:unhideWhenUsed/>
    <w:qFormat/>
    <w:rsid w:val="00263482"/>
    <w:pPr>
      <w:keepNext/>
      <w:numPr>
        <w:ilvl w:val="1"/>
      </w:numPr>
      <w:outlineLvl w:val="1"/>
    </w:pPr>
    <w:rPr>
      <w:sz w:val="24"/>
    </w:rPr>
  </w:style>
  <w:style w:type="paragraph" w:styleId="Heading3">
    <w:name w:val="heading 3"/>
    <w:basedOn w:val="Heading4"/>
    <w:next w:val="Normal"/>
    <w:link w:val="Heading3Char"/>
    <w:uiPriority w:val="9"/>
    <w:unhideWhenUsed/>
    <w:qFormat/>
    <w:rsid w:val="00B13500"/>
    <w:pPr>
      <w:outlineLvl w:val="2"/>
    </w:pPr>
  </w:style>
  <w:style w:type="paragraph" w:styleId="Heading4">
    <w:name w:val="heading 4"/>
    <w:basedOn w:val="Normal"/>
    <w:next w:val="Normal"/>
    <w:link w:val="Heading4Char"/>
    <w:uiPriority w:val="9"/>
    <w:unhideWhenUsed/>
    <w:qFormat/>
    <w:rsid w:val="00B13500"/>
    <w:pPr>
      <w:keepNext/>
      <w:outlineLvl w:val="3"/>
    </w:pPr>
    <w:rPr>
      <w:rFonts w:cstheme="minorHAnsi"/>
      <w:b/>
    </w:rPr>
  </w:style>
  <w:style w:type="paragraph" w:styleId="Heading5">
    <w:name w:val="heading 5"/>
    <w:basedOn w:val="Normal"/>
    <w:next w:val="Normal"/>
    <w:link w:val="Heading5Char"/>
    <w:uiPriority w:val="9"/>
    <w:unhideWhenUsed/>
    <w:qFormat/>
    <w:rsid w:val="00E77182"/>
    <w:pPr>
      <w:outlineLvl w:val="4"/>
    </w:pPr>
    <w:rPr>
      <w:rFonts w:cstheme="minorHAnsi"/>
      <w:i/>
    </w:rPr>
  </w:style>
  <w:style w:type="paragraph" w:styleId="Heading6">
    <w:name w:val="heading 6"/>
    <w:basedOn w:val="Normal"/>
    <w:next w:val="Normal"/>
    <w:link w:val="Heading6Char"/>
    <w:uiPriority w:val="9"/>
    <w:semiHidden/>
    <w:unhideWhenUsed/>
    <w:qFormat/>
    <w:rsid w:val="003C731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C731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731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731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2">
    <w:name w:val="List Para 2"/>
    <w:basedOn w:val="ListParagraph"/>
    <w:link w:val="ListPara2Char"/>
    <w:rsid w:val="007368CC"/>
    <w:pPr>
      <w:ind w:left="1208" w:hanging="357"/>
    </w:pPr>
  </w:style>
  <w:style w:type="character" w:customStyle="1" w:styleId="ListPara2Char">
    <w:name w:val="List Para 2 Char"/>
    <w:basedOn w:val="ListParagraphChar"/>
    <w:link w:val="ListPara2"/>
    <w:rsid w:val="007368CC"/>
    <w:rPr>
      <w:rFonts w:ascii="Arial" w:hAnsi="Arial"/>
      <w:szCs w:val="24"/>
    </w:rPr>
  </w:style>
  <w:style w:type="paragraph" w:styleId="ListParagraph">
    <w:name w:val="List Paragraph"/>
    <w:basedOn w:val="Normal"/>
    <w:link w:val="ListParagraphChar"/>
    <w:uiPriority w:val="34"/>
    <w:qFormat/>
    <w:rsid w:val="003C7312"/>
    <w:pPr>
      <w:ind w:left="720"/>
      <w:contextualSpacing/>
    </w:pPr>
  </w:style>
  <w:style w:type="paragraph" w:customStyle="1" w:styleId="Bulletlist">
    <w:name w:val="Bullet list"/>
    <w:basedOn w:val="ListParagraph"/>
    <w:link w:val="BulletlistChar"/>
    <w:rsid w:val="007368CC"/>
    <w:pPr>
      <w:spacing w:after="0"/>
      <w:ind w:hanging="360"/>
    </w:pPr>
  </w:style>
  <w:style w:type="character" w:customStyle="1" w:styleId="BulletlistChar">
    <w:name w:val="Bullet list Char"/>
    <w:basedOn w:val="ListParagraphChar"/>
    <w:link w:val="Bulletlist"/>
    <w:rsid w:val="007368CC"/>
    <w:rPr>
      <w:rFonts w:ascii="Arial" w:hAnsi="Arial"/>
      <w:szCs w:val="24"/>
    </w:rPr>
  </w:style>
  <w:style w:type="character" w:customStyle="1" w:styleId="Heading1Char">
    <w:name w:val="Heading 1 Char"/>
    <w:basedOn w:val="DefaultParagraphFont"/>
    <w:link w:val="Heading1"/>
    <w:uiPriority w:val="9"/>
    <w:rsid w:val="00477F6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63482"/>
    <w:rPr>
      <w:rFonts w:asciiTheme="majorHAnsi" w:eastAsia="Batang" w:hAnsiTheme="majorHAnsi" w:cs="Arial"/>
      <w:b/>
      <w:bCs/>
      <w:sz w:val="24"/>
      <w:szCs w:val="32"/>
    </w:rPr>
  </w:style>
  <w:style w:type="character" w:customStyle="1" w:styleId="Heading3Char">
    <w:name w:val="Heading 3 Char"/>
    <w:basedOn w:val="DefaultParagraphFont"/>
    <w:link w:val="Heading3"/>
    <w:uiPriority w:val="9"/>
    <w:rsid w:val="00B13500"/>
    <w:rPr>
      <w:rFonts w:cstheme="minorHAnsi"/>
      <w:b/>
    </w:rPr>
  </w:style>
  <w:style w:type="character" w:customStyle="1" w:styleId="Heading4Char">
    <w:name w:val="Heading 4 Char"/>
    <w:basedOn w:val="DefaultParagraphFont"/>
    <w:link w:val="Heading4"/>
    <w:uiPriority w:val="9"/>
    <w:rsid w:val="00B13500"/>
    <w:rPr>
      <w:rFonts w:cstheme="minorHAnsi"/>
      <w:b/>
    </w:rPr>
  </w:style>
  <w:style w:type="character" w:customStyle="1" w:styleId="Heading5Char">
    <w:name w:val="Heading 5 Char"/>
    <w:basedOn w:val="DefaultParagraphFont"/>
    <w:link w:val="Heading5"/>
    <w:uiPriority w:val="9"/>
    <w:rsid w:val="00E77182"/>
    <w:rPr>
      <w:rFonts w:cstheme="minorHAnsi"/>
      <w:i/>
    </w:rPr>
  </w:style>
  <w:style w:type="character" w:customStyle="1" w:styleId="Heading6Char">
    <w:name w:val="Heading 6 Char"/>
    <w:basedOn w:val="DefaultParagraphFont"/>
    <w:link w:val="Heading6"/>
    <w:uiPriority w:val="9"/>
    <w:semiHidden/>
    <w:rsid w:val="003C731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C731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C731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C731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C731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C731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C731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C7312"/>
    <w:rPr>
      <w:rFonts w:asciiTheme="majorHAnsi" w:eastAsiaTheme="majorEastAsia" w:hAnsiTheme="majorHAnsi" w:cstheme="majorBidi"/>
      <w:i/>
      <w:iCs/>
      <w:spacing w:val="13"/>
      <w:sz w:val="24"/>
      <w:szCs w:val="24"/>
    </w:rPr>
  </w:style>
  <w:style w:type="character" w:styleId="Strong">
    <w:name w:val="Strong"/>
    <w:uiPriority w:val="22"/>
    <w:qFormat/>
    <w:rsid w:val="003C7312"/>
    <w:rPr>
      <w:b/>
      <w:bCs/>
    </w:rPr>
  </w:style>
  <w:style w:type="character" w:styleId="Emphasis">
    <w:name w:val="Emphasis"/>
    <w:uiPriority w:val="20"/>
    <w:qFormat/>
    <w:rsid w:val="003C7312"/>
    <w:rPr>
      <w:b/>
      <w:bCs/>
      <w:i/>
      <w:iCs/>
      <w:spacing w:val="10"/>
      <w:bdr w:val="none" w:sz="0" w:space="0" w:color="auto"/>
      <w:shd w:val="clear" w:color="auto" w:fill="auto"/>
    </w:rPr>
  </w:style>
  <w:style w:type="paragraph" w:styleId="NoSpacing">
    <w:name w:val="No Spacing"/>
    <w:basedOn w:val="Normal"/>
    <w:uiPriority w:val="1"/>
    <w:qFormat/>
    <w:rsid w:val="003C7312"/>
    <w:pPr>
      <w:spacing w:after="0"/>
    </w:pPr>
  </w:style>
  <w:style w:type="character" w:customStyle="1" w:styleId="ListParagraphChar">
    <w:name w:val="List Paragraph Char"/>
    <w:basedOn w:val="DefaultParagraphFont"/>
    <w:link w:val="ListParagraph"/>
    <w:uiPriority w:val="34"/>
    <w:rsid w:val="007368CC"/>
  </w:style>
  <w:style w:type="paragraph" w:styleId="Quote">
    <w:name w:val="Quote"/>
    <w:basedOn w:val="Normal"/>
    <w:next w:val="Normal"/>
    <w:link w:val="QuoteChar"/>
    <w:uiPriority w:val="29"/>
    <w:qFormat/>
    <w:rsid w:val="003C7312"/>
    <w:pPr>
      <w:spacing w:before="200" w:after="0"/>
      <w:ind w:left="360" w:right="360"/>
    </w:pPr>
    <w:rPr>
      <w:i/>
      <w:iCs/>
    </w:rPr>
  </w:style>
  <w:style w:type="character" w:customStyle="1" w:styleId="QuoteChar">
    <w:name w:val="Quote Char"/>
    <w:basedOn w:val="DefaultParagraphFont"/>
    <w:link w:val="Quote"/>
    <w:uiPriority w:val="29"/>
    <w:rsid w:val="003C7312"/>
    <w:rPr>
      <w:i/>
      <w:iCs/>
    </w:rPr>
  </w:style>
  <w:style w:type="character" w:styleId="SubtleEmphasis">
    <w:name w:val="Subtle Emphasis"/>
    <w:uiPriority w:val="19"/>
    <w:qFormat/>
    <w:rsid w:val="003C7312"/>
    <w:rPr>
      <w:i/>
      <w:iCs/>
    </w:rPr>
  </w:style>
  <w:style w:type="character" w:styleId="IntenseEmphasis">
    <w:name w:val="Intense Emphasis"/>
    <w:uiPriority w:val="21"/>
    <w:qFormat/>
    <w:rsid w:val="003C7312"/>
    <w:rPr>
      <w:b/>
      <w:bCs/>
    </w:rPr>
  </w:style>
  <w:style w:type="character" w:styleId="SubtleReference">
    <w:name w:val="Subtle Reference"/>
    <w:uiPriority w:val="31"/>
    <w:qFormat/>
    <w:rsid w:val="003C7312"/>
    <w:rPr>
      <w:smallCaps/>
    </w:rPr>
  </w:style>
  <w:style w:type="paragraph" w:styleId="TOCHeading">
    <w:name w:val="TOC Heading"/>
    <w:basedOn w:val="Heading1"/>
    <w:next w:val="Normal"/>
    <w:uiPriority w:val="39"/>
    <w:unhideWhenUsed/>
    <w:qFormat/>
    <w:rsid w:val="003C7312"/>
    <w:pPr>
      <w:outlineLvl w:val="9"/>
    </w:pPr>
    <w:rPr>
      <w:lang w:bidi="en-US"/>
    </w:rPr>
  </w:style>
  <w:style w:type="paragraph" w:customStyle="1" w:styleId="TOC">
    <w:name w:val="TOC"/>
    <w:basedOn w:val="TOC1"/>
    <w:link w:val="TOCChar"/>
    <w:rsid w:val="00180780"/>
    <w:pPr>
      <w:tabs>
        <w:tab w:val="right" w:leader="dot" w:pos="9344"/>
      </w:tabs>
      <w:spacing w:before="360" w:after="360"/>
    </w:pPr>
    <w:rPr>
      <w:rFonts w:eastAsia="Times New Roman" w:cs="Arial"/>
      <w:b/>
      <w:bCs/>
      <w:caps/>
      <w:sz w:val="32"/>
      <w:szCs w:val="32"/>
    </w:rPr>
  </w:style>
  <w:style w:type="character" w:customStyle="1" w:styleId="TOCChar">
    <w:name w:val="TOC Char"/>
    <w:basedOn w:val="DefaultParagraphFont"/>
    <w:link w:val="TOC"/>
    <w:rsid w:val="00180780"/>
    <w:rPr>
      <w:rFonts w:ascii="Arial" w:eastAsia="Times New Roman" w:hAnsi="Arial" w:cs="Arial"/>
      <w:b/>
      <w:bCs/>
      <w:caps/>
      <w:sz w:val="32"/>
      <w:szCs w:val="32"/>
    </w:rPr>
  </w:style>
  <w:style w:type="paragraph" w:styleId="TOC1">
    <w:name w:val="toc 1"/>
    <w:basedOn w:val="Normal"/>
    <w:next w:val="Normal"/>
    <w:autoRedefine/>
    <w:uiPriority w:val="39"/>
    <w:qFormat/>
    <w:rsid w:val="00180780"/>
    <w:pPr>
      <w:spacing w:after="100"/>
    </w:pPr>
  </w:style>
  <w:style w:type="paragraph" w:styleId="ListBullet">
    <w:name w:val="List Bullet"/>
    <w:basedOn w:val="Normal"/>
    <w:link w:val="ListBulletChar"/>
    <w:qFormat/>
    <w:rsid w:val="006D6E29"/>
    <w:pPr>
      <w:numPr>
        <w:numId w:val="1"/>
      </w:numPr>
    </w:pPr>
    <w:rPr>
      <w:rFonts w:eastAsia="Times New Roman" w:cs="Times New Roman"/>
    </w:rPr>
  </w:style>
  <w:style w:type="paragraph" w:styleId="ListNumber">
    <w:name w:val="List Number"/>
    <w:basedOn w:val="Normal"/>
    <w:rsid w:val="009C0068"/>
    <w:pPr>
      <w:numPr>
        <w:numId w:val="2"/>
      </w:numPr>
    </w:pPr>
    <w:rPr>
      <w:rFonts w:eastAsia="Times New Roman" w:cs="Times New Roman"/>
    </w:rPr>
  </w:style>
  <w:style w:type="paragraph" w:styleId="ListBullet2">
    <w:name w:val="List Bullet 2"/>
    <w:basedOn w:val="Normal"/>
    <w:qFormat/>
    <w:rsid w:val="00E27625"/>
    <w:pPr>
      <w:numPr>
        <w:numId w:val="3"/>
      </w:numPr>
    </w:pPr>
    <w:rPr>
      <w:rFonts w:eastAsia="Times New Roman" w:cs="Times New Roman"/>
    </w:rPr>
  </w:style>
  <w:style w:type="paragraph" w:styleId="ListNumber2">
    <w:name w:val="List Number 2"/>
    <w:basedOn w:val="Normal"/>
    <w:rsid w:val="00180780"/>
    <w:pPr>
      <w:numPr>
        <w:numId w:val="4"/>
      </w:numPr>
    </w:pPr>
    <w:rPr>
      <w:rFonts w:eastAsia="Times New Roman" w:cs="Times New Roman"/>
    </w:rPr>
  </w:style>
  <w:style w:type="table" w:customStyle="1" w:styleId="SWA">
    <w:name w:val="SWA"/>
    <w:basedOn w:val="TableNormal"/>
    <w:uiPriority w:val="99"/>
    <w:rsid w:val="00180780"/>
    <w:pPr>
      <w:spacing w:after="0"/>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styleId="Header">
    <w:name w:val="header"/>
    <w:basedOn w:val="Normal"/>
    <w:link w:val="HeaderChar"/>
    <w:uiPriority w:val="99"/>
    <w:unhideWhenUsed/>
    <w:rsid w:val="00722AE0"/>
    <w:pPr>
      <w:tabs>
        <w:tab w:val="center" w:pos="4513"/>
        <w:tab w:val="right" w:pos="9026"/>
      </w:tabs>
      <w:spacing w:after="0"/>
    </w:pPr>
  </w:style>
  <w:style w:type="character" w:customStyle="1" w:styleId="HeaderChar">
    <w:name w:val="Header Char"/>
    <w:basedOn w:val="DefaultParagraphFont"/>
    <w:link w:val="Header"/>
    <w:uiPriority w:val="99"/>
    <w:rsid w:val="00722AE0"/>
  </w:style>
  <w:style w:type="paragraph" w:styleId="Footer">
    <w:name w:val="footer"/>
    <w:basedOn w:val="Normal"/>
    <w:link w:val="FooterChar"/>
    <w:uiPriority w:val="99"/>
    <w:unhideWhenUsed/>
    <w:rsid w:val="00722AE0"/>
    <w:pPr>
      <w:tabs>
        <w:tab w:val="center" w:pos="4513"/>
        <w:tab w:val="right" w:pos="9026"/>
      </w:tabs>
      <w:spacing w:after="0"/>
    </w:pPr>
  </w:style>
  <w:style w:type="character" w:customStyle="1" w:styleId="FooterChar">
    <w:name w:val="Footer Char"/>
    <w:basedOn w:val="DefaultParagraphFont"/>
    <w:link w:val="Footer"/>
    <w:uiPriority w:val="99"/>
    <w:rsid w:val="00722AE0"/>
  </w:style>
  <w:style w:type="character" w:styleId="Hyperlink">
    <w:name w:val="Hyperlink"/>
    <w:basedOn w:val="DefaultParagraphFont"/>
    <w:uiPriority w:val="99"/>
    <w:unhideWhenUsed/>
    <w:rsid w:val="00722AE0"/>
    <w:rPr>
      <w:color w:val="0000FF"/>
      <w:u w:val="single"/>
    </w:rPr>
  </w:style>
  <w:style w:type="character" w:styleId="FollowedHyperlink">
    <w:name w:val="FollowedHyperlink"/>
    <w:basedOn w:val="DefaultParagraphFont"/>
    <w:uiPriority w:val="99"/>
    <w:unhideWhenUsed/>
    <w:rsid w:val="00722AE0"/>
    <w:rPr>
      <w:color w:val="919191" w:themeColor="followedHyperlink"/>
      <w:u w:val="single"/>
    </w:rPr>
  </w:style>
  <w:style w:type="paragraph" w:styleId="FootnoteText">
    <w:name w:val="footnote text"/>
    <w:aliases w:val="Footnotes Text,FSFootnotes Text,FSFootnote Text,FN,Footnote Text Char1 Char,Footnote Text Char1,Footnote Text Char Char1,Footnote Text Char1 Char Char Char,Footnote Text Char1 Char Char1,Footnote Text Char Char Char"/>
    <w:basedOn w:val="Normal"/>
    <w:link w:val="FootnoteTextChar"/>
    <w:unhideWhenUsed/>
    <w:qFormat/>
    <w:rsid w:val="00722AE0"/>
    <w:pPr>
      <w:spacing w:after="0"/>
    </w:pPr>
    <w:rPr>
      <w:sz w:val="20"/>
      <w:szCs w:val="20"/>
    </w:rPr>
  </w:style>
  <w:style w:type="character" w:customStyle="1" w:styleId="FootnoteTextChar">
    <w:name w:val="Footnote Text Char"/>
    <w:aliases w:val="Footnotes Text Char,FSFootnotes Text Char,FSFootnote Text Char,FN Char,Footnote Text Char1 Char Char,Footnote Text Char1 Char1,Footnote Text Char Char1 Char,Footnote Text Char1 Char Char Char Char,Footnote Text Char1 Char Char1 Char"/>
    <w:basedOn w:val="DefaultParagraphFont"/>
    <w:link w:val="FootnoteText"/>
    <w:rsid w:val="00722AE0"/>
    <w:rPr>
      <w:sz w:val="20"/>
      <w:szCs w:val="20"/>
    </w:rPr>
  </w:style>
  <w:style w:type="character" w:styleId="FootnoteReference">
    <w:name w:val="footnote reference"/>
    <w:aliases w:val="NO"/>
    <w:basedOn w:val="DefaultParagraphFont"/>
    <w:uiPriority w:val="4"/>
    <w:unhideWhenUsed/>
    <w:rsid w:val="00722AE0"/>
    <w:rPr>
      <w:vertAlign w:val="superscript"/>
    </w:rPr>
  </w:style>
  <w:style w:type="table" w:styleId="TableGrid">
    <w:name w:val="Table Grid"/>
    <w:basedOn w:val="TableNormal"/>
    <w:rsid w:val="00722A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AE0"/>
    <w:pPr>
      <w:autoSpaceDE w:val="0"/>
      <w:autoSpaceDN w:val="0"/>
      <w:adjustRightInd w:val="0"/>
      <w:spacing w:after="0"/>
    </w:pPr>
    <w:rPr>
      <w:rFonts w:ascii="Times New Roman" w:hAnsi="Times New Roman" w:cs="Times New Roman"/>
      <w:color w:val="000000"/>
      <w:sz w:val="24"/>
      <w:szCs w:val="24"/>
    </w:rPr>
  </w:style>
  <w:style w:type="paragraph" w:styleId="CommentText">
    <w:name w:val="annotation text"/>
    <w:basedOn w:val="Normal"/>
    <w:link w:val="CommentTextChar"/>
    <w:uiPriority w:val="4"/>
    <w:unhideWhenUsed/>
    <w:rsid w:val="00722AE0"/>
    <w:pPr>
      <w:spacing w:after="200"/>
    </w:pPr>
    <w:rPr>
      <w:sz w:val="20"/>
      <w:szCs w:val="20"/>
    </w:rPr>
  </w:style>
  <w:style w:type="character" w:customStyle="1" w:styleId="CommentTextChar">
    <w:name w:val="Comment Text Char"/>
    <w:basedOn w:val="DefaultParagraphFont"/>
    <w:link w:val="CommentText"/>
    <w:uiPriority w:val="4"/>
    <w:rsid w:val="00722AE0"/>
    <w:rPr>
      <w:sz w:val="20"/>
      <w:szCs w:val="20"/>
    </w:rPr>
  </w:style>
  <w:style w:type="character" w:styleId="CommentReference">
    <w:name w:val="annotation reference"/>
    <w:basedOn w:val="DefaultParagraphFont"/>
    <w:uiPriority w:val="4"/>
    <w:unhideWhenUsed/>
    <w:rsid w:val="00722AE0"/>
    <w:rPr>
      <w:sz w:val="16"/>
      <w:szCs w:val="16"/>
    </w:rPr>
  </w:style>
  <w:style w:type="paragraph" w:styleId="BalloonText">
    <w:name w:val="Balloon Text"/>
    <w:basedOn w:val="Normal"/>
    <w:link w:val="BalloonTextChar"/>
    <w:uiPriority w:val="99"/>
    <w:unhideWhenUsed/>
    <w:rsid w:val="00722AE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722AE0"/>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722AE0"/>
    <w:rPr>
      <w:b/>
      <w:bCs/>
    </w:rPr>
  </w:style>
  <w:style w:type="character" w:customStyle="1" w:styleId="CommentSubjectChar">
    <w:name w:val="Comment Subject Char"/>
    <w:basedOn w:val="CommentTextChar"/>
    <w:link w:val="CommentSubject"/>
    <w:uiPriority w:val="99"/>
    <w:rsid w:val="00722AE0"/>
    <w:rPr>
      <w:b/>
      <w:bCs/>
      <w:sz w:val="20"/>
      <w:szCs w:val="20"/>
    </w:rPr>
  </w:style>
  <w:style w:type="paragraph" w:styleId="Revision">
    <w:name w:val="Revision"/>
    <w:hidden/>
    <w:uiPriority w:val="99"/>
    <w:semiHidden/>
    <w:rsid w:val="00722AE0"/>
    <w:pPr>
      <w:spacing w:after="0"/>
    </w:pPr>
  </w:style>
  <w:style w:type="paragraph" w:styleId="TOC2">
    <w:name w:val="toc 2"/>
    <w:basedOn w:val="Normal"/>
    <w:next w:val="Normal"/>
    <w:autoRedefine/>
    <w:uiPriority w:val="39"/>
    <w:unhideWhenUsed/>
    <w:qFormat/>
    <w:rsid w:val="00D30F19"/>
    <w:pPr>
      <w:tabs>
        <w:tab w:val="left" w:pos="851"/>
        <w:tab w:val="right" w:leader="dot" w:pos="9398"/>
      </w:tabs>
      <w:spacing w:before="40" w:after="40" w:line="276" w:lineRule="auto"/>
      <w:ind w:left="220"/>
    </w:pPr>
  </w:style>
  <w:style w:type="numbering" w:customStyle="1" w:styleId="NoList1">
    <w:name w:val="No List1"/>
    <w:next w:val="NoList"/>
    <w:uiPriority w:val="99"/>
    <w:semiHidden/>
    <w:unhideWhenUsed/>
    <w:rsid w:val="00722AE0"/>
  </w:style>
  <w:style w:type="table" w:customStyle="1" w:styleId="TableGrid1">
    <w:name w:val="Table Grid1"/>
    <w:basedOn w:val="TableNormal"/>
    <w:next w:val="TableGrid"/>
    <w:uiPriority w:val="59"/>
    <w:rsid w:val="00722A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2A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basedOn w:val="BodyText"/>
    <w:link w:val="Paragraph1Char"/>
    <w:rsid w:val="00722AE0"/>
    <w:pPr>
      <w:spacing w:before="240" w:after="0" w:line="240" w:lineRule="auto"/>
    </w:pPr>
    <w:rPr>
      <w:rFonts w:ascii="Arial" w:eastAsia="Times New Roman" w:hAnsi="Arial" w:cs="Times New Roman"/>
      <w:szCs w:val="20"/>
      <w:lang w:eastAsia="en-AU"/>
    </w:rPr>
  </w:style>
  <w:style w:type="character" w:customStyle="1" w:styleId="Paragraph1Char">
    <w:name w:val="Paragraph 1 Char"/>
    <w:basedOn w:val="BodyTextChar"/>
    <w:link w:val="Paragraph1"/>
    <w:rsid w:val="00722AE0"/>
    <w:rPr>
      <w:rFonts w:eastAsia="Times New Roman" w:cs="Times New Roman"/>
      <w:szCs w:val="20"/>
      <w:lang w:eastAsia="en-AU"/>
    </w:rPr>
  </w:style>
  <w:style w:type="paragraph" w:styleId="BodyText">
    <w:name w:val="Body Text"/>
    <w:basedOn w:val="Normal"/>
    <w:link w:val="BodyTextChar"/>
    <w:uiPriority w:val="99"/>
    <w:unhideWhenUsed/>
    <w:rsid w:val="00722AE0"/>
    <w:pPr>
      <w:spacing w:line="276" w:lineRule="auto"/>
    </w:pPr>
  </w:style>
  <w:style w:type="character" w:customStyle="1" w:styleId="BodyTextChar">
    <w:name w:val="Body Text Char"/>
    <w:basedOn w:val="DefaultParagraphFont"/>
    <w:link w:val="BodyText"/>
    <w:uiPriority w:val="99"/>
    <w:rsid w:val="00722AE0"/>
  </w:style>
  <w:style w:type="paragraph" w:customStyle="1" w:styleId="Paragraph1bulletindent">
    <w:name w:val="Paragraph 1 bullet indent"/>
    <w:basedOn w:val="Paragraph1"/>
    <w:rsid w:val="00722AE0"/>
    <w:pPr>
      <w:numPr>
        <w:numId w:val="5"/>
      </w:numPr>
      <w:ind w:left="1440"/>
    </w:pPr>
  </w:style>
  <w:style w:type="paragraph" w:customStyle="1" w:styleId="Subheader3">
    <w:name w:val="Subheader 3"/>
    <w:basedOn w:val="Normal"/>
    <w:rsid w:val="00722AE0"/>
    <w:pPr>
      <w:spacing w:before="240" w:after="0"/>
    </w:pPr>
    <w:rPr>
      <w:rFonts w:ascii="Calibri" w:eastAsia="Times New Roman" w:hAnsi="Calibri" w:cs="Times New Roman"/>
      <w:b/>
      <w:bCs/>
      <w:color w:val="A5A5A5" w:themeColor="accent1" w:themeShade="BF"/>
      <w:sz w:val="24"/>
      <w:szCs w:val="20"/>
    </w:rPr>
  </w:style>
  <w:style w:type="paragraph" w:customStyle="1" w:styleId="Subheader4">
    <w:name w:val="Subheader 4"/>
    <w:basedOn w:val="Normal"/>
    <w:rsid w:val="00722AE0"/>
    <w:pPr>
      <w:spacing w:before="240" w:after="0"/>
    </w:pPr>
    <w:rPr>
      <w:rFonts w:ascii="Calibri" w:eastAsia="Times New Roman" w:hAnsi="Calibri" w:cs="Times New Roman"/>
      <w:b/>
      <w:bCs/>
      <w:i/>
      <w:iCs/>
      <w:color w:val="A5A5A5" w:themeColor="accent1" w:themeShade="BF"/>
      <w:sz w:val="24"/>
      <w:szCs w:val="20"/>
    </w:rPr>
  </w:style>
  <w:style w:type="paragraph" w:customStyle="1" w:styleId="StyleLatinBodyArial10ptBlackBefore3ptAfter3">
    <w:name w:val="Style (Latin) +Body (Arial) 10 pt Black Before:  3 pt After:  3..."/>
    <w:basedOn w:val="Normal"/>
    <w:next w:val="Normal"/>
    <w:rsid w:val="0005799A"/>
    <w:pPr>
      <w:spacing w:before="60" w:after="60"/>
    </w:pPr>
    <w:rPr>
      <w:rFonts w:eastAsia="Times New Roman" w:cs="Times New Roman"/>
      <w:color w:val="000000"/>
      <w:sz w:val="20"/>
      <w:szCs w:val="20"/>
    </w:rPr>
  </w:style>
  <w:style w:type="paragraph" w:styleId="IntenseQuote">
    <w:name w:val="Intense Quote"/>
    <w:basedOn w:val="Normal"/>
    <w:next w:val="Normal"/>
    <w:link w:val="IntenseQuoteChar"/>
    <w:uiPriority w:val="30"/>
    <w:qFormat/>
    <w:rsid w:val="003C7312"/>
    <w:pPr>
      <w:pBdr>
        <w:bottom w:val="single" w:sz="4" w:space="1" w:color="auto"/>
      </w:pBdr>
      <w:spacing w:before="200" w:after="280"/>
      <w:ind w:left="1008" w:right="1152"/>
      <w:jc w:val="both"/>
    </w:pPr>
    <w:rPr>
      <w:b/>
      <w:bCs/>
      <w:i/>
      <w:iCs/>
    </w:rPr>
  </w:style>
  <w:style w:type="paragraph" w:customStyle="1" w:styleId="GlossaryAbbreviation">
    <w:name w:val="Glossary Abbreviation"/>
    <w:basedOn w:val="Normal"/>
    <w:uiPriority w:val="99"/>
    <w:rsid w:val="00722AE0"/>
    <w:pPr>
      <w:spacing w:before="120" w:after="0"/>
    </w:pPr>
    <w:rPr>
      <w:rFonts w:ascii="Calibri" w:eastAsia="Times New Roman" w:hAnsi="Calibri" w:cs="Arial"/>
      <w:caps/>
      <w:szCs w:val="20"/>
    </w:rPr>
  </w:style>
  <w:style w:type="character" w:customStyle="1" w:styleId="CharDefText">
    <w:name w:val="CharDefText"/>
    <w:basedOn w:val="DefaultParagraphFont"/>
    <w:rsid w:val="00722AE0"/>
    <w:rPr>
      <w:b/>
      <w:bCs w:val="0"/>
      <w:i/>
      <w:iCs w:val="0"/>
    </w:rPr>
  </w:style>
  <w:style w:type="character" w:customStyle="1" w:styleId="IntenseQuoteChar">
    <w:name w:val="Intense Quote Char"/>
    <w:basedOn w:val="DefaultParagraphFont"/>
    <w:link w:val="IntenseQuote"/>
    <w:uiPriority w:val="30"/>
    <w:rsid w:val="003C7312"/>
    <w:rPr>
      <w:b/>
      <w:bCs/>
      <w:i/>
      <w:iCs/>
    </w:rPr>
  </w:style>
  <w:style w:type="character" w:styleId="IntenseReference">
    <w:name w:val="Intense Reference"/>
    <w:uiPriority w:val="32"/>
    <w:qFormat/>
    <w:rsid w:val="003C7312"/>
    <w:rPr>
      <w:smallCaps/>
      <w:spacing w:val="5"/>
      <w:u w:val="single"/>
    </w:rPr>
  </w:style>
  <w:style w:type="paragraph" w:customStyle="1" w:styleId="DraftHeading3">
    <w:name w:val="Draft Heading 3"/>
    <w:basedOn w:val="Normal"/>
    <w:next w:val="Normal"/>
    <w:rsid w:val="00722AE0"/>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paragraph" w:customStyle="1" w:styleId="Appendix">
    <w:name w:val="Appendix"/>
    <w:basedOn w:val="Heading1"/>
    <w:next w:val="Normal"/>
    <w:rsid w:val="00722AE0"/>
    <w:pPr>
      <w:keepLines/>
      <w:pageBreakBefore/>
      <w:numPr>
        <w:numId w:val="6"/>
      </w:numPr>
      <w:spacing w:after="180"/>
    </w:pPr>
    <w:rPr>
      <w:rFonts w:ascii="Calibri" w:eastAsia="Times New Roman" w:hAnsi="Calibri" w:cs="Times New Roman"/>
      <w:bCs w:val="0"/>
      <w:color w:val="002776"/>
      <w:kern w:val="28"/>
      <w:sz w:val="56"/>
      <w:lang w:eastAsia="en-AU"/>
    </w:rPr>
  </w:style>
  <w:style w:type="paragraph" w:customStyle="1" w:styleId="AppendixTableCaption">
    <w:name w:val="Appendix Table Caption"/>
    <w:basedOn w:val="Normal"/>
    <w:next w:val="BodyText"/>
    <w:rsid w:val="00722AE0"/>
    <w:pPr>
      <w:keepNext/>
      <w:keepLines/>
      <w:numPr>
        <w:ilvl w:val="1"/>
        <w:numId w:val="6"/>
      </w:numPr>
      <w:spacing w:before="240" w:after="240"/>
      <w:jc w:val="center"/>
    </w:pPr>
    <w:rPr>
      <w:rFonts w:ascii="Calibri" w:eastAsia="Times New Roman" w:hAnsi="Calibri" w:cs="Times New Roman"/>
      <w:b/>
      <w:color w:val="002776"/>
      <w:szCs w:val="20"/>
    </w:rPr>
  </w:style>
  <w:style w:type="paragraph" w:customStyle="1" w:styleId="AppendixChartCaption">
    <w:name w:val="Appendix Chart Caption"/>
    <w:basedOn w:val="Normal"/>
    <w:next w:val="BodyText"/>
    <w:rsid w:val="00722AE0"/>
    <w:pPr>
      <w:keepNext/>
      <w:keepLines/>
      <w:numPr>
        <w:ilvl w:val="2"/>
        <w:numId w:val="6"/>
      </w:numPr>
      <w:spacing w:before="240" w:after="240"/>
      <w:ind w:left="0"/>
      <w:jc w:val="center"/>
    </w:pPr>
    <w:rPr>
      <w:rFonts w:ascii="Calibri" w:eastAsia="Times New Roman" w:hAnsi="Calibri" w:cs="Times New Roman"/>
      <w:b/>
      <w:color w:val="002776"/>
      <w:szCs w:val="20"/>
    </w:rPr>
  </w:style>
  <w:style w:type="paragraph" w:customStyle="1" w:styleId="AppendixFigureCaption">
    <w:name w:val="Appendix Figure Caption"/>
    <w:basedOn w:val="Normal"/>
    <w:next w:val="BodyText"/>
    <w:rsid w:val="00722AE0"/>
    <w:pPr>
      <w:keepNext/>
      <w:keepLines/>
      <w:numPr>
        <w:ilvl w:val="3"/>
        <w:numId w:val="6"/>
      </w:numPr>
      <w:spacing w:before="240" w:after="240"/>
      <w:jc w:val="center"/>
    </w:pPr>
    <w:rPr>
      <w:rFonts w:ascii="Calibri" w:eastAsia="Times New Roman" w:hAnsi="Calibri" w:cs="Times New Roman"/>
      <w:b/>
      <w:color w:val="002776"/>
      <w:szCs w:val="20"/>
    </w:rPr>
  </w:style>
  <w:style w:type="paragraph" w:styleId="TOC3">
    <w:name w:val="toc 3"/>
    <w:basedOn w:val="Normal"/>
    <w:next w:val="Normal"/>
    <w:autoRedefine/>
    <w:uiPriority w:val="39"/>
    <w:unhideWhenUsed/>
    <w:qFormat/>
    <w:rsid w:val="00722AE0"/>
    <w:pPr>
      <w:spacing w:after="100" w:line="276" w:lineRule="auto"/>
      <w:ind w:left="440"/>
    </w:pPr>
  </w:style>
  <w:style w:type="character" w:styleId="BookTitle">
    <w:name w:val="Book Title"/>
    <w:uiPriority w:val="33"/>
    <w:qFormat/>
    <w:rsid w:val="003C7312"/>
    <w:rPr>
      <w:i/>
      <w:iCs/>
      <w:smallCaps/>
      <w:spacing w:val="5"/>
    </w:rPr>
  </w:style>
  <w:style w:type="numbering" w:customStyle="1" w:styleId="StyleOutlinenumberedVerdana">
    <w:name w:val="Style Outline numbered Verdana"/>
    <w:basedOn w:val="NoList"/>
    <w:rsid w:val="00722AE0"/>
    <w:pPr>
      <w:numPr>
        <w:numId w:val="7"/>
      </w:numPr>
    </w:pPr>
  </w:style>
  <w:style w:type="paragraph" w:customStyle="1" w:styleId="OBPRpoints">
    <w:name w:val="OBPR points"/>
    <w:basedOn w:val="Default"/>
    <w:rsid w:val="00722AE0"/>
    <w:pPr>
      <w:numPr>
        <w:numId w:val="8"/>
      </w:numPr>
      <w:spacing w:before="120" w:after="120"/>
    </w:pPr>
    <w:rPr>
      <w:rFonts w:ascii="Arial" w:eastAsia="Times New Roman" w:hAnsi="Arial" w:cs="Arial"/>
      <w:i/>
      <w:sz w:val="22"/>
      <w:szCs w:val="22"/>
      <w:lang w:eastAsia="en-AU"/>
    </w:rPr>
  </w:style>
  <w:style w:type="paragraph" w:customStyle="1" w:styleId="FSBullet1">
    <w:name w:val="FSBullet 1"/>
    <w:basedOn w:val="Normal"/>
    <w:next w:val="Normal"/>
    <w:link w:val="FSBullet1Char"/>
    <w:rsid w:val="00722AE0"/>
    <w:pPr>
      <w:numPr>
        <w:numId w:val="9"/>
      </w:numPr>
      <w:spacing w:after="0"/>
    </w:pPr>
    <w:rPr>
      <w:rFonts w:eastAsia="Times New Roman" w:cs="Arial"/>
      <w:lang w:val="en-GB"/>
    </w:rPr>
  </w:style>
  <w:style w:type="character" w:customStyle="1" w:styleId="FSBullet1Char">
    <w:name w:val="FSBullet 1 Char"/>
    <w:basedOn w:val="DefaultParagraphFont"/>
    <w:link w:val="FSBullet1"/>
    <w:rsid w:val="00722AE0"/>
    <w:rPr>
      <w:rFonts w:eastAsia="Times New Roman" w:cs="Arial"/>
      <w:lang w:val="en-GB"/>
    </w:rPr>
  </w:style>
  <w:style w:type="paragraph" w:customStyle="1" w:styleId="FSBullet">
    <w:name w:val="FS Bullet"/>
    <w:basedOn w:val="Normal"/>
    <w:next w:val="Normal"/>
    <w:link w:val="FSBulletChar"/>
    <w:rsid w:val="00722AE0"/>
    <w:pPr>
      <w:widowControl w:val="0"/>
      <w:numPr>
        <w:numId w:val="10"/>
      </w:numPr>
      <w:spacing w:after="0"/>
    </w:pPr>
    <w:rPr>
      <w:rFonts w:eastAsia="Times New Roman" w:cs="Arial"/>
      <w:lang w:val="en-GB" w:bidi="en-US"/>
    </w:rPr>
  </w:style>
  <w:style w:type="character" w:customStyle="1" w:styleId="FSBulletChar">
    <w:name w:val="FS Bullet Char"/>
    <w:basedOn w:val="DefaultParagraphFont"/>
    <w:link w:val="FSBullet"/>
    <w:rsid w:val="00722AE0"/>
    <w:rPr>
      <w:rFonts w:eastAsia="Times New Roman" w:cs="Arial"/>
      <w:lang w:val="en-GB" w:bidi="en-US"/>
    </w:rPr>
  </w:style>
  <w:style w:type="table" w:styleId="MediumList2-Accent1">
    <w:name w:val="Medium List 2 Accent 1"/>
    <w:basedOn w:val="TableNormal"/>
    <w:uiPriority w:val="66"/>
    <w:rsid w:val="00722AE0"/>
    <w:pPr>
      <w:spacing w:after="0"/>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722AE0"/>
    <w:pPr>
      <w:spacing w:before="100" w:beforeAutospacing="1" w:after="100" w:afterAutospacing="1"/>
    </w:pPr>
    <w:rPr>
      <w:rFonts w:ascii="Times New Roman" w:eastAsia="Times New Roman" w:hAnsi="Times New Roman" w:cs="Times New Roman"/>
      <w:sz w:val="24"/>
      <w:lang w:eastAsia="en-AU"/>
    </w:rPr>
  </w:style>
  <w:style w:type="paragraph" w:styleId="EndnoteText">
    <w:name w:val="endnote text"/>
    <w:basedOn w:val="Normal"/>
    <w:link w:val="EndnoteTextChar"/>
    <w:uiPriority w:val="99"/>
    <w:unhideWhenUsed/>
    <w:rsid w:val="00722AE0"/>
    <w:pPr>
      <w:spacing w:after="0"/>
    </w:pPr>
    <w:rPr>
      <w:sz w:val="20"/>
      <w:szCs w:val="20"/>
    </w:rPr>
  </w:style>
  <w:style w:type="character" w:customStyle="1" w:styleId="EndnoteTextChar">
    <w:name w:val="Endnote Text Char"/>
    <w:basedOn w:val="DefaultParagraphFont"/>
    <w:link w:val="EndnoteText"/>
    <w:uiPriority w:val="99"/>
    <w:rsid w:val="00722AE0"/>
    <w:rPr>
      <w:sz w:val="20"/>
      <w:szCs w:val="20"/>
    </w:rPr>
  </w:style>
  <w:style w:type="character" w:styleId="EndnoteReference">
    <w:name w:val="endnote reference"/>
    <w:basedOn w:val="DefaultParagraphFont"/>
    <w:uiPriority w:val="99"/>
    <w:unhideWhenUsed/>
    <w:rsid w:val="00722AE0"/>
    <w:rPr>
      <w:vertAlign w:val="superscript"/>
    </w:rPr>
  </w:style>
  <w:style w:type="character" w:customStyle="1" w:styleId="apple-converted-space">
    <w:name w:val="apple-converted-space"/>
    <w:basedOn w:val="DefaultParagraphFont"/>
    <w:rsid w:val="00722AE0"/>
  </w:style>
  <w:style w:type="paragraph" w:customStyle="1" w:styleId="Heading1-number">
    <w:name w:val="Heading 1 - number"/>
    <w:basedOn w:val="Heading1"/>
    <w:link w:val="Heading1-numberChar"/>
    <w:qFormat/>
    <w:rsid w:val="00596395"/>
    <w:pPr>
      <w:numPr>
        <w:numId w:val="11"/>
      </w:numPr>
      <w:spacing w:after="60"/>
      <w:ind w:left="357" w:hanging="357"/>
    </w:pPr>
    <w:rPr>
      <w:rFonts w:eastAsia="Batang" w:cs="Arial"/>
      <w:szCs w:val="32"/>
    </w:rPr>
  </w:style>
  <w:style w:type="paragraph" w:customStyle="1" w:styleId="IndentedListBullet">
    <w:name w:val="Indented List Bullet"/>
    <w:basedOn w:val="ListBullet"/>
    <w:link w:val="IndentedListBulletChar"/>
    <w:rsid w:val="009C0068"/>
    <w:pPr>
      <w:ind w:left="1134" w:hanging="425"/>
    </w:pPr>
  </w:style>
  <w:style w:type="character" w:customStyle="1" w:styleId="Heading1-numberChar">
    <w:name w:val="Heading 1 - number Char"/>
    <w:basedOn w:val="Heading1Char"/>
    <w:link w:val="Heading1-number"/>
    <w:rsid w:val="00596395"/>
    <w:rPr>
      <w:rFonts w:asciiTheme="majorHAnsi" w:eastAsia="Batang" w:hAnsiTheme="majorHAnsi" w:cs="Arial"/>
      <w:b/>
      <w:bCs/>
      <w:sz w:val="28"/>
      <w:szCs w:val="32"/>
    </w:rPr>
  </w:style>
  <w:style w:type="character" w:customStyle="1" w:styleId="ListBulletChar">
    <w:name w:val="List Bullet Char"/>
    <w:basedOn w:val="DefaultParagraphFont"/>
    <w:link w:val="ListBullet"/>
    <w:rsid w:val="006D6E29"/>
    <w:rPr>
      <w:rFonts w:eastAsia="Times New Roman" w:cs="Times New Roman"/>
    </w:rPr>
  </w:style>
  <w:style w:type="character" w:customStyle="1" w:styleId="IndentedListBulletChar">
    <w:name w:val="Indented List Bullet Char"/>
    <w:basedOn w:val="ListBulletChar"/>
    <w:link w:val="IndentedListBullet"/>
    <w:rsid w:val="009C0068"/>
    <w:rPr>
      <w:rFonts w:eastAsia="Times New Roman" w:cs="Times New Roman"/>
    </w:rPr>
  </w:style>
  <w:style w:type="paragraph" w:styleId="Caption">
    <w:name w:val="caption"/>
    <w:basedOn w:val="Normal"/>
    <w:next w:val="Normal"/>
    <w:link w:val="CaptionChar"/>
    <w:unhideWhenUsed/>
    <w:rsid w:val="00277812"/>
    <w:pPr>
      <w:spacing w:after="200"/>
    </w:pPr>
    <w:rPr>
      <w:b/>
      <w:bCs/>
      <w:color w:val="DDDDDD" w:themeColor="accent1"/>
      <w:sz w:val="18"/>
      <w:szCs w:val="18"/>
    </w:rPr>
  </w:style>
  <w:style w:type="paragraph" w:customStyle="1" w:styleId="TableTitle">
    <w:name w:val="Table Title"/>
    <w:basedOn w:val="Caption"/>
    <w:link w:val="TableTitleChar"/>
    <w:qFormat/>
    <w:rsid w:val="00277812"/>
    <w:pPr>
      <w:keepNext/>
      <w:spacing w:after="0"/>
    </w:pPr>
    <w:rPr>
      <w:color w:val="auto"/>
    </w:rPr>
  </w:style>
  <w:style w:type="character" w:customStyle="1" w:styleId="CaptionChar">
    <w:name w:val="Caption Char"/>
    <w:basedOn w:val="DefaultParagraphFont"/>
    <w:link w:val="Caption"/>
    <w:rsid w:val="00277812"/>
    <w:rPr>
      <w:b/>
      <w:bCs/>
      <w:color w:val="DDDDDD" w:themeColor="accent1"/>
      <w:sz w:val="18"/>
      <w:szCs w:val="18"/>
    </w:rPr>
  </w:style>
  <w:style w:type="character" w:customStyle="1" w:styleId="TableTitleChar">
    <w:name w:val="Table Title Char"/>
    <w:basedOn w:val="CaptionChar"/>
    <w:link w:val="TableTitle"/>
    <w:rsid w:val="00277812"/>
    <w:rPr>
      <w:b/>
      <w:bCs/>
      <w:color w:val="DDDDDD" w:themeColor="accent1"/>
      <w:sz w:val="18"/>
      <w:szCs w:val="18"/>
    </w:rPr>
  </w:style>
  <w:style w:type="character" w:styleId="PlaceholderText">
    <w:name w:val="Placeholder Text"/>
    <w:basedOn w:val="DefaultParagraphFont"/>
    <w:uiPriority w:val="99"/>
    <w:semiHidden/>
    <w:rsid w:val="00BF0F7F"/>
    <w:rPr>
      <w:color w:val="808080"/>
    </w:rPr>
  </w:style>
  <w:style w:type="paragraph" w:customStyle="1" w:styleId="Bullet1">
    <w:name w:val="Bullet 1"/>
    <w:basedOn w:val="Normal"/>
    <w:qFormat/>
    <w:rsid w:val="00463548"/>
    <w:pPr>
      <w:numPr>
        <w:numId w:val="21"/>
      </w:numPr>
      <w:spacing w:before="120" w:after="0"/>
      <w:ind w:left="357" w:hanging="357"/>
    </w:pPr>
    <w:rPr>
      <w:rFonts w:ascii="Arial" w:eastAsia="Times New Roman" w:hAnsi="Arial" w:cs="Arial"/>
      <w:szCs w:val="20"/>
      <w:lang w:eastAsia="en-AU"/>
    </w:rPr>
  </w:style>
  <w:style w:type="paragraph" w:customStyle="1" w:styleId="Bullet2">
    <w:name w:val="Bullet 2"/>
    <w:basedOn w:val="Bullet1"/>
    <w:qFormat/>
    <w:rsid w:val="00463548"/>
    <w:pPr>
      <w:numPr>
        <w:ilvl w:val="1"/>
      </w:numPr>
      <w:tabs>
        <w:tab w:val="clear" w:pos="850"/>
        <w:tab w:val="num" w:pos="1134"/>
      </w:tabs>
      <w:ind w:left="1134"/>
    </w:pPr>
  </w:style>
  <w:style w:type="paragraph" w:customStyle="1" w:styleId="TableHeadingText">
    <w:name w:val="Table Heading Text"/>
    <w:basedOn w:val="Normal"/>
    <w:qFormat/>
    <w:rsid w:val="00C834BC"/>
    <w:pPr>
      <w:keepNext/>
      <w:keepLines/>
      <w:spacing w:before="60" w:after="60"/>
    </w:pPr>
    <w:rPr>
      <w:rFonts w:asciiTheme="majorHAnsi" w:eastAsiaTheme="majorEastAsia" w:hAnsiTheme="majorHAnsi" w:cstheme="majorBidi"/>
      <w:b/>
      <w:bCs/>
      <w:sz w:val="18"/>
      <w:szCs w:val="18"/>
      <w:lang w:eastAsia="ja-JP"/>
    </w:rPr>
  </w:style>
  <w:style w:type="numbering" w:customStyle="1" w:styleId="AppendicesList">
    <w:name w:val="Appendices List"/>
    <w:uiPriority w:val="99"/>
    <w:rsid w:val="00C834BC"/>
    <w:pPr>
      <w:numPr>
        <w:numId w:val="52"/>
      </w:numPr>
    </w:pPr>
  </w:style>
  <w:style w:type="paragraph" w:styleId="DocumentMap">
    <w:name w:val="Document Map"/>
    <w:basedOn w:val="Normal"/>
    <w:link w:val="DocumentMapChar"/>
    <w:rsid w:val="00A611C7"/>
    <w:pPr>
      <w:spacing w:after="0"/>
    </w:pPr>
    <w:rPr>
      <w:rFonts w:ascii="Tahoma" w:hAnsi="Tahoma" w:cs="Tahoma"/>
      <w:sz w:val="16"/>
      <w:szCs w:val="16"/>
    </w:rPr>
  </w:style>
  <w:style w:type="character" w:customStyle="1" w:styleId="DocumentMapChar">
    <w:name w:val="Document Map Char"/>
    <w:basedOn w:val="DefaultParagraphFont"/>
    <w:link w:val="DocumentMap"/>
    <w:rsid w:val="00A611C7"/>
    <w:rPr>
      <w:rFonts w:ascii="Tahoma" w:hAnsi="Tahoma" w:cs="Tahoma"/>
      <w:sz w:val="16"/>
      <w:szCs w:val="16"/>
    </w:rPr>
  </w:style>
  <w:style w:type="paragraph" w:styleId="TOC4">
    <w:name w:val="toc 4"/>
    <w:basedOn w:val="Normal"/>
    <w:next w:val="Normal"/>
    <w:autoRedefine/>
    <w:uiPriority w:val="39"/>
    <w:unhideWhenUsed/>
    <w:rsid w:val="009C431C"/>
    <w:pPr>
      <w:spacing w:after="100" w:line="276" w:lineRule="auto"/>
      <w:ind w:left="660"/>
    </w:pPr>
    <w:rPr>
      <w:lang w:eastAsia="en-AU"/>
    </w:rPr>
  </w:style>
  <w:style w:type="paragraph" w:styleId="TOC5">
    <w:name w:val="toc 5"/>
    <w:basedOn w:val="Normal"/>
    <w:next w:val="Normal"/>
    <w:autoRedefine/>
    <w:uiPriority w:val="39"/>
    <w:unhideWhenUsed/>
    <w:rsid w:val="009C431C"/>
    <w:pPr>
      <w:spacing w:after="100" w:line="276" w:lineRule="auto"/>
      <w:ind w:left="880"/>
    </w:pPr>
    <w:rPr>
      <w:lang w:eastAsia="en-AU"/>
    </w:rPr>
  </w:style>
  <w:style w:type="paragraph" w:styleId="TOC6">
    <w:name w:val="toc 6"/>
    <w:basedOn w:val="Normal"/>
    <w:next w:val="Normal"/>
    <w:autoRedefine/>
    <w:uiPriority w:val="39"/>
    <w:unhideWhenUsed/>
    <w:rsid w:val="009C431C"/>
    <w:pPr>
      <w:spacing w:after="100" w:line="276" w:lineRule="auto"/>
      <w:ind w:left="1100"/>
    </w:pPr>
    <w:rPr>
      <w:lang w:eastAsia="en-AU"/>
    </w:rPr>
  </w:style>
  <w:style w:type="paragraph" w:styleId="TOC7">
    <w:name w:val="toc 7"/>
    <w:basedOn w:val="Normal"/>
    <w:next w:val="Normal"/>
    <w:autoRedefine/>
    <w:uiPriority w:val="39"/>
    <w:unhideWhenUsed/>
    <w:rsid w:val="009C431C"/>
    <w:pPr>
      <w:spacing w:after="100" w:line="276" w:lineRule="auto"/>
      <w:ind w:left="1320"/>
    </w:pPr>
    <w:rPr>
      <w:lang w:eastAsia="en-AU"/>
    </w:rPr>
  </w:style>
  <w:style w:type="paragraph" w:styleId="TOC8">
    <w:name w:val="toc 8"/>
    <w:basedOn w:val="Normal"/>
    <w:next w:val="Normal"/>
    <w:autoRedefine/>
    <w:uiPriority w:val="39"/>
    <w:unhideWhenUsed/>
    <w:rsid w:val="009C431C"/>
    <w:pPr>
      <w:spacing w:after="100" w:line="276" w:lineRule="auto"/>
      <w:ind w:left="1540"/>
    </w:pPr>
    <w:rPr>
      <w:lang w:eastAsia="en-AU"/>
    </w:rPr>
  </w:style>
  <w:style w:type="paragraph" w:styleId="TOC9">
    <w:name w:val="toc 9"/>
    <w:basedOn w:val="Normal"/>
    <w:next w:val="Normal"/>
    <w:autoRedefine/>
    <w:uiPriority w:val="39"/>
    <w:unhideWhenUsed/>
    <w:rsid w:val="009C431C"/>
    <w:pPr>
      <w:spacing w:after="100" w:line="276" w:lineRule="auto"/>
      <w:ind w:left="1760"/>
    </w:pPr>
    <w:rPr>
      <w:lang w:eastAsia="en-AU"/>
    </w:rPr>
  </w:style>
  <w:style w:type="paragraph" w:customStyle="1" w:styleId="Bodycopy">
    <w:name w:val="Body copy"/>
    <w:basedOn w:val="Normal"/>
    <w:uiPriority w:val="99"/>
    <w:rsid w:val="0040088F"/>
    <w:pPr>
      <w:suppressAutoHyphens/>
      <w:autoSpaceDE w:val="0"/>
      <w:autoSpaceDN w:val="0"/>
      <w:adjustRightInd w:val="0"/>
      <w:spacing w:before="120" w:after="170" w:line="220" w:lineRule="atLeast"/>
      <w:ind w:left="170"/>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40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swa.gov.au" TargetMode="External"/><Relationship Id="rId18" Type="http://schemas.openxmlformats.org/officeDocument/2006/relationships/chart" Target="charts/chart2.xml"/><Relationship Id="rId26" Type="http://schemas.openxmlformats.org/officeDocument/2006/relationships/header" Target="header2.xml"/><Relationship Id="rId39" Type="http://schemas.openxmlformats.org/officeDocument/2006/relationships/hyperlink" Target="https://www.aioh.org.au/documents/item/11" TargetMode="External"/><Relationship Id="rId21" Type="http://schemas.openxmlformats.org/officeDocument/2006/relationships/package" Target="embeddings/Microsoft_Word_Document1.docx"/><Relationship Id="rId34" Type="http://schemas.openxmlformats.org/officeDocument/2006/relationships/image" Target="media/image7.emf"/><Relationship Id="rId42" Type="http://schemas.openxmlformats.org/officeDocument/2006/relationships/hyperlink" Target="https://www.commerce.wa.gov.au/sites/default/files/atoms/files/final_report-ris.pdf" TargetMode="External"/><Relationship Id="rId47" Type="http://schemas.openxmlformats.org/officeDocument/2006/relationships/hyperlink" Target="http://www.safeworkaustralia.gov.au/sites/SWA/about/Publications/Documents/871/Review-hazards-health-effects-inorganic-lead-report.pdf" TargetMode="External"/><Relationship Id="rId50" Type="http://schemas.openxmlformats.org/officeDocument/2006/relationships/hyperlink" Target="http://www.safeworkaustralia.gov.au/sites/swa/about/publications/pages/model-whs-regulations"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reativecommons.org/licenses/by-nc/3.0/au/" TargetMode="External"/><Relationship Id="rId17" Type="http://schemas.openxmlformats.org/officeDocument/2006/relationships/chart" Target="charts/chart1.xml"/><Relationship Id="rId25" Type="http://schemas.openxmlformats.org/officeDocument/2006/relationships/footer" Target="footer2.xml"/><Relationship Id="rId33" Type="http://schemas.openxmlformats.org/officeDocument/2006/relationships/image" Target="media/image6.emf"/><Relationship Id="rId38" Type="http://schemas.openxmlformats.org/officeDocument/2006/relationships/hyperlink" Target="https://strokefoundation.com.au/Whatwedo/Research/Economic&#160;impact&#160;of-stroke-in-Australia" TargetMode="External"/><Relationship Id="rId46" Type="http://schemas.openxmlformats.org/officeDocument/2006/relationships/hyperlink" Target="http://www.rcsa.com.au/documents/RCSA%20submissions/Impact_of_the_proposed_national_model_work_health_and_safety-PwC.pdf" TargetMode="External"/><Relationship Id="rId2" Type="http://schemas.openxmlformats.org/officeDocument/2006/relationships/customXml" Target="../customXml/item2.xml"/><Relationship Id="rId16" Type="http://schemas.openxmlformats.org/officeDocument/2006/relationships/hyperlink" Target="http://www.dpmc.gov.au/best-practice-regulation-guide-ministerial-councils-and-national-standard-setting-bodies" TargetMode="External"/><Relationship Id="rId20" Type="http://schemas.openxmlformats.org/officeDocument/2006/relationships/image" Target="media/image2.emf"/><Relationship Id="rId29" Type="http://schemas.openxmlformats.org/officeDocument/2006/relationships/footer" Target="footer4.xml"/><Relationship Id="rId41" Type="http://schemas.openxmlformats.org/officeDocument/2006/relationships/hyperlink" Target="http://onlinelibrary.wiley.com/book/10.1002/9783527695539" TargetMode="External"/><Relationship Id="rId54"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image" Target="media/image5.emf"/><Relationship Id="rId37" Type="http://schemas.openxmlformats.org/officeDocument/2006/relationships/hyperlink" Target="https://www.bakeridi.edu.au/Assets/Files/FullReport%20%20the%20economic%20costs%20of%20heart%20attack%20and%20chest%20pain%20(emilable.pdf" TargetMode="External"/><Relationship Id="rId40" Type="http://schemas.openxmlformats.org/officeDocument/2006/relationships/hyperlink" Target="http://www.cdc.gov/nceh/lead/publications/PrevLeadPoisoning.pdf" TargetMode="External"/><Relationship Id="rId45" Type="http://schemas.openxmlformats.org/officeDocument/2006/relationships/hyperlink" Target="https://www.nhmrc.gov.au/guidelines-publications/eh58" TargetMode="External"/><Relationship Id="rId53" Type="http://schemas.openxmlformats.org/officeDocument/2006/relationships/hyperlink" Target="https://submissions.swa.gov.au/SWAforms/lead/pages/index" TargetMode="External"/><Relationship Id="rId5" Type="http://schemas.openxmlformats.org/officeDocument/2006/relationships/styles" Target="styles.xml"/><Relationship Id="rId15" Type="http://schemas.openxmlformats.org/officeDocument/2006/relationships/hyperlink" Target="http://www.safeworkaustralia.gov.au/sites/swa/about/publications/pages/review-of-hazards-and-health-effects-of-inorganic-lead-implications-whs-regulatory-policy" TargetMode="External"/><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hyperlink" Target="http://www.cancercouncil.com.au/wpcontent/uploads/2010/11/costofcancer_costs.pdf" TargetMode="External"/><Relationship Id="rId49" Type="http://schemas.openxmlformats.org/officeDocument/2006/relationships/hyperlink" Target="http://cfpub.epa.gov/ncea/isa/recordisplay.cfm?deid=255721" TargetMode="External"/><Relationship Id="rId10" Type="http://schemas.openxmlformats.org/officeDocument/2006/relationships/endnotes" Target="endnotes.xml"/><Relationship Id="rId19" Type="http://schemas.openxmlformats.org/officeDocument/2006/relationships/hyperlink" Target="http://www.safeworkaustralia.gov.au/sites/swa/about/publications/pages/review-of-hazards-and-health-effects-of-inorganic-lead-implications-whs-regulatory-policy" TargetMode="External"/><Relationship Id="rId31" Type="http://schemas.openxmlformats.org/officeDocument/2006/relationships/image" Target="media/image4.emf"/><Relationship Id="rId44" Type="http://schemas.openxmlformats.org/officeDocument/2006/relationships/hyperlink" Target="https://www.nhmrc.gov.au/guidelines-publications/eh58" TargetMode="External"/><Relationship Id="rId52" Type="http://schemas.openxmlformats.org/officeDocument/2006/relationships/hyperlink" Target="http://www.safeworkaustralia.gov.au/sites/SWA/about/Publications/Documents/871/Review-hazards-health-effects-inorganic-lead-report.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wa.gov.au" TargetMode="External"/><Relationship Id="rId22" Type="http://schemas.openxmlformats.org/officeDocument/2006/relationships/hyperlink" Target="file:///C:\Users\Grant\Downloads\business.gov.au" TargetMode="External"/><Relationship Id="rId27" Type="http://schemas.openxmlformats.org/officeDocument/2006/relationships/footer" Target="footer3.xml"/><Relationship Id="rId30" Type="http://schemas.openxmlformats.org/officeDocument/2006/relationships/hyperlink" Target="https://www.dpmc.gov.au/sites/default/files/publications/005_Regulatory_Burden_Measurement_Framework.pdf" TargetMode="External"/><Relationship Id="rId35" Type="http://schemas.openxmlformats.org/officeDocument/2006/relationships/image" Target="media/image8.emf"/><Relationship Id="rId43" Type="http://schemas.openxmlformats.org/officeDocument/2006/relationships/hyperlink" Target="https://www.nhmrc.gov.au/guidelines-publications/eh58" TargetMode="External"/><Relationship Id="rId48" Type="http://schemas.openxmlformats.org/officeDocument/2006/relationships/hyperlink" Target="http://www.vcec.vic.gov.au/Regulation-Review/Search-for-a-RIS/2006-07"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afeworkaustralia.gov.au/sites/SWA/about/Publications/Documents/772/Workplace-exposure-standards-airborne-contaminants.pdf"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pmc.gov.au/best-practice-regulation-guide-ministerial-councils-and-national-standard-setting-bo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PNAS002\JS3644$\Desktop\BLRL%20and%20W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JS3644$\Desktop\BLRL%20and%20W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Sheet1!$E$1</c:f>
              <c:strCache>
                <c:ptCount val="1"/>
                <c:pt idx="0">
                  <c:v>BLRL</c:v>
                </c:pt>
              </c:strCache>
            </c:strRef>
          </c:tx>
          <c:invertIfNegative val="0"/>
          <c:dPt>
            <c:idx val="21"/>
            <c:invertIfNegative val="0"/>
            <c:bubble3D val="0"/>
            <c:spPr>
              <a:solidFill>
                <a:srgbClr val="FF0000"/>
              </a:solidFill>
            </c:spPr>
          </c:dPt>
          <c:cat>
            <c:strRef>
              <c:f>Sheet1!$D$2:$D$31</c:f>
              <c:strCache>
                <c:ptCount val="30"/>
                <c:pt idx="0">
                  <c:v>Denmark (DWEA)</c:v>
                </c:pt>
                <c:pt idx="1">
                  <c:v>Scientific non-agency members</c:v>
                </c:pt>
                <c:pt idx="2">
                  <c:v>USA (ACGIH)</c:v>
                </c:pt>
                <c:pt idx="3">
                  <c:v>Argentina (MTES)</c:v>
                </c:pt>
                <c:pt idx="4">
                  <c:v>EC (SCOEL)</c:v>
                </c:pt>
                <c:pt idx="5">
                  <c:v>Germany (DFG)</c:v>
                </c:pt>
                <c:pt idx="6">
                  <c:v>Scientific non-agency Committee</c:v>
                </c:pt>
                <c:pt idx="7">
                  <c:v>California proposal</c:v>
                </c:pt>
                <c:pt idx="8">
                  <c:v>Professional Association</c:v>
                </c:pt>
                <c:pt idx="9">
                  <c:v>World Health Organization (WHO)</c:v>
                </c:pt>
                <c:pt idx="10">
                  <c:v>Sweden (SWEA)</c:v>
                </c:pt>
                <c:pt idx="11">
                  <c:v>France (INRS)</c:v>
                </c:pt>
                <c:pt idx="12">
                  <c:v>Japan (JSOH)</c:v>
                </c:pt>
                <c:pt idx="13">
                  <c:v>Switzerland (SUVA)</c:v>
                </c:pt>
                <c:pt idx="14">
                  <c:v>Chile (MdS)</c:v>
                </c:pt>
                <c:pt idx="15">
                  <c:v>Germany (BAuA)</c:v>
                </c:pt>
                <c:pt idx="16">
                  <c:v>Canada; Alberta</c:v>
                </c:pt>
                <c:pt idx="17">
                  <c:v>USA (OSHA)</c:v>
                </c:pt>
                <c:pt idx="18">
                  <c:v>USA; California</c:v>
                </c:pt>
                <c:pt idx="19">
                  <c:v>Finland (MoSAH)</c:v>
                </c:pt>
                <c:pt idx="20">
                  <c:v>New Zealand (DoL)</c:v>
                </c:pt>
                <c:pt idx="21">
                  <c:v>Safe Work Australia</c:v>
                </c:pt>
                <c:pt idx="22">
                  <c:v>USA (NIOSH)</c:v>
                </c:pt>
                <c:pt idx="23">
                  <c:v>South Africa (SADoL)</c:v>
                </c:pt>
                <c:pt idx="24">
                  <c:v>UK (HSE)</c:v>
                </c:pt>
                <c:pt idx="25">
                  <c:v>Canada; Ontario</c:v>
                </c:pt>
                <c:pt idx="26">
                  <c:v>Europe (EC)</c:v>
                </c:pt>
                <c:pt idx="27">
                  <c:v>Ireland (H&amp;SA)</c:v>
                </c:pt>
                <c:pt idx="28">
                  <c:v>Luxembourg (JOGDL)</c:v>
                </c:pt>
                <c:pt idx="29">
                  <c:v>Spain (INSHT)</c:v>
                </c:pt>
              </c:strCache>
            </c:strRef>
          </c:cat>
          <c:val>
            <c:numRef>
              <c:f>Sheet1!$E$2:$E$31</c:f>
              <c:numCache>
                <c:formatCode>General</c:formatCode>
                <c:ptCount val="30"/>
                <c:pt idx="0">
                  <c:v>20</c:v>
                </c:pt>
                <c:pt idx="1">
                  <c:v>20</c:v>
                </c:pt>
                <c:pt idx="2">
                  <c:v>30</c:v>
                </c:pt>
                <c:pt idx="3">
                  <c:v>30</c:v>
                </c:pt>
                <c:pt idx="4">
                  <c:v>30</c:v>
                </c:pt>
                <c:pt idx="5">
                  <c:v>30</c:v>
                </c:pt>
                <c:pt idx="6">
                  <c:v>30</c:v>
                </c:pt>
                <c:pt idx="7">
                  <c:v>30</c:v>
                </c:pt>
                <c:pt idx="8">
                  <c:v>30</c:v>
                </c:pt>
                <c:pt idx="9">
                  <c:v>40</c:v>
                </c:pt>
                <c:pt idx="10">
                  <c:v>40</c:v>
                </c:pt>
                <c:pt idx="11">
                  <c:v>40</c:v>
                </c:pt>
                <c:pt idx="12">
                  <c:v>40</c:v>
                </c:pt>
                <c:pt idx="13">
                  <c:v>40</c:v>
                </c:pt>
                <c:pt idx="14">
                  <c:v>40</c:v>
                </c:pt>
                <c:pt idx="15">
                  <c:v>40</c:v>
                </c:pt>
                <c:pt idx="16">
                  <c:v>50</c:v>
                </c:pt>
                <c:pt idx="17">
                  <c:v>50</c:v>
                </c:pt>
                <c:pt idx="18">
                  <c:v>50</c:v>
                </c:pt>
                <c:pt idx="19">
                  <c:v>50</c:v>
                </c:pt>
                <c:pt idx="20">
                  <c:v>50</c:v>
                </c:pt>
                <c:pt idx="21">
                  <c:v>50</c:v>
                </c:pt>
                <c:pt idx="22">
                  <c:v>60</c:v>
                </c:pt>
                <c:pt idx="23">
                  <c:v>60</c:v>
                </c:pt>
                <c:pt idx="24">
                  <c:v>60</c:v>
                </c:pt>
                <c:pt idx="25">
                  <c:v>70</c:v>
                </c:pt>
                <c:pt idx="26">
                  <c:v>70</c:v>
                </c:pt>
                <c:pt idx="27">
                  <c:v>70</c:v>
                </c:pt>
                <c:pt idx="28">
                  <c:v>70</c:v>
                </c:pt>
                <c:pt idx="29">
                  <c:v>70</c:v>
                </c:pt>
              </c:numCache>
            </c:numRef>
          </c:val>
        </c:ser>
        <c:dLbls>
          <c:showLegendKey val="0"/>
          <c:showVal val="0"/>
          <c:showCatName val="0"/>
          <c:showSerName val="0"/>
          <c:showPercent val="0"/>
          <c:showBubbleSize val="0"/>
        </c:dLbls>
        <c:gapWidth val="150"/>
        <c:axId val="195536768"/>
        <c:axId val="195719936"/>
      </c:barChart>
      <c:catAx>
        <c:axId val="195536768"/>
        <c:scaling>
          <c:orientation val="minMax"/>
        </c:scaling>
        <c:delete val="0"/>
        <c:axPos val="b"/>
        <c:majorTickMark val="out"/>
        <c:minorTickMark val="none"/>
        <c:tickLblPos val="nextTo"/>
        <c:crossAx val="195719936"/>
        <c:crosses val="autoZero"/>
        <c:auto val="1"/>
        <c:lblAlgn val="ctr"/>
        <c:lblOffset val="100"/>
        <c:noMultiLvlLbl val="0"/>
      </c:catAx>
      <c:valAx>
        <c:axId val="195719936"/>
        <c:scaling>
          <c:orientation val="minMax"/>
        </c:scaling>
        <c:delete val="0"/>
        <c:axPos val="l"/>
        <c:majorGridlines/>
        <c:numFmt formatCode="General" sourceLinked="1"/>
        <c:majorTickMark val="out"/>
        <c:minorTickMark val="none"/>
        <c:tickLblPos val="nextTo"/>
        <c:crossAx val="1955367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WES</c:v>
                </c:pt>
              </c:strCache>
            </c:strRef>
          </c:tx>
          <c:invertIfNegative val="0"/>
          <c:dPt>
            <c:idx val="20"/>
            <c:invertIfNegative val="0"/>
            <c:bubble3D val="0"/>
            <c:spPr>
              <a:solidFill>
                <a:srgbClr val="FF0000"/>
              </a:solidFill>
            </c:spPr>
          </c:dPt>
          <c:cat>
            <c:strRef>
              <c:f>Sheet1!$A$2:$A$29</c:f>
              <c:strCache>
                <c:ptCount val="28"/>
                <c:pt idx="0">
                  <c:v>World Health Organization (WHO)</c:v>
                </c:pt>
                <c:pt idx="1">
                  <c:v>Denmark (DWEA)</c:v>
                </c:pt>
                <c:pt idx="2">
                  <c:v>USA (ACGIH)</c:v>
                </c:pt>
                <c:pt idx="3">
                  <c:v>Argentina (MTES)</c:v>
                </c:pt>
                <c:pt idx="4">
                  <c:v>Sweden (SWEA)</c:v>
                </c:pt>
                <c:pt idx="5">
                  <c:v>Canada; Alberta</c:v>
                </c:pt>
                <c:pt idx="6">
                  <c:v>USA (OSHA)</c:v>
                </c:pt>
                <c:pt idx="7">
                  <c:v>USA; California</c:v>
                </c:pt>
                <c:pt idx="8">
                  <c:v>USA (NIOSH)</c:v>
                </c:pt>
                <c:pt idx="9">
                  <c:v>Canada; Ontario</c:v>
                </c:pt>
                <c:pt idx="10">
                  <c:v>Canada; British</c:v>
                </c:pt>
                <c:pt idx="11">
                  <c:v>Canada; Quebec</c:v>
                </c:pt>
                <c:pt idx="12">
                  <c:v>China (MoH)</c:v>
                </c:pt>
                <c:pt idx="13">
                  <c:v>EC (SCOEL)</c:v>
                </c:pt>
                <c:pt idx="14">
                  <c:v>France (INRS)</c:v>
                </c:pt>
                <c:pt idx="15">
                  <c:v>Japan (JSOH)</c:v>
                </c:pt>
                <c:pt idx="16">
                  <c:v>Switzerland (SUVA)</c:v>
                </c:pt>
                <c:pt idx="17">
                  <c:v>Finland (MoSAH)</c:v>
                </c:pt>
                <c:pt idx="18">
                  <c:v>New Zealand (DoL)</c:v>
                </c:pt>
                <c:pt idx="19">
                  <c:v>Chile (MdS)</c:v>
                </c:pt>
                <c:pt idx="20">
                  <c:v>Safe Work Australia</c:v>
                </c:pt>
                <c:pt idx="21">
                  <c:v>South Africa (SADoL)</c:v>
                </c:pt>
                <c:pt idx="22">
                  <c:v>UK (HSE)</c:v>
                </c:pt>
                <c:pt idx="23">
                  <c:v>Europe (EC)</c:v>
                </c:pt>
                <c:pt idx="24">
                  <c:v>Ireland (H&amp;SA)</c:v>
                </c:pt>
                <c:pt idx="25">
                  <c:v>Luxembourg (JOGDL)</c:v>
                </c:pt>
                <c:pt idx="26">
                  <c:v>Spain (INSHT)</c:v>
                </c:pt>
                <c:pt idx="27">
                  <c:v>Belgium</c:v>
                </c:pt>
              </c:strCache>
            </c:strRef>
          </c:cat>
          <c:val>
            <c:numRef>
              <c:f>Sheet1!$B$2:$B$29</c:f>
              <c:numCache>
                <c:formatCode>General</c:formatCode>
                <c:ptCount val="28"/>
                <c:pt idx="0">
                  <c:v>4.0000000000000015E-2</c:v>
                </c:pt>
                <c:pt idx="1">
                  <c:v>0.05</c:v>
                </c:pt>
                <c:pt idx="2">
                  <c:v>0.05</c:v>
                </c:pt>
                <c:pt idx="3">
                  <c:v>0.05</c:v>
                </c:pt>
                <c:pt idx="4">
                  <c:v>0.05</c:v>
                </c:pt>
                <c:pt idx="5">
                  <c:v>0.05</c:v>
                </c:pt>
                <c:pt idx="6">
                  <c:v>0.05</c:v>
                </c:pt>
                <c:pt idx="7">
                  <c:v>0.05</c:v>
                </c:pt>
                <c:pt idx="8">
                  <c:v>0.05</c:v>
                </c:pt>
                <c:pt idx="9">
                  <c:v>0.05</c:v>
                </c:pt>
                <c:pt idx="10">
                  <c:v>0.05</c:v>
                </c:pt>
                <c:pt idx="11">
                  <c:v>0.05</c:v>
                </c:pt>
                <c:pt idx="12">
                  <c:v>0.05</c:v>
                </c:pt>
                <c:pt idx="13">
                  <c:v>0.1</c:v>
                </c:pt>
                <c:pt idx="14">
                  <c:v>0.1</c:v>
                </c:pt>
                <c:pt idx="15">
                  <c:v>0.1</c:v>
                </c:pt>
                <c:pt idx="16">
                  <c:v>0.1</c:v>
                </c:pt>
                <c:pt idx="17">
                  <c:v>0.1</c:v>
                </c:pt>
                <c:pt idx="18">
                  <c:v>0.1</c:v>
                </c:pt>
                <c:pt idx="19">
                  <c:v>0.12000000000000002</c:v>
                </c:pt>
                <c:pt idx="20">
                  <c:v>0.15000000000000005</c:v>
                </c:pt>
                <c:pt idx="21">
                  <c:v>0.15000000000000005</c:v>
                </c:pt>
                <c:pt idx="22">
                  <c:v>0.15000000000000005</c:v>
                </c:pt>
                <c:pt idx="23">
                  <c:v>0.15000000000000005</c:v>
                </c:pt>
                <c:pt idx="24">
                  <c:v>0.15000000000000005</c:v>
                </c:pt>
                <c:pt idx="25">
                  <c:v>0.15000000000000005</c:v>
                </c:pt>
                <c:pt idx="26">
                  <c:v>0.15000000000000005</c:v>
                </c:pt>
                <c:pt idx="27">
                  <c:v>0.15000000000000005</c:v>
                </c:pt>
              </c:numCache>
            </c:numRef>
          </c:val>
        </c:ser>
        <c:dLbls>
          <c:showLegendKey val="0"/>
          <c:showVal val="0"/>
          <c:showCatName val="0"/>
          <c:showSerName val="0"/>
          <c:showPercent val="0"/>
          <c:showBubbleSize val="0"/>
        </c:dLbls>
        <c:gapWidth val="150"/>
        <c:axId val="206845056"/>
        <c:axId val="232971264"/>
      </c:barChart>
      <c:catAx>
        <c:axId val="206845056"/>
        <c:scaling>
          <c:orientation val="minMax"/>
        </c:scaling>
        <c:delete val="0"/>
        <c:axPos val="b"/>
        <c:majorTickMark val="out"/>
        <c:minorTickMark val="none"/>
        <c:tickLblPos val="nextTo"/>
        <c:crossAx val="232971264"/>
        <c:crosses val="autoZero"/>
        <c:auto val="1"/>
        <c:lblAlgn val="ctr"/>
        <c:lblOffset val="100"/>
        <c:noMultiLvlLbl val="0"/>
      </c:catAx>
      <c:valAx>
        <c:axId val="232971264"/>
        <c:scaling>
          <c:orientation val="minMax"/>
        </c:scaling>
        <c:delete val="0"/>
        <c:axPos val="l"/>
        <c:majorGridlines/>
        <c:numFmt formatCode="General" sourceLinked="1"/>
        <c:majorTickMark val="out"/>
        <c:minorTickMark val="none"/>
        <c:tickLblPos val="nextTo"/>
        <c:crossAx val="2068450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9781760510022</PublicationIdentifier>
    <ParentFolderID xmlns="http://schemas.microsoft.com/sharepoint/v3/fields">990</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C83D-3B4C-416A-8216-C45532920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1358C-C92C-46FF-98A7-84A6610CD226}">
  <ds:schemaRefs>
    <ds:schemaRef ds:uri="http://purl.org/dc/terms/"/>
    <ds:schemaRef ds:uri="http://schemas.openxmlformats.org/package/2006/metadata/core-properties"/>
    <ds:schemaRef ds:uri="http://purl.org/dc/elements/1.1/"/>
    <ds:schemaRef ds:uri="http://schemas.microsoft.com/sharepoint/v3/field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C1EB4AE-CC03-4146-8E9A-7AB2E7F4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FB333EBE.dotm</Template>
  <TotalTime>0</TotalTime>
  <Pages>25</Pages>
  <Words>26570</Words>
  <Characters>151450</Characters>
  <Application>Microsoft Office Word</Application>
  <DocSecurity>4</DocSecurity>
  <Lines>1262</Lines>
  <Paragraphs>355</Paragraphs>
  <ScaleCrop>false</ScaleCrop>
  <HeadingPairs>
    <vt:vector size="2" baseType="variant">
      <vt:variant>
        <vt:lpstr>Title</vt:lpstr>
      </vt:variant>
      <vt:variant>
        <vt:i4>1</vt:i4>
      </vt:variant>
    </vt:vector>
  </HeadingPairs>
  <TitlesOfParts>
    <vt:vector size="1" baseType="lpstr">
      <vt:lpstr>Decision Regulation Impact Statement - Managing risks associated with lead in the workplace</vt:lpstr>
    </vt:vector>
  </TitlesOfParts>
  <LinksUpToDate>false</LinksUpToDate>
  <CharactersWithSpaces>177665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Regulation Impact Statement - Managing risks associated with lead in the workplace</dc:title>
  <dc:creator/>
  <cp:lastModifiedBy/>
  <cp:revision>1</cp:revision>
  <dcterms:created xsi:type="dcterms:W3CDTF">2017-01-31T03:13:00Z</dcterms:created>
  <dcterms:modified xsi:type="dcterms:W3CDTF">2017-01-31T03:13:00Z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