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7B24D" w14:textId="22968434" w:rsidR="00C50BED" w:rsidRPr="00C50BED" w:rsidRDefault="00C50BED" w:rsidP="00C50BED">
      <w:pPr>
        <w:pStyle w:val="Subtitle"/>
      </w:pPr>
      <w:bookmarkStart w:id="0" w:name="_Toc76388971"/>
      <w:r>
        <w:t>Safe Work Australia</w:t>
      </w:r>
      <w:bookmarkEnd w:id="0"/>
    </w:p>
    <w:p w14:paraId="506B58A3" w14:textId="407D1BB3" w:rsidR="00C50BED" w:rsidRPr="00C50BED" w:rsidRDefault="00C50BED" w:rsidP="00C50BED">
      <w:pPr>
        <w:pStyle w:val="Heading1"/>
      </w:pPr>
      <w:bookmarkStart w:id="1" w:name="_Toc76388972"/>
      <w:r>
        <w:t xml:space="preserve">Workers’ Compensation </w:t>
      </w:r>
      <w:r w:rsidR="00B671DA" w:rsidRPr="00C50BED">
        <w:t xml:space="preserve">Coverage </w:t>
      </w:r>
      <w:bookmarkEnd w:id="1"/>
      <w:r w:rsidR="006832F2">
        <w:t>in Australia</w:t>
      </w:r>
    </w:p>
    <w:p w14:paraId="2D864F77" w14:textId="50AD6170" w:rsidR="005B7E8D" w:rsidRPr="00C50BED" w:rsidRDefault="00695F70" w:rsidP="00C50BED">
      <w:pPr>
        <w:pStyle w:val="Subtitle"/>
        <w:sectPr w:rsidR="005B7E8D" w:rsidRPr="00C50BED" w:rsidSect="00C50BED">
          <w:footerReference w:type="default" r:id="rId12"/>
          <w:headerReference w:type="first" r:id="rId13"/>
          <w:pgSz w:w="11906" w:h="16838" w:code="9"/>
          <w:pgMar w:top="567" w:right="1440" w:bottom="3402" w:left="1440" w:header="709" w:footer="2359" w:gutter="0"/>
          <w:cols w:space="708"/>
          <w:vAlign w:val="center"/>
          <w:titlePg/>
          <w:docGrid w:linePitch="360"/>
        </w:sectPr>
      </w:pPr>
      <w:bookmarkStart w:id="2" w:name="_Toc76388974"/>
      <w:r>
        <w:t>NOVEMBER</w:t>
      </w:r>
      <w:r w:rsidR="00B671DA" w:rsidRPr="00C50BED">
        <w:t xml:space="preserve"> 2021</w:t>
      </w:r>
      <w:bookmarkEnd w:id="2"/>
    </w:p>
    <w:p w14:paraId="14A34380" w14:textId="77777777" w:rsidR="007D5BA8" w:rsidRPr="007D5BA8" w:rsidRDefault="007D5BA8" w:rsidP="007D5BA8">
      <w:pPr>
        <w:pStyle w:val="Disclaimer"/>
        <w:rPr>
          <w:b/>
        </w:rPr>
      </w:pPr>
      <w:r w:rsidRPr="007D5BA8">
        <w:rPr>
          <w:b/>
        </w:rPr>
        <w:lastRenderedPageBreak/>
        <w:t>Disclaimer</w:t>
      </w:r>
    </w:p>
    <w:p w14:paraId="566152FA" w14:textId="77777777" w:rsidR="00441342" w:rsidRPr="00A034C4" w:rsidRDefault="00441342" w:rsidP="0029654A">
      <w:pPr>
        <w:pStyle w:val="Disclaimer"/>
        <w:rPr>
          <w:b/>
          <w:lang w:eastAsia="en-AU"/>
        </w:rPr>
      </w:pPr>
      <w:r w:rsidRPr="00A034C4">
        <w:rPr>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6EB9139D" w14:textId="77777777" w:rsidR="00441342" w:rsidRPr="00A034C4" w:rsidRDefault="00441342" w:rsidP="0029654A">
      <w:pPr>
        <w:pStyle w:val="Disclaimer"/>
        <w:rPr>
          <w:b/>
          <w:lang w:eastAsia="en-AU"/>
        </w:rPr>
      </w:pPr>
      <w:r w:rsidRPr="00A034C4">
        <w:rPr>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lang w:eastAsia="en-AU"/>
        </w:rPr>
        <w:t>ction.</w:t>
      </w:r>
    </w:p>
    <w:p w14:paraId="21155ED8" w14:textId="4789E620" w:rsidR="00245F1D" w:rsidRPr="00245F1D" w:rsidRDefault="00245F1D" w:rsidP="00245F1D">
      <w:pPr>
        <w:pStyle w:val="SWADisclaimerheading"/>
        <w:rPr>
          <w:rFonts w:eastAsia="Times New Roman" w:cs="Times New Roman"/>
          <w:b w:val="0"/>
          <w:color w:val="auto"/>
          <w:spacing w:val="0"/>
          <w:lang w:eastAsia="en-AU"/>
        </w:rPr>
      </w:pPr>
      <w:r w:rsidRPr="00DC2ECD">
        <w:rPr>
          <w:rFonts w:eastAsia="Times New Roman" w:cs="Times New Roman"/>
          <w:b w:val="0"/>
          <w:color w:val="auto"/>
          <w:spacing w:val="0"/>
          <w:sz w:val="16"/>
          <w:szCs w:val="16"/>
          <w:lang w:eastAsia="en-AU"/>
        </w:rPr>
        <w:t xml:space="preserve">ISBN </w:t>
      </w:r>
      <w:r w:rsidR="00D36145" w:rsidRPr="00D36145">
        <w:rPr>
          <w:rFonts w:cs="Arial"/>
          <w:b w:val="0"/>
          <w:bCs/>
          <w:color w:val="auto"/>
          <w:sz w:val="16"/>
          <w:szCs w:val="16"/>
          <w:shd w:val="clear" w:color="auto" w:fill="FFFFFF"/>
        </w:rPr>
        <w:t>978-1-76114-176-8 </w:t>
      </w:r>
      <w:r w:rsidR="00D36145" w:rsidRPr="00D36145">
        <w:rPr>
          <w:rFonts w:cs="Arial"/>
          <w:bCs/>
          <w:color w:val="auto"/>
          <w:sz w:val="16"/>
          <w:szCs w:val="16"/>
          <w:shd w:val="clear" w:color="auto" w:fill="FFFFFF"/>
        </w:rPr>
        <w:t xml:space="preserve"> </w:t>
      </w:r>
      <w:r w:rsidRPr="00DC2ECD">
        <w:rPr>
          <w:rFonts w:eastAsia="Times New Roman" w:cs="Times New Roman"/>
          <w:b w:val="0"/>
          <w:color w:val="auto"/>
          <w:spacing w:val="0"/>
          <w:sz w:val="16"/>
          <w:szCs w:val="16"/>
          <w:lang w:eastAsia="en-AU"/>
        </w:rPr>
        <w:t>(Online PDF)</w:t>
      </w:r>
    </w:p>
    <w:p w14:paraId="4BE455D7" w14:textId="630E1AEB" w:rsidR="00441342" w:rsidRPr="00A034C4" w:rsidRDefault="00441342" w:rsidP="0029654A">
      <w:pPr>
        <w:pStyle w:val="Disclaimer"/>
        <w:rPr>
          <w:b/>
          <w:lang w:eastAsia="en-AU"/>
        </w:rPr>
      </w:pPr>
      <w:r>
        <w:rPr>
          <w:lang w:eastAsia="en-AU"/>
        </w:rPr>
        <w:t xml:space="preserve">ISBN </w:t>
      </w:r>
      <w:r w:rsidR="003C5454" w:rsidRPr="003C5454">
        <w:rPr>
          <w:lang w:eastAsia="en-AU"/>
        </w:rPr>
        <w:t xml:space="preserve">978-1-76114-756-2 </w:t>
      </w:r>
      <w:r>
        <w:rPr>
          <w:lang w:eastAsia="en-AU"/>
        </w:rPr>
        <w:t>(Online</w:t>
      </w:r>
      <w:r w:rsidR="00245F1D">
        <w:rPr>
          <w:lang w:eastAsia="en-AU"/>
        </w:rPr>
        <w:t xml:space="preserve"> DOCX</w:t>
      </w:r>
      <w:r>
        <w:rPr>
          <w:lang w:eastAsia="en-AU"/>
        </w:rPr>
        <w:t>)</w:t>
      </w:r>
    </w:p>
    <w:p w14:paraId="11BDFCFD" w14:textId="77777777" w:rsidR="00CD675A" w:rsidRPr="00CD675A" w:rsidRDefault="00CD675A" w:rsidP="00CD675A">
      <w:pPr>
        <w:pStyle w:val="SWADisclaimerheading"/>
        <w:rPr>
          <w:color w:val="auto"/>
          <w:sz w:val="16"/>
          <w:szCs w:val="16"/>
        </w:rPr>
      </w:pPr>
      <w:r w:rsidRPr="00CD675A">
        <w:rPr>
          <w:color w:val="auto"/>
          <w:sz w:val="16"/>
          <w:szCs w:val="16"/>
        </w:rPr>
        <w:t>Creative Commons</w:t>
      </w:r>
    </w:p>
    <w:p w14:paraId="409F2E42" w14:textId="77777777" w:rsidR="00CD675A" w:rsidRPr="00CD675A" w:rsidRDefault="00CD675A" w:rsidP="00CD675A">
      <w:pPr>
        <w:pStyle w:val="SWADisclaimerheading"/>
        <w:rPr>
          <w:b w:val="0"/>
          <w:color w:val="auto"/>
          <w:spacing w:val="0"/>
          <w:sz w:val="16"/>
          <w:szCs w:val="16"/>
          <w:lang w:eastAsia="en-AU"/>
        </w:rPr>
      </w:pPr>
      <w:proofErr w:type="gramStart"/>
      <w:r w:rsidRPr="00CD675A">
        <w:rPr>
          <w:b w:val="0"/>
          <w:bCs/>
          <w:color w:val="auto"/>
          <w:spacing w:val="0"/>
          <w:sz w:val="16"/>
          <w:szCs w:val="16"/>
        </w:rPr>
        <w:t>With the exception of</w:t>
      </w:r>
      <w:proofErr w:type="gramEnd"/>
      <w:r w:rsidRPr="00CD675A">
        <w:rPr>
          <w:b w:val="0"/>
          <w:bCs/>
          <w:color w:val="auto"/>
          <w:spacing w:val="0"/>
          <w:sz w:val="16"/>
          <w:szCs w:val="16"/>
        </w:rPr>
        <w:t xml:space="preserve"> the Safe Work Australia logo, this copyright work is licensed under a Creative Commons Attribution 4.0 International licence. To view a copy of this licence, visit creativecommons.org/licenses In essence, you are free to copy, communicate and adapt the work, even commercially, as long as you attribute the work to Safe Work Australia and abide by the other licence terms.</w:t>
      </w:r>
    </w:p>
    <w:p w14:paraId="35BE643B" w14:textId="77777777" w:rsidR="00441342" w:rsidRPr="0029654A" w:rsidRDefault="00441342" w:rsidP="0029654A">
      <w:pPr>
        <w:pStyle w:val="Disclaimer"/>
        <w:rPr>
          <w:b/>
        </w:rPr>
      </w:pPr>
      <w:r w:rsidRPr="0029654A">
        <w:rPr>
          <w:b/>
        </w:rPr>
        <w:t>Contact information</w:t>
      </w:r>
    </w:p>
    <w:p w14:paraId="6418057F" w14:textId="77777777" w:rsidR="00441342" w:rsidRDefault="00441342" w:rsidP="0029654A">
      <w:pPr>
        <w:pStyle w:val="Disclaimer"/>
      </w:pPr>
      <w:r w:rsidRPr="00A034C4">
        <w:rPr>
          <w:lang w:eastAsia="en-AU"/>
        </w:rPr>
        <w:t xml:space="preserve">Safe Work Australia | </w:t>
      </w:r>
      <w:hyperlink r:id="rId14" w:tooltip="Send email to info@swa.gov.au" w:history="1">
        <w:r w:rsidRPr="00A034C4">
          <w:rPr>
            <w:rStyle w:val="Hyperlink"/>
            <w:rFonts w:eastAsia="Times New Roman" w:cs="Times New Roman"/>
            <w:lang w:eastAsia="en-AU"/>
          </w:rPr>
          <w:t>mailto:info@swa.gov.au</w:t>
        </w:r>
      </w:hyperlink>
      <w:r w:rsidRPr="00A034C4">
        <w:rPr>
          <w:lang w:eastAsia="en-AU"/>
        </w:rPr>
        <w:t xml:space="preserve"> | </w:t>
      </w:r>
      <w:hyperlink r:id="rId15" w:history="1">
        <w:r w:rsidRPr="00A034C4">
          <w:rPr>
            <w:rStyle w:val="Hyperlink"/>
            <w:rFonts w:eastAsia="Times New Roman" w:cs="Times New Roman"/>
            <w:lang w:eastAsia="en-AU"/>
          </w:rPr>
          <w:t>www.swa.gov.au</w:t>
        </w:r>
      </w:hyperlink>
    </w:p>
    <w:p w14:paraId="0897BFB8" w14:textId="77777777" w:rsidR="005B7E8D" w:rsidRDefault="005B7E8D">
      <w:pPr>
        <w:sectPr w:rsidR="005B7E8D" w:rsidSect="007D5BA8">
          <w:headerReference w:type="first" r:id="rId16"/>
          <w:footerReference w:type="first" r:id="rId17"/>
          <w:pgSz w:w="11906" w:h="16838" w:code="9"/>
          <w:pgMar w:top="1440" w:right="1440" w:bottom="1440" w:left="1440" w:header="709" w:footer="709" w:gutter="0"/>
          <w:cols w:space="708"/>
          <w:vAlign w:val="bottom"/>
          <w:titlePg/>
          <w:docGrid w:linePitch="360"/>
        </w:sectPr>
      </w:pPr>
    </w:p>
    <w:p w14:paraId="40A29C82" w14:textId="77777777" w:rsidR="005B7E8D" w:rsidRDefault="005B7E8D" w:rsidP="00C50BED">
      <w:pPr>
        <w:pStyle w:val="Heading2alt"/>
        <w:ind w:right="-22"/>
      </w:pPr>
      <w:bookmarkStart w:id="3" w:name="_Toc488677861"/>
      <w:bookmarkStart w:id="4" w:name="_Toc76388975"/>
      <w:bookmarkStart w:id="5" w:name="_Toc76389853"/>
      <w:bookmarkStart w:id="6" w:name="_Toc87027296"/>
      <w:r>
        <w:lastRenderedPageBreak/>
        <w:t>Contents</w:t>
      </w:r>
      <w:bookmarkEnd w:id="3"/>
      <w:bookmarkEnd w:id="4"/>
      <w:bookmarkEnd w:id="5"/>
      <w:bookmarkEnd w:id="6"/>
    </w:p>
    <w:p w14:paraId="561C6DC9" w14:textId="02B0D118" w:rsidR="00F36019" w:rsidRDefault="000B0E23">
      <w:pPr>
        <w:pStyle w:val="TOC1"/>
        <w:rPr>
          <w:rFonts w:asciiTheme="minorHAnsi" w:eastAsiaTheme="minorEastAsia" w:hAnsiTheme="minorHAnsi" w:cstheme="minorBidi"/>
          <w:b w:val="0"/>
          <w:sz w:val="22"/>
          <w:szCs w:val="22"/>
          <w:lang w:eastAsia="en-AU"/>
        </w:rPr>
      </w:pPr>
      <w:r>
        <w:fldChar w:fldCharType="begin"/>
      </w:r>
      <w:r>
        <w:instrText xml:space="preserve"> TOC \h \z \t "Heading 2 alt,1" </w:instrText>
      </w:r>
      <w:r>
        <w:fldChar w:fldCharType="separate"/>
      </w:r>
      <w:hyperlink w:anchor="_Toc87027296" w:history="1">
        <w:r w:rsidR="00F36019" w:rsidRPr="00314896">
          <w:rPr>
            <w:rStyle w:val="Hyperlink"/>
          </w:rPr>
          <w:t>Contents</w:t>
        </w:r>
        <w:r w:rsidR="00F36019">
          <w:rPr>
            <w:webHidden/>
          </w:rPr>
          <w:tab/>
        </w:r>
        <w:r w:rsidR="00F36019">
          <w:rPr>
            <w:webHidden/>
          </w:rPr>
          <w:fldChar w:fldCharType="begin"/>
        </w:r>
        <w:r w:rsidR="00F36019">
          <w:rPr>
            <w:webHidden/>
          </w:rPr>
          <w:instrText xml:space="preserve"> PAGEREF _Toc87027296 \h </w:instrText>
        </w:r>
        <w:r w:rsidR="00F36019">
          <w:rPr>
            <w:webHidden/>
          </w:rPr>
        </w:r>
        <w:r w:rsidR="00F36019">
          <w:rPr>
            <w:webHidden/>
          </w:rPr>
          <w:fldChar w:fldCharType="separate"/>
        </w:r>
        <w:r w:rsidR="00F36019">
          <w:rPr>
            <w:webHidden/>
          </w:rPr>
          <w:t>3</w:t>
        </w:r>
        <w:r w:rsidR="00F36019">
          <w:rPr>
            <w:webHidden/>
          </w:rPr>
          <w:fldChar w:fldCharType="end"/>
        </w:r>
      </w:hyperlink>
    </w:p>
    <w:p w14:paraId="1BAC9130" w14:textId="229A3837" w:rsidR="00F36019" w:rsidRDefault="00975662">
      <w:pPr>
        <w:pStyle w:val="TOC1"/>
        <w:rPr>
          <w:rFonts w:asciiTheme="minorHAnsi" w:eastAsiaTheme="minorEastAsia" w:hAnsiTheme="minorHAnsi" w:cstheme="minorBidi"/>
          <w:b w:val="0"/>
          <w:sz w:val="22"/>
          <w:szCs w:val="22"/>
          <w:lang w:eastAsia="en-AU"/>
        </w:rPr>
      </w:pPr>
      <w:hyperlink w:anchor="_Toc87027297" w:history="1">
        <w:r w:rsidR="00F36019" w:rsidRPr="00314896">
          <w:rPr>
            <w:rStyle w:val="Hyperlink"/>
          </w:rPr>
          <w:t>Introduction</w:t>
        </w:r>
        <w:r w:rsidR="00F36019">
          <w:rPr>
            <w:webHidden/>
          </w:rPr>
          <w:tab/>
        </w:r>
        <w:r w:rsidR="00F36019">
          <w:rPr>
            <w:webHidden/>
          </w:rPr>
          <w:fldChar w:fldCharType="begin"/>
        </w:r>
        <w:r w:rsidR="00F36019">
          <w:rPr>
            <w:webHidden/>
          </w:rPr>
          <w:instrText xml:space="preserve"> PAGEREF _Toc87027297 \h </w:instrText>
        </w:r>
        <w:r w:rsidR="00F36019">
          <w:rPr>
            <w:webHidden/>
          </w:rPr>
        </w:r>
        <w:r w:rsidR="00F36019">
          <w:rPr>
            <w:webHidden/>
          </w:rPr>
          <w:fldChar w:fldCharType="separate"/>
        </w:r>
        <w:r w:rsidR="00F36019">
          <w:rPr>
            <w:webHidden/>
          </w:rPr>
          <w:t>4</w:t>
        </w:r>
        <w:r w:rsidR="00F36019">
          <w:rPr>
            <w:webHidden/>
          </w:rPr>
          <w:fldChar w:fldCharType="end"/>
        </w:r>
      </w:hyperlink>
    </w:p>
    <w:p w14:paraId="464A97C2" w14:textId="7DA1741F" w:rsidR="00F36019" w:rsidRDefault="00975662">
      <w:pPr>
        <w:pStyle w:val="TOC1"/>
        <w:rPr>
          <w:rFonts w:asciiTheme="minorHAnsi" w:eastAsiaTheme="minorEastAsia" w:hAnsiTheme="minorHAnsi" w:cstheme="minorBidi"/>
          <w:b w:val="0"/>
          <w:sz w:val="22"/>
          <w:szCs w:val="22"/>
          <w:lang w:eastAsia="en-AU"/>
        </w:rPr>
      </w:pPr>
      <w:hyperlink w:anchor="_Toc87027298" w:history="1">
        <w:r w:rsidR="00F36019" w:rsidRPr="00314896">
          <w:rPr>
            <w:rStyle w:val="Hyperlink"/>
          </w:rPr>
          <w:t>Workers’ Compensation</w:t>
        </w:r>
        <w:r w:rsidR="00F36019">
          <w:rPr>
            <w:webHidden/>
          </w:rPr>
          <w:tab/>
        </w:r>
        <w:r w:rsidR="00F36019">
          <w:rPr>
            <w:webHidden/>
          </w:rPr>
          <w:fldChar w:fldCharType="begin"/>
        </w:r>
        <w:r w:rsidR="00F36019">
          <w:rPr>
            <w:webHidden/>
          </w:rPr>
          <w:instrText xml:space="preserve"> PAGEREF _Toc87027298 \h </w:instrText>
        </w:r>
        <w:r w:rsidR="00F36019">
          <w:rPr>
            <w:webHidden/>
          </w:rPr>
        </w:r>
        <w:r w:rsidR="00F36019">
          <w:rPr>
            <w:webHidden/>
          </w:rPr>
          <w:fldChar w:fldCharType="separate"/>
        </w:r>
        <w:r w:rsidR="00F36019">
          <w:rPr>
            <w:webHidden/>
          </w:rPr>
          <w:t>5</w:t>
        </w:r>
        <w:r w:rsidR="00F36019">
          <w:rPr>
            <w:webHidden/>
          </w:rPr>
          <w:fldChar w:fldCharType="end"/>
        </w:r>
      </w:hyperlink>
    </w:p>
    <w:p w14:paraId="36ACC598" w14:textId="50C4EBF5" w:rsidR="00F36019" w:rsidRDefault="00975662">
      <w:pPr>
        <w:pStyle w:val="TOC1"/>
        <w:rPr>
          <w:rFonts w:asciiTheme="minorHAnsi" w:eastAsiaTheme="minorEastAsia" w:hAnsiTheme="minorHAnsi" w:cstheme="minorBidi"/>
          <w:b w:val="0"/>
          <w:sz w:val="22"/>
          <w:szCs w:val="22"/>
          <w:lang w:eastAsia="en-AU"/>
        </w:rPr>
      </w:pPr>
      <w:hyperlink w:anchor="_Toc87027299" w:history="1">
        <w:r w:rsidR="00F36019" w:rsidRPr="00314896">
          <w:rPr>
            <w:rStyle w:val="Hyperlink"/>
          </w:rPr>
          <w:t>What is workers’ compensation coverage?</w:t>
        </w:r>
        <w:r w:rsidR="00F36019">
          <w:rPr>
            <w:webHidden/>
          </w:rPr>
          <w:tab/>
        </w:r>
        <w:r w:rsidR="00F36019">
          <w:rPr>
            <w:webHidden/>
          </w:rPr>
          <w:fldChar w:fldCharType="begin"/>
        </w:r>
        <w:r w:rsidR="00F36019">
          <w:rPr>
            <w:webHidden/>
          </w:rPr>
          <w:instrText xml:space="preserve"> PAGEREF _Toc87027299 \h </w:instrText>
        </w:r>
        <w:r w:rsidR="00F36019">
          <w:rPr>
            <w:webHidden/>
          </w:rPr>
        </w:r>
        <w:r w:rsidR="00F36019">
          <w:rPr>
            <w:webHidden/>
          </w:rPr>
          <w:fldChar w:fldCharType="separate"/>
        </w:r>
        <w:r w:rsidR="00F36019">
          <w:rPr>
            <w:webHidden/>
          </w:rPr>
          <w:t>6</w:t>
        </w:r>
        <w:r w:rsidR="00F36019">
          <w:rPr>
            <w:webHidden/>
          </w:rPr>
          <w:fldChar w:fldCharType="end"/>
        </w:r>
      </w:hyperlink>
    </w:p>
    <w:p w14:paraId="1D252313" w14:textId="1AD3A060" w:rsidR="00F36019" w:rsidRDefault="00975662">
      <w:pPr>
        <w:pStyle w:val="TOC1"/>
        <w:rPr>
          <w:rFonts w:asciiTheme="minorHAnsi" w:eastAsiaTheme="minorEastAsia" w:hAnsiTheme="minorHAnsi" w:cstheme="minorBidi"/>
          <w:b w:val="0"/>
          <w:sz w:val="22"/>
          <w:szCs w:val="22"/>
          <w:lang w:eastAsia="en-AU"/>
        </w:rPr>
      </w:pPr>
      <w:hyperlink w:anchor="_Toc87027300" w:history="1">
        <w:r w:rsidR="00F36019" w:rsidRPr="00314896">
          <w:rPr>
            <w:rStyle w:val="Hyperlink"/>
          </w:rPr>
          <w:t>Are coverage arrangements still fit for purpose?</w:t>
        </w:r>
        <w:r w:rsidR="00F36019">
          <w:rPr>
            <w:webHidden/>
          </w:rPr>
          <w:tab/>
        </w:r>
        <w:r w:rsidR="00F36019">
          <w:rPr>
            <w:webHidden/>
          </w:rPr>
          <w:fldChar w:fldCharType="begin"/>
        </w:r>
        <w:r w:rsidR="00F36019">
          <w:rPr>
            <w:webHidden/>
          </w:rPr>
          <w:instrText xml:space="preserve"> PAGEREF _Toc87027300 \h </w:instrText>
        </w:r>
        <w:r w:rsidR="00F36019">
          <w:rPr>
            <w:webHidden/>
          </w:rPr>
        </w:r>
        <w:r w:rsidR="00F36019">
          <w:rPr>
            <w:webHidden/>
          </w:rPr>
          <w:fldChar w:fldCharType="separate"/>
        </w:r>
        <w:r w:rsidR="00F36019">
          <w:rPr>
            <w:webHidden/>
          </w:rPr>
          <w:t>9</w:t>
        </w:r>
        <w:r w:rsidR="00F36019">
          <w:rPr>
            <w:webHidden/>
          </w:rPr>
          <w:fldChar w:fldCharType="end"/>
        </w:r>
      </w:hyperlink>
    </w:p>
    <w:p w14:paraId="34BF54FD" w14:textId="5E343159" w:rsidR="00F36019" w:rsidRDefault="00975662">
      <w:pPr>
        <w:pStyle w:val="TOC1"/>
        <w:rPr>
          <w:rFonts w:asciiTheme="minorHAnsi" w:eastAsiaTheme="minorEastAsia" w:hAnsiTheme="minorHAnsi" w:cstheme="minorBidi"/>
          <w:b w:val="0"/>
          <w:sz w:val="22"/>
          <w:szCs w:val="22"/>
          <w:lang w:eastAsia="en-AU"/>
        </w:rPr>
      </w:pPr>
      <w:hyperlink w:anchor="_Toc87027301" w:history="1">
        <w:r w:rsidR="00F36019" w:rsidRPr="00314896">
          <w:rPr>
            <w:rStyle w:val="Hyperlink"/>
          </w:rPr>
          <w:t>Conclusion</w:t>
        </w:r>
        <w:r w:rsidR="00F36019">
          <w:rPr>
            <w:webHidden/>
          </w:rPr>
          <w:tab/>
        </w:r>
        <w:r w:rsidR="00F36019">
          <w:rPr>
            <w:webHidden/>
          </w:rPr>
          <w:fldChar w:fldCharType="begin"/>
        </w:r>
        <w:r w:rsidR="00F36019">
          <w:rPr>
            <w:webHidden/>
          </w:rPr>
          <w:instrText xml:space="preserve"> PAGEREF _Toc87027301 \h </w:instrText>
        </w:r>
        <w:r w:rsidR="00F36019">
          <w:rPr>
            <w:webHidden/>
          </w:rPr>
        </w:r>
        <w:r w:rsidR="00F36019">
          <w:rPr>
            <w:webHidden/>
          </w:rPr>
          <w:fldChar w:fldCharType="separate"/>
        </w:r>
        <w:r w:rsidR="00F36019">
          <w:rPr>
            <w:webHidden/>
          </w:rPr>
          <w:t>12</w:t>
        </w:r>
        <w:r w:rsidR="00F36019">
          <w:rPr>
            <w:webHidden/>
          </w:rPr>
          <w:fldChar w:fldCharType="end"/>
        </w:r>
      </w:hyperlink>
    </w:p>
    <w:p w14:paraId="05125F20" w14:textId="63565699" w:rsidR="005B7E8D" w:rsidRDefault="000B0E23">
      <w:pPr>
        <w:rPr>
          <w:noProof/>
        </w:rPr>
      </w:pPr>
      <w:r>
        <w:rPr>
          <w:noProof/>
        </w:rPr>
        <w:fldChar w:fldCharType="end"/>
      </w:r>
    </w:p>
    <w:p w14:paraId="6765B496" w14:textId="77777777" w:rsidR="00C7451E" w:rsidRDefault="00C7451E" w:rsidP="00C7451E">
      <w:pPr>
        <w:rPr>
          <w:noProof/>
        </w:rPr>
      </w:pPr>
    </w:p>
    <w:p w14:paraId="4F5F650A" w14:textId="32D166DA" w:rsidR="00C7451E" w:rsidRDefault="00C7451E" w:rsidP="00C7451E">
      <w:pPr>
        <w:tabs>
          <w:tab w:val="left" w:pos="5715"/>
        </w:tabs>
        <w:rPr>
          <w:noProof/>
        </w:rPr>
      </w:pPr>
      <w:r>
        <w:rPr>
          <w:noProof/>
        </w:rPr>
        <w:tab/>
      </w:r>
    </w:p>
    <w:p w14:paraId="71092149" w14:textId="77777777" w:rsidR="00C7451E" w:rsidRDefault="00C7451E" w:rsidP="00C7451E">
      <w:pPr>
        <w:rPr>
          <w:noProof/>
        </w:rPr>
      </w:pPr>
    </w:p>
    <w:p w14:paraId="33BB1CCA" w14:textId="4B2F4F7C" w:rsidR="00C7451E" w:rsidRPr="00C7451E" w:rsidRDefault="00C7451E" w:rsidP="00C7451E">
      <w:pPr>
        <w:sectPr w:rsidR="00C7451E" w:rsidRPr="00C7451E" w:rsidSect="005D00B5">
          <w:headerReference w:type="first" r:id="rId18"/>
          <w:footerReference w:type="first" r:id="rId19"/>
          <w:pgSz w:w="11906" w:h="16838" w:code="9"/>
          <w:pgMar w:top="1418" w:right="1983" w:bottom="1440" w:left="1440" w:header="709" w:footer="709" w:gutter="0"/>
          <w:cols w:space="708"/>
          <w:titlePg/>
          <w:docGrid w:linePitch="360"/>
        </w:sectPr>
      </w:pPr>
    </w:p>
    <w:p w14:paraId="045C2D7D" w14:textId="77777777" w:rsidR="005B7E8D" w:rsidRDefault="006D72BA" w:rsidP="007A4E7C">
      <w:pPr>
        <w:pStyle w:val="Heading2alt"/>
      </w:pPr>
      <w:bookmarkStart w:id="7" w:name="_Toc76388976"/>
      <w:bookmarkStart w:id="8" w:name="_Toc87027297"/>
      <w:r>
        <w:lastRenderedPageBreak/>
        <w:t>Introduction</w:t>
      </w:r>
      <w:bookmarkEnd w:id="7"/>
      <w:bookmarkEnd w:id="8"/>
    </w:p>
    <w:p w14:paraId="2A4F741F" w14:textId="6B1EE1EC" w:rsidR="002116F8" w:rsidRDefault="00CA7032" w:rsidP="007207FE">
      <w:pPr>
        <w:pStyle w:val="ListNumber"/>
      </w:pPr>
      <w:r>
        <w:t xml:space="preserve">Workers’ compensation schemes have historically been designed as a form of safety net for workers that are injured in a workplace where they are subject to the control or direction of an employer. </w:t>
      </w:r>
      <w:r w:rsidR="00995A70" w:rsidRPr="00D00EBF">
        <w:t xml:space="preserve">The concept of ‘coverage’ is fundamental to the operation of all workers’ compensation schemes within Australia. </w:t>
      </w:r>
      <w:r w:rsidR="005F1F53" w:rsidRPr="00D00EBF">
        <w:t>Coverage defines the eligibility of a worker to make a claim under a workers’ compensation scheme.</w:t>
      </w:r>
      <w:r w:rsidR="006D4C70" w:rsidRPr="00D00EBF">
        <w:t xml:space="preserve"> </w:t>
      </w:r>
      <w:r w:rsidR="006D4C70" w:rsidRPr="008A1E9C">
        <w:t xml:space="preserve">It also </w:t>
      </w:r>
      <w:r w:rsidR="00D101E5">
        <w:t>establishes</w:t>
      </w:r>
      <w:r w:rsidR="006D4C70" w:rsidRPr="008A1E9C">
        <w:t xml:space="preserve"> employers’ obligations to obtain workers’ compensation insurance. </w:t>
      </w:r>
      <w:r w:rsidR="006D4C70" w:rsidRPr="008871AC">
        <w:t>Clear</w:t>
      </w:r>
      <w:r w:rsidR="008871AC">
        <w:t>l</w:t>
      </w:r>
      <w:r w:rsidR="006D4C70" w:rsidRPr="008871AC">
        <w:t>y defined</w:t>
      </w:r>
      <w:r w:rsidR="0014790F" w:rsidRPr="00D02C9A">
        <w:t xml:space="preserve"> </w:t>
      </w:r>
      <w:r w:rsidR="006D4C70" w:rsidRPr="00D02C9A">
        <w:t>c</w:t>
      </w:r>
      <w:r w:rsidR="005F1F53" w:rsidRPr="00D00EBF">
        <w:t xml:space="preserve">overage </w:t>
      </w:r>
      <w:r w:rsidR="006D4C70" w:rsidRPr="00D00EBF">
        <w:t>rules are</w:t>
      </w:r>
      <w:r w:rsidR="005F1F53" w:rsidRPr="00D00EBF">
        <w:t xml:space="preserve"> essential for creating certainty for both employers and workers.</w:t>
      </w:r>
    </w:p>
    <w:p w14:paraId="19EBA4E6" w14:textId="55FB5446" w:rsidR="001056F2" w:rsidRDefault="00EA5368" w:rsidP="00E7628F">
      <w:pPr>
        <w:pStyle w:val="ListNumber"/>
      </w:pPr>
      <w:r>
        <w:t>It’s undeniable that th</w:t>
      </w:r>
      <w:r w:rsidR="00E7628F" w:rsidRPr="00E90AF1">
        <w:t xml:space="preserve">e way we work is changing, with increasing ability to work remotely and the development of online labour markets. The engagement of workers on demand by digital platforms is </w:t>
      </w:r>
      <w:r w:rsidR="00F5470A">
        <w:t xml:space="preserve">transforming </w:t>
      </w:r>
      <w:r w:rsidR="005D02B6">
        <w:t xml:space="preserve">the way </w:t>
      </w:r>
      <w:r w:rsidR="00E7628F" w:rsidRPr="00E90AF1">
        <w:t>many traditional business models operate. Existing arrangements of providing and regulating workers’ compensation may become less and less workable over the coming 20 years.</w:t>
      </w:r>
      <w:r w:rsidR="00E7628F" w:rsidRPr="00E90AF1">
        <w:rPr>
          <w:vertAlign w:val="superscript"/>
        </w:rPr>
        <w:footnoteReference w:id="1"/>
      </w:r>
      <w:r w:rsidR="00E7628F" w:rsidRPr="00E90AF1">
        <w:t xml:space="preserve"> Identifying whether a worker is covered by workers’ compensation schemes in Australia is becoming more complex with the disruption of traditional business models. </w:t>
      </w:r>
    </w:p>
    <w:p w14:paraId="7BBFB4B0" w14:textId="217DE4E2" w:rsidR="00527C31" w:rsidRDefault="002D09F3" w:rsidP="00412C61">
      <w:pPr>
        <w:pStyle w:val="ListNumber"/>
      </w:pPr>
      <w:r>
        <w:t>T</w:t>
      </w:r>
      <w:r w:rsidR="00B27EC8">
        <w:t>his shift</w:t>
      </w:r>
      <w:r w:rsidR="00D055A5">
        <w:t xml:space="preserve"> </w:t>
      </w:r>
      <w:r w:rsidR="00DF3C7D">
        <w:t xml:space="preserve">in </w:t>
      </w:r>
      <w:r w:rsidR="00930BA1">
        <w:t xml:space="preserve">traditional work models raises the issue of whether </w:t>
      </w:r>
      <w:r w:rsidR="00CB026F">
        <w:t>current workers’ compensation coverage arrangements are still fit for purpose.</w:t>
      </w:r>
      <w:r w:rsidR="000B0E2D">
        <w:t xml:space="preserve"> To provide </w:t>
      </w:r>
      <w:r w:rsidR="00024BC5">
        <w:t>certainty and confidence when performing work, workers need to know whether they are covered by workers’ compensation insurance</w:t>
      </w:r>
      <w:r w:rsidR="00960624">
        <w:t xml:space="preserve">, or if they will need to take out another form of insurance such as personal injury insurance. </w:t>
      </w:r>
      <w:r w:rsidR="00960624" w:rsidRPr="00E90AF1">
        <w:t>Likewise, businesses need to know whether they are considered employers</w:t>
      </w:r>
      <w:r w:rsidR="00960624">
        <w:t xml:space="preserve"> for the purposes of workers’ compensation</w:t>
      </w:r>
      <w:r w:rsidR="00960624" w:rsidRPr="00E90AF1">
        <w:t xml:space="preserve">, </w:t>
      </w:r>
      <w:r w:rsidR="00960624">
        <w:t>given</w:t>
      </w:r>
      <w:r w:rsidR="00960624" w:rsidRPr="00E90AF1">
        <w:t xml:space="preserve"> all employers are legally required to have workers’ compensation insurance for their employees in Australia. Lack of clarity around workers’ compensation coverage, can increase the cost of premiums and the administrative burden of managing those claims. </w:t>
      </w:r>
    </w:p>
    <w:p w14:paraId="44527E02" w14:textId="0A45789B" w:rsidR="00F81577" w:rsidRDefault="006245D2" w:rsidP="00643416">
      <w:pPr>
        <w:pStyle w:val="ListNumber"/>
      </w:pPr>
      <w:r w:rsidRPr="00E90AF1">
        <w:t>The aim of this paper is to</w:t>
      </w:r>
      <w:r w:rsidR="003E2EA8">
        <w:t xml:space="preserve"> discuss existing</w:t>
      </w:r>
      <w:r w:rsidR="00141359">
        <w:t xml:space="preserve"> </w:t>
      </w:r>
      <w:r w:rsidR="003E2EA8">
        <w:t>workers’ compensation coverage arrangements and</w:t>
      </w:r>
      <w:r w:rsidR="00367D5A">
        <w:t xml:space="preserve"> explore</w:t>
      </w:r>
      <w:r w:rsidR="003E2EA8">
        <w:t xml:space="preserve"> </w:t>
      </w:r>
      <w:r w:rsidR="00AF5127">
        <w:t xml:space="preserve">whether </w:t>
      </w:r>
      <w:r w:rsidR="00E66D49">
        <w:t>they are keeping pace with societal developments and expectations</w:t>
      </w:r>
      <w:r w:rsidR="00B77809">
        <w:t>.</w:t>
      </w:r>
      <w:r w:rsidR="00734F55">
        <w:t xml:space="preserve"> </w:t>
      </w:r>
      <w:r w:rsidR="003C0336">
        <w:t>Th</w:t>
      </w:r>
      <w:r w:rsidR="00AE5985">
        <w:t>e</w:t>
      </w:r>
      <w:r w:rsidR="00920876">
        <w:t xml:space="preserve"> </w:t>
      </w:r>
      <w:r w:rsidR="00734F55">
        <w:t xml:space="preserve">gig economy </w:t>
      </w:r>
      <w:r w:rsidR="005F3D05">
        <w:t xml:space="preserve">and agriculture industry are </w:t>
      </w:r>
      <w:r w:rsidR="00E10397">
        <w:t>explored in more detail</w:t>
      </w:r>
      <w:r w:rsidR="00734F55">
        <w:t xml:space="preserve"> to </w:t>
      </w:r>
      <w:r w:rsidR="00C62DD1">
        <w:t>demonstrate</w:t>
      </w:r>
      <w:r w:rsidR="00734F55">
        <w:t xml:space="preserve"> </w:t>
      </w:r>
      <w:r w:rsidR="00110F18">
        <w:t xml:space="preserve">the impact of existing coverage arrangements on </w:t>
      </w:r>
      <w:r w:rsidR="00CD1BE7">
        <w:t>workers in vulnerable industries.</w:t>
      </w:r>
      <w:r w:rsidR="00695F70">
        <w:t xml:space="preserve"> </w:t>
      </w:r>
      <w:r w:rsidR="00AB1B43">
        <w:t>H</w:t>
      </w:r>
      <w:r w:rsidR="00110F18">
        <w:t>owever,</w:t>
      </w:r>
      <w:r w:rsidR="005F67F0">
        <w:t xml:space="preserve"> we note that</w:t>
      </w:r>
      <w:r w:rsidR="00C62DD1">
        <w:t xml:space="preserve"> other </w:t>
      </w:r>
      <w:r w:rsidR="00FA230F">
        <w:t>types of</w:t>
      </w:r>
      <w:r w:rsidR="00057997">
        <w:t xml:space="preserve"> independent contractors</w:t>
      </w:r>
      <w:r w:rsidR="00A14129">
        <w:t>,</w:t>
      </w:r>
      <w:r w:rsidR="00057997">
        <w:t xml:space="preserve"> sole traders</w:t>
      </w:r>
      <w:r w:rsidR="00A14129">
        <w:t xml:space="preserve"> and</w:t>
      </w:r>
      <w:r w:rsidR="00057997">
        <w:t xml:space="preserve"> other </w:t>
      </w:r>
      <w:r w:rsidR="00041C8E">
        <w:t xml:space="preserve">new </w:t>
      </w:r>
      <w:r w:rsidR="006F7D90">
        <w:t>forms of employment</w:t>
      </w:r>
      <w:r w:rsidR="00041C8E">
        <w:t xml:space="preserve"> </w:t>
      </w:r>
      <w:r w:rsidR="00CC2E7B">
        <w:t xml:space="preserve">may also </w:t>
      </w:r>
      <w:r w:rsidR="00E21481">
        <w:t xml:space="preserve">fall outside </w:t>
      </w:r>
      <w:r w:rsidR="004033C1">
        <w:t xml:space="preserve">existing workers’ compensation coverage </w:t>
      </w:r>
      <w:r w:rsidR="00845979">
        <w:t xml:space="preserve">arrangements. </w:t>
      </w:r>
    </w:p>
    <w:p w14:paraId="346DFA54" w14:textId="26B65F95" w:rsidR="00CF2988" w:rsidRDefault="00CF2988" w:rsidP="009F717E">
      <w:pPr>
        <w:pStyle w:val="ListNumber"/>
      </w:pPr>
      <w:r>
        <w:t>It is acknowledged that</w:t>
      </w:r>
      <w:r w:rsidR="005C6FE5">
        <w:t xml:space="preserve"> several other reviews and inquir</w:t>
      </w:r>
      <w:r w:rsidR="00E85582">
        <w:t>ies</w:t>
      </w:r>
      <w:r>
        <w:t xml:space="preserve"> </w:t>
      </w:r>
      <w:r w:rsidR="00E85582">
        <w:t>have</w:t>
      </w:r>
      <w:r w:rsidR="0041243D">
        <w:t>, or are currently</w:t>
      </w:r>
      <w:r w:rsidR="00E85582">
        <w:t xml:space="preserve"> consider</w:t>
      </w:r>
      <w:r w:rsidR="0041243D">
        <w:t>ing</w:t>
      </w:r>
      <w:r w:rsidR="00E85582">
        <w:t xml:space="preserve"> </w:t>
      </w:r>
      <w:r w:rsidR="00F721BB">
        <w:t>the issues raised in this paper</w:t>
      </w:r>
      <w:r>
        <w:t>,</w:t>
      </w:r>
      <w:r w:rsidR="003522EF" w:rsidRPr="003522EF">
        <w:rPr>
          <w:rStyle w:val="FootnoteReference"/>
        </w:rPr>
        <w:t xml:space="preserve"> </w:t>
      </w:r>
      <w:r w:rsidR="003522EF">
        <w:rPr>
          <w:rStyle w:val="FootnoteReference"/>
        </w:rPr>
        <w:footnoteReference w:id="2"/>
      </w:r>
      <w:r w:rsidR="003522EF">
        <w:t xml:space="preserve"> </w:t>
      </w:r>
      <w:r w:rsidR="00AD73A8">
        <w:t>including</w:t>
      </w:r>
      <w:r>
        <w:t xml:space="preserve"> the Strategic Issues Group</w:t>
      </w:r>
      <w:r w:rsidR="00695F70">
        <w:t xml:space="preserve"> on</w:t>
      </w:r>
      <w:r>
        <w:t xml:space="preserve"> Workers’ Compensation (SIG-</w:t>
      </w:r>
      <w:r w:rsidR="00695F70">
        <w:t xml:space="preserve">Workers’ </w:t>
      </w:r>
      <w:r w:rsidR="009F24F9">
        <w:t>Compensation</w:t>
      </w:r>
      <w:r>
        <w:t>) definitions temporary advisory group</w:t>
      </w:r>
      <w:r w:rsidR="00F92967">
        <w:t xml:space="preserve"> established by Safe Work Australia to undertake </w:t>
      </w:r>
      <w:r>
        <w:t>work from 2010 to 2013</w:t>
      </w:r>
      <w:r w:rsidR="003522EF">
        <w:t>.</w:t>
      </w:r>
      <w:r>
        <w:t xml:space="preserve"> This paper </w:t>
      </w:r>
      <w:r w:rsidR="008B3418">
        <w:t xml:space="preserve">is drafted against that background and </w:t>
      </w:r>
      <w:r w:rsidR="00AF44EE">
        <w:t>intends</w:t>
      </w:r>
      <w:r>
        <w:t xml:space="preserve"> to further contribute </w:t>
      </w:r>
      <w:r w:rsidR="00C90835">
        <w:t xml:space="preserve">to </w:t>
      </w:r>
      <w:r>
        <w:t>and build upon that existing knowledge.</w:t>
      </w:r>
    </w:p>
    <w:p w14:paraId="690CDDDF" w14:textId="63F99CAB" w:rsidR="00E90AF1" w:rsidRDefault="00F81577" w:rsidP="00E90AF1">
      <w:pPr>
        <w:pStyle w:val="ListNumber"/>
      </w:pPr>
      <w:r>
        <w:t xml:space="preserve">This paper uses both the term </w:t>
      </w:r>
      <w:r w:rsidRPr="00EF354B">
        <w:rPr>
          <w:i/>
          <w:iCs/>
        </w:rPr>
        <w:t>employee</w:t>
      </w:r>
      <w:r>
        <w:t xml:space="preserve"> and </w:t>
      </w:r>
      <w:r w:rsidRPr="00EF354B">
        <w:rPr>
          <w:i/>
          <w:iCs/>
        </w:rPr>
        <w:t>worker</w:t>
      </w:r>
      <w:r>
        <w:t xml:space="preserve">. The term </w:t>
      </w:r>
      <w:r w:rsidRPr="008373DC">
        <w:rPr>
          <w:i/>
          <w:iCs/>
        </w:rPr>
        <w:t>employee</w:t>
      </w:r>
      <w:r>
        <w:t xml:space="preserve"> is used when  </w:t>
      </w:r>
      <w:proofErr w:type="spellStart"/>
      <w:r>
        <w:t>refering</w:t>
      </w:r>
      <w:proofErr w:type="spellEnd"/>
      <w:r>
        <w:t xml:space="preserve"> </w:t>
      </w:r>
      <w:r w:rsidR="006971AE">
        <w:t xml:space="preserve">to </w:t>
      </w:r>
      <w:r>
        <w:t xml:space="preserve">a common law employee while the term </w:t>
      </w:r>
      <w:r w:rsidRPr="008373DC">
        <w:rPr>
          <w:i/>
          <w:iCs/>
        </w:rPr>
        <w:t>worker</w:t>
      </w:r>
      <w:r>
        <w:t xml:space="preserve"> is used more generally to refer to people that are working for an employer (and captures those defined as employees or deemed employees under workers’ compensation laws).  </w:t>
      </w:r>
      <w:r w:rsidR="00367D5A">
        <w:t xml:space="preserve"> </w:t>
      </w:r>
    </w:p>
    <w:p w14:paraId="2DA89B30" w14:textId="77F19FB6" w:rsidR="00C73C77" w:rsidRDefault="00122CB7" w:rsidP="00E90AF1">
      <w:pPr>
        <w:pStyle w:val="Heading2alt"/>
      </w:pPr>
      <w:bookmarkStart w:id="9" w:name="_Toc87027298"/>
      <w:r>
        <w:lastRenderedPageBreak/>
        <w:t>W</w:t>
      </w:r>
      <w:r w:rsidR="00F9651B">
        <w:t xml:space="preserve">orkers’ </w:t>
      </w:r>
      <w:r>
        <w:t>C</w:t>
      </w:r>
      <w:r w:rsidR="00F9651B">
        <w:t>ompensation</w:t>
      </w:r>
      <w:bookmarkEnd w:id="9"/>
      <w:r w:rsidR="00C73C77">
        <w:t xml:space="preserve"> </w:t>
      </w:r>
    </w:p>
    <w:p w14:paraId="38565ED9" w14:textId="77777777" w:rsidR="00C73C77" w:rsidRDefault="00C73C77" w:rsidP="00E90AF1">
      <w:pPr>
        <w:pStyle w:val="Heading3"/>
      </w:pPr>
      <w:r>
        <w:t>What is workers’ compensation?</w:t>
      </w:r>
    </w:p>
    <w:p w14:paraId="6AC9812A" w14:textId="759305AC" w:rsidR="00260229" w:rsidRDefault="00C73C77" w:rsidP="007207FE">
      <w:pPr>
        <w:pStyle w:val="ListNumber"/>
      </w:pPr>
      <w:r w:rsidRPr="00E90AF1">
        <w:t xml:space="preserve">Workers’ compensation is </w:t>
      </w:r>
      <w:r w:rsidR="00156D9E">
        <w:t xml:space="preserve">a safety net </w:t>
      </w:r>
      <w:r w:rsidRPr="00E90AF1">
        <w:t xml:space="preserve">which provides </w:t>
      </w:r>
      <w:r w:rsidR="00D53655" w:rsidRPr="00E90AF1">
        <w:t xml:space="preserve">financial compensation, rehabilitation </w:t>
      </w:r>
      <w:r w:rsidR="00F203AD" w:rsidRPr="00E90AF1">
        <w:t xml:space="preserve">and support with return to work for </w:t>
      </w:r>
      <w:r w:rsidR="00C020D0" w:rsidRPr="00E90AF1">
        <w:t xml:space="preserve">injured in the course of </w:t>
      </w:r>
      <w:r w:rsidR="00FA1417">
        <w:t xml:space="preserve">their </w:t>
      </w:r>
      <w:r w:rsidR="00C020D0" w:rsidRPr="00E90AF1">
        <w:t xml:space="preserve">employment. </w:t>
      </w:r>
    </w:p>
    <w:p w14:paraId="3785E8FD" w14:textId="6701F72B" w:rsidR="0091257A" w:rsidRPr="0091257A" w:rsidRDefault="00C73C77" w:rsidP="0091257A">
      <w:pPr>
        <w:pStyle w:val="ListNumber"/>
        <w:rPr>
          <w:bCs/>
        </w:rPr>
      </w:pPr>
      <w:r w:rsidRPr="00E90AF1">
        <w:t>There are 11 main workers’ compensation schemes operating in Australia: one for each state and territory, and three Commonwealth schemes. Each scheme is established by its own legislation which sets out coverage, eligibility criteria, entitlements and obligations.</w:t>
      </w:r>
      <w:r w:rsidR="00985C3B" w:rsidRPr="00E90AF1">
        <w:t xml:space="preserve"> </w:t>
      </w:r>
    </w:p>
    <w:p w14:paraId="546FC9C7" w14:textId="4F2E1FC7" w:rsidR="0091257A" w:rsidRPr="009B55A5" w:rsidRDefault="0091257A" w:rsidP="0091257A">
      <w:pPr>
        <w:pStyle w:val="ListNumber"/>
        <w:rPr>
          <w:bCs/>
        </w:rPr>
      </w:pPr>
      <w:r w:rsidRPr="00622FEB">
        <w:t xml:space="preserve">Employers in each </w:t>
      </w:r>
      <w:r>
        <w:t xml:space="preserve">jurisdiction </w:t>
      </w:r>
      <w:r w:rsidRPr="00622FEB">
        <w:t>are required to take out workers</w:t>
      </w:r>
      <w:r>
        <w:t>’</w:t>
      </w:r>
      <w:r w:rsidRPr="00622FEB">
        <w:t xml:space="preserve"> compensation insurance to cover themselves and their employees. </w:t>
      </w:r>
      <w:r w:rsidRPr="00077DE9">
        <w:t>This</w:t>
      </w:r>
      <w:r w:rsidRPr="008373DC">
        <w:rPr>
          <w:lang w:eastAsia="en-AU"/>
        </w:rPr>
        <w:t xml:space="preserve"> type of insurance is funded through employer contributions to cover scheme liabilities. </w:t>
      </w:r>
    </w:p>
    <w:p w14:paraId="1D2713F7" w14:textId="5C6354B0" w:rsidR="003B47E9" w:rsidRDefault="00504CA4" w:rsidP="00E90AF1">
      <w:pPr>
        <w:pStyle w:val="Heading3"/>
      </w:pPr>
      <w:r>
        <w:t>Historical context for workers’ compensation coverage in Australia</w:t>
      </w:r>
      <w:r w:rsidR="00FF7231">
        <w:t xml:space="preserve"> </w:t>
      </w:r>
    </w:p>
    <w:p w14:paraId="450BCE4F" w14:textId="62AE1317" w:rsidR="00236F60" w:rsidRDefault="00617DCE" w:rsidP="00F30D79">
      <w:pPr>
        <w:pStyle w:val="ListNumber"/>
      </w:pPr>
      <w:r>
        <w:t>Prior to the introduction of workers’ compensation laws in Australia, workers</w:t>
      </w:r>
      <w:r w:rsidR="00CA7032">
        <w:t xml:space="preserve"> </w:t>
      </w:r>
      <w:r w:rsidR="0091257A">
        <w:t>injured in the course of their employment</w:t>
      </w:r>
      <w:r w:rsidR="00112012">
        <w:t xml:space="preserve"> </w:t>
      </w:r>
      <w:r w:rsidR="00CC580E">
        <w:t xml:space="preserve">were confined to </w:t>
      </w:r>
      <w:r w:rsidR="004D103B">
        <w:t xml:space="preserve">the limited remedies </w:t>
      </w:r>
      <w:r w:rsidR="0091257A">
        <w:t xml:space="preserve">available </w:t>
      </w:r>
      <w:r w:rsidR="004D103B">
        <w:t xml:space="preserve">under common law. </w:t>
      </w:r>
      <w:r w:rsidR="004D7CAC">
        <w:t>Under common law</w:t>
      </w:r>
      <w:r w:rsidR="00077DE9">
        <w:t>,</w:t>
      </w:r>
      <w:r w:rsidR="004D7CAC">
        <w:t xml:space="preserve"> injured workers needed to prove </w:t>
      </w:r>
      <w:r w:rsidR="00E3602C">
        <w:t>that the</w:t>
      </w:r>
      <w:r w:rsidR="00CA7032">
        <w:t>ir</w:t>
      </w:r>
      <w:r w:rsidR="00E3602C">
        <w:t xml:space="preserve"> employer had been negligent to obtain compensation for a </w:t>
      </w:r>
      <w:proofErr w:type="gramStart"/>
      <w:r w:rsidR="00E3602C">
        <w:t>work related</w:t>
      </w:r>
      <w:proofErr w:type="gramEnd"/>
      <w:r w:rsidR="00E3602C">
        <w:t xml:space="preserve"> injury. </w:t>
      </w:r>
    </w:p>
    <w:p w14:paraId="6FE8D84A" w14:textId="2EE126D7" w:rsidR="009B39FB" w:rsidRDefault="00FC63A9" w:rsidP="00F30D79">
      <w:pPr>
        <w:pStyle w:val="ListNumber"/>
      </w:pPr>
      <w:r>
        <w:t xml:space="preserve">The catalyst for the development of workers’ compensation laws in Australia in the early </w:t>
      </w:r>
      <w:r w:rsidR="00D578B0">
        <w:t>20</w:t>
      </w:r>
      <w:r w:rsidR="00D578B0" w:rsidRPr="00D578B0">
        <w:rPr>
          <w:vertAlign w:val="superscript"/>
        </w:rPr>
        <w:t>th</w:t>
      </w:r>
      <w:r w:rsidR="00D578B0">
        <w:t xml:space="preserve"> century was</w:t>
      </w:r>
      <w:r>
        <w:t xml:space="preserve"> </w:t>
      </w:r>
      <w:r w:rsidR="00D578B0">
        <w:t>t</w:t>
      </w:r>
      <w:r w:rsidR="00364C49">
        <w:t>he industrial revolution</w:t>
      </w:r>
      <w:r w:rsidR="008E27F0">
        <w:t>. It created</w:t>
      </w:r>
      <w:r w:rsidR="001359B5">
        <w:t xml:space="preserve"> </w:t>
      </w:r>
      <w:r w:rsidR="00EF6CD8">
        <w:t>large scale use of machinery</w:t>
      </w:r>
      <w:r w:rsidR="00D578B0">
        <w:t xml:space="preserve"> and </w:t>
      </w:r>
      <w:r w:rsidR="00D730FA">
        <w:t>increas</w:t>
      </w:r>
      <w:r w:rsidR="008E27F0">
        <w:t>ed</w:t>
      </w:r>
      <w:r w:rsidR="00D730FA">
        <w:t xml:space="preserve"> </w:t>
      </w:r>
      <w:proofErr w:type="gramStart"/>
      <w:r w:rsidR="00D578B0">
        <w:t>work related</w:t>
      </w:r>
      <w:proofErr w:type="gramEnd"/>
      <w:r w:rsidR="00D578B0">
        <w:t xml:space="preserve"> </w:t>
      </w:r>
      <w:r w:rsidR="00D730FA">
        <w:t>injuries</w:t>
      </w:r>
      <w:r w:rsidR="0091257A">
        <w:t xml:space="preserve"> and death</w:t>
      </w:r>
      <w:r w:rsidR="00083377">
        <w:t xml:space="preserve">. </w:t>
      </w:r>
    </w:p>
    <w:p w14:paraId="2FBC1AED" w14:textId="0E9BD04A" w:rsidR="0069299A" w:rsidRDefault="009B601F" w:rsidP="00F30D79">
      <w:pPr>
        <w:pStyle w:val="ListNumber"/>
      </w:pPr>
      <w:r>
        <w:t>Early workers’ compensation legislation in Australia</w:t>
      </w:r>
      <w:r w:rsidR="00326358">
        <w:t xml:space="preserve"> </w:t>
      </w:r>
      <w:r w:rsidR="007566EA">
        <w:t xml:space="preserve">provided no fault </w:t>
      </w:r>
      <w:r w:rsidR="00572250">
        <w:t xml:space="preserve">liability removing the </w:t>
      </w:r>
      <w:r w:rsidR="002534CA">
        <w:t xml:space="preserve">common law </w:t>
      </w:r>
      <w:r w:rsidR="00572250">
        <w:t xml:space="preserve">obligation for employees to </w:t>
      </w:r>
      <w:proofErr w:type="spellStart"/>
      <w:r w:rsidR="00572250">
        <w:t>estiablish</w:t>
      </w:r>
      <w:proofErr w:type="spellEnd"/>
      <w:r w:rsidR="00572250">
        <w:t xml:space="preserve"> that the employer was negligent.</w:t>
      </w:r>
      <w:r w:rsidR="0038521E">
        <w:t xml:space="preserve"> Coverage by the early workers’ compensation laws in Australia</w:t>
      </w:r>
      <w:r w:rsidR="002A136E">
        <w:t xml:space="preserve"> was focused on working men </w:t>
      </w:r>
      <w:r w:rsidR="00905322">
        <w:t>engage</w:t>
      </w:r>
      <w:r w:rsidR="00B00250">
        <w:t>d</w:t>
      </w:r>
      <w:r w:rsidR="00905322">
        <w:t xml:space="preserve"> in dangerous employment</w:t>
      </w:r>
      <w:r w:rsidR="009E1310">
        <w:t xml:space="preserve"> to provide monetary compensation for families in the event the main </w:t>
      </w:r>
      <w:r w:rsidR="0091257A">
        <w:t>income earner</w:t>
      </w:r>
      <w:r w:rsidR="009E1310">
        <w:t xml:space="preserve"> </w:t>
      </w:r>
      <w:r w:rsidR="00B70B54">
        <w:t xml:space="preserve">had </w:t>
      </w:r>
      <w:r w:rsidR="00625E0A">
        <w:t>serious or fatal injuries</w:t>
      </w:r>
      <w:r w:rsidR="00B70B54">
        <w:t xml:space="preserve"> that arose out of </w:t>
      </w:r>
      <w:r w:rsidR="00DF628D">
        <w:t>and in the course of employment.</w:t>
      </w:r>
    </w:p>
    <w:p w14:paraId="42DEE1C0" w14:textId="7697E5B3" w:rsidR="00CD0B51" w:rsidRDefault="00DF628D" w:rsidP="00F30D79">
      <w:pPr>
        <w:pStyle w:val="ListNumber"/>
      </w:pPr>
      <w:r>
        <w:t xml:space="preserve">Coverage was </w:t>
      </w:r>
      <w:r w:rsidR="0069299A">
        <w:t xml:space="preserve">eventually </w:t>
      </w:r>
      <w:r>
        <w:t xml:space="preserve">expanded to male workers in all industries not just </w:t>
      </w:r>
      <w:proofErr w:type="gramStart"/>
      <w:r>
        <w:t>high risk</w:t>
      </w:r>
      <w:proofErr w:type="gramEnd"/>
      <w:r>
        <w:t xml:space="preserve"> industries</w:t>
      </w:r>
      <w:r w:rsidR="00384782">
        <w:t xml:space="preserve">. However, </w:t>
      </w:r>
      <w:r w:rsidR="009F4226">
        <w:t>up until the 1970s</w:t>
      </w:r>
      <w:r w:rsidR="008E0BBA">
        <w:t xml:space="preserve">, </w:t>
      </w:r>
      <w:r w:rsidR="0096354D">
        <w:t>women were not seriously considered when developing workers’ compensation policies</w:t>
      </w:r>
      <w:r w:rsidR="00384782">
        <w:t>,</w:t>
      </w:r>
      <w:r w:rsidR="0096354D">
        <w:t xml:space="preserve"> despite many </w:t>
      </w:r>
      <w:proofErr w:type="gramStart"/>
      <w:r w:rsidR="0096354D">
        <w:t>working class</w:t>
      </w:r>
      <w:proofErr w:type="gramEnd"/>
      <w:r w:rsidR="0096354D">
        <w:t xml:space="preserve"> women </w:t>
      </w:r>
      <w:r w:rsidR="004E1B81">
        <w:t xml:space="preserve">being engaged in </w:t>
      </w:r>
      <w:r w:rsidR="002B530E">
        <w:t>paid and often dangerous forms of employment.</w:t>
      </w:r>
    </w:p>
    <w:p w14:paraId="3B92B4C6" w14:textId="7785D7EB" w:rsidR="00E3717C" w:rsidRDefault="00F26E9A" w:rsidP="00E3717C">
      <w:pPr>
        <w:pStyle w:val="ListNumber"/>
      </w:pPr>
      <w:r>
        <w:t xml:space="preserve">Workers’ compensation </w:t>
      </w:r>
      <w:r w:rsidR="00D558C1">
        <w:t>laws continued to develop throughout the 20</w:t>
      </w:r>
      <w:r w:rsidR="00077DE9" w:rsidRPr="00077DE9">
        <w:rPr>
          <w:vertAlign w:val="superscript"/>
        </w:rPr>
        <w:t xml:space="preserve"> </w:t>
      </w:r>
      <w:proofErr w:type="spellStart"/>
      <w:r w:rsidR="00077DE9" w:rsidRPr="00D578B0">
        <w:rPr>
          <w:vertAlign w:val="superscript"/>
        </w:rPr>
        <w:t>th</w:t>
      </w:r>
      <w:proofErr w:type="spellEnd"/>
      <w:r w:rsidR="00077DE9" w:rsidRPr="00E3717C" w:rsidDel="00077DE9">
        <w:t xml:space="preserve"> </w:t>
      </w:r>
      <w:r w:rsidR="00D558C1">
        <w:t xml:space="preserve">century reflecting </w:t>
      </w:r>
      <w:r w:rsidR="00F6311B">
        <w:t xml:space="preserve">societal </w:t>
      </w:r>
      <w:r w:rsidR="00D558C1">
        <w:t>and political changes, such as the increase in women</w:t>
      </w:r>
      <w:r w:rsidR="00EA5368">
        <w:t>’</w:t>
      </w:r>
      <w:r w:rsidR="00D558C1">
        <w:t xml:space="preserve">s participation in the workforce </w:t>
      </w:r>
      <w:r w:rsidR="00837FEF">
        <w:t>and the union and lab</w:t>
      </w:r>
      <w:r w:rsidR="00C84ECF">
        <w:t xml:space="preserve">our movements. </w:t>
      </w:r>
      <w:r w:rsidR="004E0704">
        <w:t xml:space="preserve">The iterative reform process for workers’ compensation </w:t>
      </w:r>
      <w:r w:rsidR="00760956">
        <w:t xml:space="preserve">schemes in Australia </w:t>
      </w:r>
      <w:r w:rsidR="00077DE9">
        <w:t xml:space="preserve">has reflected </w:t>
      </w:r>
      <w:r w:rsidR="004E0704">
        <w:t>t</w:t>
      </w:r>
      <w:r w:rsidR="002065CF">
        <w:t>he</w:t>
      </w:r>
      <w:r w:rsidR="00C96CA9">
        <w:t xml:space="preserve"> prevailing soci</w:t>
      </w:r>
      <w:r w:rsidR="0048393B">
        <w:t>et</w:t>
      </w:r>
      <w:r w:rsidR="00C96CA9">
        <w:t xml:space="preserve">al and political views </w:t>
      </w:r>
      <w:r w:rsidR="00EF21CD">
        <w:t>of the</w:t>
      </w:r>
      <w:r w:rsidR="00C21009">
        <w:t xml:space="preserve"> day</w:t>
      </w:r>
      <w:r w:rsidR="00E9774D">
        <w:t>.</w:t>
      </w:r>
    </w:p>
    <w:p w14:paraId="107B5C59" w14:textId="64B93C3E" w:rsidR="00270579" w:rsidRPr="00E3717C" w:rsidRDefault="00071997" w:rsidP="00E3717C">
      <w:pPr>
        <w:pStyle w:val="ListNumber"/>
        <w:sectPr w:rsidR="00270579" w:rsidRPr="00E3717C" w:rsidSect="00C84EC8">
          <w:footerReference w:type="first" r:id="rId20"/>
          <w:pgSz w:w="11906" w:h="16838" w:code="9"/>
          <w:pgMar w:top="1276" w:right="1558" w:bottom="1560" w:left="1134" w:header="709" w:footer="430" w:gutter="0"/>
          <w:cols w:space="708"/>
          <w:titlePg/>
          <w:docGrid w:linePitch="360"/>
        </w:sectPr>
      </w:pPr>
      <w:r>
        <w:t>Historically, workers’ compensation l</w:t>
      </w:r>
      <w:r w:rsidR="00CA7032">
        <w:t>aws</w:t>
      </w:r>
      <w:r>
        <w:t xml:space="preserve"> </w:t>
      </w:r>
      <w:r w:rsidR="00077DE9">
        <w:t xml:space="preserve">were </w:t>
      </w:r>
      <w:r w:rsidR="0009725F">
        <w:t xml:space="preserve">based around </w:t>
      </w:r>
      <w:r w:rsidR="0048393B">
        <w:t xml:space="preserve">providing </w:t>
      </w:r>
      <w:r w:rsidR="0009725F">
        <w:t>a safety net for workers</w:t>
      </w:r>
      <w:r w:rsidR="00BE023A">
        <w:t xml:space="preserve"> injured in work environments in which they had limited control or a</w:t>
      </w:r>
      <w:r w:rsidR="003E7191">
        <w:t xml:space="preserve">utonomy. </w:t>
      </w:r>
      <w:r w:rsidR="00CA7032">
        <w:t>This means w</w:t>
      </w:r>
      <w:r w:rsidR="006F7487">
        <w:t>orkers with more autonomy and control</w:t>
      </w:r>
      <w:r w:rsidR="00077DE9">
        <w:t>,</w:t>
      </w:r>
      <w:r w:rsidR="006F7487">
        <w:t xml:space="preserve"> such as independent contractors</w:t>
      </w:r>
      <w:r w:rsidR="00E273C8">
        <w:t xml:space="preserve"> or sole traders</w:t>
      </w:r>
      <w:r w:rsidR="00077DE9">
        <w:t>,</w:t>
      </w:r>
      <w:r w:rsidR="006F7487">
        <w:t xml:space="preserve"> </w:t>
      </w:r>
      <w:r w:rsidR="00E273C8">
        <w:t xml:space="preserve">were not covered by workers’ compensation. </w:t>
      </w:r>
      <w:r w:rsidR="00637D8B">
        <w:t xml:space="preserve">The origins of workers’ compensation laws </w:t>
      </w:r>
      <w:r w:rsidR="004B0C8D">
        <w:t xml:space="preserve">are still reflected in </w:t>
      </w:r>
      <w:r w:rsidR="006240B5">
        <w:t xml:space="preserve">the coverage arrangements for </w:t>
      </w:r>
      <w:r w:rsidR="004B0C8D">
        <w:t xml:space="preserve">current legislation, </w:t>
      </w:r>
      <w:r w:rsidR="006240B5">
        <w:t>with the continued exclusion of</w:t>
      </w:r>
      <w:r w:rsidR="00ED426E">
        <w:t xml:space="preserve"> most </w:t>
      </w:r>
      <w:r w:rsidR="00E80F2F">
        <w:t xml:space="preserve">independent </w:t>
      </w:r>
      <w:r w:rsidR="006240B5">
        <w:t xml:space="preserve">contractors from coverage.  </w:t>
      </w:r>
    </w:p>
    <w:p w14:paraId="0977357E" w14:textId="5BE6A698" w:rsidR="004F1622" w:rsidRDefault="001D5708" w:rsidP="00BD39AF">
      <w:pPr>
        <w:pStyle w:val="Heading2alt"/>
      </w:pPr>
      <w:bookmarkStart w:id="10" w:name="_Toc87027299"/>
      <w:r>
        <w:lastRenderedPageBreak/>
        <w:t>What is workers’ compensation coverage?</w:t>
      </w:r>
      <w:bookmarkEnd w:id="10"/>
      <w:r>
        <w:t xml:space="preserve"> </w:t>
      </w:r>
    </w:p>
    <w:p w14:paraId="37A7517E" w14:textId="77777777" w:rsidR="00861581" w:rsidRDefault="00861581" w:rsidP="00861581">
      <w:pPr>
        <w:pStyle w:val="Heading3"/>
      </w:pPr>
      <w:r>
        <w:t>What is coverage?</w:t>
      </w:r>
    </w:p>
    <w:p w14:paraId="28EE1848" w14:textId="3AD58452" w:rsidR="00861581" w:rsidRPr="00E90AF1" w:rsidRDefault="00861581" w:rsidP="00861581">
      <w:pPr>
        <w:pStyle w:val="ListNumber"/>
        <w:rPr>
          <w:rFonts w:cstheme="minorHAnsi"/>
          <w:bCs/>
        </w:rPr>
      </w:pPr>
      <w:r w:rsidRPr="001954AC">
        <w:t>The use of the term ‘coverage’ in the workers’ compensation context differs to that of other form</w:t>
      </w:r>
      <w:r w:rsidR="00CA7032">
        <w:t>s</w:t>
      </w:r>
      <w:r w:rsidRPr="001954AC">
        <w:t xml:space="preserve"> of insurance</w:t>
      </w:r>
      <w:r w:rsidR="00EA5368">
        <w:t>,</w:t>
      </w:r>
      <w:r w:rsidRPr="001954AC">
        <w:t xml:space="preserve"> w</w:t>
      </w:r>
      <w:r w:rsidRPr="008F2B35">
        <w:t>h</w:t>
      </w:r>
      <w:r w:rsidRPr="00622FEB">
        <w:t>ere coverage often refers to the monetary limits or the agreed scope of a policy.</w:t>
      </w:r>
      <w:r w:rsidRPr="00D00EBF">
        <w:t xml:space="preserve"> </w:t>
      </w:r>
      <w:r w:rsidRPr="00E90AF1">
        <w:rPr>
          <w:rFonts w:cstheme="minorHAnsi"/>
          <w:bCs/>
        </w:rPr>
        <w:t xml:space="preserve">Coverage in this context is concerned with the eligibility to make a claim a under a workers’ compensation scheme. </w:t>
      </w:r>
      <w:r w:rsidRPr="00471EA8">
        <w:t xml:space="preserve">Generally, workers’ compensation schemes in Australia will consider three core criteria to </w:t>
      </w:r>
      <w:r w:rsidR="00CA7032">
        <w:t>determine</w:t>
      </w:r>
      <w:r w:rsidR="00CA7032" w:rsidRPr="00471EA8">
        <w:t xml:space="preserve"> </w:t>
      </w:r>
      <w:r w:rsidRPr="00471EA8">
        <w:t xml:space="preserve">whether a worker is </w:t>
      </w:r>
      <w:r w:rsidRPr="00A52011">
        <w:t xml:space="preserve">able to claim workers’ compensation for a particular injury or illness: </w:t>
      </w:r>
    </w:p>
    <w:p w14:paraId="51263CE6" w14:textId="5A84945E" w:rsidR="00861581" w:rsidRDefault="00861581" w:rsidP="00861581">
      <w:pPr>
        <w:pStyle w:val="ListNumber2"/>
        <w:rPr>
          <w:szCs w:val="22"/>
        </w:rPr>
      </w:pPr>
      <w:r>
        <w:t xml:space="preserve">The claimant must be </w:t>
      </w:r>
      <w:proofErr w:type="spellStart"/>
      <w:r>
        <w:t>be</w:t>
      </w:r>
      <w:proofErr w:type="spellEnd"/>
      <w:r>
        <w:t xml:space="preserve"> covered as a worker or deemed worker, as defined by the relevant scheme (</w:t>
      </w:r>
      <w:r>
        <w:rPr>
          <w:b/>
          <w:bCs/>
        </w:rPr>
        <w:t>c</w:t>
      </w:r>
      <w:r w:rsidRPr="00EE4419">
        <w:rPr>
          <w:b/>
          <w:bCs/>
        </w:rPr>
        <w:t>overage</w:t>
      </w:r>
      <w:r>
        <w:t>)</w:t>
      </w:r>
    </w:p>
    <w:p w14:paraId="42FB2CFB" w14:textId="2B3CC5E6" w:rsidR="00861581" w:rsidRDefault="00861581" w:rsidP="00861581">
      <w:pPr>
        <w:pStyle w:val="ListNumber2"/>
      </w:pPr>
      <w:r>
        <w:t xml:space="preserve">They must have suffered an injury or illness (or </w:t>
      </w:r>
      <w:r w:rsidR="00FC2FD9">
        <w:t>death</w:t>
      </w:r>
      <w:r>
        <w:t>) which is compensable</w:t>
      </w:r>
      <w:r w:rsidR="00EA5368">
        <w:t>,</w:t>
      </w:r>
      <w:r>
        <w:t xml:space="preserve"> and</w:t>
      </w:r>
    </w:p>
    <w:p w14:paraId="38F96277" w14:textId="25CB6B82" w:rsidR="00861581" w:rsidRDefault="00861581" w:rsidP="00861581">
      <w:pPr>
        <w:pStyle w:val="ListNumber2"/>
      </w:pPr>
      <w:r>
        <w:t>There must be the requisite connection between injury or illness and the claimant’s employment (work relatedness).</w:t>
      </w:r>
      <w:r>
        <w:rPr>
          <w:rStyle w:val="FootnoteReference"/>
        </w:rPr>
        <w:footnoteReference w:id="3"/>
      </w:r>
      <w:r w:rsidRPr="008E2D39">
        <w:rPr>
          <w:rFonts w:cstheme="minorHAnsi"/>
          <w:bCs/>
          <w:szCs w:val="22"/>
        </w:rPr>
        <w:t xml:space="preserve"> </w:t>
      </w:r>
    </w:p>
    <w:p w14:paraId="5355F471" w14:textId="426B8ACD" w:rsidR="00527C31" w:rsidRPr="002C33D2" w:rsidRDefault="00861581" w:rsidP="001444AC">
      <w:pPr>
        <w:pStyle w:val="ListNumber"/>
      </w:pPr>
      <w:r w:rsidRPr="002C33D2">
        <w:rPr>
          <w:rFonts w:cstheme="minorHAnsi"/>
          <w:bCs/>
          <w:szCs w:val="22"/>
        </w:rPr>
        <w:t xml:space="preserve">Whether a worker is covered by workers’ compensation  will depend on the rules of the </w:t>
      </w:r>
      <w:proofErr w:type="gramStart"/>
      <w:r w:rsidRPr="002C33D2">
        <w:rPr>
          <w:rFonts w:cstheme="minorHAnsi"/>
          <w:bCs/>
          <w:szCs w:val="22"/>
        </w:rPr>
        <w:t>particular workers’</w:t>
      </w:r>
      <w:proofErr w:type="gramEnd"/>
      <w:r w:rsidRPr="002C33D2">
        <w:rPr>
          <w:rFonts w:cstheme="minorHAnsi"/>
          <w:bCs/>
          <w:szCs w:val="22"/>
        </w:rPr>
        <w:t xml:space="preserve"> compensation scheme </w:t>
      </w:r>
      <w:r w:rsidR="00CA7032">
        <w:rPr>
          <w:rFonts w:cstheme="minorHAnsi"/>
          <w:bCs/>
          <w:szCs w:val="22"/>
        </w:rPr>
        <w:t>in their jurisdiction.</w:t>
      </w:r>
    </w:p>
    <w:p w14:paraId="4A5E08C1" w14:textId="77777777" w:rsidR="00655B5B" w:rsidRDefault="00655B5B" w:rsidP="00655B5B">
      <w:pPr>
        <w:pStyle w:val="Heading3"/>
      </w:pPr>
      <w:r>
        <w:t>Who is covered?</w:t>
      </w:r>
    </w:p>
    <w:p w14:paraId="1482B3E0" w14:textId="3AE72745" w:rsidR="00655B5B" w:rsidRPr="00692E92" w:rsidRDefault="00655B5B" w:rsidP="00655B5B">
      <w:pPr>
        <w:pStyle w:val="ListNumber"/>
      </w:pPr>
      <w:r w:rsidRPr="001954AC">
        <w:t xml:space="preserve">Workers’ compensation schemes in Australia cover workers that meet the schemes legislative definition of </w:t>
      </w:r>
      <w:r w:rsidRPr="002C33D2">
        <w:rPr>
          <w:i/>
          <w:iCs/>
        </w:rPr>
        <w:t>worker</w:t>
      </w:r>
      <w:r w:rsidRPr="00622FEB">
        <w:t xml:space="preserve"> or </w:t>
      </w:r>
      <w:r w:rsidRPr="002C33D2">
        <w:rPr>
          <w:i/>
          <w:iCs/>
        </w:rPr>
        <w:t>deemed worker</w:t>
      </w:r>
      <w:r w:rsidRPr="00622FEB">
        <w:t xml:space="preserve">. </w:t>
      </w:r>
      <w:r w:rsidRPr="00D00EBF">
        <w:rPr>
          <w:lang w:eastAsia="en-AU"/>
        </w:rPr>
        <w:t>Genuine</w:t>
      </w:r>
      <w:r w:rsidR="00E268F8">
        <w:rPr>
          <w:lang w:eastAsia="en-AU"/>
        </w:rPr>
        <w:t xml:space="preserve"> independent</w:t>
      </w:r>
      <w:r w:rsidRPr="00D00EBF">
        <w:rPr>
          <w:lang w:eastAsia="en-AU"/>
        </w:rPr>
        <w:t xml:space="preserve"> contractors and </w:t>
      </w:r>
      <w:r w:rsidR="00CA7032">
        <w:rPr>
          <w:lang w:eastAsia="en-AU"/>
        </w:rPr>
        <w:br/>
      </w:r>
      <w:r w:rsidR="00E268F8">
        <w:rPr>
          <w:lang w:eastAsia="en-AU"/>
        </w:rPr>
        <w:t xml:space="preserve">sole traders </w:t>
      </w:r>
      <w:r w:rsidRPr="00D00EBF">
        <w:rPr>
          <w:lang w:eastAsia="en-AU"/>
        </w:rPr>
        <w:t>are generally not covered by workers</w:t>
      </w:r>
      <w:r w:rsidR="00EA5368">
        <w:rPr>
          <w:lang w:eastAsia="en-AU"/>
        </w:rPr>
        <w:t>’</w:t>
      </w:r>
      <w:r w:rsidRPr="00D00EBF">
        <w:rPr>
          <w:lang w:eastAsia="en-AU"/>
        </w:rPr>
        <w:t xml:space="preserve"> compensation and must make their own income protection insurance arrangements</w:t>
      </w:r>
      <w:r w:rsidRPr="00D02C9A">
        <w:rPr>
          <w:lang w:eastAsia="en-AU"/>
        </w:rPr>
        <w:t xml:space="preserve">. </w:t>
      </w:r>
    </w:p>
    <w:p w14:paraId="4A48F245" w14:textId="314909B0" w:rsidR="00655B5B" w:rsidRPr="00917E46" w:rsidRDefault="00655B5B" w:rsidP="00917E46">
      <w:pPr>
        <w:pStyle w:val="Heading3"/>
        <w:ind w:firstLine="644"/>
        <w:rPr>
          <w:b w:val="0"/>
          <w:bCs w:val="0"/>
          <w:color w:val="auto"/>
          <w:sz w:val="20"/>
          <w:szCs w:val="20"/>
        </w:rPr>
      </w:pPr>
      <w:r w:rsidRPr="00917E46">
        <w:rPr>
          <w:b w:val="0"/>
          <w:bCs w:val="0"/>
          <w:color w:val="auto"/>
          <w:sz w:val="20"/>
          <w:szCs w:val="20"/>
        </w:rPr>
        <w:t xml:space="preserve">Definition of </w:t>
      </w:r>
      <w:r w:rsidR="00077DE9">
        <w:rPr>
          <w:b w:val="0"/>
          <w:bCs w:val="0"/>
          <w:color w:val="auto"/>
          <w:sz w:val="20"/>
          <w:szCs w:val="20"/>
        </w:rPr>
        <w:t>w</w:t>
      </w:r>
      <w:r w:rsidR="00077DE9" w:rsidRPr="00917E46">
        <w:rPr>
          <w:b w:val="0"/>
          <w:bCs w:val="0"/>
          <w:color w:val="auto"/>
          <w:sz w:val="20"/>
          <w:szCs w:val="20"/>
        </w:rPr>
        <w:t>orker</w:t>
      </w:r>
    </w:p>
    <w:p w14:paraId="6B831549" w14:textId="20E8BDF1" w:rsidR="00655B5B" w:rsidRPr="001954AC" w:rsidRDefault="00655B5B" w:rsidP="00655B5B">
      <w:pPr>
        <w:pStyle w:val="ListNumber"/>
        <w:rPr>
          <w:rFonts w:asciiTheme="minorHAnsi" w:hAnsiTheme="minorHAnsi"/>
        </w:rPr>
      </w:pPr>
      <w:r w:rsidRPr="007207FE">
        <w:t xml:space="preserve">While there is no consistent definition of </w:t>
      </w:r>
      <w:r w:rsidRPr="008373DC">
        <w:rPr>
          <w:i/>
          <w:iCs/>
        </w:rPr>
        <w:t>worker</w:t>
      </w:r>
      <w:r w:rsidRPr="007207FE">
        <w:t xml:space="preserve"> in Australian workers’ compensation schemes, most schemes will consider whether a person is engaged through a contract of service or </w:t>
      </w:r>
      <w:r w:rsidR="00CA7032">
        <w:t xml:space="preserve">is </w:t>
      </w:r>
      <w:r w:rsidRPr="007207FE">
        <w:t>an employee for the purposes of assessment of PAYG tax to determine if they are a worker. Table 3.1a of Safe Work Australia’s Comparison of workers’ compensation</w:t>
      </w:r>
      <w:r w:rsidRPr="00D00EBF">
        <w:t xml:space="preserve"> arrangements in Australia and New Zealand 2019 summarises the definition of worker by jurisdiction, noting that some schemes use the term ‘employee’ and some use the term ‘worker’ and all schemes have slightly different definitions of those terms.</w:t>
      </w:r>
      <w:r>
        <w:rPr>
          <w:rStyle w:val="FootnoteReference"/>
          <w:szCs w:val="22"/>
        </w:rPr>
        <w:footnoteReference w:id="4"/>
      </w:r>
      <w:r w:rsidR="009142ED" w:rsidRPr="009142ED">
        <w:t xml:space="preserve"> </w:t>
      </w:r>
    </w:p>
    <w:p w14:paraId="1ED471A8" w14:textId="68125058" w:rsidR="00655B5B" w:rsidRPr="00917E46" w:rsidRDefault="00655B5B" w:rsidP="00917E46">
      <w:pPr>
        <w:pStyle w:val="Heading3"/>
        <w:ind w:firstLine="644"/>
        <w:rPr>
          <w:color w:val="auto"/>
          <w:sz w:val="20"/>
          <w:szCs w:val="20"/>
        </w:rPr>
      </w:pPr>
      <w:r w:rsidRPr="00917E46">
        <w:rPr>
          <w:color w:val="auto"/>
          <w:sz w:val="20"/>
          <w:szCs w:val="20"/>
        </w:rPr>
        <w:t xml:space="preserve">Definition of </w:t>
      </w:r>
      <w:r w:rsidR="00077DE9">
        <w:rPr>
          <w:color w:val="auto"/>
          <w:sz w:val="20"/>
          <w:szCs w:val="20"/>
        </w:rPr>
        <w:t>d</w:t>
      </w:r>
      <w:r w:rsidR="00077DE9" w:rsidRPr="00917E46">
        <w:rPr>
          <w:color w:val="auto"/>
          <w:sz w:val="20"/>
          <w:szCs w:val="20"/>
        </w:rPr>
        <w:t xml:space="preserve">eemed </w:t>
      </w:r>
      <w:r w:rsidR="00077DE9">
        <w:rPr>
          <w:color w:val="auto"/>
          <w:sz w:val="20"/>
          <w:szCs w:val="20"/>
        </w:rPr>
        <w:t>w</w:t>
      </w:r>
      <w:r w:rsidR="00077DE9" w:rsidRPr="00917E46">
        <w:rPr>
          <w:color w:val="auto"/>
          <w:sz w:val="20"/>
          <w:szCs w:val="20"/>
        </w:rPr>
        <w:t>orker</w:t>
      </w:r>
    </w:p>
    <w:p w14:paraId="5718EF4E" w14:textId="164D3651" w:rsidR="00655B5B" w:rsidRPr="007207FE" w:rsidRDefault="00655B5B" w:rsidP="00655B5B">
      <w:pPr>
        <w:pStyle w:val="ListNumber"/>
        <w:rPr>
          <w:b/>
          <w:bCs/>
          <w:szCs w:val="22"/>
        </w:rPr>
      </w:pPr>
      <w:r w:rsidRPr="007207FE">
        <w:rPr>
          <w:szCs w:val="22"/>
        </w:rPr>
        <w:t>Schemes also vary in relation to the categor</w:t>
      </w:r>
      <w:r w:rsidR="00774844">
        <w:rPr>
          <w:szCs w:val="22"/>
        </w:rPr>
        <w:t>ies</w:t>
      </w:r>
      <w:r w:rsidRPr="007207FE">
        <w:rPr>
          <w:szCs w:val="22"/>
        </w:rPr>
        <w:t xml:space="preserve"> of workers considered to be </w:t>
      </w:r>
      <w:r w:rsidRPr="008373DC">
        <w:rPr>
          <w:i/>
          <w:iCs/>
          <w:szCs w:val="22"/>
        </w:rPr>
        <w:t>deemed workers</w:t>
      </w:r>
      <w:r w:rsidRPr="007207FE">
        <w:rPr>
          <w:szCs w:val="22"/>
        </w:rPr>
        <w:t xml:space="preserve"> under the relevant workers’ compensation scheme. Table 3.2 of Safe Work Australia’s Comparison of workers’ compensation arrangements in Australia and New Zealand 2019 summarises the definition of deemed worker by jurisdiction, noting all </w:t>
      </w:r>
      <w:r w:rsidRPr="007207FE">
        <w:rPr>
          <w:szCs w:val="22"/>
        </w:rPr>
        <w:lastRenderedPageBreak/>
        <w:t>schemes have slightly different definitions.</w:t>
      </w:r>
      <w:r>
        <w:rPr>
          <w:rStyle w:val="FootnoteReference"/>
          <w:szCs w:val="22"/>
        </w:rPr>
        <w:footnoteReference w:id="5"/>
      </w:r>
      <w:r w:rsidRPr="007207FE">
        <w:rPr>
          <w:szCs w:val="22"/>
        </w:rPr>
        <w:t xml:space="preserve"> Certain types of contractors are covered as a deemed worker in some jurisdictions</w:t>
      </w:r>
      <w:r w:rsidR="005D7478">
        <w:rPr>
          <w:szCs w:val="22"/>
        </w:rPr>
        <w:t>.</w:t>
      </w:r>
      <w:r w:rsidRPr="007207FE">
        <w:rPr>
          <w:szCs w:val="22"/>
        </w:rPr>
        <w:t xml:space="preserve"> </w:t>
      </w:r>
    </w:p>
    <w:p w14:paraId="72A162CB" w14:textId="77777777" w:rsidR="00655B5B" w:rsidRPr="00752614" w:rsidRDefault="00655B5B" w:rsidP="00655B5B">
      <w:pPr>
        <w:pStyle w:val="Heading3"/>
        <w:rPr>
          <w:lang w:eastAsia="en-AU"/>
        </w:rPr>
      </w:pPr>
      <w:r w:rsidRPr="00752614">
        <w:rPr>
          <w:lang w:eastAsia="en-AU"/>
        </w:rPr>
        <w:t xml:space="preserve">Who is not covered? </w:t>
      </w:r>
    </w:p>
    <w:p w14:paraId="3457EF52" w14:textId="5ED73C2F" w:rsidR="00655B5B" w:rsidRPr="009F717E" w:rsidRDefault="00655B5B" w:rsidP="00655B5B">
      <w:pPr>
        <w:pStyle w:val="ListNumber"/>
        <w:rPr>
          <w:rFonts w:cstheme="minorHAnsi"/>
          <w:szCs w:val="22"/>
        </w:rPr>
      </w:pPr>
      <w:r w:rsidRPr="00692E92">
        <w:rPr>
          <w:rFonts w:cstheme="minorHAnsi"/>
          <w:szCs w:val="22"/>
          <w:lang w:eastAsia="en-AU"/>
        </w:rPr>
        <w:t>Independent contractors</w:t>
      </w:r>
      <w:r w:rsidR="0084357F">
        <w:rPr>
          <w:rFonts w:cstheme="minorHAnsi"/>
          <w:szCs w:val="22"/>
          <w:lang w:eastAsia="en-AU"/>
        </w:rPr>
        <w:t xml:space="preserve"> and</w:t>
      </w:r>
      <w:r w:rsidRPr="00692E92">
        <w:rPr>
          <w:rFonts w:cstheme="minorHAnsi"/>
          <w:szCs w:val="22"/>
          <w:lang w:eastAsia="en-AU"/>
        </w:rPr>
        <w:t xml:space="preserve"> </w:t>
      </w:r>
      <w:r w:rsidR="00C30258">
        <w:rPr>
          <w:rFonts w:cstheme="minorHAnsi"/>
          <w:szCs w:val="22"/>
          <w:lang w:eastAsia="en-AU"/>
        </w:rPr>
        <w:t>sole traders</w:t>
      </w:r>
      <w:r w:rsidRPr="00692E92">
        <w:rPr>
          <w:rFonts w:cstheme="minorHAnsi"/>
          <w:szCs w:val="22"/>
          <w:lang w:eastAsia="en-AU"/>
        </w:rPr>
        <w:t xml:space="preserve"> are generally not covered by workers</w:t>
      </w:r>
      <w:r w:rsidR="006166B2">
        <w:rPr>
          <w:rFonts w:cstheme="minorHAnsi"/>
          <w:szCs w:val="22"/>
          <w:lang w:eastAsia="en-AU"/>
        </w:rPr>
        <w:t>’</w:t>
      </w:r>
      <w:r w:rsidRPr="00692E92">
        <w:rPr>
          <w:rFonts w:cstheme="minorHAnsi"/>
          <w:szCs w:val="22"/>
          <w:lang w:eastAsia="en-AU"/>
        </w:rPr>
        <w:t xml:space="preserve"> compensation</w:t>
      </w:r>
      <w:r w:rsidR="006638D1">
        <w:rPr>
          <w:rFonts w:cstheme="minorHAnsi"/>
          <w:szCs w:val="22"/>
          <w:lang w:eastAsia="en-AU"/>
        </w:rPr>
        <w:t xml:space="preserve"> schemes</w:t>
      </w:r>
      <w:r w:rsidRPr="00692E92">
        <w:rPr>
          <w:rFonts w:cstheme="minorHAnsi"/>
          <w:szCs w:val="22"/>
          <w:lang w:eastAsia="en-AU"/>
        </w:rPr>
        <w:t xml:space="preserve"> and must make their own income protection insurance arrangements.</w:t>
      </w:r>
      <w:r w:rsidR="0013276F">
        <w:rPr>
          <w:rFonts w:cstheme="minorHAnsi"/>
          <w:szCs w:val="22"/>
          <w:lang w:eastAsia="en-AU"/>
        </w:rPr>
        <w:t xml:space="preserve"> They are generally </w:t>
      </w:r>
      <w:r w:rsidR="00D4529F">
        <w:rPr>
          <w:rFonts w:cstheme="minorHAnsi"/>
          <w:szCs w:val="22"/>
          <w:lang w:eastAsia="en-AU"/>
        </w:rPr>
        <w:t xml:space="preserve">engaged under a contract for services and </w:t>
      </w:r>
      <w:proofErr w:type="gramStart"/>
      <w:r w:rsidR="00D4529F">
        <w:rPr>
          <w:rFonts w:cstheme="minorHAnsi"/>
          <w:szCs w:val="22"/>
          <w:lang w:eastAsia="en-AU"/>
        </w:rPr>
        <w:t xml:space="preserve">are </w:t>
      </w:r>
      <w:r w:rsidR="006166B2">
        <w:rPr>
          <w:rFonts w:cstheme="minorHAnsi"/>
          <w:szCs w:val="22"/>
          <w:lang w:eastAsia="en-AU"/>
        </w:rPr>
        <w:t>considered to be</w:t>
      </w:r>
      <w:proofErr w:type="gramEnd"/>
      <w:r w:rsidR="006166B2">
        <w:rPr>
          <w:rFonts w:cstheme="minorHAnsi"/>
          <w:szCs w:val="22"/>
          <w:lang w:eastAsia="en-AU"/>
        </w:rPr>
        <w:t xml:space="preserve"> </w:t>
      </w:r>
      <w:r w:rsidR="00D4529F">
        <w:rPr>
          <w:rFonts w:cstheme="minorHAnsi"/>
          <w:szCs w:val="22"/>
          <w:lang w:eastAsia="en-AU"/>
        </w:rPr>
        <w:t xml:space="preserve">as running their own </w:t>
      </w:r>
      <w:r w:rsidR="00436743">
        <w:rPr>
          <w:rFonts w:cstheme="minorHAnsi"/>
          <w:szCs w:val="22"/>
          <w:lang w:eastAsia="en-AU"/>
        </w:rPr>
        <w:t>business and working under commercial, not employment contracts.</w:t>
      </w:r>
      <w:r w:rsidRPr="00692E92">
        <w:rPr>
          <w:rFonts w:cstheme="minorHAnsi"/>
          <w:szCs w:val="22"/>
          <w:lang w:eastAsia="en-AU"/>
        </w:rPr>
        <w:t xml:space="preserve"> </w:t>
      </w:r>
      <w:r w:rsidRPr="00692E92">
        <w:rPr>
          <w:szCs w:val="22"/>
        </w:rPr>
        <w:t>Plumbers, freelance workers and many other types of work</w:t>
      </w:r>
      <w:r w:rsidR="00077DE9">
        <w:rPr>
          <w:szCs w:val="22"/>
        </w:rPr>
        <w:t>ers</w:t>
      </w:r>
      <w:r w:rsidRPr="00692E92">
        <w:rPr>
          <w:szCs w:val="22"/>
        </w:rPr>
        <w:t xml:space="preserve"> are often considered independent contractors and not covered by workers’ compensation schemes. </w:t>
      </w:r>
    </w:p>
    <w:p w14:paraId="022CD063" w14:textId="18CEEF2F" w:rsidR="00813898" w:rsidRPr="009F717E" w:rsidRDefault="00813898" w:rsidP="009F717E">
      <w:pPr>
        <w:pStyle w:val="ListNumber"/>
      </w:pPr>
      <w:r>
        <w:t>Existing workers’ compensation systems prevent sole traders or independent contractors from opting into workers’ compensation insurance arrangements. This is</w:t>
      </w:r>
      <w:r w:rsidRPr="0016356B">
        <w:t xml:space="preserve"> </w:t>
      </w:r>
      <w:r>
        <w:t xml:space="preserve">due to the current definitions of worker and challenges with covering costs associated with these types of workers. Current schemes charge an </w:t>
      </w:r>
      <w:proofErr w:type="gramStart"/>
      <w:r>
        <w:t>employer premiums</w:t>
      </w:r>
      <w:proofErr w:type="gramEnd"/>
      <w:r>
        <w:t xml:space="preserve"> to cover costs of insurer their workers, cost </w:t>
      </w:r>
      <w:r w:rsidR="00672A7B">
        <w:t xml:space="preserve">recovery </w:t>
      </w:r>
      <w:r>
        <w:t>arrangements are</w:t>
      </w:r>
      <w:r w:rsidR="003D1D10">
        <w:t xml:space="preserve"> not</w:t>
      </w:r>
      <w:r>
        <w:t xml:space="preserve"> taken from </w:t>
      </w:r>
      <w:r w:rsidR="00844088">
        <w:t>an</w:t>
      </w:r>
      <w:r>
        <w:t xml:space="preserve"> individual </w:t>
      </w:r>
      <w:r w:rsidR="007D4694">
        <w:t>worker</w:t>
      </w:r>
      <w:r>
        <w:t>.</w:t>
      </w:r>
    </w:p>
    <w:p w14:paraId="5511BE37" w14:textId="352436F5" w:rsidR="001444AC" w:rsidRPr="001444AC" w:rsidRDefault="006832F2" w:rsidP="00E3717C">
      <w:pPr>
        <w:pStyle w:val="Heading3"/>
      </w:pPr>
      <w:r>
        <w:t>D</w:t>
      </w:r>
      <w:r w:rsidR="00655B5B" w:rsidRPr="00752614">
        <w:t>efinition of independent contractor</w:t>
      </w:r>
    </w:p>
    <w:p w14:paraId="7613FE00" w14:textId="71FA0A80" w:rsidR="00655B5B" w:rsidRPr="00D02C9A" w:rsidRDefault="00655B5B" w:rsidP="00655B5B">
      <w:pPr>
        <w:pStyle w:val="ListNumber"/>
        <w:rPr>
          <w:szCs w:val="22"/>
        </w:rPr>
      </w:pPr>
      <w:r w:rsidRPr="00AA1ACE">
        <w:rPr>
          <w:szCs w:val="22"/>
        </w:rPr>
        <w:t>To determine whether a worker</w:t>
      </w:r>
      <w:r w:rsidRPr="00622FEB">
        <w:rPr>
          <w:szCs w:val="22"/>
        </w:rPr>
        <w:t xml:space="preserve"> is an independent contractor</w:t>
      </w:r>
      <w:r w:rsidR="00077DE9">
        <w:rPr>
          <w:szCs w:val="22"/>
        </w:rPr>
        <w:t>,</w:t>
      </w:r>
      <w:r w:rsidRPr="00622FEB">
        <w:rPr>
          <w:szCs w:val="22"/>
        </w:rPr>
        <w:t xml:space="preserve"> workers’ compensation schemes</w:t>
      </w:r>
      <w:r>
        <w:rPr>
          <w:szCs w:val="22"/>
        </w:rPr>
        <w:t xml:space="preserve"> generally</w:t>
      </w:r>
      <w:r w:rsidRPr="00622FEB">
        <w:rPr>
          <w:szCs w:val="22"/>
        </w:rPr>
        <w:t xml:space="preserve"> apply the</w:t>
      </w:r>
      <w:r w:rsidR="006166B2">
        <w:rPr>
          <w:szCs w:val="22"/>
        </w:rPr>
        <w:t xml:space="preserve"> well-known</w:t>
      </w:r>
      <w:r w:rsidRPr="00622FEB">
        <w:rPr>
          <w:szCs w:val="22"/>
        </w:rPr>
        <w:t xml:space="preserve"> </w:t>
      </w:r>
      <w:r w:rsidRPr="00D00EBF">
        <w:rPr>
          <w:szCs w:val="22"/>
        </w:rPr>
        <w:t>multi-factor test adopted by Australian courts</w:t>
      </w:r>
      <w:r w:rsidRPr="00F203AD">
        <w:rPr>
          <w:szCs w:val="22"/>
        </w:rPr>
        <w:t xml:space="preserve">. </w:t>
      </w:r>
      <w:r w:rsidRPr="008953BF">
        <w:rPr>
          <w:szCs w:val="22"/>
        </w:rPr>
        <w:t>The multi-factor test involves an assessment and balance of the following range of factors against each other.</w:t>
      </w:r>
    </w:p>
    <w:p w14:paraId="78042DD9" w14:textId="77777777" w:rsidR="00655B5B" w:rsidRPr="0095331F" w:rsidRDefault="00655B5B" w:rsidP="00655B5B">
      <w:pPr>
        <w:pStyle w:val="numberedpara"/>
        <w:numPr>
          <w:ilvl w:val="0"/>
          <w:numId w:val="2"/>
        </w:numPr>
        <w:tabs>
          <w:tab w:val="left" w:pos="720"/>
        </w:tabs>
        <w:rPr>
          <w:rFonts w:ascii="Arial" w:hAnsi="Arial"/>
          <w:bCs/>
          <w:szCs w:val="22"/>
        </w:rPr>
      </w:pPr>
      <w:r w:rsidRPr="0095331F">
        <w:rPr>
          <w:rFonts w:ascii="Arial" w:hAnsi="Arial"/>
          <w:bCs/>
          <w:szCs w:val="22"/>
        </w:rPr>
        <w:t>Does the worker have control over whether to take on work?</w:t>
      </w:r>
    </w:p>
    <w:p w14:paraId="535FD4BE" w14:textId="77777777" w:rsidR="00655B5B" w:rsidRPr="0095331F" w:rsidRDefault="00655B5B" w:rsidP="00655B5B">
      <w:pPr>
        <w:pStyle w:val="numberedpara"/>
        <w:numPr>
          <w:ilvl w:val="0"/>
          <w:numId w:val="2"/>
        </w:numPr>
        <w:tabs>
          <w:tab w:val="left" w:pos="720"/>
        </w:tabs>
        <w:rPr>
          <w:rFonts w:ascii="Arial" w:hAnsi="Arial"/>
          <w:bCs/>
          <w:szCs w:val="22"/>
        </w:rPr>
      </w:pPr>
      <w:r w:rsidRPr="0095331F">
        <w:rPr>
          <w:rFonts w:ascii="Arial" w:hAnsi="Arial"/>
          <w:bCs/>
          <w:szCs w:val="22"/>
        </w:rPr>
        <w:t xml:space="preserve">Can the worker choose their own work hours? </w:t>
      </w:r>
    </w:p>
    <w:p w14:paraId="1E71610E" w14:textId="77777777" w:rsidR="00655B5B" w:rsidRPr="0095331F" w:rsidRDefault="00655B5B" w:rsidP="00655B5B">
      <w:pPr>
        <w:pStyle w:val="numberedpara"/>
        <w:numPr>
          <w:ilvl w:val="0"/>
          <w:numId w:val="2"/>
        </w:numPr>
        <w:tabs>
          <w:tab w:val="left" w:pos="720"/>
        </w:tabs>
        <w:rPr>
          <w:rFonts w:ascii="Arial" w:hAnsi="Arial"/>
          <w:bCs/>
          <w:szCs w:val="22"/>
        </w:rPr>
      </w:pPr>
      <w:r w:rsidRPr="0095331F">
        <w:rPr>
          <w:rFonts w:ascii="Arial" w:hAnsi="Arial"/>
          <w:bCs/>
          <w:szCs w:val="22"/>
        </w:rPr>
        <w:t>Does the worker need to provide their own tools and equipment?</w:t>
      </w:r>
    </w:p>
    <w:p w14:paraId="7EA51C5D" w14:textId="77777777" w:rsidR="00655B5B" w:rsidRPr="0095331F" w:rsidRDefault="00655B5B" w:rsidP="00655B5B">
      <w:pPr>
        <w:pStyle w:val="numberedpara"/>
        <w:numPr>
          <w:ilvl w:val="0"/>
          <w:numId w:val="2"/>
        </w:numPr>
        <w:tabs>
          <w:tab w:val="left" w:pos="720"/>
        </w:tabs>
        <w:rPr>
          <w:rFonts w:ascii="Arial" w:hAnsi="Arial"/>
          <w:bCs/>
          <w:szCs w:val="22"/>
        </w:rPr>
      </w:pPr>
      <w:r w:rsidRPr="0095331F">
        <w:rPr>
          <w:rFonts w:ascii="Arial" w:hAnsi="Arial"/>
          <w:bCs/>
          <w:szCs w:val="22"/>
        </w:rPr>
        <w:t>How is the worker paid income?</w:t>
      </w:r>
    </w:p>
    <w:p w14:paraId="1F3E2A87" w14:textId="77777777" w:rsidR="00655B5B" w:rsidRPr="007207FE" w:rsidRDefault="00655B5B" w:rsidP="00655B5B">
      <w:pPr>
        <w:pStyle w:val="numberedpara"/>
        <w:numPr>
          <w:ilvl w:val="0"/>
          <w:numId w:val="2"/>
        </w:numPr>
        <w:tabs>
          <w:tab w:val="left" w:pos="720"/>
        </w:tabs>
        <w:rPr>
          <w:rFonts w:ascii="Arial" w:hAnsi="Arial"/>
          <w:bCs/>
          <w:szCs w:val="22"/>
        </w:rPr>
      </w:pPr>
      <w:r w:rsidRPr="0095331F">
        <w:rPr>
          <w:rFonts w:ascii="Arial" w:hAnsi="Arial"/>
          <w:bCs/>
          <w:szCs w:val="22"/>
        </w:rPr>
        <w:t>Is the worker responsible for the cost of fixing any faults or repairing damage?</w:t>
      </w:r>
    </w:p>
    <w:p w14:paraId="2EF23192" w14:textId="77777777" w:rsidR="00655B5B" w:rsidRPr="0095331F" w:rsidRDefault="00655B5B" w:rsidP="00655B5B">
      <w:pPr>
        <w:pStyle w:val="numberedpara"/>
        <w:numPr>
          <w:ilvl w:val="0"/>
          <w:numId w:val="2"/>
        </w:numPr>
        <w:tabs>
          <w:tab w:val="left" w:pos="720"/>
        </w:tabs>
        <w:rPr>
          <w:rFonts w:ascii="Arial" w:hAnsi="Arial"/>
          <w:szCs w:val="22"/>
        </w:rPr>
      </w:pPr>
      <w:r w:rsidRPr="0095331F">
        <w:rPr>
          <w:rFonts w:ascii="Arial" w:hAnsi="Arial"/>
          <w:bCs/>
          <w:szCs w:val="22"/>
        </w:rPr>
        <w:t>Is the worker required to do the work personally or can you delegate the work to someone else?</w:t>
      </w:r>
      <w:r w:rsidRPr="0095331F">
        <w:rPr>
          <w:rStyle w:val="FootnoteReference"/>
          <w:rFonts w:ascii="Arial" w:eastAsiaTheme="majorEastAsia" w:hAnsi="Arial"/>
          <w:bCs/>
          <w:szCs w:val="22"/>
        </w:rPr>
        <w:footnoteReference w:id="6"/>
      </w:r>
    </w:p>
    <w:p w14:paraId="1C646E2E" w14:textId="04107748" w:rsidR="00655B5B" w:rsidRDefault="00655B5B" w:rsidP="00E3717C">
      <w:pPr>
        <w:spacing w:after="160"/>
        <w:ind w:firstLine="720"/>
        <w:rPr>
          <w:szCs w:val="22"/>
        </w:rPr>
      </w:pPr>
      <w:r>
        <w:rPr>
          <w:szCs w:val="22"/>
        </w:rPr>
        <w:t>Although control remains a significant factor, the High Court has stated</w:t>
      </w:r>
      <w:r w:rsidR="00EC4C18">
        <w:rPr>
          <w:szCs w:val="22"/>
        </w:rPr>
        <w:t>:</w:t>
      </w:r>
    </w:p>
    <w:p w14:paraId="53E3A0C5" w14:textId="77777777" w:rsidR="00655B5B" w:rsidRPr="009E1638" w:rsidRDefault="00655B5B" w:rsidP="00E3717C">
      <w:pPr>
        <w:spacing w:after="160"/>
        <w:ind w:left="1134" w:right="707"/>
        <w:rPr>
          <w:i/>
          <w:iCs/>
        </w:rPr>
      </w:pPr>
      <w:bookmarkStart w:id="11" w:name="_Toc76388978"/>
      <w:r w:rsidRPr="009E1638">
        <w:rPr>
          <w:i/>
          <w:iCs/>
        </w:rPr>
        <w:t>‘it is the totality of the relationship between the parties which must be considered’. None of the factors, apart from the requirement of personal service, is alone conclusive. Instead, in arriving at a conclusion on the character of a work contract, the court considers the factors holistically.’</w:t>
      </w:r>
      <w:r w:rsidRPr="008373DC">
        <w:rPr>
          <w:i/>
          <w:iCs/>
          <w:vertAlign w:val="superscript"/>
        </w:rPr>
        <w:footnoteReference w:id="7"/>
      </w:r>
      <w:bookmarkEnd w:id="11"/>
      <w:r w:rsidRPr="009E1638">
        <w:rPr>
          <w:i/>
          <w:iCs/>
        </w:rPr>
        <w:t xml:space="preserve"> </w:t>
      </w:r>
    </w:p>
    <w:p w14:paraId="5E9B7909" w14:textId="4B7A6027" w:rsidR="00655B5B" w:rsidRDefault="00905DF0" w:rsidP="00E3717C">
      <w:pPr>
        <w:pStyle w:val="ListNumber"/>
        <w:spacing w:after="160"/>
      </w:pPr>
      <w:r>
        <w:t xml:space="preserve">It follows that to </w:t>
      </w:r>
      <w:r w:rsidR="007A5B01">
        <w:t>ascertain</w:t>
      </w:r>
      <w:r w:rsidR="003C2CC2">
        <w:t xml:space="preserve"> workers</w:t>
      </w:r>
      <w:r w:rsidR="007A5B01">
        <w:t xml:space="preserve"> eligibility for workers’ compensation coverage, the working arrangement will need to be considered holistically.  </w:t>
      </w:r>
    </w:p>
    <w:p w14:paraId="57D398A0" w14:textId="070415A8" w:rsidR="00C70AE8" w:rsidRDefault="00C70AE8" w:rsidP="00821B95">
      <w:pPr>
        <w:pStyle w:val="ListNumber"/>
      </w:pPr>
      <w:r>
        <w:t>Historically</w:t>
      </w:r>
      <w:r w:rsidR="00077DE9">
        <w:t>,</w:t>
      </w:r>
      <w:r>
        <w:t xml:space="preserve"> </w:t>
      </w:r>
      <w:r w:rsidR="006D28EA">
        <w:t>distinguishing</w:t>
      </w:r>
      <w:r>
        <w:t xml:space="preserve"> between employees and independent </w:t>
      </w:r>
      <w:r w:rsidR="006D28EA">
        <w:t>c</w:t>
      </w:r>
      <w:r>
        <w:t>ontractors</w:t>
      </w:r>
      <w:r w:rsidR="006D28EA">
        <w:t xml:space="preserve"> has been a relatively straight forward process. However,</w:t>
      </w:r>
      <w:r>
        <w:t xml:space="preserve"> the evolution of modern </w:t>
      </w:r>
      <w:r w:rsidR="006D28EA">
        <w:t xml:space="preserve">working arrangement such as those associated with gig workers have made the application of </w:t>
      </w:r>
      <w:r w:rsidR="00077DE9">
        <w:t xml:space="preserve">the </w:t>
      </w:r>
      <w:r w:rsidR="006D28EA">
        <w:t>multi-factor test more difficult.</w:t>
      </w:r>
    </w:p>
    <w:p w14:paraId="4DA4EB69" w14:textId="5A37B5B4" w:rsidR="00E3717C" w:rsidRPr="00C116E8" w:rsidRDefault="0058411D" w:rsidP="00C116E8">
      <w:pPr>
        <w:pStyle w:val="ListNumber"/>
        <w:rPr>
          <w:rFonts w:ascii="Arial Bold" w:hAnsi="Arial Bold"/>
          <w:b/>
          <w:bCs/>
          <w:color w:val="E81D32"/>
          <w:sz w:val="24"/>
          <w:szCs w:val="24"/>
        </w:rPr>
      </w:pPr>
      <w:r w:rsidRPr="001F4AE3">
        <w:lastRenderedPageBreak/>
        <w:t xml:space="preserve">Coverage arrangements in each jurisdiction </w:t>
      </w:r>
      <w:r w:rsidRPr="00355DCA">
        <w:t xml:space="preserve">have been modified over time, creating inconsistencies and complexities for </w:t>
      </w:r>
      <w:r w:rsidRPr="00467C9F">
        <w:t xml:space="preserve">workplaces. </w:t>
      </w:r>
      <w:r w:rsidRPr="001F4AE3">
        <w:t>T</w:t>
      </w:r>
      <w:r w:rsidRPr="00355DCA">
        <w:t xml:space="preserve">he adoption of new and innovative </w:t>
      </w:r>
      <w:r w:rsidRPr="00467C9F">
        <w:t xml:space="preserve">business models </w:t>
      </w:r>
      <w:r w:rsidRPr="001D7BCF">
        <w:t xml:space="preserve">mobilising the </w:t>
      </w:r>
      <w:proofErr w:type="spellStart"/>
      <w:r w:rsidRPr="001D7BCF">
        <w:t>workfore</w:t>
      </w:r>
      <w:proofErr w:type="spellEnd"/>
      <w:r w:rsidRPr="00B20150">
        <w:t xml:space="preserve"> through technological platforms, creates an opportunity t</w:t>
      </w:r>
      <w:r w:rsidRPr="00A277A6">
        <w:t xml:space="preserve">o re-consider and establish a clearer policy basis for coverage at a national level. </w:t>
      </w:r>
      <w:r w:rsidR="00E3717C">
        <w:br w:type="page"/>
      </w:r>
    </w:p>
    <w:p w14:paraId="40C099EC" w14:textId="4AE7EF97" w:rsidR="00C91BE7" w:rsidRPr="00E3717C" w:rsidRDefault="00C91BE7" w:rsidP="00E3717C">
      <w:pPr>
        <w:pStyle w:val="Heading3"/>
      </w:pPr>
      <w:r>
        <w:lastRenderedPageBreak/>
        <w:t>Deficiencies in alternative insurance arrangements</w:t>
      </w:r>
    </w:p>
    <w:p w14:paraId="37DDCBE6" w14:textId="77777777" w:rsidR="00C91BE7" w:rsidRPr="008D3FCA" w:rsidRDefault="00C91BE7" w:rsidP="00C91BE7">
      <w:pPr>
        <w:pStyle w:val="ListNumber"/>
        <w:rPr>
          <w:b/>
          <w:bCs/>
        </w:rPr>
      </w:pPr>
      <w:r w:rsidRPr="00E23BC2">
        <w:t>If workers are not covered by workers’ compensation insurance they will need to consider other forms of insurance, such as personal accident and illness insurance or income protection insurance. Some business models provide commercial personal injury insurance as part of their employment arrangements, paid for by either the worker or the business entity.</w:t>
      </w:r>
    </w:p>
    <w:p w14:paraId="52E4163D" w14:textId="7DB4BCE2" w:rsidR="00C91BE7" w:rsidRPr="008D3FCA" w:rsidRDefault="00C91BE7" w:rsidP="00C91BE7">
      <w:pPr>
        <w:pStyle w:val="ListNumber"/>
        <w:numPr>
          <w:ilvl w:val="0"/>
          <w:numId w:val="19"/>
        </w:numPr>
        <w:rPr>
          <w:b/>
          <w:bCs/>
          <w:szCs w:val="22"/>
        </w:rPr>
      </w:pPr>
      <w:r w:rsidRPr="00E23BC2">
        <w:rPr>
          <w:szCs w:val="22"/>
        </w:rPr>
        <w:t xml:space="preserve">Personal injury insurance is a form of insurance that pays a financial benefit if </w:t>
      </w:r>
      <w:r>
        <w:rPr>
          <w:szCs w:val="22"/>
        </w:rPr>
        <w:t xml:space="preserve">a person </w:t>
      </w:r>
      <w:r w:rsidRPr="00E23BC2">
        <w:rPr>
          <w:szCs w:val="22"/>
        </w:rPr>
        <w:t xml:space="preserve"> </w:t>
      </w:r>
      <w:r>
        <w:rPr>
          <w:szCs w:val="22"/>
        </w:rPr>
        <w:t>is</w:t>
      </w:r>
      <w:r w:rsidRPr="00E23BC2">
        <w:rPr>
          <w:szCs w:val="22"/>
        </w:rPr>
        <w:t xml:space="preserve"> injured in </w:t>
      </w:r>
      <w:r w:rsidR="00077DE9">
        <w:rPr>
          <w:szCs w:val="22"/>
        </w:rPr>
        <w:t xml:space="preserve">an </w:t>
      </w:r>
      <w:r w:rsidRPr="00E23BC2">
        <w:rPr>
          <w:szCs w:val="22"/>
        </w:rPr>
        <w:t>accident. This type of insurance may provide a lump sum payment or a monthly payment to replace income while recovering from the injury. It does not provide rehabilitation expenses or assistance with return to work</w:t>
      </w:r>
      <w:r w:rsidR="00EE013D">
        <w:rPr>
          <w:szCs w:val="22"/>
        </w:rPr>
        <w:t>. Personal injury insurance</w:t>
      </w:r>
      <w:r w:rsidRPr="00E23BC2">
        <w:rPr>
          <w:szCs w:val="22"/>
        </w:rPr>
        <w:t xml:space="preserve"> is </w:t>
      </w:r>
      <w:r>
        <w:rPr>
          <w:szCs w:val="22"/>
        </w:rPr>
        <w:t xml:space="preserve">generally </w:t>
      </w:r>
      <w:r w:rsidRPr="00E23BC2">
        <w:rPr>
          <w:szCs w:val="22"/>
        </w:rPr>
        <w:t>for a shorter time frame than income protection</w:t>
      </w:r>
      <w:r w:rsidR="00EE013D">
        <w:rPr>
          <w:szCs w:val="22"/>
        </w:rPr>
        <w:t>,</w:t>
      </w:r>
      <w:r w:rsidRPr="00E23BC2">
        <w:rPr>
          <w:szCs w:val="22"/>
        </w:rPr>
        <w:t xml:space="preserve"> which </w:t>
      </w:r>
      <w:r>
        <w:rPr>
          <w:szCs w:val="22"/>
        </w:rPr>
        <w:t>can be</w:t>
      </w:r>
      <w:r w:rsidRPr="00E23BC2">
        <w:rPr>
          <w:szCs w:val="22"/>
        </w:rPr>
        <w:t xml:space="preserve"> up to age 65.</w:t>
      </w:r>
    </w:p>
    <w:p w14:paraId="1335FA47" w14:textId="77777777" w:rsidR="00C91BE7" w:rsidRPr="00917E46" w:rsidRDefault="00C91BE7" w:rsidP="00C91BE7">
      <w:pPr>
        <w:pStyle w:val="ListNumber"/>
        <w:numPr>
          <w:ilvl w:val="0"/>
          <w:numId w:val="19"/>
        </w:numPr>
        <w:rPr>
          <w:b/>
          <w:bCs/>
          <w:szCs w:val="22"/>
        </w:rPr>
      </w:pPr>
      <w:r>
        <w:rPr>
          <w:szCs w:val="22"/>
        </w:rPr>
        <w:t xml:space="preserve">Alternative insurance arrangements for workers, involve costs that must be borne by the worker either directly or in some cases indirectly (passed on by the business entity). Personal injury insurance arrangements do not </w:t>
      </w:r>
      <w:proofErr w:type="spellStart"/>
      <w:r>
        <w:rPr>
          <w:szCs w:val="22"/>
        </w:rPr>
        <w:t>incentivse</w:t>
      </w:r>
      <w:proofErr w:type="spellEnd"/>
      <w:r>
        <w:rPr>
          <w:szCs w:val="22"/>
        </w:rPr>
        <w:t xml:space="preserve"> employers to ensure good work health and safety practice in the same manner as workers’ compensation insurance, which involves an increase in premiums for businesses if they have an increase in workers’ compensation claims. </w:t>
      </w:r>
    </w:p>
    <w:p w14:paraId="3597E81B" w14:textId="4E0ECCB3" w:rsidR="00C91BE7" w:rsidRPr="00C91BE7" w:rsidRDefault="00077DE9" w:rsidP="00C91BE7">
      <w:pPr>
        <w:pStyle w:val="ListNumber"/>
        <w:numPr>
          <w:ilvl w:val="0"/>
          <w:numId w:val="19"/>
        </w:numPr>
        <w:rPr>
          <w:b/>
          <w:bCs/>
          <w:szCs w:val="22"/>
        </w:rPr>
      </w:pPr>
      <w:r>
        <w:rPr>
          <w:szCs w:val="22"/>
        </w:rPr>
        <w:t>Further, a</w:t>
      </w:r>
      <w:r w:rsidR="00C91BE7">
        <w:rPr>
          <w:szCs w:val="22"/>
        </w:rPr>
        <w:t xml:space="preserve">lternative insurance arrangements also offer limited assistance </w:t>
      </w:r>
      <w:r w:rsidR="00EE013D">
        <w:rPr>
          <w:szCs w:val="22"/>
        </w:rPr>
        <w:t xml:space="preserve">for an injured worker </w:t>
      </w:r>
      <w:r w:rsidR="00C91BE7">
        <w:rPr>
          <w:szCs w:val="22"/>
        </w:rPr>
        <w:t>with rehabilitation and return to work in comparison to workers’ compensation insurance</w:t>
      </w:r>
      <w:r w:rsidR="00EE013D">
        <w:rPr>
          <w:szCs w:val="22"/>
        </w:rPr>
        <w:t>.</w:t>
      </w:r>
      <w:r w:rsidR="004D11A0">
        <w:rPr>
          <w:szCs w:val="22"/>
        </w:rPr>
        <w:t xml:space="preserve"> </w:t>
      </w:r>
      <w:proofErr w:type="gramStart"/>
      <w:r w:rsidR="004D11A0">
        <w:rPr>
          <w:szCs w:val="22"/>
        </w:rPr>
        <w:t>Additionally</w:t>
      </w:r>
      <w:proofErr w:type="gramEnd"/>
      <w:r w:rsidR="004D11A0">
        <w:rPr>
          <w:szCs w:val="22"/>
        </w:rPr>
        <w:t xml:space="preserve"> these arrangement generally have not been developed</w:t>
      </w:r>
      <w:r w:rsidR="00B61347">
        <w:rPr>
          <w:szCs w:val="22"/>
        </w:rPr>
        <w:t xml:space="preserve"> </w:t>
      </w:r>
      <w:r w:rsidR="004D11A0">
        <w:rPr>
          <w:szCs w:val="22"/>
        </w:rPr>
        <w:t>for</w:t>
      </w:r>
      <w:r w:rsidR="00B61347">
        <w:rPr>
          <w:szCs w:val="22"/>
        </w:rPr>
        <w:t xml:space="preserve"> emerging </w:t>
      </w:r>
      <w:proofErr w:type="spellStart"/>
      <w:r w:rsidR="00161EE0">
        <w:rPr>
          <w:szCs w:val="22"/>
        </w:rPr>
        <w:t>labor</w:t>
      </w:r>
      <w:proofErr w:type="spellEnd"/>
      <w:r w:rsidR="00161EE0">
        <w:rPr>
          <w:szCs w:val="22"/>
        </w:rPr>
        <w:t xml:space="preserve"> markets</w:t>
      </w:r>
      <w:r w:rsidR="00BB2576">
        <w:rPr>
          <w:szCs w:val="22"/>
        </w:rPr>
        <w:t>, casual workers</w:t>
      </w:r>
      <w:r w:rsidR="004D11A0">
        <w:rPr>
          <w:szCs w:val="22"/>
        </w:rPr>
        <w:t xml:space="preserve"> </w:t>
      </w:r>
      <w:r w:rsidR="000F6E87">
        <w:rPr>
          <w:szCs w:val="22"/>
        </w:rPr>
        <w:t xml:space="preserve">or </w:t>
      </w:r>
      <w:r w:rsidR="00BB2576">
        <w:rPr>
          <w:szCs w:val="22"/>
        </w:rPr>
        <w:t>s</w:t>
      </w:r>
      <w:r w:rsidR="00AA6A87">
        <w:rPr>
          <w:szCs w:val="22"/>
        </w:rPr>
        <w:t>ole traders</w:t>
      </w:r>
      <w:r w:rsidR="00BB2576">
        <w:rPr>
          <w:szCs w:val="22"/>
        </w:rPr>
        <w:t xml:space="preserve"> </w:t>
      </w:r>
      <w:r w:rsidR="004D11A0">
        <w:rPr>
          <w:szCs w:val="22"/>
        </w:rPr>
        <w:t xml:space="preserve">and </w:t>
      </w:r>
      <w:r>
        <w:rPr>
          <w:szCs w:val="22"/>
        </w:rPr>
        <w:t xml:space="preserve">are often </w:t>
      </w:r>
      <w:r w:rsidR="004D11A0">
        <w:rPr>
          <w:szCs w:val="22"/>
        </w:rPr>
        <w:t xml:space="preserve">cost prohibitive for low income earners.  </w:t>
      </w:r>
    </w:p>
    <w:p w14:paraId="505744F5" w14:textId="77777777" w:rsidR="002F7F23" w:rsidRDefault="002F7F23">
      <w:pPr>
        <w:spacing w:before="0" w:after="200" w:line="276" w:lineRule="auto"/>
        <w:rPr>
          <w:rFonts w:eastAsiaTheme="majorEastAsia" w:cstheme="majorBidi"/>
          <w:iCs/>
          <w:sz w:val="40"/>
          <w:szCs w:val="40"/>
        </w:rPr>
      </w:pPr>
      <w:r>
        <w:br w:type="page"/>
      </w:r>
    </w:p>
    <w:p w14:paraId="38495F81" w14:textId="127C9470" w:rsidR="009C5768" w:rsidRDefault="009C5768" w:rsidP="009C5768">
      <w:pPr>
        <w:pStyle w:val="Heading2alt"/>
      </w:pPr>
      <w:bookmarkStart w:id="12" w:name="_Toc87027300"/>
      <w:r>
        <w:lastRenderedPageBreak/>
        <w:t>Are coverage arrangements still fit for purpose?</w:t>
      </w:r>
      <w:bookmarkEnd w:id="12"/>
    </w:p>
    <w:p w14:paraId="7DD7AA65" w14:textId="52CDE1B0" w:rsidR="00E340A2" w:rsidRDefault="00FF744C" w:rsidP="00BD39AF">
      <w:pPr>
        <w:pStyle w:val="Heading3"/>
      </w:pPr>
      <w:r>
        <w:t xml:space="preserve">The changing nature of work </w:t>
      </w:r>
    </w:p>
    <w:p w14:paraId="26A6DF25" w14:textId="74DBA52E" w:rsidR="003236BD" w:rsidRPr="003236BD" w:rsidRDefault="003236BD" w:rsidP="000D528B">
      <w:pPr>
        <w:pStyle w:val="ListNumber"/>
        <w:numPr>
          <w:ilvl w:val="0"/>
          <w:numId w:val="19"/>
        </w:numPr>
        <w:rPr>
          <w:rFonts w:cstheme="minorHAnsi"/>
          <w:bCs/>
          <w:szCs w:val="22"/>
        </w:rPr>
      </w:pPr>
      <w:r w:rsidRPr="00F46B96">
        <w:rPr>
          <w:szCs w:val="22"/>
        </w:rPr>
        <w:t>Traditional</w:t>
      </w:r>
      <w:r w:rsidRPr="003236BD">
        <w:rPr>
          <w:rFonts w:cstheme="minorHAnsi"/>
          <w:bCs/>
          <w:szCs w:val="22"/>
        </w:rPr>
        <w:t xml:space="preserve"> models for work arrangements have changed, work is no longer geographically bounded in the way it once was as </w:t>
      </w:r>
      <w:proofErr w:type="spellStart"/>
      <w:r w:rsidRPr="003236BD">
        <w:rPr>
          <w:rFonts w:cstheme="minorHAnsi"/>
          <w:bCs/>
          <w:szCs w:val="22"/>
        </w:rPr>
        <w:t>notedfamously</w:t>
      </w:r>
      <w:proofErr w:type="spellEnd"/>
      <w:r w:rsidRPr="003236BD">
        <w:rPr>
          <w:rFonts w:cstheme="minorHAnsi"/>
          <w:bCs/>
          <w:szCs w:val="22"/>
        </w:rPr>
        <w:t xml:space="preserve"> by Harvey (1989:19) ‘workers are unavoidably place-based because ‘</w:t>
      </w:r>
      <w:proofErr w:type="spellStart"/>
      <w:r w:rsidRPr="003236BD">
        <w:rPr>
          <w:rFonts w:cstheme="minorHAnsi"/>
          <w:bCs/>
          <w:szCs w:val="22"/>
        </w:rPr>
        <w:t>labor</w:t>
      </w:r>
      <w:proofErr w:type="spellEnd"/>
      <w:r w:rsidRPr="003236BD">
        <w:rPr>
          <w:rFonts w:cstheme="minorHAnsi"/>
          <w:bCs/>
          <w:szCs w:val="22"/>
        </w:rPr>
        <w:t>-power has to go home every night.’</w:t>
      </w:r>
      <w:r>
        <w:rPr>
          <w:rStyle w:val="FootnoteReference"/>
          <w:rFonts w:cstheme="minorHAnsi"/>
          <w:bCs/>
          <w:szCs w:val="22"/>
        </w:rPr>
        <w:footnoteReference w:id="8"/>
      </w:r>
      <w:r w:rsidRPr="003236BD">
        <w:rPr>
          <w:rFonts w:cstheme="minorHAnsi"/>
          <w:bCs/>
          <w:szCs w:val="22"/>
        </w:rPr>
        <w:t xml:space="preserve">. </w:t>
      </w:r>
      <w:r w:rsidR="006D2792">
        <w:rPr>
          <w:rFonts w:cstheme="minorHAnsi"/>
          <w:bCs/>
          <w:szCs w:val="22"/>
        </w:rPr>
        <w:t>N</w:t>
      </w:r>
      <w:r w:rsidR="0039389C">
        <w:rPr>
          <w:rFonts w:cstheme="minorHAnsi"/>
          <w:bCs/>
          <w:szCs w:val="22"/>
        </w:rPr>
        <w:t>ew</w:t>
      </w:r>
      <w:r w:rsidR="006778F9">
        <w:rPr>
          <w:rFonts w:cstheme="minorHAnsi"/>
          <w:bCs/>
          <w:szCs w:val="22"/>
        </w:rPr>
        <w:t xml:space="preserve"> </w:t>
      </w:r>
      <w:r w:rsidR="006778F9" w:rsidRPr="00D00EBF">
        <w:rPr>
          <w:rFonts w:cs="Arial"/>
          <w:szCs w:val="22"/>
        </w:rPr>
        <w:t>and innov</w:t>
      </w:r>
      <w:r w:rsidR="006778F9" w:rsidRPr="00D02C9A">
        <w:rPr>
          <w:rFonts w:cs="Arial"/>
          <w:szCs w:val="22"/>
        </w:rPr>
        <w:t xml:space="preserve">ative business models </w:t>
      </w:r>
      <w:r w:rsidR="006778F9">
        <w:rPr>
          <w:rFonts w:cs="Arial"/>
          <w:szCs w:val="22"/>
        </w:rPr>
        <w:t xml:space="preserve">are able to </w:t>
      </w:r>
      <w:r w:rsidR="006778F9" w:rsidRPr="00D02C9A">
        <w:rPr>
          <w:rFonts w:cs="Arial"/>
          <w:szCs w:val="22"/>
        </w:rPr>
        <w:t>mobilis</w:t>
      </w:r>
      <w:r w:rsidR="006778F9">
        <w:rPr>
          <w:rFonts w:cs="Arial"/>
          <w:szCs w:val="22"/>
        </w:rPr>
        <w:t xml:space="preserve">e </w:t>
      </w:r>
      <w:r w:rsidR="006778F9" w:rsidRPr="00D02C9A">
        <w:rPr>
          <w:rFonts w:cs="Arial"/>
          <w:szCs w:val="22"/>
        </w:rPr>
        <w:t>th</w:t>
      </w:r>
      <w:r w:rsidR="006778F9">
        <w:rPr>
          <w:rFonts w:cs="Arial"/>
          <w:szCs w:val="22"/>
        </w:rPr>
        <w:t>e</w:t>
      </w:r>
      <w:r w:rsidR="006778F9" w:rsidRPr="00D02C9A">
        <w:rPr>
          <w:rFonts w:cs="Arial"/>
          <w:szCs w:val="22"/>
        </w:rPr>
        <w:t xml:space="preserve"> workforce through technology platforms</w:t>
      </w:r>
      <w:r w:rsidR="00BB0A41">
        <w:rPr>
          <w:rFonts w:cs="Arial"/>
          <w:szCs w:val="22"/>
        </w:rPr>
        <w:t xml:space="preserve">, such </w:t>
      </w:r>
      <w:r w:rsidR="0039389C">
        <w:rPr>
          <w:rFonts w:cstheme="minorHAnsi"/>
          <w:bCs/>
          <w:szCs w:val="22"/>
        </w:rPr>
        <w:t xml:space="preserve">as </w:t>
      </w:r>
      <w:r w:rsidR="006D2792">
        <w:rPr>
          <w:rFonts w:cstheme="minorHAnsi"/>
          <w:bCs/>
          <w:szCs w:val="22"/>
        </w:rPr>
        <w:t xml:space="preserve">the emergence of the </w:t>
      </w:r>
      <w:r w:rsidRPr="003236BD">
        <w:rPr>
          <w:rFonts w:cstheme="minorHAnsi"/>
          <w:bCs/>
          <w:szCs w:val="22"/>
        </w:rPr>
        <w:t>gig economy 10 years ago</w:t>
      </w:r>
      <w:r w:rsidR="00295CF5" w:rsidRPr="00D00EBF">
        <w:rPr>
          <w:rFonts w:cs="Arial"/>
          <w:szCs w:val="22"/>
        </w:rPr>
        <w:t>,</w:t>
      </w:r>
      <w:r w:rsidR="00295CF5" w:rsidRPr="007E5191">
        <w:rPr>
          <w:rStyle w:val="FootnoteReference"/>
          <w:rFonts w:cs="Arial"/>
          <w:szCs w:val="22"/>
        </w:rPr>
        <w:footnoteReference w:id="9"/>
      </w:r>
      <w:r w:rsidRPr="003236BD">
        <w:rPr>
          <w:rFonts w:cstheme="minorHAnsi"/>
          <w:bCs/>
          <w:szCs w:val="22"/>
        </w:rPr>
        <w:t xml:space="preserve"> Current workers’ compensation schemes based on the traditional model of employee and employer are going to become increasingly difficult to apply to future work arrangements.</w:t>
      </w:r>
    </w:p>
    <w:p w14:paraId="6D53B81D" w14:textId="04D66E9B" w:rsidR="00E35B02" w:rsidRPr="009225C8" w:rsidRDefault="00E35B02" w:rsidP="009225C8">
      <w:pPr>
        <w:pStyle w:val="Heading3"/>
      </w:pPr>
      <w:r>
        <w:t>Lack of certainty</w:t>
      </w:r>
    </w:p>
    <w:p w14:paraId="0EC215E7" w14:textId="02BBA830" w:rsidR="008A61F8" w:rsidRDefault="00E35B02" w:rsidP="00E35B02">
      <w:pPr>
        <w:pStyle w:val="ListNumber"/>
      </w:pPr>
      <w:r w:rsidRPr="0016356B">
        <w:t xml:space="preserve">Ambiguity around coverage may result in an injured worker </w:t>
      </w:r>
      <w:r w:rsidR="000601A3">
        <w:t xml:space="preserve">mistakenly </w:t>
      </w:r>
      <w:r w:rsidRPr="0016356B">
        <w:t>having no form of safety net if they are injured</w:t>
      </w:r>
      <w:r w:rsidR="000601A3">
        <w:t>, bearing the full expense of their treatment and recovery, without supplementary income. Inversely,</w:t>
      </w:r>
      <w:r w:rsidRPr="0016356B">
        <w:t xml:space="preserve"> businesses may incur </w:t>
      </w:r>
      <w:r w:rsidR="000601A3">
        <w:t xml:space="preserve">a regulatory response and </w:t>
      </w:r>
      <w:r w:rsidRPr="0016356B">
        <w:t>increase in expenses for the cost of injured workers that are found to be covered by workers’ compensation schemes</w:t>
      </w:r>
      <w:r w:rsidR="0009496B">
        <w:t xml:space="preserve"> unexpectedly</w:t>
      </w:r>
      <w:r w:rsidRPr="0016356B">
        <w:t>.</w:t>
      </w:r>
    </w:p>
    <w:p w14:paraId="6CCF85CF" w14:textId="6BF9C00F" w:rsidR="00E35B02" w:rsidRDefault="00E35B02" w:rsidP="00E35B02">
      <w:pPr>
        <w:pStyle w:val="ListNumber"/>
      </w:pPr>
      <w:r w:rsidRPr="004538B4">
        <w:t>Lack of certainty, while likely to cause the most significant impact for injured workers’</w:t>
      </w:r>
      <w:r w:rsidR="0009496B">
        <w:t xml:space="preserve"> and employers</w:t>
      </w:r>
      <w:r w:rsidR="00CF320B">
        <w:t>,</w:t>
      </w:r>
      <w:r w:rsidRPr="004538B4">
        <w:t xml:space="preserve"> may also create challenges for insurers and regu</w:t>
      </w:r>
      <w:r>
        <w:t>l</w:t>
      </w:r>
      <w:r w:rsidRPr="004538B4">
        <w:t>ators. It increases the administrative burden through more time spent determining claims on a case by case basis. It also increases the costs associated with re</w:t>
      </w:r>
      <w:r w:rsidR="00CF320B" w:rsidRPr="004538B4">
        <w:t>c</w:t>
      </w:r>
      <w:r w:rsidR="00CF320B">
        <w:t>overy</w:t>
      </w:r>
      <w:r w:rsidR="00CF320B" w:rsidRPr="004538B4">
        <w:t xml:space="preserve"> </w:t>
      </w:r>
      <w:r w:rsidRPr="004538B4">
        <w:t xml:space="preserve">of insurance costs from employers without insurance for eligible injured workers. </w:t>
      </w:r>
    </w:p>
    <w:p w14:paraId="03E95CF5" w14:textId="7EADFB8E" w:rsidR="00E35B02" w:rsidRPr="00E35B02" w:rsidRDefault="00E35B02" w:rsidP="00796C14">
      <w:pPr>
        <w:pStyle w:val="Heading3"/>
      </w:pPr>
      <w:r>
        <w:t xml:space="preserve">Inconsistent entitlements  </w:t>
      </w:r>
    </w:p>
    <w:p w14:paraId="09506633" w14:textId="213B2BD9" w:rsidR="00E35B02" w:rsidRPr="00E35B02" w:rsidRDefault="00E35B02" w:rsidP="00D5165E">
      <w:pPr>
        <w:pStyle w:val="ListNumber"/>
        <w:rPr>
          <w:rFonts w:cstheme="minorHAnsi"/>
          <w:szCs w:val="22"/>
        </w:rPr>
      </w:pPr>
      <w:r>
        <w:t xml:space="preserve">Inconsistent </w:t>
      </w:r>
      <w:r w:rsidRPr="00497D7A">
        <w:t xml:space="preserve">coverage of </w:t>
      </w:r>
      <w:proofErr w:type="gramStart"/>
      <w:r w:rsidRPr="00497D7A">
        <w:t>workers’</w:t>
      </w:r>
      <w:proofErr w:type="gramEnd"/>
      <w:r w:rsidRPr="00497D7A">
        <w:t xml:space="preserve"> across workers’ compensation schemes in Australia create</w:t>
      </w:r>
      <w:r>
        <w:t>s</w:t>
      </w:r>
      <w:r w:rsidRPr="00497D7A">
        <w:t xml:space="preserve"> particular difficulties for workers’ undertaking work across multiple jurisdictions.</w:t>
      </w:r>
      <w:r>
        <w:t xml:space="preserve"> Despite, cross-border coverage arrangements designed to </w:t>
      </w:r>
      <w:r w:rsidRPr="00497D7A">
        <w:t xml:space="preserve"> determine coverage for a particular injury or illness</w:t>
      </w:r>
      <w:r>
        <w:t>, it creates added complexity and administrative burden for injured workers navigating the workers’ compensation system.</w:t>
      </w:r>
      <w:r>
        <w:rPr>
          <w:rStyle w:val="FootnoteReference"/>
          <w:rFonts w:cstheme="minorHAnsi"/>
          <w:szCs w:val="22"/>
        </w:rPr>
        <w:footnoteReference w:id="10"/>
      </w:r>
    </w:p>
    <w:p w14:paraId="37EFF923" w14:textId="0E19F1E6" w:rsidR="00E35B02" w:rsidRPr="00E35B02" w:rsidRDefault="00E35B02" w:rsidP="00E35B02">
      <w:pPr>
        <w:pStyle w:val="ListNumber"/>
        <w:rPr>
          <w:rFonts w:cstheme="minorHAnsi"/>
          <w:szCs w:val="22"/>
        </w:rPr>
      </w:pPr>
      <w:r>
        <w:rPr>
          <w:rFonts w:cstheme="minorHAnsi"/>
          <w:szCs w:val="22"/>
        </w:rPr>
        <w:t xml:space="preserve">Comcare </w:t>
      </w:r>
      <w:r w:rsidRPr="00D00EBF">
        <w:rPr>
          <w:rFonts w:cstheme="minorHAnsi"/>
          <w:szCs w:val="22"/>
        </w:rPr>
        <w:t xml:space="preserve">is currently the </w:t>
      </w:r>
      <w:r w:rsidRPr="00D02C9A">
        <w:rPr>
          <w:rFonts w:cstheme="minorHAnsi"/>
          <w:szCs w:val="22"/>
        </w:rPr>
        <w:t xml:space="preserve">only workers’ compensation scheme which may enable workers’ compensation coverage nationwide to eligible companies through self-insurance. Eligibility is at the discretion of the </w:t>
      </w:r>
      <w:r w:rsidR="00C02446">
        <w:rPr>
          <w:rFonts w:cstheme="minorHAnsi"/>
          <w:szCs w:val="22"/>
        </w:rPr>
        <w:t xml:space="preserve">Minister for </w:t>
      </w:r>
      <w:r w:rsidRPr="00D02C9A">
        <w:rPr>
          <w:rFonts w:cstheme="minorHAnsi"/>
          <w:szCs w:val="22"/>
        </w:rPr>
        <w:t xml:space="preserve">Industrial Relations  and to be eligible the company must be in competition with a current or former </w:t>
      </w:r>
      <w:r>
        <w:rPr>
          <w:rFonts w:cstheme="minorHAnsi"/>
          <w:szCs w:val="22"/>
        </w:rPr>
        <w:t>C</w:t>
      </w:r>
      <w:r w:rsidRPr="00D02C9A">
        <w:rPr>
          <w:rFonts w:cstheme="minorHAnsi"/>
          <w:szCs w:val="22"/>
        </w:rPr>
        <w:t>ommonwealth entity.</w:t>
      </w:r>
      <w:r>
        <w:rPr>
          <w:rStyle w:val="FootnoteReference"/>
          <w:rFonts w:cstheme="minorHAnsi"/>
          <w:szCs w:val="22"/>
        </w:rPr>
        <w:footnoteReference w:id="11"/>
      </w:r>
      <w:r w:rsidRPr="00622FEB">
        <w:rPr>
          <w:rFonts w:cstheme="minorHAnsi"/>
          <w:szCs w:val="22"/>
        </w:rPr>
        <w:t xml:space="preserve"> </w:t>
      </w:r>
    </w:p>
    <w:p w14:paraId="6C6D6AF2" w14:textId="19BD6957" w:rsidR="00E35B02" w:rsidRPr="00521D2F" w:rsidRDefault="00E35B02" w:rsidP="00E35B02">
      <w:pPr>
        <w:pStyle w:val="ListNumber"/>
        <w:rPr>
          <w:rFonts w:cstheme="minorHAnsi"/>
          <w:bCs/>
          <w:szCs w:val="22"/>
        </w:rPr>
      </w:pPr>
      <w:r w:rsidRPr="00D02C9A">
        <w:rPr>
          <w:rFonts w:cstheme="minorHAnsi"/>
          <w:bCs/>
          <w:szCs w:val="22"/>
        </w:rPr>
        <w:t>Greater consistency and clarification of coverage for workers across all workers’ compensation jurisdictions, would assist</w:t>
      </w:r>
      <w:r w:rsidRPr="00694D68">
        <w:rPr>
          <w:rFonts w:cstheme="minorHAnsi"/>
          <w:bCs/>
          <w:szCs w:val="22"/>
        </w:rPr>
        <w:t xml:space="preserve"> those</w:t>
      </w:r>
      <w:r w:rsidRPr="002228FC">
        <w:rPr>
          <w:rFonts w:cstheme="minorHAnsi"/>
          <w:bCs/>
          <w:szCs w:val="22"/>
        </w:rPr>
        <w:t xml:space="preserve"> that work across multiple jurisdictions simplifying existing cross-jurisdictional arrangements. </w:t>
      </w:r>
      <w:r w:rsidR="00AF7337">
        <w:rPr>
          <w:rFonts w:cstheme="minorHAnsi"/>
          <w:bCs/>
          <w:szCs w:val="22"/>
        </w:rPr>
        <w:t xml:space="preserve"> </w:t>
      </w:r>
      <w:r w:rsidRPr="00A52011">
        <w:rPr>
          <w:rFonts w:cstheme="minorHAnsi"/>
          <w:bCs/>
          <w:szCs w:val="22"/>
        </w:rPr>
        <w:t xml:space="preserve"> </w:t>
      </w:r>
    </w:p>
    <w:p w14:paraId="2EC83F45" w14:textId="77777777" w:rsidR="00B44ED7" w:rsidRDefault="00B44ED7">
      <w:pPr>
        <w:spacing w:before="0" w:after="200" w:line="276" w:lineRule="auto"/>
        <w:rPr>
          <w:rFonts w:ascii="Arial Bold" w:hAnsi="Arial Bold"/>
          <w:b/>
          <w:bCs/>
          <w:color w:val="E81D32"/>
          <w:sz w:val="24"/>
          <w:szCs w:val="24"/>
        </w:rPr>
      </w:pPr>
      <w:r>
        <w:br w:type="page"/>
      </w:r>
    </w:p>
    <w:p w14:paraId="34B132B0" w14:textId="1041D7E8" w:rsidR="00117872" w:rsidRDefault="00117872" w:rsidP="00117872">
      <w:pPr>
        <w:pStyle w:val="Heading3"/>
      </w:pPr>
      <w:r>
        <w:lastRenderedPageBreak/>
        <w:t xml:space="preserve">Case Study </w:t>
      </w:r>
      <w:r w:rsidR="00DE7A51">
        <w:t xml:space="preserve">1 </w:t>
      </w:r>
      <w:r>
        <w:t xml:space="preserve">– The Gig Economy </w:t>
      </w:r>
    </w:p>
    <w:p w14:paraId="1C4A03FB" w14:textId="77777777" w:rsidR="00A250D3" w:rsidRDefault="00A250D3" w:rsidP="00C116E8">
      <w:pPr>
        <w:pStyle w:val="ListNumber"/>
        <w:numPr>
          <w:ilvl w:val="0"/>
          <w:numId w:val="19"/>
        </w:numPr>
      </w:pPr>
      <w:r w:rsidRPr="00A250D3">
        <w:rPr>
          <w:szCs w:val="22"/>
        </w:rPr>
        <w:t xml:space="preserve">One significant disrupter of the modern workforce is the gig economy. The </w:t>
      </w:r>
      <w:r w:rsidRPr="00A250D3">
        <w:rPr>
          <w:i/>
          <w:iCs/>
          <w:szCs w:val="22"/>
        </w:rPr>
        <w:t>gig economy</w:t>
      </w:r>
      <w:r w:rsidRPr="00A250D3">
        <w:rPr>
          <w:szCs w:val="22"/>
        </w:rPr>
        <w:t xml:space="preserve"> commonly refers to a digital platform that connects individuals or businesses to undertake a short-term service or provide a product to the consumer. The mobile application or web-based application is developed and managed by an organisation, generally referred to as the platform. </w:t>
      </w:r>
    </w:p>
    <w:p w14:paraId="5E8782C8" w14:textId="036151D3" w:rsidR="00A250D3" w:rsidRDefault="00A250D3" w:rsidP="00A250D3">
      <w:pPr>
        <w:pStyle w:val="ListNumber"/>
        <w:numPr>
          <w:ilvl w:val="0"/>
          <w:numId w:val="19"/>
        </w:numPr>
        <w:rPr>
          <w:rFonts w:cstheme="minorHAnsi"/>
          <w:szCs w:val="22"/>
        </w:rPr>
      </w:pPr>
      <w:r w:rsidRPr="00A250D3">
        <w:rPr>
          <w:rFonts w:cstheme="minorHAnsi"/>
          <w:szCs w:val="22"/>
        </w:rPr>
        <w:t>It is estimated that there are over 100 platforms operating within Australia that include ride sharing, food delivery, odd jobs, one-off domestic tasks,  care services, professional services like web design, graphic design, coding, photography, translation and clerical or administrative work.</w:t>
      </w:r>
      <w:r>
        <w:rPr>
          <w:rStyle w:val="FootnoteReference"/>
          <w:rFonts w:cstheme="minorHAnsi"/>
          <w:szCs w:val="22"/>
        </w:rPr>
        <w:footnoteReference w:id="12"/>
      </w:r>
    </w:p>
    <w:p w14:paraId="478CCC51" w14:textId="2070E3CF" w:rsidR="007A0E71" w:rsidRPr="00A250D3" w:rsidRDefault="007A0E71" w:rsidP="00C116E8">
      <w:pPr>
        <w:pStyle w:val="ListNumber"/>
        <w:numPr>
          <w:ilvl w:val="0"/>
          <w:numId w:val="19"/>
        </w:numPr>
        <w:rPr>
          <w:rFonts w:cstheme="minorHAnsi"/>
          <w:szCs w:val="22"/>
        </w:rPr>
      </w:pPr>
      <w:r w:rsidRPr="00A250D3">
        <w:rPr>
          <w:rFonts w:cstheme="minorHAnsi"/>
          <w:szCs w:val="22"/>
        </w:rPr>
        <w:t xml:space="preserve">Uber (private transport), Deliveroo (meal delivery) and </w:t>
      </w:r>
      <w:proofErr w:type="spellStart"/>
      <w:r w:rsidRPr="00A250D3">
        <w:rPr>
          <w:rFonts w:cstheme="minorHAnsi"/>
          <w:szCs w:val="22"/>
        </w:rPr>
        <w:t>Airtasker</w:t>
      </w:r>
      <w:proofErr w:type="spellEnd"/>
      <w:r w:rsidRPr="00A250D3">
        <w:rPr>
          <w:rFonts w:cstheme="minorHAnsi"/>
          <w:szCs w:val="22"/>
        </w:rPr>
        <w:t xml:space="preserve"> (task- based services) are examples of prominent and widely utilised digital platforms in Australia. </w:t>
      </w:r>
      <w:r w:rsidRPr="00A250D3">
        <w:rPr>
          <w:szCs w:val="22"/>
        </w:rPr>
        <w:t xml:space="preserve">It is estimated that there may be as many as 250,000 gig economy workers with </w:t>
      </w:r>
      <w:r w:rsidRPr="00A250D3">
        <w:rPr>
          <w:rFonts w:cstheme="minorHAnsi"/>
          <w:szCs w:val="22"/>
        </w:rPr>
        <w:t>consumer spending in the gig economy increasing by 40% since May 2020 with meal delivery services being 70% higher than pre COVID-19 lockdown levels in June 2020.</w:t>
      </w:r>
      <w:r>
        <w:rPr>
          <w:rStyle w:val="FootnoteReference"/>
          <w:rFonts w:cstheme="minorHAnsi"/>
          <w:szCs w:val="22"/>
        </w:rPr>
        <w:footnoteReference w:id="13"/>
      </w:r>
    </w:p>
    <w:p w14:paraId="0CF250E6" w14:textId="0E9E659D" w:rsidR="00117872" w:rsidRPr="00117872" w:rsidRDefault="00117872" w:rsidP="00C116E8">
      <w:pPr>
        <w:pStyle w:val="ListNumber"/>
        <w:numPr>
          <w:ilvl w:val="0"/>
          <w:numId w:val="19"/>
        </w:numPr>
        <w:rPr>
          <w:rFonts w:eastAsiaTheme="majorEastAsia"/>
        </w:rPr>
      </w:pPr>
      <w:r w:rsidRPr="00F46B96">
        <w:rPr>
          <w:rFonts w:cstheme="minorHAnsi"/>
          <w:szCs w:val="22"/>
        </w:rPr>
        <w:t>Workers</w:t>
      </w:r>
      <w:r>
        <w:t xml:space="preserve"> in t</w:t>
      </w:r>
      <w:r w:rsidRPr="00CC0420">
        <w:t xml:space="preserve">he gig economy </w:t>
      </w:r>
      <w:r>
        <w:t xml:space="preserve">are </w:t>
      </w:r>
      <w:r w:rsidRPr="00CC0420">
        <w:t>predominantly</w:t>
      </w:r>
      <w:r w:rsidRPr="00BD39AF">
        <w:t xml:space="preserve"> young workers, students and migrants.</w:t>
      </w:r>
      <w:r>
        <w:rPr>
          <w:rStyle w:val="FootnoteReference"/>
        </w:rPr>
        <w:footnoteReference w:id="14"/>
      </w:r>
      <w:r w:rsidRPr="00BD39AF">
        <w:t xml:space="preserve"> </w:t>
      </w:r>
      <w:r w:rsidRPr="00117872">
        <w:rPr>
          <w:rStyle w:val="Strong"/>
          <w:rFonts w:eastAsiaTheme="majorEastAsia"/>
          <w:b w:val="0"/>
          <w:bCs w:val="0"/>
        </w:rPr>
        <w:t xml:space="preserve">Work within the gig economy offers flexibility and convenience allowing for work to be balanced with personal commitments such as study, family responsibilities or hobbies. There are a wide variety of services which are undertaken as part of the gig economy such as ride sharing, delivery services and personal services which may include professional services like graphic design and web development. </w:t>
      </w:r>
    </w:p>
    <w:p w14:paraId="47163B8E" w14:textId="77777777" w:rsidR="00117872" w:rsidRPr="001932CF" w:rsidRDefault="00117872" w:rsidP="00117872">
      <w:pPr>
        <w:pStyle w:val="ListNumber"/>
      </w:pPr>
      <w:r w:rsidRPr="00BD39AF">
        <w:t xml:space="preserve">There is a diverse range of reasons that workers choose to work in the gig economy, such as to supplement main sources of income, a form of short term employment </w:t>
      </w:r>
      <w:proofErr w:type="spellStart"/>
      <w:r w:rsidRPr="00BD39AF">
        <w:t>inbetween</w:t>
      </w:r>
      <w:proofErr w:type="spellEnd"/>
      <w:r w:rsidRPr="00BD39AF">
        <w:t xml:space="preserve"> jobs or careers, transition into retirement or as a primary occupation.</w:t>
      </w:r>
      <w:r w:rsidRPr="00BD39AF">
        <w:rPr>
          <w:rStyle w:val="FootnoteReference"/>
        </w:rPr>
        <w:footnoteReference w:id="15"/>
      </w:r>
      <w:r w:rsidRPr="00BD39AF">
        <w:rPr>
          <w:rStyle w:val="Strong"/>
          <w:rFonts w:eastAsiaTheme="majorEastAsia"/>
          <w:b w:val="0"/>
          <w:bCs w:val="0"/>
        </w:rPr>
        <w:t xml:space="preserve"> As </w:t>
      </w:r>
      <w:r w:rsidRPr="00BD39AF">
        <w:rPr>
          <w:rFonts w:eastAsiaTheme="majorEastAsia"/>
        </w:rPr>
        <w:t>noted by Uber</w:t>
      </w:r>
      <w:r>
        <w:rPr>
          <w:rFonts w:eastAsiaTheme="majorEastAsia"/>
        </w:rPr>
        <w:t>,</w:t>
      </w:r>
      <w:r w:rsidRPr="00BD39AF">
        <w:rPr>
          <w:rFonts w:eastAsiaTheme="majorEastAsia"/>
        </w:rPr>
        <w:t xml:space="preserve"> independent platform work offers two key things that are unique compared to more traditional forms of work – </w:t>
      </w:r>
      <w:r>
        <w:rPr>
          <w:rFonts w:eastAsiaTheme="majorEastAsia"/>
        </w:rPr>
        <w:t>‘</w:t>
      </w:r>
      <w:r w:rsidRPr="00BD39AF">
        <w:rPr>
          <w:rFonts w:eastAsiaTheme="majorEastAsia"/>
        </w:rPr>
        <w:t>low barriers to earning income, and flexibility to fit work around one’s own schedule.’</w:t>
      </w:r>
      <w:r w:rsidRPr="00BD39AF">
        <w:rPr>
          <w:rFonts w:eastAsiaTheme="majorEastAsia"/>
          <w:vertAlign w:val="superscript"/>
        </w:rPr>
        <w:footnoteReference w:id="16"/>
      </w:r>
      <w:r w:rsidRPr="00BD39AF">
        <w:rPr>
          <w:vertAlign w:val="superscript"/>
        </w:rPr>
        <w:t xml:space="preserve"> </w:t>
      </w:r>
    </w:p>
    <w:p w14:paraId="3AF792AC" w14:textId="77777777" w:rsidR="00117872" w:rsidRDefault="00117872" w:rsidP="00117872">
      <w:pPr>
        <w:pStyle w:val="ListNumber"/>
        <w:rPr>
          <w:szCs w:val="22"/>
        </w:rPr>
      </w:pPr>
      <w:r>
        <w:rPr>
          <w:szCs w:val="22"/>
        </w:rPr>
        <w:t xml:space="preserve">It is not currently possible </w:t>
      </w:r>
      <w:r w:rsidRPr="00622FEB">
        <w:rPr>
          <w:szCs w:val="22"/>
        </w:rPr>
        <w:t xml:space="preserve">to quantify the size </w:t>
      </w:r>
      <w:r>
        <w:rPr>
          <w:szCs w:val="22"/>
        </w:rPr>
        <w:t xml:space="preserve">and scope </w:t>
      </w:r>
      <w:r w:rsidRPr="00622FEB">
        <w:rPr>
          <w:szCs w:val="22"/>
        </w:rPr>
        <w:t xml:space="preserve">of the gig economy </w:t>
      </w:r>
      <w:r>
        <w:rPr>
          <w:szCs w:val="22"/>
        </w:rPr>
        <w:t xml:space="preserve">which </w:t>
      </w:r>
      <w:r w:rsidRPr="00622FEB">
        <w:rPr>
          <w:szCs w:val="22"/>
        </w:rPr>
        <w:t>presents challenges for workers</w:t>
      </w:r>
      <w:r>
        <w:rPr>
          <w:szCs w:val="22"/>
        </w:rPr>
        <w:t>'</w:t>
      </w:r>
      <w:r w:rsidRPr="00622FEB">
        <w:rPr>
          <w:szCs w:val="22"/>
        </w:rPr>
        <w:t xml:space="preserve"> compensation schemes in identifying potential impact of changes to existing coverage arrangements. </w:t>
      </w:r>
      <w:r w:rsidRPr="00D02C9A">
        <w:rPr>
          <w:szCs w:val="22"/>
        </w:rPr>
        <w:t xml:space="preserve">Further data and </w:t>
      </w:r>
      <w:r w:rsidRPr="0003602B">
        <w:rPr>
          <w:szCs w:val="22"/>
        </w:rPr>
        <w:t xml:space="preserve">research </w:t>
      </w:r>
      <w:proofErr w:type="gramStart"/>
      <w:r>
        <w:rPr>
          <w:szCs w:val="22"/>
        </w:rPr>
        <w:t>is</w:t>
      </w:r>
      <w:proofErr w:type="gramEnd"/>
      <w:r>
        <w:rPr>
          <w:szCs w:val="22"/>
        </w:rPr>
        <w:t xml:space="preserve"> required</w:t>
      </w:r>
      <w:r w:rsidRPr="00DE3CFD">
        <w:rPr>
          <w:szCs w:val="22"/>
        </w:rPr>
        <w:t xml:space="preserve"> to accurately </w:t>
      </w:r>
      <w:r w:rsidRPr="00694D68">
        <w:rPr>
          <w:szCs w:val="22"/>
        </w:rPr>
        <w:t xml:space="preserve">quantify the size of </w:t>
      </w:r>
      <w:r w:rsidRPr="002228FC">
        <w:rPr>
          <w:szCs w:val="22"/>
        </w:rPr>
        <w:t>the gig economy workforce</w:t>
      </w:r>
      <w:r w:rsidRPr="00FD5D83">
        <w:rPr>
          <w:szCs w:val="22"/>
        </w:rPr>
        <w:t xml:space="preserve">. </w:t>
      </w:r>
    </w:p>
    <w:p w14:paraId="46C2B364" w14:textId="77777777" w:rsidR="00117872" w:rsidRPr="00AD068C" w:rsidRDefault="00117872" w:rsidP="00117872">
      <w:pPr>
        <w:pStyle w:val="ListNumber"/>
        <w:rPr>
          <w:szCs w:val="22"/>
        </w:rPr>
      </w:pPr>
      <w:r>
        <w:t>Safe Work Australia is working with the ABS to enhance the use of the Work-Related Injuries Survey to identify injuries to workers engaged in the gig economy. This engagement is focussed on using existing data to identify workers rather than utilising new survey questions. Safe Work Australia also collects detailed data on work related injury fatalities and in 2019 expanded its data collection to identify gig delivery drivers who were fatally injured at work.</w:t>
      </w:r>
    </w:p>
    <w:p w14:paraId="5ED8AC5B" w14:textId="77777777" w:rsidR="00925C66" w:rsidRDefault="00925C66" w:rsidP="00117872">
      <w:pPr>
        <w:pStyle w:val="ListNumber"/>
        <w:numPr>
          <w:ilvl w:val="0"/>
          <w:numId w:val="0"/>
        </w:numPr>
        <w:ind w:left="284"/>
        <w:rPr>
          <w:b/>
          <w:bCs/>
        </w:rPr>
      </w:pPr>
    </w:p>
    <w:p w14:paraId="3668D42D" w14:textId="730696EB" w:rsidR="00117872" w:rsidRPr="00FF4722" w:rsidRDefault="00117872" w:rsidP="00117872">
      <w:pPr>
        <w:pStyle w:val="ListNumber"/>
        <w:numPr>
          <w:ilvl w:val="0"/>
          <w:numId w:val="0"/>
        </w:numPr>
        <w:ind w:left="284"/>
        <w:rPr>
          <w:b/>
          <w:bCs/>
        </w:rPr>
      </w:pPr>
      <w:r w:rsidRPr="00FF4722">
        <w:rPr>
          <w:b/>
          <w:bCs/>
        </w:rPr>
        <w:t xml:space="preserve">Are gig workers covered by workers’ compensation? </w:t>
      </w:r>
    </w:p>
    <w:p w14:paraId="6EA09BCF" w14:textId="21470453" w:rsidR="00117872" w:rsidRDefault="00117872" w:rsidP="00117872">
      <w:pPr>
        <w:pStyle w:val="ListNumber"/>
        <w:rPr>
          <w:rFonts w:cstheme="minorHAnsi"/>
          <w:szCs w:val="22"/>
        </w:rPr>
      </w:pPr>
      <w:r>
        <w:rPr>
          <w:rFonts w:cstheme="minorHAnsi"/>
          <w:szCs w:val="22"/>
        </w:rPr>
        <w:t xml:space="preserve">If a gig worker is a worker or deemed worker within the meaning of a workers’ compensation scheme, they will be covered by that scheme. However, it is not always clear whether this is the case given the unique engagement arrangements that apply in the gig economy and ongoing </w:t>
      </w:r>
      <w:r w:rsidR="00F34FCD">
        <w:rPr>
          <w:rFonts w:cstheme="minorHAnsi"/>
          <w:szCs w:val="22"/>
        </w:rPr>
        <w:t>uncertainty</w:t>
      </w:r>
      <w:r>
        <w:rPr>
          <w:rFonts w:cstheme="minorHAnsi"/>
          <w:szCs w:val="22"/>
        </w:rPr>
        <w:t xml:space="preserve"> about the employment status of gig workers. </w:t>
      </w:r>
      <w:r w:rsidR="00F61072">
        <w:rPr>
          <w:rFonts w:cstheme="minorHAnsi"/>
          <w:szCs w:val="22"/>
        </w:rPr>
        <w:t xml:space="preserve">In light of this uncertainty, coverage is usually assessed on a </w:t>
      </w:r>
      <w:proofErr w:type="gramStart"/>
      <w:r w:rsidR="00F61072">
        <w:rPr>
          <w:rFonts w:cstheme="minorHAnsi"/>
          <w:szCs w:val="22"/>
        </w:rPr>
        <w:t>case by case</w:t>
      </w:r>
      <w:proofErr w:type="gramEnd"/>
      <w:r w:rsidR="00F61072">
        <w:rPr>
          <w:rFonts w:cstheme="minorHAnsi"/>
          <w:szCs w:val="22"/>
        </w:rPr>
        <w:t xml:space="preserve"> basis.</w:t>
      </w:r>
    </w:p>
    <w:p w14:paraId="22864FC2" w14:textId="77777777" w:rsidR="00117872" w:rsidRPr="00BD39AF" w:rsidRDefault="00117872" w:rsidP="00117872">
      <w:pPr>
        <w:pStyle w:val="ListNumber"/>
        <w:rPr>
          <w:rFonts w:cstheme="minorHAnsi"/>
          <w:szCs w:val="22"/>
        </w:rPr>
      </w:pPr>
      <w:r w:rsidRPr="00622FEB">
        <w:rPr>
          <w:rFonts w:cstheme="minorHAnsi"/>
          <w:szCs w:val="22"/>
        </w:rPr>
        <w:lastRenderedPageBreak/>
        <w:t>To date there has been limited case law within workers’ compensation jurisdictions in Australia addressing the issue of workers</w:t>
      </w:r>
      <w:r>
        <w:rPr>
          <w:rFonts w:cstheme="minorHAnsi"/>
          <w:szCs w:val="22"/>
        </w:rPr>
        <w:t>’</w:t>
      </w:r>
      <w:r w:rsidRPr="00622FEB">
        <w:rPr>
          <w:rFonts w:cstheme="minorHAnsi"/>
          <w:szCs w:val="22"/>
        </w:rPr>
        <w:t xml:space="preserve"> compensation coverage for gig workers.</w:t>
      </w:r>
      <w:r>
        <w:rPr>
          <w:rFonts w:cstheme="minorHAnsi"/>
          <w:szCs w:val="22"/>
        </w:rPr>
        <w:t xml:space="preserve"> However, these limited cases have highlighted</w:t>
      </w:r>
      <w:r w:rsidRPr="00622FEB">
        <w:rPr>
          <w:rFonts w:cstheme="minorHAnsi"/>
          <w:szCs w:val="22"/>
        </w:rPr>
        <w:t xml:space="preserve"> </w:t>
      </w:r>
      <w:r>
        <w:rPr>
          <w:rFonts w:cstheme="minorHAnsi"/>
          <w:szCs w:val="22"/>
        </w:rPr>
        <w:t xml:space="preserve">that </w:t>
      </w:r>
      <w:r w:rsidRPr="00E1479D">
        <w:rPr>
          <w:rFonts w:cstheme="minorHAnsi"/>
          <w:szCs w:val="22"/>
        </w:rPr>
        <w:t>employment arrangement</w:t>
      </w:r>
      <w:r>
        <w:rPr>
          <w:rFonts w:cstheme="minorHAnsi"/>
          <w:szCs w:val="22"/>
        </w:rPr>
        <w:t>s</w:t>
      </w:r>
      <w:r w:rsidRPr="00E1479D">
        <w:rPr>
          <w:rFonts w:cstheme="minorHAnsi"/>
          <w:szCs w:val="22"/>
        </w:rPr>
        <w:t xml:space="preserve"> </w:t>
      </w:r>
      <w:r>
        <w:rPr>
          <w:rFonts w:cstheme="minorHAnsi"/>
          <w:szCs w:val="22"/>
        </w:rPr>
        <w:t xml:space="preserve">such as those found in the gig economy </w:t>
      </w:r>
      <w:r w:rsidRPr="00E1479D">
        <w:rPr>
          <w:rFonts w:cstheme="minorHAnsi"/>
          <w:szCs w:val="22"/>
        </w:rPr>
        <w:t>w</w:t>
      </w:r>
      <w:r>
        <w:rPr>
          <w:rFonts w:cstheme="minorHAnsi"/>
          <w:szCs w:val="22"/>
        </w:rPr>
        <w:t>ere</w:t>
      </w:r>
      <w:r w:rsidRPr="00E1479D">
        <w:rPr>
          <w:rFonts w:cstheme="minorHAnsi"/>
          <w:szCs w:val="22"/>
        </w:rPr>
        <w:t xml:space="preserve"> not contemplated when workers’ compensation laws were enacted, creating challenges for schemes trying to determine whether a gig worker is covered. </w:t>
      </w:r>
    </w:p>
    <w:p w14:paraId="15AE8D30" w14:textId="77777777" w:rsidR="00117872" w:rsidRDefault="00117872" w:rsidP="00117872">
      <w:pPr>
        <w:pStyle w:val="ListNumber"/>
      </w:pPr>
      <w:r>
        <w:t>Similarly, recent decisions within the Fair Work Commission (FWC) acknowledge the difficulties in applying accepted legal definitions of independent contractor to gig workers and consideration of whether they should be more accurately described as employees.</w:t>
      </w:r>
    </w:p>
    <w:p w14:paraId="7B316074" w14:textId="2610284F" w:rsidR="00466BC8" w:rsidRDefault="005C011C" w:rsidP="00D636F3">
      <w:pPr>
        <w:pStyle w:val="Heading3"/>
      </w:pPr>
      <w:r>
        <w:t>Case study 2 – Agriculture Industry</w:t>
      </w:r>
      <w:r w:rsidR="004F7396">
        <w:t xml:space="preserve"> </w:t>
      </w:r>
      <w:r w:rsidR="006F5604">
        <w:t>(</w:t>
      </w:r>
      <w:r w:rsidR="004F7396">
        <w:t>Farming</w:t>
      </w:r>
      <w:r w:rsidR="006F5604">
        <w:t>)</w:t>
      </w:r>
    </w:p>
    <w:p w14:paraId="7D4D7FB3" w14:textId="58B36287" w:rsidR="00A60F66" w:rsidRDefault="00B667B1" w:rsidP="00B6629A">
      <w:pPr>
        <w:pStyle w:val="ListNumber"/>
      </w:pPr>
      <w:r>
        <w:t>The Agriculture industry includes dairy and grain farming along with the farming of sheep, cattle and fruit and viticulture, horticulture and forestry.</w:t>
      </w:r>
      <w:r w:rsidRPr="0090469B">
        <w:t xml:space="preserve"> </w:t>
      </w:r>
      <w:r>
        <w:t xml:space="preserve">The </w:t>
      </w:r>
      <w:r w:rsidR="00893313">
        <w:t xml:space="preserve">status </w:t>
      </w:r>
      <w:r w:rsidR="00A94D77">
        <w:t xml:space="preserve">of workers </w:t>
      </w:r>
      <w:r w:rsidR="00893313">
        <w:t xml:space="preserve">within the </w:t>
      </w:r>
      <w:r>
        <w:t xml:space="preserve">agriculture </w:t>
      </w:r>
      <w:r w:rsidR="00893313">
        <w:t xml:space="preserve">industry is </w:t>
      </w:r>
      <w:r w:rsidR="00AC6960">
        <w:t xml:space="preserve">somewhat </w:t>
      </w:r>
      <w:r w:rsidR="00893313">
        <w:t xml:space="preserve">unique with higher proportions of </w:t>
      </w:r>
      <w:r w:rsidR="00F30804">
        <w:t>sole</w:t>
      </w:r>
      <w:r w:rsidR="004F1B4A">
        <w:t xml:space="preserve"> traders</w:t>
      </w:r>
      <w:r w:rsidR="00893313">
        <w:t xml:space="preserve"> and unpaid family workers.</w:t>
      </w:r>
      <w:r w:rsidR="00545C63">
        <w:rPr>
          <w:rStyle w:val="FootnoteReference"/>
        </w:rPr>
        <w:footnoteReference w:id="17"/>
      </w:r>
    </w:p>
    <w:p w14:paraId="76A8D9C5" w14:textId="74D7C38F" w:rsidR="002B227E" w:rsidRDefault="00545C63" w:rsidP="00D636F3">
      <w:pPr>
        <w:pStyle w:val="ListNumber"/>
      </w:pPr>
      <w:r>
        <w:t xml:space="preserve">Owner operators who </w:t>
      </w:r>
      <w:r w:rsidR="00740822">
        <w:t>operate as sole traders</w:t>
      </w:r>
      <w:r w:rsidR="0007764B">
        <w:t xml:space="preserve"> </w:t>
      </w:r>
      <w:r>
        <w:t xml:space="preserve">are excluded </w:t>
      </w:r>
      <w:r w:rsidR="002B227E">
        <w:t>from workers’ compensation coverage. Not having access to the safety net of workers’ compensation reduces access to</w:t>
      </w:r>
      <w:r w:rsidR="00840E7F">
        <w:t xml:space="preserve"> financial aid,</w:t>
      </w:r>
      <w:r w:rsidR="002B227E">
        <w:t xml:space="preserve"> medical assistance</w:t>
      </w:r>
      <w:r w:rsidR="00840E7F">
        <w:t xml:space="preserve"> and </w:t>
      </w:r>
      <w:r w:rsidR="002B227E">
        <w:t>rehabilitation</w:t>
      </w:r>
      <w:r w:rsidR="00D12F43">
        <w:t xml:space="preserve"> should an </w:t>
      </w:r>
      <w:r w:rsidR="00CC680A">
        <w:t>injury occur whilst working on the farm</w:t>
      </w:r>
      <w:r w:rsidR="008779E0">
        <w:t>.</w:t>
      </w:r>
      <w:r w:rsidR="00415507">
        <w:t xml:space="preserve"> It also</w:t>
      </w:r>
      <w:r w:rsidR="002B227E">
        <w:t xml:space="preserve"> </w:t>
      </w:r>
      <w:r w:rsidR="00552517">
        <w:t xml:space="preserve">increases the financial burden for these workers which </w:t>
      </w:r>
      <w:r w:rsidR="002B227E">
        <w:t>may disrupt production, sowing or harvest.</w:t>
      </w:r>
    </w:p>
    <w:p w14:paraId="46B74E8E" w14:textId="7E2D6E4F" w:rsidR="002B227E" w:rsidRDefault="002B227E" w:rsidP="00B6629A">
      <w:pPr>
        <w:pStyle w:val="ListNumber"/>
      </w:pPr>
      <w:r w:rsidRPr="00F314CE">
        <w:t xml:space="preserve"> </w:t>
      </w:r>
      <w:r>
        <w:t>In 2018-2019, the agriculture industry accounted for 75% of serious claims, with 8.4 serious claims per million hours worked and 15.7 serious claims per 1,000 employees.</w:t>
      </w:r>
      <w:r>
        <w:rPr>
          <w:rStyle w:val="FootnoteReference"/>
        </w:rPr>
        <w:footnoteReference w:id="18"/>
      </w:r>
      <w:r>
        <w:t xml:space="preserve"> The high rates of injury and fatality within the agriculture industry highlight the need for adequate </w:t>
      </w:r>
      <w:r w:rsidR="00E81C1C">
        <w:t>support</w:t>
      </w:r>
      <w:r>
        <w:t xml:space="preserve"> for workers in the industry. </w:t>
      </w:r>
    </w:p>
    <w:p w14:paraId="4CF52D93" w14:textId="74E24C85" w:rsidR="00FF6628" w:rsidRDefault="00FF6628" w:rsidP="00FF6628">
      <w:pPr>
        <w:pStyle w:val="ListNumber"/>
        <w:numPr>
          <w:ilvl w:val="0"/>
          <w:numId w:val="0"/>
        </w:numPr>
        <w:ind w:left="644" w:hanging="360"/>
      </w:pPr>
    </w:p>
    <w:p w14:paraId="289E8EA4" w14:textId="738D4902" w:rsidR="00FF6628" w:rsidRPr="00D636F3" w:rsidRDefault="004472A5" w:rsidP="00D636F3">
      <w:pPr>
        <w:pStyle w:val="ListNumber"/>
        <w:numPr>
          <w:ilvl w:val="0"/>
          <w:numId w:val="0"/>
        </w:numPr>
        <w:ind w:left="644" w:hanging="360"/>
        <w:rPr>
          <w:b/>
          <w:bCs/>
        </w:rPr>
      </w:pPr>
      <w:r>
        <w:rPr>
          <w:b/>
          <w:bCs/>
        </w:rPr>
        <w:t>Workers’ compensation c</w:t>
      </w:r>
      <w:r w:rsidR="00FF6628" w:rsidRPr="00D636F3">
        <w:rPr>
          <w:b/>
          <w:bCs/>
        </w:rPr>
        <w:t xml:space="preserve">overage of </w:t>
      </w:r>
      <w:r w:rsidR="00F270F3" w:rsidRPr="00D636F3">
        <w:rPr>
          <w:b/>
          <w:bCs/>
        </w:rPr>
        <w:t>temporary and migrant workers</w:t>
      </w:r>
    </w:p>
    <w:p w14:paraId="3D527E48" w14:textId="14764215" w:rsidR="00F270F3" w:rsidRDefault="002B227E" w:rsidP="00B6629A">
      <w:pPr>
        <w:pStyle w:val="ListNumber"/>
      </w:pPr>
      <w:r>
        <w:t>Due to the seasonal nature of the work on many farms, in particular horticulture farms, farmers need to rely on temporary and migrant workers to perform labour intensive operations for brief periods of time</w:t>
      </w:r>
      <w:r w:rsidR="00695F70">
        <w:t>, such as peak harvesting periods</w:t>
      </w:r>
      <w:r>
        <w:t>.</w:t>
      </w:r>
      <w:r w:rsidRPr="004D33F6">
        <w:t xml:space="preserve"> </w:t>
      </w:r>
      <w:r>
        <w:t xml:space="preserve">The </w:t>
      </w:r>
      <w:r w:rsidR="006832F2">
        <w:t>f</w:t>
      </w:r>
      <w:r>
        <w:t>ederal Government Report of the Migrant Workers’ Taskforce report published in March 2019</w:t>
      </w:r>
      <w:r>
        <w:rPr>
          <w:rStyle w:val="FootnoteReference"/>
        </w:rPr>
        <w:footnoteReference w:id="19"/>
      </w:r>
      <w:r>
        <w:t xml:space="preserve"> addresses issues around exploitation of these workers and concerns over work health and safety</w:t>
      </w:r>
      <w:r w:rsidR="007B3D44">
        <w:t>.</w:t>
      </w:r>
      <w:r w:rsidR="0007630E">
        <w:t xml:space="preserve"> </w:t>
      </w:r>
      <w:r w:rsidR="00FB369A">
        <w:t>Migrant and temporary workers</w:t>
      </w:r>
      <w:r w:rsidR="00385A64">
        <w:t xml:space="preserve"> that are on visas which permit them to work in Australia, such as the 457 </w:t>
      </w:r>
      <w:proofErr w:type="gramStart"/>
      <w:r w:rsidR="00385A64">
        <w:t>visa</w:t>
      </w:r>
      <w:proofErr w:type="gramEnd"/>
      <w:r w:rsidR="006832F2">
        <w:t>,</w:t>
      </w:r>
      <w:r w:rsidR="00385A64">
        <w:t xml:space="preserve"> </w:t>
      </w:r>
      <w:r w:rsidR="0044295C">
        <w:t xml:space="preserve">are generally entitled to workers’ compensation </w:t>
      </w:r>
      <w:r w:rsidR="005333C2">
        <w:t>as</w:t>
      </w:r>
      <w:r w:rsidR="003518B5">
        <w:t xml:space="preserve"> </w:t>
      </w:r>
      <w:r w:rsidR="00701EEF">
        <w:t>they are</w:t>
      </w:r>
      <w:r w:rsidR="00B14805">
        <w:t xml:space="preserve"> </w:t>
      </w:r>
      <w:r w:rsidR="003518B5">
        <w:t>lawfully employed</w:t>
      </w:r>
      <w:r w:rsidR="005333C2">
        <w:t>.</w:t>
      </w:r>
      <w:r w:rsidR="005333C2">
        <w:rPr>
          <w:rStyle w:val="FootnoteReference"/>
        </w:rPr>
        <w:footnoteReference w:id="20"/>
      </w:r>
      <w:r w:rsidR="007B3D44">
        <w:t xml:space="preserve"> </w:t>
      </w:r>
      <w:r>
        <w:t xml:space="preserve"> </w:t>
      </w:r>
    </w:p>
    <w:p w14:paraId="014D7E53" w14:textId="69966DB8" w:rsidR="002B227E" w:rsidRDefault="002B227E" w:rsidP="00D636F3">
      <w:pPr>
        <w:pStyle w:val="ListNumber"/>
      </w:pPr>
      <w:r>
        <w:t>However, there</w:t>
      </w:r>
      <w:r w:rsidR="00695F70">
        <w:t xml:space="preserve"> is</w:t>
      </w:r>
      <w:r>
        <w:t xml:space="preserve"> less clarity </w:t>
      </w:r>
      <w:r w:rsidR="007519BE">
        <w:t xml:space="preserve">around </w:t>
      </w:r>
      <w:r w:rsidR="002A4B9F">
        <w:t xml:space="preserve">coverage of </w:t>
      </w:r>
      <w:r>
        <w:t>migrant or temporary workers injured whil</w:t>
      </w:r>
      <w:r w:rsidR="006832F2">
        <w:t>st</w:t>
      </w:r>
      <w:r>
        <w:t xml:space="preserve"> working </w:t>
      </w:r>
      <w:proofErr w:type="spellStart"/>
      <w:r>
        <w:t>illegally</w:t>
      </w:r>
      <w:r w:rsidR="002242BD">
        <w:t>.</w:t>
      </w:r>
      <w:r w:rsidR="00525F35">
        <w:t>The</w:t>
      </w:r>
      <w:proofErr w:type="spellEnd"/>
      <w:r w:rsidR="00673D07">
        <w:t xml:space="preserve"> </w:t>
      </w:r>
      <w:r w:rsidR="00525F35" w:rsidRPr="00A64ADA">
        <w:rPr>
          <w:rFonts w:cs="Arial"/>
          <w:szCs w:val="22"/>
        </w:rPr>
        <w:t xml:space="preserve">Queensland Supreme Court of Appeal in </w:t>
      </w:r>
      <w:r w:rsidR="00525F35" w:rsidRPr="00A64ADA">
        <w:rPr>
          <w:rFonts w:cs="Arial"/>
          <w:i/>
          <w:szCs w:val="22"/>
        </w:rPr>
        <w:t xml:space="preserve">Australia Meat Holdings P/L v </w:t>
      </w:r>
      <w:proofErr w:type="spellStart"/>
      <w:r w:rsidR="00525F35" w:rsidRPr="00A64ADA">
        <w:rPr>
          <w:rFonts w:cs="Arial"/>
          <w:i/>
          <w:szCs w:val="22"/>
        </w:rPr>
        <w:t>Kazi</w:t>
      </w:r>
      <w:proofErr w:type="spellEnd"/>
      <w:r w:rsidR="00525F35" w:rsidRPr="00A64ADA">
        <w:rPr>
          <w:rFonts w:cs="Arial"/>
          <w:i/>
          <w:szCs w:val="22"/>
        </w:rPr>
        <w:t xml:space="preserve"> </w:t>
      </w:r>
      <w:r w:rsidR="00525F35">
        <w:rPr>
          <w:rStyle w:val="FootnoteReference"/>
          <w:rFonts w:cs="Arial"/>
          <w:i/>
          <w:szCs w:val="22"/>
        </w:rPr>
        <w:footnoteReference w:id="21"/>
      </w:r>
      <w:r w:rsidR="000919E7">
        <w:rPr>
          <w:rFonts w:cs="Arial"/>
          <w:szCs w:val="22"/>
        </w:rPr>
        <w:t xml:space="preserve"> </w:t>
      </w:r>
      <w:r w:rsidR="002311A2">
        <w:rPr>
          <w:rFonts w:cs="Arial"/>
          <w:szCs w:val="22"/>
        </w:rPr>
        <w:t xml:space="preserve">determined </w:t>
      </w:r>
      <w:r w:rsidR="00525F35" w:rsidRPr="00A64ADA">
        <w:rPr>
          <w:rFonts w:cs="Arial"/>
          <w:szCs w:val="22"/>
        </w:rPr>
        <w:t xml:space="preserve">that a person who did not have a </w:t>
      </w:r>
      <w:r w:rsidR="001946C8">
        <w:rPr>
          <w:rFonts w:cs="Arial"/>
          <w:szCs w:val="22"/>
        </w:rPr>
        <w:t xml:space="preserve">right to </w:t>
      </w:r>
      <w:r w:rsidR="00525F35" w:rsidRPr="00A64ADA">
        <w:rPr>
          <w:rFonts w:cs="Arial"/>
          <w:szCs w:val="22"/>
        </w:rPr>
        <w:t xml:space="preserve">work under the </w:t>
      </w:r>
      <w:r w:rsidR="00525F35" w:rsidRPr="00D636F3">
        <w:rPr>
          <w:rFonts w:cs="Arial"/>
          <w:i/>
          <w:iCs/>
          <w:szCs w:val="22"/>
        </w:rPr>
        <w:t>Migration Act</w:t>
      </w:r>
      <w:r w:rsidR="004E1EAA" w:rsidRPr="00D636F3">
        <w:rPr>
          <w:rFonts w:cs="Arial"/>
          <w:i/>
          <w:iCs/>
          <w:szCs w:val="22"/>
        </w:rPr>
        <w:t xml:space="preserve"> 1958</w:t>
      </w:r>
      <w:r w:rsidR="00525F35" w:rsidRPr="00A64ADA">
        <w:rPr>
          <w:rFonts w:cs="Arial"/>
          <w:szCs w:val="22"/>
        </w:rPr>
        <w:t xml:space="preserve"> </w:t>
      </w:r>
      <w:r w:rsidR="00695F70">
        <w:rPr>
          <w:rFonts w:cs="Arial"/>
          <w:szCs w:val="22"/>
        </w:rPr>
        <w:t>(</w:t>
      </w:r>
      <w:proofErr w:type="spellStart"/>
      <w:r w:rsidR="00695F70">
        <w:rPr>
          <w:rFonts w:cs="Arial"/>
          <w:szCs w:val="22"/>
        </w:rPr>
        <w:t>Cth</w:t>
      </w:r>
      <w:proofErr w:type="spellEnd"/>
      <w:r w:rsidR="00695F70">
        <w:rPr>
          <w:rFonts w:cs="Arial"/>
          <w:szCs w:val="22"/>
        </w:rPr>
        <w:t xml:space="preserve">) </w:t>
      </w:r>
      <w:r w:rsidR="00525F35" w:rsidRPr="00A64ADA">
        <w:rPr>
          <w:rFonts w:cs="Arial"/>
          <w:szCs w:val="22"/>
        </w:rPr>
        <w:t>at the time they were injured could not satisfy the definition of ‘worker’ under Queensland</w:t>
      </w:r>
      <w:r w:rsidR="00695F70">
        <w:rPr>
          <w:rFonts w:cs="Arial"/>
          <w:szCs w:val="22"/>
        </w:rPr>
        <w:t>’s</w:t>
      </w:r>
      <w:r w:rsidR="00525F35" w:rsidRPr="00A64ADA">
        <w:rPr>
          <w:rFonts w:cs="Arial"/>
          <w:szCs w:val="22"/>
        </w:rPr>
        <w:t xml:space="preserve"> workers’ compensation law</w:t>
      </w:r>
      <w:r w:rsidR="00695F70">
        <w:rPr>
          <w:rFonts w:cs="Arial"/>
          <w:szCs w:val="22"/>
        </w:rPr>
        <w:t>s</w:t>
      </w:r>
      <w:r w:rsidR="00525F35" w:rsidRPr="00A64ADA">
        <w:rPr>
          <w:rFonts w:cs="Arial"/>
          <w:szCs w:val="22"/>
        </w:rPr>
        <w:t xml:space="preserve"> because they were not employed under a legal employment contract.</w:t>
      </w:r>
      <w:r w:rsidR="002A4B9F">
        <w:t xml:space="preserve"> </w:t>
      </w:r>
      <w:r w:rsidR="002242BD">
        <w:t xml:space="preserve">However, some jurisdictions </w:t>
      </w:r>
      <w:r w:rsidR="009A7BB8">
        <w:t xml:space="preserve">allow a person </w:t>
      </w:r>
      <w:r w:rsidR="009B2CA4">
        <w:t xml:space="preserve">employed under an illegal contract at the time of the injury </w:t>
      </w:r>
      <w:r w:rsidR="002E6347">
        <w:t>to</w:t>
      </w:r>
      <w:r w:rsidR="009B2CA4">
        <w:t xml:space="preserve"> be deemed to have been employed under a valid contract. </w:t>
      </w:r>
      <w:r w:rsidR="004F3E33">
        <w:t xml:space="preserve">There is limited case law </w:t>
      </w:r>
      <w:r w:rsidR="00AA0080">
        <w:t xml:space="preserve">around the interaction between the </w:t>
      </w:r>
      <w:r w:rsidR="00AA0080" w:rsidRPr="00D636F3">
        <w:rPr>
          <w:i/>
          <w:iCs/>
        </w:rPr>
        <w:t>Migration Act 1858</w:t>
      </w:r>
      <w:r w:rsidR="00635182">
        <w:t xml:space="preserve"> and Australian workers’ compensation laws. This issue </w:t>
      </w:r>
      <w:r w:rsidR="00635182">
        <w:lastRenderedPageBreak/>
        <w:t>is complex and beyond the scope of this paper</w:t>
      </w:r>
      <w:r w:rsidR="00695F70">
        <w:t xml:space="preserve">, however the example highlights </w:t>
      </w:r>
      <w:r w:rsidR="009C235D">
        <w:t>inconsistency in workers’ compensation coverage for these workers</w:t>
      </w:r>
      <w:r w:rsidR="00695F70">
        <w:t>.</w:t>
      </w:r>
    </w:p>
    <w:p w14:paraId="14F3D660" w14:textId="4DFB92C9" w:rsidR="002B227E" w:rsidRDefault="002B227E" w:rsidP="00B6629A">
      <w:pPr>
        <w:pStyle w:val="ListNumber"/>
      </w:pPr>
      <w:r>
        <w:t>The temporary closure of Australian borders, to overseas or interstate workers as a result of COVID-19 has created a labour shortage for many farmers, this may increase reliance of neighbours and family members to assist</w:t>
      </w:r>
      <w:r w:rsidR="00211A6B">
        <w:t xml:space="preserve"> farmers</w:t>
      </w:r>
      <w:r w:rsidR="003C24E9">
        <w:t xml:space="preserve"> manage </w:t>
      </w:r>
      <w:r w:rsidR="00D63479">
        <w:t>work requirements</w:t>
      </w:r>
      <w:r>
        <w:t>.</w:t>
      </w:r>
      <w:r w:rsidR="00637B84">
        <w:rPr>
          <w:rStyle w:val="FootnoteReference"/>
        </w:rPr>
        <w:footnoteReference w:id="22"/>
      </w:r>
      <w:r>
        <w:t xml:space="preserve"> The children of farming families or neighbours often contribute to farm</w:t>
      </w:r>
      <w:r w:rsidR="00D63479">
        <w:t>ing</w:t>
      </w:r>
      <w:r>
        <w:t xml:space="preserve"> in an unpaid capacity and are therefore</w:t>
      </w:r>
      <w:r w:rsidR="00AA00D9">
        <w:t xml:space="preserve"> may</w:t>
      </w:r>
      <w:r>
        <w:t xml:space="preserve"> not </w:t>
      </w:r>
      <w:r w:rsidR="00AA00D9">
        <w:t xml:space="preserve">be </w:t>
      </w:r>
      <w:r>
        <w:t xml:space="preserve">formally on the payroll, preventing adequate workers’ compensation coverage for this part of the </w:t>
      </w:r>
      <w:r w:rsidR="00C84B91">
        <w:t>agriculture</w:t>
      </w:r>
      <w:r>
        <w:t xml:space="preserve"> workforce.</w:t>
      </w:r>
      <w:r w:rsidR="00AA5F21">
        <w:rPr>
          <w:rStyle w:val="FootnoteReference"/>
        </w:rPr>
        <w:footnoteReference w:id="23"/>
      </w:r>
      <w:r>
        <w:t xml:space="preserve"> </w:t>
      </w:r>
    </w:p>
    <w:p w14:paraId="64D514A2" w14:textId="77777777" w:rsidR="00A15B2A" w:rsidRDefault="00A15B2A" w:rsidP="00A15B2A">
      <w:pPr>
        <w:pStyle w:val="ListNumber"/>
        <w:numPr>
          <w:ilvl w:val="0"/>
          <w:numId w:val="0"/>
        </w:numPr>
        <w:ind w:left="644" w:hanging="360"/>
      </w:pPr>
    </w:p>
    <w:p w14:paraId="4046887F" w14:textId="4AFC08D4" w:rsidR="00A15B2A" w:rsidRPr="00D636F3" w:rsidRDefault="00336CA1" w:rsidP="00D636F3">
      <w:pPr>
        <w:pStyle w:val="ListNumber"/>
        <w:numPr>
          <w:ilvl w:val="0"/>
          <w:numId w:val="0"/>
        </w:numPr>
        <w:ind w:left="644" w:hanging="360"/>
        <w:rPr>
          <w:b/>
          <w:bCs/>
        </w:rPr>
      </w:pPr>
      <w:r>
        <w:rPr>
          <w:b/>
          <w:bCs/>
        </w:rPr>
        <w:t xml:space="preserve">Options for </w:t>
      </w:r>
      <w:r w:rsidR="006832F2">
        <w:rPr>
          <w:b/>
          <w:bCs/>
        </w:rPr>
        <w:t>c</w:t>
      </w:r>
      <w:r w:rsidR="00A15B2A" w:rsidRPr="00D636F3">
        <w:rPr>
          <w:b/>
          <w:bCs/>
        </w:rPr>
        <w:t xml:space="preserve">overage </w:t>
      </w:r>
    </w:p>
    <w:p w14:paraId="10A6D0CC" w14:textId="708E559D" w:rsidR="00003AB0" w:rsidRDefault="002B227E" w:rsidP="00D636F3">
      <w:pPr>
        <w:pStyle w:val="ListNumber"/>
      </w:pPr>
      <w:r>
        <w:t>Many farms in Australia are</w:t>
      </w:r>
      <w:r w:rsidR="00EF7E05">
        <w:t xml:space="preserve"> also</w:t>
      </w:r>
      <w:r>
        <w:t xml:space="preserve"> owned via companies and trusts which enable families working on farms to be covered as employees of the corporate entity either as a director or engaged directly as </w:t>
      </w:r>
      <w:r w:rsidR="008609D1">
        <w:t xml:space="preserve">an </w:t>
      </w:r>
      <w:r>
        <w:t>employee.</w:t>
      </w:r>
      <w:r>
        <w:rPr>
          <w:rStyle w:val="FootnoteReference"/>
        </w:rPr>
        <w:footnoteReference w:id="24"/>
      </w:r>
      <w:r>
        <w:t xml:space="preserve"> This enables farmers to be covered for workers’ compensation if an injury occurs, however to reduce overall cost</w:t>
      </w:r>
      <w:r w:rsidR="003F3323">
        <w:t xml:space="preserve"> of premiums</w:t>
      </w:r>
      <w:r w:rsidR="000B2AD4">
        <w:t>,</w:t>
      </w:r>
      <w:r>
        <w:t xml:space="preserve"> some farmers may underestimate actual wages which can result in lower than adequate income replacement for the injured worker. </w:t>
      </w:r>
      <w:r w:rsidR="00003AB0">
        <w:t>Workers’ compensation premium</w:t>
      </w:r>
      <w:r w:rsidR="002867E5">
        <w:t xml:space="preserve"> rates are higher in the agriculture industry due to the high rates of injury and fatality</w:t>
      </w:r>
      <w:r w:rsidR="003A77BC">
        <w:t>.</w:t>
      </w:r>
      <w:r w:rsidR="00EC7BA4">
        <w:t xml:space="preserve"> In 2018-19 the Agriculture, forestry and fishing industry recorded the highest average premium rate at 3.52% of payroll.</w:t>
      </w:r>
      <w:r w:rsidR="00355212">
        <w:rPr>
          <w:rStyle w:val="FootnoteReference"/>
        </w:rPr>
        <w:footnoteReference w:id="25"/>
      </w:r>
      <w:r w:rsidR="00B20E41">
        <w:t xml:space="preserve"> The high premium rates for this cohort of workers may be </w:t>
      </w:r>
      <w:r w:rsidR="00610FBD">
        <w:t xml:space="preserve">adversely impacting the coverage of workers, preventing adequate </w:t>
      </w:r>
      <w:r w:rsidR="008F0F2A">
        <w:t xml:space="preserve">workers’ compensation coverage. </w:t>
      </w:r>
    </w:p>
    <w:p w14:paraId="3D58FAA7" w14:textId="060595B0" w:rsidR="00BE770F" w:rsidRPr="00070FFD" w:rsidRDefault="009350B9" w:rsidP="00D636F3">
      <w:pPr>
        <w:pStyle w:val="ListNumber"/>
        <w:rPr>
          <w:rFonts w:ascii="Arial Bold" w:hAnsi="Arial Bold"/>
          <w:sz w:val="24"/>
          <w:szCs w:val="24"/>
        </w:rPr>
      </w:pPr>
      <w:r>
        <w:t>T</w:t>
      </w:r>
      <w:r w:rsidR="00885AF8">
        <w:t>he continual h</w:t>
      </w:r>
      <w:r w:rsidR="002B227E">
        <w:t xml:space="preserve">igh rates of injury and fatality within the </w:t>
      </w:r>
      <w:r w:rsidR="006832F2">
        <w:t>A</w:t>
      </w:r>
      <w:r w:rsidR="002B227E">
        <w:t>griculture industr</w:t>
      </w:r>
      <w:r w:rsidR="00CA109D">
        <w:t>y</w:t>
      </w:r>
      <w:r>
        <w:t xml:space="preserve"> emphasise the importance of considering </w:t>
      </w:r>
      <w:r w:rsidR="009C235D">
        <w:t>workers’ compensation</w:t>
      </w:r>
      <w:r w:rsidR="00B96CB1">
        <w:t xml:space="preserve"> </w:t>
      </w:r>
      <w:r w:rsidR="00051EEF">
        <w:t xml:space="preserve">coverage </w:t>
      </w:r>
      <w:r w:rsidR="002B227E">
        <w:t>options</w:t>
      </w:r>
      <w:r w:rsidR="00051EEF">
        <w:t xml:space="preserve"> further </w:t>
      </w:r>
      <w:r w:rsidR="002B227E">
        <w:t xml:space="preserve">to accommodate this unique and important </w:t>
      </w:r>
      <w:r w:rsidR="00893561">
        <w:t xml:space="preserve">part of the Australian </w:t>
      </w:r>
      <w:r w:rsidR="002B227E">
        <w:t xml:space="preserve">workforce. </w:t>
      </w:r>
    </w:p>
    <w:p w14:paraId="3D19AD44" w14:textId="77777777" w:rsidR="00017AF6" w:rsidRDefault="00017AF6">
      <w:pPr>
        <w:spacing w:before="0" w:after="200" w:line="276" w:lineRule="auto"/>
        <w:rPr>
          <w:rFonts w:eastAsiaTheme="majorEastAsia" w:cstheme="majorBidi"/>
          <w:iCs/>
          <w:sz w:val="40"/>
          <w:szCs w:val="40"/>
        </w:rPr>
      </w:pPr>
      <w:bookmarkStart w:id="13" w:name="_Toc87027301"/>
      <w:r>
        <w:br w:type="page"/>
      </w:r>
    </w:p>
    <w:p w14:paraId="2131205B" w14:textId="03966E7F" w:rsidR="00EF7791" w:rsidRPr="00F36019" w:rsidRDefault="00466BC8" w:rsidP="00070FFD">
      <w:pPr>
        <w:pStyle w:val="Heading2alt"/>
        <w:tabs>
          <w:tab w:val="left" w:pos="7080"/>
        </w:tabs>
      </w:pPr>
      <w:r w:rsidRPr="00F36019">
        <w:lastRenderedPageBreak/>
        <w:t>Conclusion</w:t>
      </w:r>
      <w:bookmarkEnd w:id="13"/>
      <w:r w:rsidR="008335C4">
        <w:tab/>
      </w:r>
    </w:p>
    <w:p w14:paraId="4F977091" w14:textId="3F5DE494" w:rsidR="004048DE" w:rsidRPr="000B2AD4" w:rsidRDefault="00EF7791" w:rsidP="00070FFD">
      <w:pPr>
        <w:pStyle w:val="ListNumber"/>
      </w:pPr>
      <w:r>
        <w:t xml:space="preserve">This paper </w:t>
      </w:r>
      <w:r w:rsidR="00885AF8">
        <w:t>acknowledges</w:t>
      </w:r>
      <w:r>
        <w:t xml:space="preserve"> the complex </w:t>
      </w:r>
      <w:r w:rsidR="008E2DB6">
        <w:t xml:space="preserve">and diverse workers’ compensation arrangements which co-exist within Australia. </w:t>
      </w:r>
      <w:r w:rsidR="00387CDA">
        <w:t>It discusses the</w:t>
      </w:r>
      <w:r w:rsidR="00C45EBE">
        <w:t xml:space="preserve"> impact of the</w:t>
      </w:r>
      <w:r w:rsidR="00387CDA">
        <w:t xml:space="preserve"> changing nature of work</w:t>
      </w:r>
      <w:r w:rsidR="00B91135">
        <w:t>, lack of certainty</w:t>
      </w:r>
      <w:r w:rsidR="006037C1">
        <w:t xml:space="preserve"> and inconsistent entitlements</w:t>
      </w:r>
      <w:r w:rsidR="004048DE">
        <w:t xml:space="preserve"> on existing </w:t>
      </w:r>
      <w:r w:rsidR="00BD33FF">
        <w:t xml:space="preserve">workers’ compensation </w:t>
      </w:r>
      <w:r w:rsidR="004048DE">
        <w:t xml:space="preserve">coverage arrangements. </w:t>
      </w:r>
    </w:p>
    <w:p w14:paraId="54D9C97E" w14:textId="77777777" w:rsidR="00A80F09" w:rsidRPr="002362D1" w:rsidRDefault="00A80F09" w:rsidP="00A80F09">
      <w:pPr>
        <w:pStyle w:val="ListNumber"/>
      </w:pPr>
      <w:r w:rsidRPr="00E90AF1">
        <w:t>Th</w:t>
      </w:r>
      <w:r>
        <w:t>e paper also discusses the impact of existing definitions of coverage by workers’ compensation systems on some of the non-traditional and often more vulnerable workers within the Australian workforce. It is designed to raise awareness of these issues and consider if existing arrangements are keeping pace with societal developments and expectations.</w:t>
      </w:r>
    </w:p>
    <w:p w14:paraId="4213BC1E" w14:textId="7DB9CDEF" w:rsidR="00A80F09" w:rsidRPr="000B2AD4" w:rsidRDefault="00A80F09" w:rsidP="00A80F09">
      <w:pPr>
        <w:pStyle w:val="ListNumber"/>
      </w:pPr>
      <w:r w:rsidRPr="000B2AD4">
        <w:t>T</w:t>
      </w:r>
      <w:r w:rsidRPr="00070FFD">
        <w:t>he</w:t>
      </w:r>
      <w:r>
        <w:t xml:space="preserve"> paper provides two case studies, one on the emergence of the gig economy and the other relating to coverage within the agricultural industry particularly self-employed farmers, temporary and migrant workers and family members. The case studies are designed to demonstrate the impact of existing coverage arrangements on workers in vulnerable industries, noting that specific policy responses to these issues are beyond the remit of this paper. However, the examples illustrate the gaps in workers’ compensation coverage for some workers, resulting in reduced access to </w:t>
      </w:r>
      <w:r w:rsidRPr="00E90AF1">
        <w:t xml:space="preserve">financial compensation, rehabilitation and support with return to work </w:t>
      </w:r>
      <w:r>
        <w:t xml:space="preserve">for work related injuries. </w:t>
      </w:r>
    </w:p>
    <w:p w14:paraId="0A24A078" w14:textId="05F269D4" w:rsidR="00A80F09" w:rsidRPr="002362D1" w:rsidRDefault="00A80F09" w:rsidP="00A80F09">
      <w:pPr>
        <w:pStyle w:val="ListNumber"/>
      </w:pPr>
      <w:r w:rsidRPr="00106E2E">
        <w:t>It is hoped th</w:t>
      </w:r>
      <w:r>
        <w:t>is</w:t>
      </w:r>
      <w:r w:rsidRPr="00106E2E">
        <w:t xml:space="preserve"> paper will</w:t>
      </w:r>
      <w:r>
        <w:t xml:space="preserve"> add</w:t>
      </w:r>
      <w:r w:rsidRPr="00106E2E">
        <w:t xml:space="preserve"> </w:t>
      </w:r>
      <w:r>
        <w:t>to and build upon the existing discussions, reviews and inquiries that have, or are currently considering workers compensation coverage arrangements.</w:t>
      </w:r>
      <w:r w:rsidR="00430332">
        <w:t xml:space="preserve"> </w:t>
      </w:r>
      <w:r w:rsidR="00430332">
        <w:rPr>
          <w:rStyle w:val="FootnoteReference"/>
        </w:rPr>
        <w:footnoteReference w:id="26"/>
      </w:r>
    </w:p>
    <w:p w14:paraId="557D84F3" w14:textId="5DFD2997" w:rsidR="00890B79" w:rsidRPr="00890B79" w:rsidRDefault="00890B79" w:rsidP="00B40B01">
      <w:pPr>
        <w:ind w:left="360"/>
      </w:pPr>
    </w:p>
    <w:sectPr w:rsidR="00890B79" w:rsidRPr="00890B79" w:rsidSect="00E81596">
      <w:pgSz w:w="11906" w:h="16838" w:code="9"/>
      <w:pgMar w:top="1276" w:right="2268" w:bottom="1701" w:left="1134" w:header="709" w:footer="4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E1349" w14:textId="77777777" w:rsidR="00975662" w:rsidRDefault="00975662" w:rsidP="007D5BA8">
      <w:pPr>
        <w:spacing w:after="0"/>
      </w:pPr>
      <w:r>
        <w:separator/>
      </w:r>
    </w:p>
  </w:endnote>
  <w:endnote w:type="continuationSeparator" w:id="0">
    <w:p w14:paraId="6D93A8EC" w14:textId="77777777" w:rsidR="00975662" w:rsidRDefault="00975662"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bottom w:val="none" w:sz="0" w:space="0" w:color="auto"/>
        <w:insideH w:val="single" w:sz="12" w:space="0" w:color="2062AF"/>
        <w:insideV w:val="single" w:sz="12" w:space="0" w:color="E81D32"/>
      </w:tblBorders>
      <w:tblLook w:val="04A0" w:firstRow="1" w:lastRow="0" w:firstColumn="1" w:lastColumn="0" w:noHBand="0" w:noVBand="1"/>
    </w:tblPr>
    <w:tblGrid>
      <w:gridCol w:w="8080"/>
      <w:gridCol w:w="846"/>
    </w:tblGrid>
    <w:tr w:rsidR="00D5165E" w:rsidRPr="005450BB" w14:paraId="357AC728" w14:textId="77777777" w:rsidTr="000416E2">
      <w:trPr>
        <w:cnfStyle w:val="100000000000" w:firstRow="1" w:lastRow="0" w:firstColumn="0" w:lastColumn="0" w:oddVBand="0" w:evenVBand="0" w:oddHBand="0" w:evenHBand="0" w:firstRowFirstColumn="0" w:firstRowLastColumn="0" w:lastRowFirstColumn="0" w:lastRowLastColumn="0"/>
      </w:trPr>
      <w:tc>
        <w:tcPr>
          <w:tcW w:w="8080" w:type="dxa"/>
        </w:tcPr>
        <w:p w14:paraId="309C74E6" w14:textId="43D08485" w:rsidR="00D5165E" w:rsidRPr="00E3165F" w:rsidRDefault="00D5165E" w:rsidP="007A4E7C">
          <w:pPr>
            <w:spacing w:after="0"/>
          </w:pPr>
          <w:r w:rsidRPr="00E3165F">
            <w:rPr>
              <w:bCs/>
            </w:rPr>
            <w:t xml:space="preserve">Safe Work Australia </w:t>
          </w:r>
          <w:r>
            <w:rPr>
              <w:bCs/>
            </w:rPr>
            <w:br/>
          </w:r>
          <w:r w:rsidRPr="007A4E7C">
            <w:rPr>
              <w:b w:val="0"/>
              <w:bCs/>
            </w:rPr>
            <w:t xml:space="preserve">Workers’ Compensation Coverage </w:t>
          </w:r>
          <w:r w:rsidR="00695F70">
            <w:rPr>
              <w:b w:val="0"/>
              <w:bCs/>
            </w:rPr>
            <w:t>Paper</w:t>
          </w:r>
        </w:p>
      </w:tc>
      <w:tc>
        <w:tcPr>
          <w:tcW w:w="846" w:type="dxa"/>
          <w:vAlign w:val="center"/>
        </w:tcPr>
        <w:p w14:paraId="7D3D588B" w14:textId="77777777" w:rsidR="00D5165E" w:rsidRPr="00FB3E0B" w:rsidRDefault="00D5165E" w:rsidP="007A4E7C">
          <w:pPr>
            <w:spacing w:before="80" w:after="0"/>
            <w:ind w:right="34"/>
            <w:jc w:val="right"/>
            <w:rPr>
              <w:b w:val="0"/>
              <w:bCs/>
              <w:color w:val="E20000"/>
            </w:rPr>
          </w:pPr>
          <w:r w:rsidRPr="006E4DCF">
            <w:rPr>
              <w:bCs/>
            </w:rPr>
            <w:fldChar w:fldCharType="begin"/>
          </w:r>
          <w:r w:rsidRPr="006E4DCF">
            <w:rPr>
              <w:bCs/>
            </w:rPr>
            <w:instrText xml:space="preserve"> PAGE   \* MERGEFORMAT </w:instrText>
          </w:r>
          <w:r w:rsidRPr="006E4DCF">
            <w:rPr>
              <w:bCs/>
            </w:rPr>
            <w:fldChar w:fldCharType="separate"/>
          </w:r>
          <w:r w:rsidRPr="006E4DCF">
            <w:rPr>
              <w:bCs/>
            </w:rPr>
            <w:t>2</w:t>
          </w:r>
          <w:r w:rsidRPr="006E4DCF">
            <w:rPr>
              <w:bCs/>
              <w:noProof/>
            </w:rPr>
            <w:fldChar w:fldCharType="end"/>
          </w:r>
        </w:p>
      </w:tc>
    </w:tr>
  </w:tbl>
  <w:p w14:paraId="738F5A10" w14:textId="574296B5" w:rsidR="00D5165E" w:rsidRPr="007A4E7C" w:rsidRDefault="00D5165E" w:rsidP="007A4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C131F" w14:textId="296950E5" w:rsidR="00D5165E" w:rsidRDefault="00D516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bottom w:val="none" w:sz="0" w:space="0" w:color="auto"/>
        <w:insideH w:val="single" w:sz="12" w:space="0" w:color="2062AF"/>
        <w:insideV w:val="single" w:sz="12" w:space="0" w:color="E81D32"/>
      </w:tblBorders>
      <w:tblLook w:val="04A0" w:firstRow="1" w:lastRow="0" w:firstColumn="1" w:lastColumn="0" w:noHBand="0" w:noVBand="1"/>
    </w:tblPr>
    <w:tblGrid>
      <w:gridCol w:w="7667"/>
      <w:gridCol w:w="816"/>
    </w:tblGrid>
    <w:tr w:rsidR="00D5165E" w:rsidRPr="005450BB" w14:paraId="728C738F" w14:textId="77777777" w:rsidTr="000416E2">
      <w:trPr>
        <w:cnfStyle w:val="100000000000" w:firstRow="1" w:lastRow="0" w:firstColumn="0" w:lastColumn="0" w:oddVBand="0" w:evenVBand="0" w:oddHBand="0" w:evenHBand="0" w:firstRowFirstColumn="0" w:firstRowLastColumn="0" w:lastRowFirstColumn="0" w:lastRowLastColumn="0"/>
      </w:trPr>
      <w:tc>
        <w:tcPr>
          <w:tcW w:w="8080" w:type="dxa"/>
        </w:tcPr>
        <w:p w14:paraId="533D71CC" w14:textId="0036B17B" w:rsidR="00D5165E" w:rsidRPr="00E3165F" w:rsidRDefault="0074750D" w:rsidP="007A4E7C">
          <w:pPr>
            <w:spacing w:after="0"/>
          </w:pPr>
          <w:r w:rsidRPr="00E3165F">
            <w:rPr>
              <w:bCs/>
            </w:rPr>
            <w:t xml:space="preserve">Safe Work Australia </w:t>
          </w:r>
          <w:r>
            <w:rPr>
              <w:bCs/>
            </w:rPr>
            <w:br/>
          </w:r>
          <w:r w:rsidRPr="007A4E7C">
            <w:rPr>
              <w:b w:val="0"/>
              <w:bCs/>
            </w:rPr>
            <w:t xml:space="preserve">Workers’ Compensation Coverage </w:t>
          </w:r>
          <w:r>
            <w:rPr>
              <w:b w:val="0"/>
              <w:bCs/>
            </w:rPr>
            <w:t>Paper</w:t>
          </w:r>
        </w:p>
      </w:tc>
      <w:tc>
        <w:tcPr>
          <w:tcW w:w="846" w:type="dxa"/>
          <w:vAlign w:val="center"/>
        </w:tcPr>
        <w:p w14:paraId="7743792C" w14:textId="77777777" w:rsidR="00D5165E" w:rsidRPr="00FB3E0B" w:rsidRDefault="00D5165E" w:rsidP="00C50BED">
          <w:pPr>
            <w:spacing w:before="80" w:after="0"/>
            <w:ind w:right="34"/>
            <w:jc w:val="right"/>
            <w:rPr>
              <w:b w:val="0"/>
              <w:bCs/>
              <w:color w:val="E20000"/>
            </w:rPr>
          </w:pPr>
          <w:r w:rsidRPr="006E4DCF">
            <w:rPr>
              <w:bCs/>
            </w:rPr>
            <w:fldChar w:fldCharType="begin"/>
          </w:r>
          <w:r w:rsidRPr="006E4DCF">
            <w:rPr>
              <w:bCs/>
            </w:rPr>
            <w:instrText xml:space="preserve"> PAGE   \* MERGEFORMAT </w:instrText>
          </w:r>
          <w:r w:rsidRPr="006E4DCF">
            <w:rPr>
              <w:bCs/>
            </w:rPr>
            <w:fldChar w:fldCharType="separate"/>
          </w:r>
          <w:r w:rsidRPr="006E4DCF">
            <w:rPr>
              <w:bCs/>
            </w:rPr>
            <w:t>2</w:t>
          </w:r>
          <w:r w:rsidRPr="006E4DCF">
            <w:rPr>
              <w:bCs/>
              <w:noProof/>
            </w:rPr>
            <w:fldChar w:fldCharType="end"/>
          </w:r>
        </w:p>
      </w:tc>
    </w:tr>
  </w:tbl>
  <w:p w14:paraId="113A286B" w14:textId="77777777" w:rsidR="00D5165E" w:rsidRDefault="00D516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bottom w:val="none" w:sz="0" w:space="0" w:color="auto"/>
        <w:insideH w:val="single" w:sz="12" w:space="0" w:color="2062AF"/>
        <w:insideV w:val="single" w:sz="12" w:space="0" w:color="E81D32"/>
      </w:tblBorders>
      <w:tblLook w:val="04A0" w:firstRow="1" w:lastRow="0" w:firstColumn="1" w:lastColumn="0" w:noHBand="0" w:noVBand="1"/>
    </w:tblPr>
    <w:tblGrid>
      <w:gridCol w:w="8080"/>
      <w:gridCol w:w="846"/>
    </w:tblGrid>
    <w:tr w:rsidR="00D5165E" w:rsidRPr="005450BB" w14:paraId="038D1A9C" w14:textId="77777777" w:rsidTr="000416E2">
      <w:trPr>
        <w:cnfStyle w:val="100000000000" w:firstRow="1" w:lastRow="0" w:firstColumn="0" w:lastColumn="0" w:oddVBand="0" w:evenVBand="0" w:oddHBand="0" w:evenHBand="0" w:firstRowFirstColumn="0" w:firstRowLastColumn="0" w:lastRowFirstColumn="0" w:lastRowLastColumn="0"/>
      </w:trPr>
      <w:tc>
        <w:tcPr>
          <w:tcW w:w="8080" w:type="dxa"/>
        </w:tcPr>
        <w:p w14:paraId="5319270B" w14:textId="5A1F1168" w:rsidR="00D5165E" w:rsidRPr="00E3165F" w:rsidRDefault="0074750D" w:rsidP="007A4E7C">
          <w:pPr>
            <w:spacing w:after="0"/>
          </w:pPr>
          <w:r w:rsidRPr="00E3165F">
            <w:rPr>
              <w:bCs/>
            </w:rPr>
            <w:t xml:space="preserve">Safe Work Australia </w:t>
          </w:r>
          <w:r>
            <w:rPr>
              <w:bCs/>
            </w:rPr>
            <w:br/>
          </w:r>
          <w:r w:rsidRPr="007A4E7C">
            <w:rPr>
              <w:b w:val="0"/>
              <w:bCs/>
            </w:rPr>
            <w:t xml:space="preserve">Workers’ Compensation Coverage </w:t>
          </w:r>
          <w:r>
            <w:rPr>
              <w:b w:val="0"/>
              <w:bCs/>
            </w:rPr>
            <w:t>Paper</w:t>
          </w:r>
        </w:p>
      </w:tc>
      <w:tc>
        <w:tcPr>
          <w:tcW w:w="846" w:type="dxa"/>
          <w:vAlign w:val="center"/>
        </w:tcPr>
        <w:p w14:paraId="06FBC3A4" w14:textId="77777777" w:rsidR="00D5165E" w:rsidRPr="00FB3E0B" w:rsidRDefault="00D5165E" w:rsidP="007A4E7C">
          <w:pPr>
            <w:spacing w:before="80" w:after="0"/>
            <w:ind w:right="34"/>
            <w:jc w:val="right"/>
            <w:rPr>
              <w:b w:val="0"/>
              <w:bCs/>
              <w:color w:val="E20000"/>
            </w:rPr>
          </w:pPr>
          <w:r w:rsidRPr="006E4DCF">
            <w:rPr>
              <w:bCs/>
            </w:rPr>
            <w:fldChar w:fldCharType="begin"/>
          </w:r>
          <w:r w:rsidRPr="006E4DCF">
            <w:rPr>
              <w:bCs/>
            </w:rPr>
            <w:instrText xml:space="preserve"> PAGE   \* MERGEFORMAT </w:instrText>
          </w:r>
          <w:r w:rsidRPr="006E4DCF">
            <w:rPr>
              <w:bCs/>
            </w:rPr>
            <w:fldChar w:fldCharType="separate"/>
          </w:r>
          <w:r w:rsidRPr="006E4DCF">
            <w:rPr>
              <w:bCs/>
            </w:rPr>
            <w:t>2</w:t>
          </w:r>
          <w:r w:rsidRPr="006E4DCF">
            <w:rPr>
              <w:bCs/>
              <w:noProof/>
            </w:rPr>
            <w:fldChar w:fldCharType="end"/>
          </w:r>
        </w:p>
      </w:tc>
    </w:tr>
  </w:tbl>
  <w:p w14:paraId="16709E84" w14:textId="6935E182" w:rsidR="00D5165E" w:rsidRPr="007A4E7C" w:rsidRDefault="00D5165E" w:rsidP="007A4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BD944" w14:textId="77777777" w:rsidR="00975662" w:rsidRDefault="00975662" w:rsidP="007D5BA8">
      <w:pPr>
        <w:spacing w:after="0"/>
      </w:pPr>
      <w:r>
        <w:separator/>
      </w:r>
    </w:p>
  </w:footnote>
  <w:footnote w:type="continuationSeparator" w:id="0">
    <w:p w14:paraId="23D22687" w14:textId="77777777" w:rsidR="00975662" w:rsidRDefault="00975662" w:rsidP="007D5BA8">
      <w:pPr>
        <w:spacing w:after="0"/>
      </w:pPr>
      <w:r>
        <w:continuationSeparator/>
      </w:r>
    </w:p>
  </w:footnote>
  <w:footnote w:id="1">
    <w:p w14:paraId="3C06806C" w14:textId="3F251AAC" w:rsidR="00D5165E" w:rsidRPr="00615346" w:rsidRDefault="00D5165E" w:rsidP="00E7628F">
      <w:pPr>
        <w:pStyle w:val="FootnoteText"/>
        <w:rPr>
          <w:i w:val="0"/>
          <w:iCs/>
        </w:rPr>
      </w:pPr>
      <w:r>
        <w:rPr>
          <w:rStyle w:val="FootnoteReference"/>
        </w:rPr>
        <w:footnoteRef/>
      </w:r>
      <w:r>
        <w:t xml:space="preserve"> </w:t>
      </w:r>
      <w:r w:rsidR="008E74AB" w:rsidRPr="008E74AB">
        <w:rPr>
          <w:i w:val="0"/>
          <w:iCs/>
        </w:rPr>
        <w:t>Safe Work Australia</w:t>
      </w:r>
      <w:r w:rsidR="00B01680">
        <w:rPr>
          <w:i w:val="0"/>
          <w:iCs/>
        </w:rPr>
        <w:t>,</w:t>
      </w:r>
      <w:r w:rsidR="00B01680" w:rsidRPr="00B01680">
        <w:t xml:space="preserve"> </w:t>
      </w:r>
      <w:r w:rsidR="00B01680" w:rsidRPr="007C0D22">
        <w:rPr>
          <w:i w:val="0"/>
          <w:iCs/>
        </w:rPr>
        <w:t xml:space="preserve">Data 61 and CSIRO, </w:t>
      </w:r>
      <w:r w:rsidR="007C0D22" w:rsidRPr="007C0D22">
        <w:rPr>
          <w:i w:val="0"/>
          <w:iCs/>
        </w:rPr>
        <w:t>(</w:t>
      </w:r>
      <w:r w:rsidR="00B01680" w:rsidRPr="007C0D22">
        <w:rPr>
          <w:i w:val="0"/>
          <w:iCs/>
        </w:rPr>
        <w:t>2018</w:t>
      </w:r>
      <w:r w:rsidR="007C0D22" w:rsidRPr="007C0D22">
        <w:rPr>
          <w:i w:val="0"/>
          <w:iCs/>
        </w:rPr>
        <w:t>)</w:t>
      </w:r>
      <w:r w:rsidR="008E74AB">
        <w:t xml:space="preserve"> </w:t>
      </w:r>
      <w:hyperlink r:id="rId1" w:history="1">
        <w:r w:rsidRPr="00615346">
          <w:rPr>
            <w:rStyle w:val="Hyperlink"/>
          </w:rPr>
          <w:t>Workplace Safety Futures</w:t>
        </w:r>
      </w:hyperlink>
      <w:r w:rsidR="007C0D22">
        <w:t xml:space="preserve">, </w:t>
      </w:r>
      <w:r w:rsidR="007C0D22" w:rsidRPr="00615346">
        <w:rPr>
          <w:i w:val="0"/>
          <w:iCs/>
        </w:rPr>
        <w:t xml:space="preserve">accessed </w:t>
      </w:r>
      <w:r w:rsidR="00615346" w:rsidRPr="00615346">
        <w:rPr>
          <w:i w:val="0"/>
          <w:iCs/>
        </w:rPr>
        <w:t>9 November 2021</w:t>
      </w:r>
    </w:p>
  </w:footnote>
  <w:footnote w:id="2">
    <w:p w14:paraId="4B57A844" w14:textId="6E024BD3" w:rsidR="003522EF" w:rsidRPr="00D8638D" w:rsidRDefault="003522EF" w:rsidP="00D8638D">
      <w:pPr>
        <w:spacing w:before="0" w:after="0"/>
        <w:rPr>
          <w:sz w:val="16"/>
          <w:szCs w:val="16"/>
        </w:rPr>
      </w:pPr>
      <w:r>
        <w:rPr>
          <w:rStyle w:val="FootnoteReference"/>
        </w:rPr>
        <w:footnoteRef/>
      </w:r>
      <w:r>
        <w:t xml:space="preserve"> </w:t>
      </w:r>
      <w:r w:rsidRPr="00D8638D">
        <w:rPr>
          <w:sz w:val="16"/>
          <w:szCs w:val="16"/>
        </w:rPr>
        <w:t>See,</w:t>
      </w:r>
      <w:r w:rsidR="00401F7A">
        <w:rPr>
          <w:sz w:val="16"/>
          <w:szCs w:val="16"/>
        </w:rPr>
        <w:t xml:space="preserve"> </w:t>
      </w:r>
      <w:r w:rsidR="00401F7A">
        <w:rPr>
          <w:rStyle w:val="Hyperlink"/>
          <w:color w:val="auto"/>
          <w:sz w:val="16"/>
          <w:szCs w:val="16"/>
          <w:u w:val="none"/>
        </w:rPr>
        <w:t>Productivity Commission (2004</w:t>
      </w:r>
      <w:r w:rsidR="00401F7A">
        <w:rPr>
          <w:i/>
          <w:iCs/>
          <w:sz w:val="16"/>
          <w:szCs w:val="16"/>
        </w:rPr>
        <w:t>)</w:t>
      </w:r>
      <w:r w:rsidR="00401F7A" w:rsidRPr="00D8638D">
        <w:rPr>
          <w:sz w:val="16"/>
          <w:szCs w:val="16"/>
        </w:rPr>
        <w:t xml:space="preserve"> </w:t>
      </w:r>
      <w:hyperlink r:id="rId2" w:history="1">
        <w:r w:rsidR="00401F7A" w:rsidRPr="00F83C92">
          <w:rPr>
            <w:rStyle w:val="Hyperlink"/>
            <w:i/>
            <w:iCs/>
            <w:sz w:val="16"/>
            <w:szCs w:val="16"/>
          </w:rPr>
          <w:t>National Workers’ Compensation and Occupational Health and Safety Frameworks, Productivity Commission Inquiry Report</w:t>
        </w:r>
      </w:hyperlink>
      <w:r w:rsidR="00401F7A">
        <w:rPr>
          <w:sz w:val="16"/>
          <w:szCs w:val="16"/>
        </w:rPr>
        <w:t xml:space="preserve"> accessed 9 November 2021</w:t>
      </w:r>
      <w:r w:rsidR="00401F7A" w:rsidRPr="00D8638D">
        <w:rPr>
          <w:sz w:val="16"/>
          <w:szCs w:val="16"/>
        </w:rPr>
        <w:t>,</w:t>
      </w:r>
      <w:r w:rsidR="00401F7A">
        <w:rPr>
          <w:sz w:val="16"/>
          <w:szCs w:val="16"/>
        </w:rPr>
        <w:t xml:space="preserve"> </w:t>
      </w:r>
      <w:r w:rsidRPr="00D8638D">
        <w:rPr>
          <w:sz w:val="16"/>
          <w:szCs w:val="16"/>
        </w:rPr>
        <w:t xml:space="preserve"> </w:t>
      </w:r>
      <w:r w:rsidR="00690F42">
        <w:rPr>
          <w:sz w:val="16"/>
          <w:szCs w:val="16"/>
        </w:rPr>
        <w:t xml:space="preserve">Safe Work Australia, </w:t>
      </w:r>
      <w:r w:rsidRPr="008E74AB">
        <w:rPr>
          <w:i/>
          <w:iCs/>
          <w:sz w:val="16"/>
          <w:szCs w:val="16"/>
        </w:rPr>
        <w:t xml:space="preserve">The </w:t>
      </w:r>
      <w:hyperlink r:id="rId3" w:history="1">
        <w:r w:rsidRPr="008E74AB">
          <w:rPr>
            <w:rStyle w:val="Hyperlink"/>
            <w:i/>
            <w:iCs/>
            <w:sz w:val="16"/>
            <w:szCs w:val="16"/>
          </w:rPr>
          <w:t>National Workers’ Compensation Act Plan 2010-13</w:t>
        </w:r>
      </w:hyperlink>
      <w:r w:rsidR="00075CE1">
        <w:rPr>
          <w:rStyle w:val="Hyperlink"/>
          <w:color w:val="auto"/>
          <w:sz w:val="16"/>
          <w:szCs w:val="16"/>
          <w:u w:val="none"/>
        </w:rPr>
        <w:t xml:space="preserve"> accessed 9 November 2021</w:t>
      </w:r>
      <w:r w:rsidR="009B2486">
        <w:rPr>
          <w:rStyle w:val="Hyperlink"/>
          <w:color w:val="auto"/>
          <w:sz w:val="16"/>
          <w:szCs w:val="16"/>
          <w:u w:val="none"/>
        </w:rPr>
        <w:t xml:space="preserve">, </w:t>
      </w:r>
      <w:r w:rsidR="00AF11BA" w:rsidRPr="00D8638D">
        <w:rPr>
          <w:iCs/>
          <w:sz w:val="16"/>
          <w:szCs w:val="16"/>
        </w:rPr>
        <w:t>Senate Education and Employment Committees</w:t>
      </w:r>
      <w:r w:rsidR="00362190">
        <w:rPr>
          <w:iCs/>
          <w:sz w:val="16"/>
          <w:szCs w:val="16"/>
        </w:rPr>
        <w:t xml:space="preserve"> (2017)</w:t>
      </w:r>
      <w:r w:rsidR="006B5DE3">
        <w:rPr>
          <w:iCs/>
          <w:sz w:val="16"/>
          <w:szCs w:val="16"/>
        </w:rPr>
        <w:t xml:space="preserve">, </w:t>
      </w:r>
      <w:hyperlink r:id="rId4" w:history="1">
        <w:r w:rsidR="006B5DE3" w:rsidRPr="006B5DE3">
          <w:rPr>
            <w:rStyle w:val="Hyperlink"/>
            <w:i/>
            <w:sz w:val="16"/>
            <w:szCs w:val="16"/>
          </w:rPr>
          <w:t xml:space="preserve">Corporate Avoidance of the Fair Work Act </w:t>
        </w:r>
      </w:hyperlink>
      <w:r w:rsidR="006B5DE3" w:rsidRPr="006B5DE3">
        <w:rPr>
          <w:i/>
          <w:sz w:val="16"/>
          <w:szCs w:val="16"/>
        </w:rPr>
        <w:t>,</w:t>
      </w:r>
      <w:r w:rsidR="006B5DE3">
        <w:rPr>
          <w:iCs/>
          <w:sz w:val="16"/>
          <w:szCs w:val="16"/>
        </w:rPr>
        <w:t xml:space="preserve"> Chapter 8,</w:t>
      </w:r>
      <w:r w:rsidRPr="00D8638D">
        <w:rPr>
          <w:sz w:val="16"/>
          <w:szCs w:val="16"/>
        </w:rPr>
        <w:t xml:space="preserve"> </w:t>
      </w:r>
      <w:r w:rsidRPr="006B5DE3">
        <w:rPr>
          <w:iCs/>
          <w:sz w:val="16"/>
          <w:szCs w:val="16"/>
        </w:rPr>
        <w:t>The gig economy: hyper flexibility or sham contracting?</w:t>
      </w:r>
      <w:r w:rsidRPr="00D8638D">
        <w:rPr>
          <w:iCs/>
          <w:sz w:val="16"/>
          <w:szCs w:val="16"/>
        </w:rPr>
        <w:t>,</w:t>
      </w:r>
      <w:r w:rsidR="00667348">
        <w:rPr>
          <w:iCs/>
          <w:sz w:val="16"/>
          <w:szCs w:val="16"/>
        </w:rPr>
        <w:t xml:space="preserve"> accessed 9 November 2021</w:t>
      </w:r>
      <w:r w:rsidRPr="00D8638D">
        <w:rPr>
          <w:i/>
          <w:iCs/>
          <w:sz w:val="16"/>
          <w:szCs w:val="16"/>
        </w:rPr>
        <w:t>,</w:t>
      </w:r>
      <w:r w:rsidR="00F64F40">
        <w:rPr>
          <w:sz w:val="16"/>
          <w:szCs w:val="16"/>
        </w:rPr>
        <w:t xml:space="preserve"> </w:t>
      </w:r>
      <w:r w:rsidR="0068621B">
        <w:rPr>
          <w:sz w:val="16"/>
          <w:szCs w:val="16"/>
        </w:rPr>
        <w:t xml:space="preserve">Victorian Government,(2020) </w:t>
      </w:r>
      <w:r w:rsidRPr="00D8638D">
        <w:rPr>
          <w:i/>
          <w:iCs/>
          <w:sz w:val="16"/>
          <w:szCs w:val="16"/>
        </w:rPr>
        <w:t xml:space="preserve"> </w:t>
      </w:r>
      <w:hyperlink r:id="rId5" w:history="1">
        <w:r w:rsidRPr="003C4146">
          <w:rPr>
            <w:rStyle w:val="Hyperlink"/>
            <w:i/>
            <w:iCs/>
            <w:sz w:val="16"/>
            <w:szCs w:val="16"/>
          </w:rPr>
          <w:t>Inquiry into the On-Demand Workforce report,</w:t>
        </w:r>
      </w:hyperlink>
      <w:r w:rsidR="0068621B">
        <w:rPr>
          <w:sz w:val="16"/>
          <w:szCs w:val="16"/>
        </w:rPr>
        <w:t xml:space="preserve"> accessed 9 November 2021,</w:t>
      </w:r>
      <w:r w:rsidR="004D7E99">
        <w:rPr>
          <w:sz w:val="16"/>
          <w:szCs w:val="16"/>
        </w:rPr>
        <w:t xml:space="preserve"> Parliament of Australia </w:t>
      </w:r>
      <w:r w:rsidR="00E53482">
        <w:rPr>
          <w:sz w:val="16"/>
          <w:szCs w:val="16"/>
        </w:rPr>
        <w:t xml:space="preserve">(2020) </w:t>
      </w:r>
      <w:hyperlink r:id="rId6" w:history="1">
        <w:r w:rsidRPr="00CE43D8">
          <w:rPr>
            <w:rStyle w:val="Hyperlink"/>
            <w:sz w:val="16"/>
            <w:szCs w:val="16"/>
          </w:rPr>
          <w:t>Select Committee on Job Security,</w:t>
        </w:r>
      </w:hyperlink>
      <w:r w:rsidRPr="00D8638D">
        <w:rPr>
          <w:sz w:val="16"/>
          <w:szCs w:val="16"/>
        </w:rPr>
        <w:t xml:space="preserve"> </w:t>
      </w:r>
      <w:r w:rsidR="00E53482">
        <w:rPr>
          <w:sz w:val="16"/>
          <w:szCs w:val="16"/>
        </w:rPr>
        <w:t xml:space="preserve">accessed </w:t>
      </w:r>
      <w:r w:rsidR="00BB546A">
        <w:rPr>
          <w:sz w:val="16"/>
          <w:szCs w:val="16"/>
        </w:rPr>
        <w:t>9 November 2021</w:t>
      </w:r>
    </w:p>
    <w:p w14:paraId="7CDF16BC" w14:textId="77777777" w:rsidR="003522EF" w:rsidRDefault="003522EF" w:rsidP="003522EF">
      <w:pPr>
        <w:pStyle w:val="FootnoteText"/>
      </w:pPr>
    </w:p>
  </w:footnote>
  <w:footnote w:id="3">
    <w:p w14:paraId="11F9EDE9" w14:textId="23E3D322" w:rsidR="00D5165E" w:rsidRDefault="00D5165E" w:rsidP="00861581">
      <w:pPr>
        <w:pStyle w:val="FootnoteText"/>
      </w:pPr>
      <w:r>
        <w:rPr>
          <w:rStyle w:val="FootnoteReference"/>
        </w:rPr>
        <w:footnoteRef/>
      </w:r>
      <w:r>
        <w:t xml:space="preserve"> </w:t>
      </w:r>
      <w:r w:rsidR="000E54E7" w:rsidRPr="000E54E7">
        <w:rPr>
          <w:rStyle w:val="Hyperlink"/>
          <w:i w:val="0"/>
          <w:iCs/>
          <w:color w:val="auto"/>
          <w:szCs w:val="16"/>
          <w:u w:val="none"/>
        </w:rPr>
        <w:t>Productivity Commission (2004</w:t>
      </w:r>
      <w:r w:rsidR="000E54E7" w:rsidRPr="000E54E7">
        <w:rPr>
          <w:i w:val="0"/>
          <w:iCs/>
          <w:szCs w:val="16"/>
        </w:rPr>
        <w:t>)</w:t>
      </w:r>
      <w:r w:rsidR="000E54E7" w:rsidRPr="00D8638D">
        <w:rPr>
          <w:szCs w:val="16"/>
        </w:rPr>
        <w:t xml:space="preserve"> </w:t>
      </w:r>
      <w:hyperlink r:id="rId7" w:history="1">
        <w:r w:rsidR="000E54E7" w:rsidRPr="00543F47">
          <w:rPr>
            <w:rStyle w:val="Hyperlink"/>
            <w:szCs w:val="16"/>
          </w:rPr>
          <w:t>National Workers’ Compensation and Occupational Health and Safety Frameworks, Productivity Commission Inquiry Report</w:t>
        </w:r>
      </w:hyperlink>
      <w:r w:rsidR="000E54E7">
        <w:rPr>
          <w:szCs w:val="16"/>
        </w:rPr>
        <w:t xml:space="preserve"> </w:t>
      </w:r>
      <w:r w:rsidR="000E54E7" w:rsidRPr="000E54E7">
        <w:rPr>
          <w:i w:val="0"/>
          <w:iCs/>
          <w:szCs w:val="16"/>
        </w:rPr>
        <w:t>accessed 9 November 2021</w:t>
      </w:r>
      <w:r w:rsidR="000E54E7" w:rsidRPr="00D8638D">
        <w:rPr>
          <w:szCs w:val="16"/>
        </w:rPr>
        <w:t xml:space="preserve"> </w:t>
      </w:r>
    </w:p>
  </w:footnote>
  <w:footnote w:id="4">
    <w:p w14:paraId="0D7F3573" w14:textId="4CA27433" w:rsidR="00D5165E" w:rsidRPr="000E54E7" w:rsidRDefault="00D5165E" w:rsidP="00655B5B">
      <w:pPr>
        <w:pStyle w:val="FootnoteText"/>
        <w:rPr>
          <w:i w:val="0"/>
          <w:iCs/>
        </w:rPr>
      </w:pPr>
      <w:r>
        <w:rPr>
          <w:rStyle w:val="FootnoteReference"/>
        </w:rPr>
        <w:footnoteRef/>
      </w:r>
      <w:r w:rsidR="000E54E7">
        <w:t xml:space="preserve"> </w:t>
      </w:r>
      <w:r w:rsidR="000E54E7" w:rsidRPr="000E54E7">
        <w:rPr>
          <w:i w:val="0"/>
          <w:iCs/>
        </w:rPr>
        <w:t>Safe Work Australia (2019)</w:t>
      </w:r>
      <w:r w:rsidRPr="000E54E7">
        <w:rPr>
          <w:i w:val="0"/>
          <w:iCs/>
        </w:rPr>
        <w:t xml:space="preserve"> Table </w:t>
      </w:r>
      <w:r>
        <w:t>3.1a</w:t>
      </w:r>
      <w:hyperlink r:id="rId8" w:history="1">
        <w:r>
          <w:rPr>
            <w:rStyle w:val="Hyperlink"/>
          </w:rPr>
          <w:t xml:space="preserve">, </w:t>
        </w:r>
        <w:r>
          <w:rPr>
            <w:rStyle w:val="Hyperlink"/>
            <w:szCs w:val="16"/>
          </w:rPr>
          <w:t>Comparison of workers’ compensation arrangements in Australia and New Zealand 2019</w:t>
        </w:r>
      </w:hyperlink>
      <w:r w:rsidR="000E54E7">
        <w:rPr>
          <w:rStyle w:val="Hyperlink"/>
          <w:szCs w:val="16"/>
        </w:rPr>
        <w:t>,</w:t>
      </w:r>
      <w:r w:rsidR="000E54E7">
        <w:rPr>
          <w:rStyle w:val="Hyperlink"/>
          <w:i w:val="0"/>
          <w:iCs/>
          <w:color w:val="auto"/>
          <w:szCs w:val="16"/>
          <w:u w:val="none"/>
        </w:rPr>
        <w:t>accessed 9 November 2021</w:t>
      </w:r>
    </w:p>
  </w:footnote>
  <w:footnote w:id="5">
    <w:p w14:paraId="643234D2" w14:textId="31C87E9A" w:rsidR="00D5165E" w:rsidRDefault="00D5165E" w:rsidP="00655B5B">
      <w:pPr>
        <w:pStyle w:val="FootnoteText"/>
      </w:pPr>
      <w:r>
        <w:rPr>
          <w:rStyle w:val="FootnoteReference"/>
        </w:rPr>
        <w:footnoteRef/>
      </w:r>
      <w:r>
        <w:t xml:space="preserve"> </w:t>
      </w:r>
      <w:r w:rsidR="000E54E7" w:rsidRPr="000E54E7">
        <w:rPr>
          <w:i w:val="0"/>
          <w:iCs/>
        </w:rPr>
        <w:t xml:space="preserve">Safe Work Australia (2019) </w:t>
      </w:r>
      <w:r>
        <w:t>Table 3.2</w:t>
      </w:r>
      <w:hyperlink r:id="rId9" w:history="1">
        <w:r>
          <w:rPr>
            <w:rStyle w:val="Hyperlink"/>
          </w:rPr>
          <w:t xml:space="preserve">, </w:t>
        </w:r>
        <w:r>
          <w:rPr>
            <w:rStyle w:val="Hyperlink"/>
            <w:szCs w:val="16"/>
          </w:rPr>
          <w:t>Comparison of workers’ compensation arrangements in Australia and New Zealand 2019</w:t>
        </w:r>
      </w:hyperlink>
      <w:r w:rsidR="00821DE1" w:rsidRPr="00821DE1">
        <w:rPr>
          <w:i w:val="0"/>
          <w:iCs/>
        </w:rPr>
        <w:t xml:space="preserve"> </w:t>
      </w:r>
      <w:r w:rsidR="00821DE1">
        <w:rPr>
          <w:i w:val="0"/>
          <w:iCs/>
        </w:rPr>
        <w:t>accessed 9 November 2021</w:t>
      </w:r>
    </w:p>
  </w:footnote>
  <w:footnote w:id="6">
    <w:p w14:paraId="1B9D1164" w14:textId="77777777" w:rsidR="00D5165E" w:rsidRDefault="00D5165E" w:rsidP="00655B5B">
      <w:pPr>
        <w:pStyle w:val="FootnoteText"/>
      </w:pPr>
      <w:r>
        <w:rPr>
          <w:rStyle w:val="FootnoteReference"/>
        </w:rPr>
        <w:footnoteRef/>
      </w:r>
      <w:r>
        <w:t xml:space="preserve"> </w:t>
      </w:r>
      <w:r>
        <w:rPr>
          <w:i w:val="0"/>
          <w:iCs/>
          <w:color w:val="000000"/>
          <w:szCs w:val="16"/>
          <w:shd w:val="clear" w:color="auto" w:fill="FFFFFF"/>
        </w:rPr>
        <w:t>Stevens v Brodribb Sawmilling Co Pty Ltd</w:t>
      </w:r>
      <w:r>
        <w:rPr>
          <w:color w:val="000000"/>
          <w:szCs w:val="16"/>
          <w:shd w:val="clear" w:color="auto" w:fill="FFFFFF"/>
        </w:rPr>
        <w:t> </w:t>
      </w:r>
      <w:hyperlink r:id="rId10" w:tooltip="View Case" w:history="1">
        <w:r>
          <w:rPr>
            <w:rStyle w:val="Hyperlink"/>
            <w:szCs w:val="16"/>
            <w:shd w:val="clear" w:color="auto" w:fill="FFFFFF"/>
          </w:rPr>
          <w:t>[1986] HCA 1</w:t>
        </w:r>
      </w:hyperlink>
      <w:r>
        <w:rPr>
          <w:color w:val="000000"/>
          <w:szCs w:val="16"/>
          <w:shd w:val="clear" w:color="auto" w:fill="FFFFFF"/>
        </w:rPr>
        <w:t>; </w:t>
      </w:r>
      <w:hyperlink r:id="rId11" w:tooltip="View LawCiteRecord" w:history="1">
        <w:r>
          <w:rPr>
            <w:rStyle w:val="Hyperlink"/>
            <w:szCs w:val="16"/>
            <w:shd w:val="clear" w:color="auto" w:fill="FFFFFF"/>
          </w:rPr>
          <w:t>(1986) 160 CLR 16</w:t>
        </w:r>
      </w:hyperlink>
      <w:r>
        <w:rPr>
          <w:color w:val="000000"/>
          <w:szCs w:val="16"/>
          <w:shd w:val="clear" w:color="auto" w:fill="FFFFFF"/>
        </w:rPr>
        <w:t> (‘</w:t>
      </w:r>
      <w:r>
        <w:rPr>
          <w:i w:val="0"/>
          <w:iCs/>
          <w:color w:val="000000"/>
          <w:szCs w:val="16"/>
          <w:shd w:val="clear" w:color="auto" w:fill="FFFFFF"/>
        </w:rPr>
        <w:t>Stevens</w:t>
      </w:r>
      <w:r>
        <w:rPr>
          <w:color w:val="000000"/>
          <w:szCs w:val="16"/>
          <w:shd w:val="clear" w:color="auto" w:fill="FFFFFF"/>
        </w:rPr>
        <w:t>’); </w:t>
      </w:r>
      <w:r>
        <w:rPr>
          <w:i w:val="0"/>
          <w:iCs/>
          <w:color w:val="000000"/>
          <w:szCs w:val="16"/>
          <w:shd w:val="clear" w:color="auto" w:fill="FFFFFF"/>
        </w:rPr>
        <w:t>Hollis v Vabu Pty Ltd</w:t>
      </w:r>
      <w:r>
        <w:rPr>
          <w:color w:val="000000"/>
          <w:szCs w:val="16"/>
          <w:shd w:val="clear" w:color="auto" w:fill="FFFFFF"/>
        </w:rPr>
        <w:t> </w:t>
      </w:r>
      <w:hyperlink r:id="rId12" w:tooltip="View Case" w:history="1">
        <w:r>
          <w:rPr>
            <w:rStyle w:val="Hyperlink"/>
            <w:szCs w:val="16"/>
            <w:shd w:val="clear" w:color="auto" w:fill="FFFFFF"/>
          </w:rPr>
          <w:t>[2001] HCA 44</w:t>
        </w:r>
      </w:hyperlink>
      <w:r>
        <w:rPr>
          <w:color w:val="000000"/>
          <w:szCs w:val="16"/>
          <w:shd w:val="clear" w:color="auto" w:fill="FFFFFF"/>
        </w:rPr>
        <w:t>; </w:t>
      </w:r>
      <w:hyperlink r:id="rId13" w:tooltip="View LawCiteRecord" w:history="1">
        <w:r>
          <w:rPr>
            <w:rStyle w:val="Hyperlink"/>
            <w:szCs w:val="16"/>
            <w:shd w:val="clear" w:color="auto" w:fill="FFFFFF"/>
          </w:rPr>
          <w:t>(2001) 207 CLR 21</w:t>
        </w:r>
      </w:hyperlink>
      <w:r>
        <w:rPr>
          <w:color w:val="000000"/>
          <w:szCs w:val="16"/>
          <w:shd w:val="clear" w:color="auto" w:fill="FFFFFF"/>
        </w:rPr>
        <w:t> (‘</w:t>
      </w:r>
      <w:r>
        <w:rPr>
          <w:i w:val="0"/>
          <w:iCs/>
          <w:color w:val="000000"/>
          <w:szCs w:val="16"/>
          <w:shd w:val="clear" w:color="auto" w:fill="FFFFFF"/>
        </w:rPr>
        <w:t>Hollis</w:t>
      </w:r>
      <w:r>
        <w:rPr>
          <w:color w:val="000000"/>
          <w:szCs w:val="16"/>
          <w:shd w:val="clear" w:color="auto" w:fill="FFFFFF"/>
        </w:rPr>
        <w:t>’); </w:t>
      </w:r>
      <w:r>
        <w:rPr>
          <w:i w:val="0"/>
          <w:iCs/>
          <w:color w:val="000000"/>
          <w:szCs w:val="16"/>
          <w:shd w:val="clear" w:color="auto" w:fill="FFFFFF"/>
        </w:rPr>
        <w:t>Trifunovski (Appeal) </w:t>
      </w:r>
      <w:r>
        <w:rPr>
          <w:color w:val="000000"/>
          <w:szCs w:val="16"/>
          <w:shd w:val="clear" w:color="auto" w:fill="FFFFFF"/>
        </w:rPr>
        <w:t>(n </w:t>
      </w:r>
      <w:hyperlink r:id="rId14" w:anchor="_Ref400048938" w:history="1">
        <w:r>
          <w:rPr>
            <w:rStyle w:val="Hyperlink"/>
            <w:szCs w:val="16"/>
            <w:shd w:val="clear" w:color="auto" w:fill="FFFFFF"/>
          </w:rPr>
          <w:t>16</w:t>
        </w:r>
      </w:hyperlink>
      <w:r>
        <w:rPr>
          <w:color w:val="000000"/>
          <w:szCs w:val="16"/>
          <w:shd w:val="clear" w:color="auto" w:fill="FFFFFF"/>
        </w:rPr>
        <w:t>).</w:t>
      </w:r>
    </w:p>
  </w:footnote>
  <w:footnote w:id="7">
    <w:p w14:paraId="73B0EC03" w14:textId="53D9B4BD" w:rsidR="00D5165E" w:rsidRDefault="00D5165E" w:rsidP="00655B5B">
      <w:pPr>
        <w:pStyle w:val="FootnoteText"/>
      </w:pPr>
      <w:r>
        <w:rPr>
          <w:rStyle w:val="FootnoteReference"/>
        </w:rPr>
        <w:footnoteRef/>
      </w:r>
      <w:r>
        <w:t xml:space="preserve"> </w:t>
      </w:r>
      <w:r w:rsidR="00991E4A" w:rsidRPr="00991E4A">
        <w:rPr>
          <w:i w:val="0"/>
          <w:iCs/>
        </w:rPr>
        <w:t>Bomball</w:t>
      </w:r>
      <w:r w:rsidR="00BE051F">
        <w:rPr>
          <w:i w:val="0"/>
          <w:iCs/>
        </w:rPr>
        <w:t xml:space="preserve"> P</w:t>
      </w:r>
      <w:r w:rsidR="00991E4A">
        <w:rPr>
          <w:i w:val="0"/>
          <w:iCs/>
        </w:rPr>
        <w:t xml:space="preserve"> (2019)</w:t>
      </w:r>
      <w:r w:rsidR="00991E4A">
        <w:t xml:space="preserve"> </w:t>
      </w:r>
      <w:hyperlink r:id="rId15" w:history="1">
        <w:r>
          <w:rPr>
            <w:rStyle w:val="Hyperlink"/>
          </w:rPr>
          <w:t>“Statutory Norms and Common Law Concepts in the Characterisation of Contracts for the Performance of Work”</w:t>
        </w:r>
      </w:hyperlink>
      <w:r>
        <w:t xml:space="preserve"> </w:t>
      </w:r>
      <w:r w:rsidRPr="00821DE1">
        <w:rPr>
          <w:i w:val="0"/>
          <w:iCs/>
        </w:rPr>
        <w:t>Melbourne University Law Review</w:t>
      </w:r>
      <w:r w:rsidR="00821DE1">
        <w:rPr>
          <w:i w:val="0"/>
          <w:iCs/>
        </w:rPr>
        <w:t>, accessed 9 November 2021</w:t>
      </w:r>
    </w:p>
  </w:footnote>
  <w:footnote w:id="8">
    <w:p w14:paraId="6ACB4AFB" w14:textId="7A8B8514" w:rsidR="003236BD" w:rsidRDefault="003236BD" w:rsidP="003236BD">
      <w:pPr>
        <w:pStyle w:val="FootnoteText"/>
      </w:pPr>
      <w:r>
        <w:rPr>
          <w:rStyle w:val="FootnoteReference"/>
        </w:rPr>
        <w:footnoteRef/>
      </w:r>
      <w:r>
        <w:t xml:space="preserve"> </w:t>
      </w:r>
      <w:r w:rsidR="001377AC" w:rsidRPr="00514049">
        <w:rPr>
          <w:i w:val="0"/>
          <w:iCs/>
        </w:rPr>
        <w:t>Graham M, Hjorth I, Lehdonvirta V (</w:t>
      </w:r>
      <w:r w:rsidR="00514049" w:rsidRPr="00514049">
        <w:rPr>
          <w:i w:val="0"/>
          <w:iCs/>
        </w:rPr>
        <w:t xml:space="preserve">2017) </w:t>
      </w:r>
      <w:hyperlink r:id="rId16" w:history="1">
        <w:r w:rsidRPr="00D12853">
          <w:rPr>
            <w:rStyle w:val="Hyperlink"/>
          </w:rPr>
          <w:t>Digital labour and development: impacts of global digital labour platforms and the gig economy on worker livelihoods</w:t>
        </w:r>
      </w:hyperlink>
      <w:r>
        <w:t xml:space="preserve">, </w:t>
      </w:r>
      <w:r w:rsidRPr="00514049">
        <w:rPr>
          <w:i w:val="0"/>
          <w:iCs/>
        </w:rPr>
        <w:t>University of Oxford,</w:t>
      </w:r>
      <w:r>
        <w:t xml:space="preserve"> accessed 28 April 2021</w:t>
      </w:r>
    </w:p>
  </w:footnote>
  <w:footnote w:id="9">
    <w:p w14:paraId="77A1F175" w14:textId="39E33189" w:rsidR="00295CF5" w:rsidRDefault="00295CF5" w:rsidP="00295CF5">
      <w:pPr>
        <w:pStyle w:val="FootnoteText"/>
        <w:rPr>
          <w:i w:val="0"/>
          <w:iCs/>
          <w:szCs w:val="16"/>
        </w:rPr>
      </w:pPr>
      <w:r>
        <w:rPr>
          <w:rStyle w:val="FootnoteReference"/>
          <w:i w:val="0"/>
          <w:iCs/>
          <w:szCs w:val="16"/>
        </w:rPr>
        <w:footnoteRef/>
      </w:r>
      <w:r>
        <w:rPr>
          <w:i w:val="0"/>
          <w:iCs/>
          <w:szCs w:val="16"/>
        </w:rPr>
        <w:t xml:space="preserve"> </w:t>
      </w:r>
      <w:r w:rsidR="00514049" w:rsidRPr="00514049">
        <w:rPr>
          <w:i w:val="0"/>
          <w:szCs w:val="16"/>
        </w:rPr>
        <w:t>Senate Education and Employment Committees (2017),</w:t>
      </w:r>
      <w:r w:rsidR="00514049" w:rsidRPr="00514049">
        <w:rPr>
          <w:iCs/>
          <w:szCs w:val="16"/>
        </w:rPr>
        <w:t xml:space="preserve"> </w:t>
      </w:r>
      <w:hyperlink r:id="rId17" w:history="1">
        <w:r w:rsidR="00514049" w:rsidRPr="00514049">
          <w:rPr>
            <w:rStyle w:val="Hyperlink"/>
            <w:iCs/>
            <w:szCs w:val="16"/>
          </w:rPr>
          <w:t xml:space="preserve">Corporate Avoidance of the Fair Work Act </w:t>
        </w:r>
      </w:hyperlink>
      <w:r w:rsidR="00514049" w:rsidRPr="006B5DE3">
        <w:rPr>
          <w:i w:val="0"/>
          <w:szCs w:val="16"/>
        </w:rPr>
        <w:t>,</w:t>
      </w:r>
      <w:r w:rsidR="00514049">
        <w:rPr>
          <w:iCs/>
          <w:szCs w:val="16"/>
        </w:rPr>
        <w:t xml:space="preserve"> </w:t>
      </w:r>
      <w:r w:rsidR="00514049" w:rsidRPr="00514049">
        <w:rPr>
          <w:i w:val="0"/>
          <w:szCs w:val="16"/>
        </w:rPr>
        <w:t>Chapter 8, The gig economy: hyper flexibility or sham contracting?, accessed 9 November 2021</w:t>
      </w:r>
    </w:p>
  </w:footnote>
  <w:footnote w:id="10">
    <w:p w14:paraId="76872EFE" w14:textId="24E42C24" w:rsidR="00D5165E" w:rsidRPr="00A333EF" w:rsidRDefault="00D5165E" w:rsidP="00E35B02">
      <w:pPr>
        <w:pStyle w:val="FootnoteText"/>
        <w:rPr>
          <w:i w:val="0"/>
          <w:iCs/>
        </w:rPr>
      </w:pPr>
      <w:r>
        <w:rPr>
          <w:rStyle w:val="FootnoteReference"/>
        </w:rPr>
        <w:footnoteRef/>
      </w:r>
      <w:r>
        <w:t xml:space="preserve"> </w:t>
      </w:r>
      <w:r w:rsidR="00514049" w:rsidRPr="00A333EF">
        <w:rPr>
          <w:i w:val="0"/>
          <w:iCs/>
        </w:rPr>
        <w:t>Safe Work Australia (2019)</w:t>
      </w:r>
      <w:r w:rsidR="00A333EF">
        <w:rPr>
          <w:i w:val="0"/>
          <w:iCs/>
        </w:rPr>
        <w:t>,</w:t>
      </w:r>
      <w:r w:rsidR="00514049" w:rsidRPr="00A333EF">
        <w:rPr>
          <w:i w:val="0"/>
          <w:iCs/>
        </w:rPr>
        <w:t xml:space="preserve"> </w:t>
      </w:r>
      <w:hyperlink r:id="rId18" w:history="1">
        <w:r w:rsidRPr="007569D1">
          <w:rPr>
            <w:rStyle w:val="Hyperlink"/>
            <w:i w:val="0"/>
            <w:iCs/>
          </w:rPr>
          <w:t>Table 3.15</w:t>
        </w:r>
        <w:r w:rsidRPr="007569D1">
          <w:rPr>
            <w:rStyle w:val="Hyperlink"/>
          </w:rPr>
          <w:t xml:space="preserve">, </w:t>
        </w:r>
        <w:r w:rsidRPr="007569D1">
          <w:rPr>
            <w:rStyle w:val="Hyperlink"/>
            <w:szCs w:val="16"/>
          </w:rPr>
          <w:t>Comparison of workers’ compensation arrangements in Australia and New Zealand 2019</w:t>
        </w:r>
      </w:hyperlink>
      <w:r w:rsidR="00A333EF">
        <w:rPr>
          <w:rStyle w:val="Hyperlink"/>
          <w:szCs w:val="16"/>
        </w:rPr>
        <w:t xml:space="preserve"> </w:t>
      </w:r>
      <w:r w:rsidR="00A333EF">
        <w:rPr>
          <w:rStyle w:val="Hyperlink"/>
          <w:i w:val="0"/>
          <w:iCs/>
          <w:color w:val="auto"/>
          <w:szCs w:val="16"/>
          <w:u w:val="none"/>
        </w:rPr>
        <w:t>accessed 9 November 2021</w:t>
      </w:r>
    </w:p>
  </w:footnote>
  <w:footnote w:id="11">
    <w:p w14:paraId="35C5D1C1" w14:textId="59B71F93" w:rsidR="00D5165E" w:rsidRPr="00D02E59" w:rsidRDefault="00D5165E" w:rsidP="00E35B02">
      <w:pPr>
        <w:pStyle w:val="FootnoteText"/>
        <w:rPr>
          <w:i w:val="0"/>
          <w:iCs/>
          <w:szCs w:val="16"/>
        </w:rPr>
      </w:pPr>
      <w:r w:rsidRPr="00966515">
        <w:rPr>
          <w:rStyle w:val="FootnoteReference"/>
          <w:i w:val="0"/>
          <w:iCs/>
          <w:szCs w:val="16"/>
        </w:rPr>
        <w:footnoteRef/>
      </w:r>
      <w:r w:rsidRPr="00966515">
        <w:rPr>
          <w:i w:val="0"/>
          <w:iCs/>
          <w:szCs w:val="16"/>
        </w:rPr>
        <w:t xml:space="preserve"> section 100</w:t>
      </w:r>
      <w:r w:rsidR="00465F7B">
        <w:rPr>
          <w:i w:val="0"/>
          <w:iCs/>
          <w:szCs w:val="16"/>
        </w:rPr>
        <w:t>,</w:t>
      </w:r>
      <w:r w:rsidRPr="00966515">
        <w:rPr>
          <w:i w:val="0"/>
          <w:iCs/>
          <w:szCs w:val="16"/>
        </w:rPr>
        <w:t xml:space="preserve"> </w:t>
      </w:r>
      <w:hyperlink r:id="rId19" w:history="1">
        <w:r w:rsidRPr="00433A72">
          <w:rPr>
            <w:rStyle w:val="Hyperlink"/>
            <w:szCs w:val="16"/>
          </w:rPr>
          <w:t>Safety Rehabilitation and Compensation Act 1988</w:t>
        </w:r>
      </w:hyperlink>
      <w:r w:rsidR="00B235DE">
        <w:rPr>
          <w:rStyle w:val="Hyperlink"/>
          <w:szCs w:val="16"/>
        </w:rPr>
        <w:t xml:space="preserve"> (Cth)</w:t>
      </w:r>
      <w:r w:rsidR="00D02E59">
        <w:rPr>
          <w:rStyle w:val="Hyperlink"/>
          <w:szCs w:val="16"/>
        </w:rPr>
        <w:t xml:space="preserve">, </w:t>
      </w:r>
      <w:r w:rsidR="00D02E59">
        <w:rPr>
          <w:rStyle w:val="Hyperlink"/>
          <w:i w:val="0"/>
          <w:iCs/>
          <w:color w:val="auto"/>
          <w:szCs w:val="16"/>
          <w:u w:val="none"/>
        </w:rPr>
        <w:t>accessed 9 November 2021</w:t>
      </w:r>
    </w:p>
  </w:footnote>
  <w:footnote w:id="12">
    <w:p w14:paraId="195571FD" w14:textId="2F3F35EB" w:rsidR="00A250D3" w:rsidRDefault="00A250D3" w:rsidP="00A250D3">
      <w:pPr>
        <w:pStyle w:val="FootnoteText"/>
        <w:rPr>
          <w:i w:val="0"/>
          <w:iCs/>
          <w:szCs w:val="16"/>
        </w:rPr>
      </w:pPr>
      <w:r>
        <w:rPr>
          <w:rStyle w:val="FootnoteReference"/>
          <w:i w:val="0"/>
          <w:iCs/>
          <w:szCs w:val="16"/>
        </w:rPr>
        <w:footnoteRef/>
      </w:r>
      <w:r>
        <w:rPr>
          <w:i w:val="0"/>
          <w:iCs/>
          <w:szCs w:val="16"/>
        </w:rPr>
        <w:t xml:space="preserve"> </w:t>
      </w:r>
      <w:r w:rsidR="003835F1" w:rsidRPr="003835F1">
        <w:rPr>
          <w:i w:val="0"/>
          <w:iCs/>
          <w:szCs w:val="16"/>
        </w:rPr>
        <w:t>Victorian Government,(2020)</w:t>
      </w:r>
      <w:r w:rsidR="003835F1">
        <w:rPr>
          <w:szCs w:val="16"/>
        </w:rPr>
        <w:t xml:space="preserve"> </w:t>
      </w:r>
      <w:hyperlink r:id="rId20" w:history="1">
        <w:r w:rsidR="003835F1" w:rsidRPr="003C4146">
          <w:rPr>
            <w:rStyle w:val="Hyperlink"/>
            <w:iCs/>
            <w:szCs w:val="16"/>
          </w:rPr>
          <w:t>Inquiry into the On-Demand Workforce report,</w:t>
        </w:r>
      </w:hyperlink>
      <w:r w:rsidR="003835F1">
        <w:rPr>
          <w:szCs w:val="16"/>
        </w:rPr>
        <w:t xml:space="preserve"> </w:t>
      </w:r>
      <w:r w:rsidR="003835F1" w:rsidRPr="003835F1">
        <w:rPr>
          <w:i w:val="0"/>
          <w:iCs/>
          <w:szCs w:val="16"/>
        </w:rPr>
        <w:t>accessed 9 November 2021</w:t>
      </w:r>
    </w:p>
  </w:footnote>
  <w:footnote w:id="13">
    <w:p w14:paraId="25E0475B" w14:textId="4B023DB5" w:rsidR="007A0E71" w:rsidRDefault="007A0E71" w:rsidP="007A0E71">
      <w:pPr>
        <w:pStyle w:val="FootnoteText"/>
        <w:rPr>
          <w:i w:val="0"/>
          <w:iCs/>
          <w:szCs w:val="16"/>
        </w:rPr>
      </w:pPr>
      <w:r>
        <w:rPr>
          <w:rStyle w:val="FootnoteReference"/>
          <w:i w:val="0"/>
          <w:iCs/>
          <w:szCs w:val="16"/>
        </w:rPr>
        <w:footnoteRef/>
      </w:r>
      <w:r>
        <w:rPr>
          <w:i w:val="0"/>
          <w:iCs/>
          <w:szCs w:val="16"/>
        </w:rPr>
        <w:t xml:space="preserve"> </w:t>
      </w:r>
      <w:r w:rsidR="00656CE2">
        <w:rPr>
          <w:i w:val="0"/>
          <w:iCs/>
          <w:szCs w:val="16"/>
        </w:rPr>
        <w:t>Actuaries Institute</w:t>
      </w:r>
      <w:r w:rsidR="009D7FE1">
        <w:rPr>
          <w:i w:val="0"/>
          <w:iCs/>
          <w:szCs w:val="16"/>
        </w:rPr>
        <w:t xml:space="preserve"> </w:t>
      </w:r>
      <w:r w:rsidR="00656CE2">
        <w:rPr>
          <w:i w:val="0"/>
          <w:iCs/>
          <w:szCs w:val="16"/>
        </w:rPr>
        <w:t>(2020)</w:t>
      </w:r>
      <w:r w:rsidR="00656CE2">
        <w:t xml:space="preserve"> </w:t>
      </w:r>
      <w:hyperlink r:id="rId21" w:history="1">
        <w:r w:rsidRPr="00367983">
          <w:rPr>
            <w:rStyle w:val="Hyperlink"/>
            <w:i w:val="0"/>
            <w:iCs/>
            <w:szCs w:val="16"/>
          </w:rPr>
          <w:t>The Rise of the Gig Economy and its impact on the Australian Workforce</w:t>
        </w:r>
      </w:hyperlink>
      <w:r w:rsidR="009D7FE1">
        <w:rPr>
          <w:i w:val="0"/>
          <w:iCs/>
          <w:szCs w:val="16"/>
        </w:rPr>
        <w:t>, Green Paper,</w:t>
      </w:r>
      <w:r w:rsidR="00656CE2">
        <w:rPr>
          <w:i w:val="0"/>
          <w:iCs/>
          <w:szCs w:val="16"/>
        </w:rPr>
        <w:t xml:space="preserve"> accessed 9 November 2021</w:t>
      </w:r>
    </w:p>
  </w:footnote>
  <w:footnote w:id="14">
    <w:p w14:paraId="2CACCF1D" w14:textId="37104BD6" w:rsidR="00117872" w:rsidRDefault="00117872" w:rsidP="00117872">
      <w:pPr>
        <w:pStyle w:val="FootnoteText"/>
      </w:pPr>
      <w:r>
        <w:rPr>
          <w:rStyle w:val="FootnoteReference"/>
        </w:rPr>
        <w:footnoteRef/>
      </w:r>
      <w:r w:rsidR="00FA0E76">
        <w:rPr>
          <w:i w:val="0"/>
          <w:iCs/>
          <w:szCs w:val="16"/>
        </w:rPr>
        <w:t xml:space="preserve">Mayes R, </w:t>
      </w:r>
      <w:r w:rsidR="00131E8C">
        <w:rPr>
          <w:i w:val="0"/>
          <w:iCs/>
          <w:szCs w:val="16"/>
        </w:rPr>
        <w:t>McDonald P,</w:t>
      </w:r>
      <w:r w:rsidR="00FA0E76">
        <w:rPr>
          <w:i w:val="0"/>
          <w:iCs/>
          <w:szCs w:val="16"/>
        </w:rPr>
        <w:t xml:space="preserve"> Oliver D, Stewart A,</w:t>
      </w:r>
      <w:r w:rsidR="00131E8C">
        <w:rPr>
          <w:i w:val="0"/>
          <w:iCs/>
          <w:szCs w:val="16"/>
        </w:rPr>
        <w:t xml:space="preserve"> Williams P</w:t>
      </w:r>
      <w:r w:rsidR="00FA0E76">
        <w:rPr>
          <w:i w:val="0"/>
          <w:iCs/>
          <w:szCs w:val="16"/>
        </w:rPr>
        <w:t xml:space="preserve"> </w:t>
      </w:r>
      <w:r w:rsidR="009D7FE1">
        <w:rPr>
          <w:i w:val="0"/>
          <w:iCs/>
          <w:szCs w:val="16"/>
        </w:rPr>
        <w:t>(20</w:t>
      </w:r>
      <w:r w:rsidR="009A3C50">
        <w:rPr>
          <w:i w:val="0"/>
          <w:iCs/>
          <w:szCs w:val="16"/>
        </w:rPr>
        <w:t>19</w:t>
      </w:r>
      <w:r w:rsidR="009D7FE1">
        <w:rPr>
          <w:i w:val="0"/>
          <w:iCs/>
          <w:szCs w:val="16"/>
        </w:rPr>
        <w:t>)</w:t>
      </w:r>
      <w:r>
        <w:t xml:space="preserve"> </w:t>
      </w:r>
      <w:hyperlink r:id="rId22" w:history="1">
        <w:r w:rsidRPr="00314188">
          <w:rPr>
            <w:rStyle w:val="Hyperlink"/>
            <w:i w:val="0"/>
            <w:iCs/>
            <w:szCs w:val="16"/>
          </w:rPr>
          <w:t>Digital Platform Work in Australia, Prevalence, Nature and Impact</w:t>
        </w:r>
      </w:hyperlink>
      <w:r w:rsidR="00FA0E76">
        <w:rPr>
          <w:rStyle w:val="Hyperlink"/>
          <w:i w:val="0"/>
          <w:iCs/>
          <w:szCs w:val="16"/>
        </w:rPr>
        <w:t>,</w:t>
      </w:r>
      <w:r w:rsidR="005D5A1D">
        <w:rPr>
          <w:rStyle w:val="Hyperlink"/>
          <w:i w:val="0"/>
          <w:iCs/>
          <w:szCs w:val="16"/>
        </w:rPr>
        <w:t xml:space="preserve"> </w:t>
      </w:r>
      <w:r w:rsidR="005D5A1D">
        <w:rPr>
          <w:rStyle w:val="Hyperlink"/>
          <w:i w:val="0"/>
          <w:iCs/>
          <w:color w:val="auto"/>
          <w:szCs w:val="16"/>
          <w:u w:val="none"/>
        </w:rPr>
        <w:t>University of Adelaide, University of Technology Sydney, QUT</w:t>
      </w:r>
      <w:r w:rsidR="009D7FE1">
        <w:rPr>
          <w:i w:val="0"/>
          <w:iCs/>
          <w:szCs w:val="16"/>
        </w:rPr>
        <w:t xml:space="preserve"> accessed 9 November 2021</w:t>
      </w:r>
    </w:p>
  </w:footnote>
  <w:footnote w:id="15">
    <w:p w14:paraId="7C925FAD" w14:textId="28AD516E" w:rsidR="00117872" w:rsidRDefault="00117872" w:rsidP="00117872">
      <w:pPr>
        <w:pStyle w:val="FootnoteText"/>
      </w:pPr>
      <w:r>
        <w:rPr>
          <w:rStyle w:val="FootnoteReference"/>
        </w:rPr>
        <w:footnoteRef/>
      </w:r>
      <w:r>
        <w:t xml:space="preserve"> </w:t>
      </w:r>
      <w:r w:rsidR="008F7B66" w:rsidRPr="00E450F4">
        <w:rPr>
          <w:i w:val="0"/>
          <w:iCs/>
        </w:rPr>
        <w:t>Fair Work Ombudsman</w:t>
      </w:r>
      <w:r w:rsidR="00E450F4" w:rsidRPr="00E450F4">
        <w:rPr>
          <w:i w:val="0"/>
          <w:iCs/>
        </w:rPr>
        <w:t xml:space="preserve"> (n.d.)</w:t>
      </w:r>
      <w:r w:rsidR="008F7B66" w:rsidRPr="00E450F4">
        <w:t xml:space="preserve"> </w:t>
      </w:r>
      <w:hyperlink r:id="rId23" w:history="1">
        <w:r w:rsidR="00C3269E" w:rsidRPr="00C3269E">
          <w:rPr>
            <w:rStyle w:val="Hyperlink"/>
          </w:rPr>
          <w:t>Gig Economy</w:t>
        </w:r>
      </w:hyperlink>
      <w:r w:rsidR="00C3269E">
        <w:rPr>
          <w:i w:val="0"/>
          <w:iCs/>
        </w:rPr>
        <w:t xml:space="preserve"> accessed 9 November 2021</w:t>
      </w:r>
      <w:r w:rsidR="00C3269E">
        <w:t xml:space="preserve"> </w:t>
      </w:r>
    </w:p>
  </w:footnote>
  <w:footnote w:id="16">
    <w:p w14:paraId="166D6F61" w14:textId="34F31320" w:rsidR="00117872" w:rsidRDefault="00117872" w:rsidP="00117872">
      <w:pPr>
        <w:pStyle w:val="FootnoteText"/>
      </w:pPr>
      <w:r>
        <w:rPr>
          <w:rStyle w:val="FootnoteReference"/>
        </w:rPr>
        <w:footnoteRef/>
      </w:r>
      <w:r>
        <w:t xml:space="preserve"> </w:t>
      </w:r>
      <w:r w:rsidR="00EF74F4">
        <w:rPr>
          <w:szCs w:val="16"/>
        </w:rPr>
        <w:t xml:space="preserve">Parliament of Australia (2020) </w:t>
      </w:r>
      <w:hyperlink r:id="rId24" w:history="1">
        <w:r w:rsidR="00EF74F4" w:rsidRPr="00CE43D8">
          <w:rPr>
            <w:rStyle w:val="Hyperlink"/>
            <w:szCs w:val="16"/>
          </w:rPr>
          <w:t>Select Committee on Job Security,</w:t>
        </w:r>
      </w:hyperlink>
      <w:r w:rsidR="006F7801">
        <w:rPr>
          <w:rStyle w:val="Hyperlink"/>
          <w:szCs w:val="16"/>
        </w:rPr>
        <w:t xml:space="preserve"> </w:t>
      </w:r>
      <w:r w:rsidR="006F7801" w:rsidRPr="006F7801">
        <w:rPr>
          <w:i w:val="0"/>
          <w:iCs/>
          <w:szCs w:val="16"/>
        </w:rPr>
        <w:t>Uber submission</w:t>
      </w:r>
      <w:r w:rsidR="006F7801">
        <w:rPr>
          <w:i w:val="0"/>
          <w:iCs/>
          <w:szCs w:val="16"/>
        </w:rPr>
        <w:t>,</w:t>
      </w:r>
      <w:r w:rsidR="00EF74F4" w:rsidRPr="00D8638D">
        <w:rPr>
          <w:szCs w:val="16"/>
        </w:rPr>
        <w:t xml:space="preserve"> </w:t>
      </w:r>
      <w:r w:rsidR="00EF74F4" w:rsidRPr="006F7801">
        <w:rPr>
          <w:i w:val="0"/>
          <w:iCs/>
          <w:szCs w:val="16"/>
        </w:rPr>
        <w:t>accessed 9 November 2021</w:t>
      </w:r>
    </w:p>
  </w:footnote>
  <w:footnote w:id="17">
    <w:p w14:paraId="79C2C0DF" w14:textId="5CEC81E8" w:rsidR="00545C63" w:rsidRPr="006418B5" w:rsidRDefault="00545C63">
      <w:pPr>
        <w:pStyle w:val="FootnoteText"/>
        <w:rPr>
          <w:i w:val="0"/>
          <w:iCs/>
        </w:rPr>
      </w:pPr>
      <w:r>
        <w:rPr>
          <w:rStyle w:val="FootnoteReference"/>
        </w:rPr>
        <w:footnoteRef/>
      </w:r>
      <w:r>
        <w:t xml:space="preserve"> </w:t>
      </w:r>
      <w:r w:rsidR="006418B5" w:rsidRPr="006418B5">
        <w:rPr>
          <w:i w:val="0"/>
          <w:iCs/>
        </w:rPr>
        <w:t>Barr N, Kancan R (2020)</w:t>
      </w:r>
      <w:r w:rsidR="006418B5">
        <w:t xml:space="preserve"> </w:t>
      </w:r>
      <w:hyperlink r:id="rId25" w:history="1">
        <w:r w:rsidR="00E325F7" w:rsidRPr="006418B5">
          <w:rPr>
            <w:rStyle w:val="Hyperlink"/>
          </w:rPr>
          <w:t xml:space="preserve">Trends in the Australian Agricultural Workforce – What can data from the census of population and housing </w:t>
        </w:r>
        <w:r w:rsidR="00BC3861" w:rsidRPr="006418B5">
          <w:rPr>
            <w:rStyle w:val="Hyperlink"/>
          </w:rPr>
          <w:t>tell us about changes in agricultural employment?,</w:t>
        </w:r>
      </w:hyperlink>
      <w:r w:rsidR="006418B5">
        <w:rPr>
          <w:i w:val="0"/>
          <w:iCs/>
        </w:rPr>
        <w:t>Department of Agriculture Water and the Environment accessed 9 November 2021</w:t>
      </w:r>
    </w:p>
  </w:footnote>
  <w:footnote w:id="18">
    <w:p w14:paraId="1B464BBF" w14:textId="70D24EF5" w:rsidR="002B227E" w:rsidRDefault="002B227E" w:rsidP="002B227E">
      <w:pPr>
        <w:pStyle w:val="FootnoteText"/>
      </w:pPr>
      <w:r>
        <w:rPr>
          <w:rStyle w:val="FootnoteReference"/>
        </w:rPr>
        <w:footnoteRef/>
      </w:r>
      <w:r>
        <w:t xml:space="preserve"> </w:t>
      </w:r>
      <w:r w:rsidR="00AD6496">
        <w:t>Safe Work Australia</w:t>
      </w:r>
      <w:r w:rsidR="00A003CB">
        <w:t>, 2018-2019</w:t>
      </w:r>
      <w:r w:rsidR="00AD6496">
        <w:t xml:space="preserve"> </w:t>
      </w:r>
      <w:hyperlink r:id="rId26" w:history="1">
        <w:r w:rsidRPr="00F93B76">
          <w:rPr>
            <w:rStyle w:val="Hyperlink"/>
          </w:rPr>
          <w:t>Australian Workers’ Compensation Statistics,</w:t>
        </w:r>
      </w:hyperlink>
      <w:r w:rsidR="00F93B76">
        <w:rPr>
          <w:i w:val="0"/>
          <w:iCs/>
        </w:rPr>
        <w:t>accessed 9 November 2021</w:t>
      </w:r>
      <w:r>
        <w:t xml:space="preserve"> </w:t>
      </w:r>
    </w:p>
  </w:footnote>
  <w:footnote w:id="19">
    <w:p w14:paraId="72D4AA96" w14:textId="048EA129" w:rsidR="002B227E" w:rsidRPr="005B5913" w:rsidRDefault="002B227E" w:rsidP="002B227E">
      <w:pPr>
        <w:pStyle w:val="FootnoteText"/>
        <w:rPr>
          <w:i w:val="0"/>
          <w:iCs/>
        </w:rPr>
      </w:pPr>
      <w:r>
        <w:rPr>
          <w:rStyle w:val="FootnoteReference"/>
        </w:rPr>
        <w:footnoteRef/>
      </w:r>
      <w:r>
        <w:t xml:space="preserve"> </w:t>
      </w:r>
      <w:r w:rsidR="005B5913">
        <w:rPr>
          <w:i w:val="0"/>
          <w:iCs/>
        </w:rPr>
        <w:t xml:space="preserve">Attorney General’s Department (2019) </w:t>
      </w:r>
      <w:hyperlink r:id="rId27" w:history="1">
        <w:r w:rsidRPr="00F02B1B">
          <w:rPr>
            <w:rStyle w:val="Hyperlink"/>
          </w:rPr>
          <w:t>Report of the Migrant Workers’ Taskforce</w:t>
        </w:r>
      </w:hyperlink>
      <w:r>
        <w:t xml:space="preserve">, </w:t>
      </w:r>
      <w:r w:rsidRPr="005B5913">
        <w:rPr>
          <w:i w:val="0"/>
          <w:iCs/>
        </w:rPr>
        <w:t>Commonwealth Government</w:t>
      </w:r>
      <w:r w:rsidR="005B5913">
        <w:rPr>
          <w:i w:val="0"/>
          <w:iCs/>
        </w:rPr>
        <w:t>, accessed 9 November 2021</w:t>
      </w:r>
    </w:p>
  </w:footnote>
  <w:footnote w:id="20">
    <w:p w14:paraId="306E75F8" w14:textId="09B6CA1F" w:rsidR="005333C2" w:rsidRPr="00DB4208" w:rsidRDefault="005333C2">
      <w:pPr>
        <w:pStyle w:val="FootnoteText"/>
        <w:rPr>
          <w:i w:val="0"/>
          <w:iCs/>
        </w:rPr>
      </w:pPr>
      <w:r>
        <w:rPr>
          <w:rStyle w:val="FootnoteReference"/>
        </w:rPr>
        <w:footnoteRef/>
      </w:r>
      <w:r>
        <w:t xml:space="preserve"> See </w:t>
      </w:r>
      <w:hyperlink r:id="rId28" w:history="1">
        <w:r w:rsidRPr="00DB4208">
          <w:rPr>
            <w:rStyle w:val="Hyperlink"/>
          </w:rPr>
          <w:t>Manthe v BHP Billiton Iron Ore Pty Ltd</w:t>
        </w:r>
      </w:hyperlink>
      <w:r>
        <w:t xml:space="preserve"> </w:t>
      </w:r>
      <w:r w:rsidR="00840EE2">
        <w:t>[</w:t>
      </w:r>
      <w:r w:rsidR="00840EE2" w:rsidRPr="00DB4208">
        <w:rPr>
          <w:i w:val="0"/>
          <w:iCs/>
        </w:rPr>
        <w:t>2011] WADC</w:t>
      </w:r>
      <w:r w:rsidR="00DB4208" w:rsidRPr="00DB4208">
        <w:rPr>
          <w:i w:val="0"/>
          <w:iCs/>
        </w:rPr>
        <w:t xml:space="preserve"> 160</w:t>
      </w:r>
      <w:r w:rsidR="00840EE2">
        <w:t xml:space="preserve">; </w:t>
      </w:r>
      <w:hyperlink r:id="rId29" w:history="1">
        <w:r w:rsidR="00840EE2" w:rsidRPr="002F4C3D">
          <w:rPr>
            <w:rStyle w:val="Hyperlink"/>
          </w:rPr>
          <w:t>Singh v Taj (Sydney) Pty Limited</w:t>
        </w:r>
      </w:hyperlink>
      <w:r w:rsidR="00840EE2">
        <w:t xml:space="preserve"> [</w:t>
      </w:r>
      <w:r w:rsidR="00840EE2" w:rsidRPr="00DB4208">
        <w:rPr>
          <w:i w:val="0"/>
          <w:iCs/>
        </w:rPr>
        <w:t>2006</w:t>
      </w:r>
      <w:r w:rsidR="00FB369A" w:rsidRPr="00DB4208">
        <w:rPr>
          <w:i w:val="0"/>
          <w:iCs/>
        </w:rPr>
        <w:t>] NSWCA 330</w:t>
      </w:r>
    </w:p>
  </w:footnote>
  <w:footnote w:id="21">
    <w:p w14:paraId="30063969" w14:textId="39E9C6AD" w:rsidR="00525F35" w:rsidRDefault="00525F35">
      <w:pPr>
        <w:pStyle w:val="FootnoteText"/>
      </w:pPr>
      <w:r w:rsidRPr="00DB4208">
        <w:rPr>
          <w:rStyle w:val="FootnoteReference"/>
          <w:i w:val="0"/>
          <w:iCs/>
        </w:rPr>
        <w:footnoteRef/>
      </w:r>
      <w:r w:rsidRPr="00DB4208">
        <w:rPr>
          <w:i w:val="0"/>
          <w:iCs/>
        </w:rPr>
        <w:t xml:space="preserve"> </w:t>
      </w:r>
      <w:hyperlink r:id="rId30" w:history="1">
        <w:r w:rsidR="002F4C3D" w:rsidRPr="008E2CDD">
          <w:rPr>
            <w:rStyle w:val="Hyperlink"/>
            <w:i w:val="0"/>
            <w:iCs/>
          </w:rPr>
          <w:t>[</w:t>
        </w:r>
        <w:r w:rsidRPr="008E2CDD">
          <w:rPr>
            <w:rStyle w:val="Hyperlink"/>
            <w:i w:val="0"/>
            <w:iCs/>
            <w:szCs w:val="22"/>
          </w:rPr>
          <w:t xml:space="preserve">2004] QCA </w:t>
        </w:r>
        <w:r w:rsidR="008E2CDD" w:rsidRPr="008E2CDD">
          <w:rPr>
            <w:rStyle w:val="Hyperlink"/>
            <w:i w:val="0"/>
            <w:iCs/>
            <w:szCs w:val="22"/>
          </w:rPr>
          <w:t>147</w:t>
        </w:r>
      </w:hyperlink>
    </w:p>
  </w:footnote>
  <w:footnote w:id="22">
    <w:p w14:paraId="7452EAB6" w14:textId="14291736" w:rsidR="00637B84" w:rsidRDefault="00637B84">
      <w:pPr>
        <w:pStyle w:val="FootnoteText"/>
      </w:pPr>
      <w:r>
        <w:rPr>
          <w:rStyle w:val="FootnoteReference"/>
        </w:rPr>
        <w:footnoteRef/>
      </w:r>
      <w:r>
        <w:t xml:space="preserve"> </w:t>
      </w:r>
      <w:r w:rsidR="00E17BAA">
        <w:t xml:space="preserve">See - </w:t>
      </w:r>
      <w:r w:rsidR="00046B84" w:rsidRPr="00046B84">
        <w:rPr>
          <w:i w:val="0"/>
          <w:iCs/>
        </w:rPr>
        <w:t>Department of Agriculture, Water and the Environment</w:t>
      </w:r>
      <w:r w:rsidR="00E65068">
        <w:rPr>
          <w:i w:val="0"/>
          <w:iCs/>
        </w:rPr>
        <w:t xml:space="preserve"> (2021)</w:t>
      </w:r>
      <w:r w:rsidR="00046B84">
        <w:t xml:space="preserve"> </w:t>
      </w:r>
      <w:hyperlink r:id="rId31" w:history="1">
        <w:r w:rsidR="00013457" w:rsidRPr="00E17BAA">
          <w:rPr>
            <w:rStyle w:val="Hyperlink"/>
          </w:rPr>
          <w:t>Agricultural overview: September quarter 2021</w:t>
        </w:r>
      </w:hyperlink>
      <w:r w:rsidR="00013457">
        <w:t xml:space="preserve">, </w:t>
      </w:r>
      <w:r w:rsidR="008D335F">
        <w:t xml:space="preserve"> </w:t>
      </w:r>
      <w:r w:rsidR="008D335F" w:rsidRPr="008D335F">
        <w:rPr>
          <w:i w:val="0"/>
          <w:iCs/>
        </w:rPr>
        <w:t>The Guardian (2021)</w:t>
      </w:r>
      <w:r w:rsidR="008D335F">
        <w:t xml:space="preserve"> </w:t>
      </w:r>
      <w:hyperlink r:id="rId32" w:history="1">
        <w:r w:rsidR="00E40308" w:rsidRPr="00602687">
          <w:rPr>
            <w:rStyle w:val="Hyperlink"/>
          </w:rPr>
          <w:t>Australia’s farmers set for record $70bn year – but labour shortages and Covid rules threaten harvest,</w:t>
        </w:r>
      </w:hyperlink>
      <w:r w:rsidR="00E40308">
        <w:t xml:space="preserve">, </w:t>
      </w:r>
      <w:r w:rsidR="008D335F">
        <w:t>accessed 9 November 2021</w:t>
      </w:r>
    </w:p>
  </w:footnote>
  <w:footnote w:id="23">
    <w:p w14:paraId="473B03FB" w14:textId="7BBCFDD5" w:rsidR="00AA5F21" w:rsidRDefault="00AA5F21">
      <w:pPr>
        <w:pStyle w:val="FootnoteText"/>
      </w:pPr>
      <w:r>
        <w:rPr>
          <w:rStyle w:val="FootnoteReference"/>
        </w:rPr>
        <w:footnoteRef/>
      </w:r>
      <w:r>
        <w:t xml:space="preserve"> </w:t>
      </w:r>
      <w:r w:rsidR="00890FF2">
        <w:rPr>
          <w:i w:val="0"/>
          <w:iCs/>
        </w:rPr>
        <w:t>Goldacre L, Guthrie R, Westaway J (</w:t>
      </w:r>
      <w:r w:rsidR="0051085C">
        <w:rPr>
          <w:i w:val="0"/>
          <w:iCs/>
        </w:rPr>
        <w:t xml:space="preserve">2007) </w:t>
      </w:r>
      <w:hyperlink r:id="rId33" w:history="1">
        <w:r w:rsidR="009D6315" w:rsidRPr="000E4B6F">
          <w:rPr>
            <w:rStyle w:val="Hyperlink"/>
          </w:rPr>
          <w:t>Workers’ Compensation and Occupational Health and Safety in the Australian Agriculture Industry,</w:t>
        </w:r>
      </w:hyperlink>
      <w:r w:rsidR="009D6315">
        <w:t xml:space="preserve"> </w:t>
      </w:r>
      <w:r w:rsidR="009D6315" w:rsidRPr="0010570C">
        <w:rPr>
          <w:i w:val="0"/>
          <w:iCs/>
        </w:rPr>
        <w:t>School of Business Law Curtin University of Technology</w:t>
      </w:r>
      <w:r w:rsidR="000A4BBD">
        <w:t>,</w:t>
      </w:r>
      <w:r w:rsidR="00903F0F">
        <w:t xml:space="preserve"> </w:t>
      </w:r>
      <w:r w:rsidR="00903F0F" w:rsidRPr="00903F0F">
        <w:rPr>
          <w:i w:val="0"/>
          <w:iCs/>
        </w:rPr>
        <w:t>CSIRO</w:t>
      </w:r>
      <w:r w:rsidR="00903F0F">
        <w:rPr>
          <w:i w:val="0"/>
          <w:iCs/>
        </w:rPr>
        <w:t xml:space="preserve"> &amp;</w:t>
      </w:r>
      <w:r w:rsidR="00903F0F" w:rsidRPr="00903F0F">
        <w:rPr>
          <w:i w:val="0"/>
          <w:iCs/>
        </w:rPr>
        <w:t xml:space="preserve"> Data 61</w:t>
      </w:r>
      <w:r w:rsidR="00903F0F">
        <w:rPr>
          <w:i w:val="0"/>
          <w:iCs/>
        </w:rPr>
        <w:t xml:space="preserve"> (2019)</w:t>
      </w:r>
      <w:r w:rsidR="000856AC">
        <w:t xml:space="preserve"> </w:t>
      </w:r>
      <w:hyperlink r:id="rId34" w:history="1">
        <w:r w:rsidR="000856AC" w:rsidRPr="005A6610">
          <w:rPr>
            <w:rStyle w:val="Hyperlink"/>
          </w:rPr>
          <w:t>The Future of Australia’s Agriculture Workforce</w:t>
        </w:r>
      </w:hyperlink>
      <w:r w:rsidR="000856AC">
        <w:t>,</w:t>
      </w:r>
      <w:r w:rsidR="00903F0F" w:rsidRPr="00903F0F">
        <w:rPr>
          <w:i w:val="0"/>
          <w:iCs/>
        </w:rPr>
        <w:t xml:space="preserve"> </w:t>
      </w:r>
      <w:r w:rsidR="00903F0F">
        <w:rPr>
          <w:i w:val="0"/>
          <w:iCs/>
        </w:rPr>
        <w:t>Queensland Farmers Federation</w:t>
      </w:r>
      <w:r w:rsidR="000856AC" w:rsidRPr="00903F0F">
        <w:rPr>
          <w:i w:val="0"/>
          <w:iCs/>
        </w:rPr>
        <w:t xml:space="preserve">, </w:t>
      </w:r>
      <w:r w:rsidR="00903F0F" w:rsidRPr="00903F0F">
        <w:rPr>
          <w:i w:val="0"/>
          <w:iCs/>
        </w:rPr>
        <w:t>accessed 9 November 2021</w:t>
      </w:r>
    </w:p>
  </w:footnote>
  <w:footnote w:id="24">
    <w:p w14:paraId="63A13247" w14:textId="497CCEF3" w:rsidR="002B227E" w:rsidRDefault="002B227E" w:rsidP="002B227E">
      <w:pPr>
        <w:pStyle w:val="FootnoteText"/>
      </w:pPr>
      <w:r>
        <w:rPr>
          <w:rStyle w:val="FootnoteReference"/>
        </w:rPr>
        <w:footnoteRef/>
      </w:r>
      <w:r>
        <w:t xml:space="preserve"> </w:t>
      </w:r>
      <w:r w:rsidR="005A6610">
        <w:rPr>
          <w:i w:val="0"/>
          <w:iCs/>
        </w:rPr>
        <w:t xml:space="preserve">Goldacre L, Guthrie R, Westaway J (2007) </w:t>
      </w:r>
      <w:hyperlink r:id="rId35" w:history="1">
        <w:r w:rsidR="005A6610" w:rsidRPr="000E4B6F">
          <w:rPr>
            <w:rStyle w:val="Hyperlink"/>
          </w:rPr>
          <w:t>Workers’ Compensation and Occupational Health and Safety in the Australian Agriculture Industry,</w:t>
        </w:r>
      </w:hyperlink>
      <w:r w:rsidR="005A6610">
        <w:t xml:space="preserve"> </w:t>
      </w:r>
      <w:r w:rsidR="005A6610" w:rsidRPr="0010570C">
        <w:rPr>
          <w:i w:val="0"/>
          <w:iCs/>
        </w:rPr>
        <w:t>School of Business Law Curtin University of Technology</w:t>
      </w:r>
    </w:p>
  </w:footnote>
  <w:footnote w:id="25">
    <w:p w14:paraId="48692CBB" w14:textId="277EDF76" w:rsidR="00355212" w:rsidRDefault="00355212">
      <w:pPr>
        <w:pStyle w:val="FootnoteText"/>
      </w:pPr>
      <w:r>
        <w:rPr>
          <w:rStyle w:val="FootnoteReference"/>
        </w:rPr>
        <w:footnoteRef/>
      </w:r>
      <w:r>
        <w:t xml:space="preserve"> </w:t>
      </w:r>
      <w:r w:rsidR="00C21E4D" w:rsidRPr="001A114D">
        <w:rPr>
          <w:i w:val="0"/>
          <w:iCs/>
        </w:rPr>
        <w:t xml:space="preserve">Safe Work Australia, </w:t>
      </w:r>
      <w:r w:rsidR="001A114D" w:rsidRPr="001A114D">
        <w:rPr>
          <w:i w:val="0"/>
          <w:iCs/>
        </w:rPr>
        <w:t>(2021)</w:t>
      </w:r>
      <w:r w:rsidR="001A114D">
        <w:t xml:space="preserve"> </w:t>
      </w:r>
      <w:hyperlink r:id="rId36" w:history="1">
        <w:r w:rsidR="00047CAB" w:rsidRPr="001A114D">
          <w:rPr>
            <w:rStyle w:val="Hyperlink"/>
          </w:rPr>
          <w:t>Comparative Performance Monitoring Report,</w:t>
        </w:r>
        <w:r w:rsidR="00047CAB" w:rsidRPr="001A114D">
          <w:rPr>
            <w:rStyle w:val="Hyperlink"/>
            <w:i w:val="0"/>
            <w:iCs/>
          </w:rPr>
          <w:t xml:space="preserve"> Part 3</w:t>
        </w:r>
        <w:r w:rsidR="003D0C8B" w:rsidRPr="001A114D">
          <w:rPr>
            <w:rStyle w:val="Hyperlink"/>
            <w:i w:val="0"/>
            <w:iCs/>
          </w:rPr>
          <w:t xml:space="preserve"> – Premiums, Entitlements and Scheme Performance, 22</w:t>
        </w:r>
        <w:r w:rsidR="003D0C8B" w:rsidRPr="001A114D">
          <w:rPr>
            <w:rStyle w:val="Hyperlink"/>
            <w:i w:val="0"/>
            <w:iCs/>
            <w:vertAlign w:val="superscript"/>
          </w:rPr>
          <w:t>nd</w:t>
        </w:r>
        <w:r w:rsidR="003D0C8B" w:rsidRPr="001A114D">
          <w:rPr>
            <w:rStyle w:val="Hyperlink"/>
            <w:i w:val="0"/>
            <w:iCs/>
          </w:rPr>
          <w:t xml:space="preserve"> Edition</w:t>
        </w:r>
      </w:hyperlink>
      <w:r w:rsidR="003D0C8B" w:rsidRPr="001A114D">
        <w:rPr>
          <w:i w:val="0"/>
          <w:iCs/>
        </w:rPr>
        <w:t xml:space="preserve">, </w:t>
      </w:r>
      <w:r w:rsidR="001A114D" w:rsidRPr="001A114D">
        <w:rPr>
          <w:i w:val="0"/>
          <w:iCs/>
        </w:rPr>
        <w:t>accessed 9 November 2021</w:t>
      </w:r>
    </w:p>
  </w:footnote>
  <w:footnote w:id="26">
    <w:p w14:paraId="338D30A5" w14:textId="77777777" w:rsidR="00882DA3" w:rsidRPr="00D8638D" w:rsidRDefault="00430332" w:rsidP="00882DA3">
      <w:pPr>
        <w:spacing w:before="0" w:after="0"/>
        <w:rPr>
          <w:sz w:val="16"/>
          <w:szCs w:val="16"/>
        </w:rPr>
      </w:pPr>
      <w:r>
        <w:rPr>
          <w:rStyle w:val="FootnoteReference"/>
        </w:rPr>
        <w:footnoteRef/>
      </w:r>
      <w:r>
        <w:t xml:space="preserve"> </w:t>
      </w:r>
      <w:r w:rsidRPr="00D8638D">
        <w:rPr>
          <w:sz w:val="16"/>
          <w:szCs w:val="16"/>
        </w:rPr>
        <w:t xml:space="preserve">See, </w:t>
      </w:r>
      <w:r w:rsidR="00882DA3">
        <w:rPr>
          <w:rStyle w:val="Hyperlink"/>
          <w:color w:val="auto"/>
          <w:sz w:val="16"/>
          <w:szCs w:val="16"/>
          <w:u w:val="none"/>
        </w:rPr>
        <w:t>Productivity Commission (2004</w:t>
      </w:r>
      <w:r w:rsidR="00882DA3">
        <w:rPr>
          <w:i/>
          <w:iCs/>
          <w:sz w:val="16"/>
          <w:szCs w:val="16"/>
        </w:rPr>
        <w:t>)</w:t>
      </w:r>
      <w:r w:rsidR="00882DA3" w:rsidRPr="00D8638D">
        <w:rPr>
          <w:sz w:val="16"/>
          <w:szCs w:val="16"/>
        </w:rPr>
        <w:t xml:space="preserve"> </w:t>
      </w:r>
      <w:hyperlink r:id="rId37" w:history="1">
        <w:r w:rsidR="00882DA3" w:rsidRPr="00F83C92">
          <w:rPr>
            <w:rStyle w:val="Hyperlink"/>
            <w:i/>
            <w:iCs/>
            <w:sz w:val="16"/>
            <w:szCs w:val="16"/>
          </w:rPr>
          <w:t>National Workers’ Compensation and Occupational Health and Safety Frameworks, Productivity Commission Inquiry Report</w:t>
        </w:r>
      </w:hyperlink>
      <w:r w:rsidR="00882DA3">
        <w:rPr>
          <w:sz w:val="16"/>
          <w:szCs w:val="16"/>
        </w:rPr>
        <w:t xml:space="preserve"> accessed 9 November 2021</w:t>
      </w:r>
      <w:r w:rsidR="00882DA3" w:rsidRPr="00D8638D">
        <w:rPr>
          <w:sz w:val="16"/>
          <w:szCs w:val="16"/>
        </w:rPr>
        <w:t>,</w:t>
      </w:r>
      <w:r w:rsidR="00882DA3">
        <w:rPr>
          <w:sz w:val="16"/>
          <w:szCs w:val="16"/>
        </w:rPr>
        <w:t xml:space="preserve"> </w:t>
      </w:r>
      <w:r w:rsidR="00882DA3" w:rsidRPr="00D8638D">
        <w:rPr>
          <w:sz w:val="16"/>
          <w:szCs w:val="16"/>
        </w:rPr>
        <w:t xml:space="preserve"> </w:t>
      </w:r>
      <w:r w:rsidR="00882DA3">
        <w:rPr>
          <w:sz w:val="16"/>
          <w:szCs w:val="16"/>
        </w:rPr>
        <w:t xml:space="preserve">Safe Work Australia, </w:t>
      </w:r>
      <w:r w:rsidR="00882DA3" w:rsidRPr="008E74AB">
        <w:rPr>
          <w:i/>
          <w:iCs/>
          <w:sz w:val="16"/>
          <w:szCs w:val="16"/>
        </w:rPr>
        <w:t xml:space="preserve">The </w:t>
      </w:r>
      <w:hyperlink r:id="rId38" w:history="1">
        <w:r w:rsidR="00882DA3" w:rsidRPr="008E74AB">
          <w:rPr>
            <w:rStyle w:val="Hyperlink"/>
            <w:i/>
            <w:iCs/>
            <w:sz w:val="16"/>
            <w:szCs w:val="16"/>
          </w:rPr>
          <w:t>National Workers’ Compensation Act Plan 2010-13</w:t>
        </w:r>
      </w:hyperlink>
      <w:r w:rsidR="00882DA3">
        <w:rPr>
          <w:rStyle w:val="Hyperlink"/>
          <w:color w:val="auto"/>
          <w:sz w:val="16"/>
          <w:szCs w:val="16"/>
          <w:u w:val="none"/>
        </w:rPr>
        <w:t xml:space="preserve"> accessed 9 November 2021, </w:t>
      </w:r>
      <w:r w:rsidR="00882DA3" w:rsidRPr="00D8638D">
        <w:rPr>
          <w:iCs/>
          <w:sz w:val="16"/>
          <w:szCs w:val="16"/>
        </w:rPr>
        <w:t>Senate Education and Employment Committees</w:t>
      </w:r>
      <w:r w:rsidR="00882DA3">
        <w:rPr>
          <w:iCs/>
          <w:sz w:val="16"/>
          <w:szCs w:val="16"/>
        </w:rPr>
        <w:t xml:space="preserve"> (2017), </w:t>
      </w:r>
      <w:hyperlink r:id="rId39" w:history="1">
        <w:r w:rsidR="00882DA3" w:rsidRPr="006B5DE3">
          <w:rPr>
            <w:rStyle w:val="Hyperlink"/>
            <w:i/>
            <w:sz w:val="16"/>
            <w:szCs w:val="16"/>
          </w:rPr>
          <w:t xml:space="preserve">Corporate Avoidance of the Fair Work Act </w:t>
        </w:r>
      </w:hyperlink>
      <w:r w:rsidR="00882DA3" w:rsidRPr="006B5DE3">
        <w:rPr>
          <w:i/>
          <w:sz w:val="16"/>
          <w:szCs w:val="16"/>
        </w:rPr>
        <w:t>,</w:t>
      </w:r>
      <w:r w:rsidR="00882DA3">
        <w:rPr>
          <w:iCs/>
          <w:sz w:val="16"/>
          <w:szCs w:val="16"/>
        </w:rPr>
        <w:t xml:space="preserve"> Chapter 8,</w:t>
      </w:r>
      <w:r w:rsidR="00882DA3" w:rsidRPr="00D8638D">
        <w:rPr>
          <w:sz w:val="16"/>
          <w:szCs w:val="16"/>
        </w:rPr>
        <w:t xml:space="preserve"> </w:t>
      </w:r>
      <w:r w:rsidR="00882DA3" w:rsidRPr="006B5DE3">
        <w:rPr>
          <w:iCs/>
          <w:sz w:val="16"/>
          <w:szCs w:val="16"/>
        </w:rPr>
        <w:t>The gig economy: hyper flexibility or sham contracting?</w:t>
      </w:r>
      <w:r w:rsidR="00882DA3" w:rsidRPr="00D8638D">
        <w:rPr>
          <w:iCs/>
          <w:sz w:val="16"/>
          <w:szCs w:val="16"/>
        </w:rPr>
        <w:t>,</w:t>
      </w:r>
      <w:r w:rsidR="00882DA3">
        <w:rPr>
          <w:iCs/>
          <w:sz w:val="16"/>
          <w:szCs w:val="16"/>
        </w:rPr>
        <w:t xml:space="preserve"> accessed 9 November 2021</w:t>
      </w:r>
      <w:r w:rsidR="00882DA3" w:rsidRPr="00D8638D">
        <w:rPr>
          <w:i/>
          <w:iCs/>
          <w:sz w:val="16"/>
          <w:szCs w:val="16"/>
        </w:rPr>
        <w:t>,</w:t>
      </w:r>
      <w:r w:rsidR="00882DA3">
        <w:rPr>
          <w:sz w:val="16"/>
          <w:szCs w:val="16"/>
        </w:rPr>
        <w:t xml:space="preserve"> Victorian Government,(2020) </w:t>
      </w:r>
      <w:r w:rsidR="00882DA3" w:rsidRPr="00D8638D">
        <w:rPr>
          <w:i/>
          <w:iCs/>
          <w:sz w:val="16"/>
          <w:szCs w:val="16"/>
        </w:rPr>
        <w:t xml:space="preserve"> </w:t>
      </w:r>
      <w:hyperlink r:id="rId40" w:history="1">
        <w:r w:rsidR="00882DA3" w:rsidRPr="003C4146">
          <w:rPr>
            <w:rStyle w:val="Hyperlink"/>
            <w:i/>
            <w:iCs/>
            <w:sz w:val="16"/>
            <w:szCs w:val="16"/>
          </w:rPr>
          <w:t>Inquiry into the On-Demand Workforce report,</w:t>
        </w:r>
      </w:hyperlink>
      <w:r w:rsidR="00882DA3">
        <w:rPr>
          <w:sz w:val="16"/>
          <w:szCs w:val="16"/>
        </w:rPr>
        <w:t xml:space="preserve"> accessed 9 November 2021, Parliament of Australia (2020) </w:t>
      </w:r>
      <w:hyperlink r:id="rId41" w:history="1">
        <w:r w:rsidR="00882DA3" w:rsidRPr="00CE43D8">
          <w:rPr>
            <w:rStyle w:val="Hyperlink"/>
            <w:sz w:val="16"/>
            <w:szCs w:val="16"/>
          </w:rPr>
          <w:t>Select Committee on Job Security,</w:t>
        </w:r>
      </w:hyperlink>
      <w:r w:rsidR="00882DA3" w:rsidRPr="00D8638D">
        <w:rPr>
          <w:sz w:val="16"/>
          <w:szCs w:val="16"/>
        </w:rPr>
        <w:t xml:space="preserve"> </w:t>
      </w:r>
      <w:r w:rsidR="00882DA3">
        <w:rPr>
          <w:sz w:val="16"/>
          <w:szCs w:val="16"/>
        </w:rPr>
        <w:t>accessed 9 November 2021</w:t>
      </w:r>
    </w:p>
    <w:p w14:paraId="3FD2A489" w14:textId="4A8FEEA6" w:rsidR="00430332" w:rsidRPr="00D8638D" w:rsidRDefault="00430332" w:rsidP="00430332">
      <w:pPr>
        <w:spacing w:before="0" w:after="0"/>
        <w:rPr>
          <w:sz w:val="16"/>
          <w:szCs w:val="16"/>
        </w:rPr>
      </w:pPr>
    </w:p>
    <w:p w14:paraId="0EFEF04B" w14:textId="77777777" w:rsidR="00430332" w:rsidRDefault="00430332" w:rsidP="004303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8A6D2" w14:textId="4E29CA83" w:rsidR="00D5165E" w:rsidRDefault="00D5165E">
    <w:pPr>
      <w:pStyle w:val="Header"/>
    </w:pPr>
    <w:r>
      <w:rPr>
        <w:noProof/>
      </w:rPr>
      <w:drawing>
        <wp:anchor distT="0" distB="0" distL="114300" distR="114300" simplePos="0" relativeHeight="251656704" behindDoc="1" locked="0" layoutInCell="1" allowOverlap="1" wp14:anchorId="48CCDEFA" wp14:editId="14D2C6D6">
          <wp:simplePos x="0" y="0"/>
          <wp:positionH relativeFrom="page">
            <wp:align>right</wp:align>
          </wp:positionH>
          <wp:positionV relativeFrom="page">
            <wp:align>top</wp:align>
          </wp:positionV>
          <wp:extent cx="7548245" cy="10687050"/>
          <wp:effectExtent l="0" t="0" r="0" b="0"/>
          <wp:wrapNone/>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6"/>
                  <a:stretch/>
                </pic:blipFill>
                <pic:spPr bwMode="auto">
                  <a:xfrm>
                    <a:off x="0" y="0"/>
                    <a:ext cx="7548785" cy="1068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4A6F3" w14:textId="313C2678" w:rsidR="00D5165E" w:rsidRDefault="00D5165E">
    <w:pPr>
      <w:pStyle w:val="Header"/>
    </w:pPr>
  </w:p>
  <w:p w14:paraId="01A5780C" w14:textId="76AF7FB8" w:rsidR="00D5165E" w:rsidRDefault="00D51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917A" w14:textId="77777777" w:rsidR="00D5165E" w:rsidRDefault="00D5165E">
    <w:pPr>
      <w:pStyle w:val="Header"/>
    </w:pPr>
  </w:p>
  <w:p w14:paraId="16FFBE74" w14:textId="77777777" w:rsidR="00D5165E" w:rsidRDefault="00D5165E">
    <w:pPr>
      <w:pStyle w:val="Header"/>
    </w:pPr>
  </w:p>
  <w:p w14:paraId="6C3A2667" w14:textId="77777777" w:rsidR="00D5165E" w:rsidRDefault="00D516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57255" w14:textId="371876CD" w:rsidR="00D5165E" w:rsidRDefault="00D5165E">
    <w:pPr>
      <w:pStyle w:val="Header"/>
    </w:pPr>
    <w:r>
      <w:rPr>
        <w:noProof/>
      </w:rPr>
      <w:drawing>
        <wp:anchor distT="0" distB="0" distL="114300" distR="114300" simplePos="0" relativeHeight="251657728" behindDoc="1" locked="0" layoutInCell="1" allowOverlap="1" wp14:anchorId="40926DD7" wp14:editId="45485A88">
          <wp:simplePos x="0" y="0"/>
          <wp:positionH relativeFrom="page">
            <wp:posOffset>0</wp:posOffset>
          </wp:positionH>
          <wp:positionV relativeFrom="paragraph">
            <wp:posOffset>-448310</wp:posOffset>
          </wp:positionV>
          <wp:extent cx="7562215" cy="1971675"/>
          <wp:effectExtent l="0" t="0" r="63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
                    <a:extLst>
                      <a:ext uri="{28A0092B-C50C-407E-A947-70E740481C1C}">
                        <a14:useLocalDpi xmlns:a14="http://schemas.microsoft.com/office/drawing/2010/main" val="0"/>
                      </a:ext>
                    </a:extLst>
                  </a:blip>
                  <a:srcRect t="1" b="81567"/>
                  <a:stretch/>
                </pic:blipFill>
                <pic:spPr bwMode="auto">
                  <a:xfrm>
                    <a:off x="0" y="0"/>
                    <a:ext cx="7562829" cy="197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D6DC626A"/>
    <w:lvl w:ilvl="0">
      <w:start w:val="1"/>
      <w:numFmt w:val="decimal"/>
      <w:pStyle w:val="ListNumber"/>
      <w:lvlText w:val="%1."/>
      <w:lvlJc w:val="left"/>
      <w:pPr>
        <w:ind w:left="644" w:hanging="360"/>
      </w:pPr>
      <w:rPr>
        <w:rFonts w:ascii="Arial" w:hAnsi="Arial" w:cs="Arial" w:hint="default"/>
        <w:b w:val="0"/>
        <w:bCs w:val="0"/>
        <w:color w:val="auto"/>
        <w:sz w:val="20"/>
        <w:szCs w:val="20"/>
      </w:rPr>
    </w:lvl>
    <w:lvl w:ilvl="1">
      <w:start w:val="1"/>
      <w:numFmt w:val="lowerLetter"/>
      <w:lvlText w:val="%2."/>
      <w:lvlJc w:val="left"/>
      <w:pPr>
        <w:ind w:left="1080" w:hanging="360"/>
      </w:pPr>
    </w:lvl>
    <w:lvl w:ilvl="2">
      <w:start w:val="30"/>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4AD6CBB"/>
    <w:multiLevelType w:val="hybridMultilevel"/>
    <w:tmpl w:val="247E6D26"/>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 w15:restartNumberingAfterBreak="0">
    <w:nsid w:val="16641DF2"/>
    <w:multiLevelType w:val="hybridMultilevel"/>
    <w:tmpl w:val="BC464A36"/>
    <w:lvl w:ilvl="0" w:tplc="28861A24">
      <w:start w:val="1"/>
      <w:numFmt w:val="decimal"/>
      <w:pStyle w:val="numberedpara"/>
      <w:lvlText w:val="%1."/>
      <w:lvlJc w:val="right"/>
      <w:pPr>
        <w:tabs>
          <w:tab w:val="num" w:pos="1134"/>
        </w:tabs>
        <w:ind w:left="567" w:hanging="567"/>
      </w:pPr>
      <w:rPr>
        <w:rFonts w:ascii="Arial" w:hAnsi="Arial" w:cs="Arial" w:hint="default"/>
        <w:b w:val="0"/>
        <w:i w:val="0"/>
        <w:color w:val="auto"/>
        <w:sz w:val="22"/>
      </w:rPr>
    </w:lvl>
    <w:lvl w:ilvl="1" w:tplc="0C090003">
      <w:start w:val="1"/>
      <w:numFmt w:val="bullet"/>
      <w:lvlText w:val="o"/>
      <w:lvlJc w:val="left"/>
      <w:pPr>
        <w:tabs>
          <w:tab w:val="num" w:pos="1440"/>
        </w:tabs>
        <w:ind w:left="1440" w:hanging="360"/>
      </w:pPr>
      <w:rPr>
        <w:rFonts w:ascii="Courier New" w:hAnsi="Courier New" w:cs="Courier New" w:hint="default"/>
        <w:b w:val="0"/>
        <w:i w:val="0"/>
        <w:color w:val="auto"/>
        <w:sz w:val="22"/>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rPr>
        <w:b w:val="0"/>
        <w:i w:val="0"/>
        <w:color w:val="auto"/>
        <w:sz w:val="22"/>
      </w:r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 w15:restartNumberingAfterBreak="0">
    <w:nsid w:val="2C9462EE"/>
    <w:multiLevelType w:val="multilevel"/>
    <w:tmpl w:val="62E2D546"/>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4C70783"/>
    <w:multiLevelType w:val="hybridMultilevel"/>
    <w:tmpl w:val="908A633C"/>
    <w:lvl w:ilvl="0" w:tplc="CB004196">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B3761BC"/>
    <w:multiLevelType w:val="hybridMultilevel"/>
    <w:tmpl w:val="547207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8E103CE"/>
    <w:multiLevelType w:val="hybridMultilevel"/>
    <w:tmpl w:val="632A9F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BD9508F"/>
    <w:multiLevelType w:val="hybridMultilevel"/>
    <w:tmpl w:val="5526E6E4"/>
    <w:lvl w:ilvl="0" w:tplc="1CD46BB4">
      <w:start w:val="1"/>
      <w:numFmt w:val="lowerLetter"/>
      <w:pStyle w:val="ListNumber2"/>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3A92024"/>
    <w:multiLevelType w:val="hybridMultilevel"/>
    <w:tmpl w:val="DAE0726A"/>
    <w:lvl w:ilvl="0" w:tplc="F63E2BF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860C30"/>
    <w:multiLevelType w:val="hybridMultilevel"/>
    <w:tmpl w:val="938CFB1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7D15675E"/>
    <w:multiLevelType w:val="hybridMultilevel"/>
    <w:tmpl w:val="F47E0E50"/>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2" w15:restartNumberingAfterBreak="0">
    <w:nsid w:val="7D5209D7"/>
    <w:multiLevelType w:val="hybridMultilevel"/>
    <w:tmpl w:val="3DDEC6C0"/>
    <w:lvl w:ilvl="0" w:tplc="64CC7384">
      <w:start w:val="1"/>
      <w:numFmt w:val="decimal"/>
      <w:lvlText w:val="%1."/>
      <w:lvlJc w:val="left"/>
      <w:pPr>
        <w:ind w:left="360" w:hanging="360"/>
      </w:pPr>
      <w:rPr>
        <w:rFonts w:ascii="Arial" w:hAnsi="Arial" w:cs="Arial"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ECD56B4"/>
    <w:multiLevelType w:val="hybridMultilevel"/>
    <w:tmpl w:val="A4F0F898"/>
    <w:lvl w:ilvl="0" w:tplc="0E60C6E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3"/>
  </w:num>
  <w:num w:numId="5">
    <w:abstractNumId w:val="0"/>
  </w:num>
  <w:num w:numId="6">
    <w:abstractNumId w:val="11"/>
  </w:num>
  <w:num w:numId="7">
    <w:abstractNumId w:val="8"/>
  </w:num>
  <w:num w:numId="8">
    <w:abstractNumId w:val="4"/>
  </w:num>
  <w:num w:numId="9">
    <w:abstractNumId w:val="1"/>
  </w:num>
  <w:num w:numId="10">
    <w:abstractNumId w:val="8"/>
    <w:lvlOverride w:ilvl="0">
      <w:startOverride w:val="1"/>
    </w:lvlOverride>
  </w:num>
  <w:num w:numId="11">
    <w:abstractNumId w:val="0"/>
    <w:lvlOverride w:ilvl="0">
      <w:startOverride w:val="1"/>
    </w:lvlOverride>
  </w:num>
  <w:num w:numId="12">
    <w:abstractNumId w:val="12"/>
  </w:num>
  <w:num w:numId="13">
    <w:abstractNumId w:val="3"/>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startOverride w:val="1"/>
    </w:lvlOverride>
    <w:lvlOverride w:ilvl="2">
      <w:startOverride w:val="3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0"/>
    <w:lvlOverride w:ilvl="0">
      <w:startOverride w:val="1"/>
    </w:lvlOverride>
    <w:lvlOverride w:ilvl="1">
      <w:startOverride w:val="1"/>
    </w:lvlOverride>
    <w:lvlOverride w:ilvl="2">
      <w:startOverride w:val="3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num>
  <w:num w:numId="25">
    <w:abstractNumId w:val="0"/>
  </w:num>
  <w:num w:numId="26">
    <w:abstractNumId w:val="2"/>
  </w:num>
  <w:num w:numId="27">
    <w:abstractNumId w:val="0"/>
  </w:num>
  <w:num w:numId="28">
    <w:abstractNumId w:val="0"/>
    <w:lvlOverride w:ilvl="0">
      <w:startOverride w:val="1"/>
    </w:lvlOverride>
    <w:lvlOverride w:ilvl="1">
      <w:startOverride w:val="1"/>
    </w:lvlOverride>
    <w:lvlOverride w:ilvl="2">
      <w:startOverride w:val="3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0"/>
    <w:lvlOverride w:ilvl="0">
      <w:startOverride w:val="1"/>
    </w:lvlOverride>
    <w:lvlOverride w:ilvl="1">
      <w:startOverride w:val="1"/>
    </w:lvlOverride>
    <w:lvlOverride w:ilvl="2">
      <w:startOverride w:val="3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startOverride w:val="1"/>
    </w:lvlOverride>
    <w:lvlOverride w:ilvl="1">
      <w:startOverride w:val="1"/>
    </w:lvlOverride>
    <w:lvlOverride w:ilvl="2">
      <w:startOverride w:val="3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SortMethod w:val="0000"/>
  <w:styleLockThem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402"/>
    <w:rsid w:val="00001AE8"/>
    <w:rsid w:val="00001B37"/>
    <w:rsid w:val="00001E55"/>
    <w:rsid w:val="00003AB0"/>
    <w:rsid w:val="00003B9C"/>
    <w:rsid w:val="00006F9B"/>
    <w:rsid w:val="000077C1"/>
    <w:rsid w:val="000100D5"/>
    <w:rsid w:val="0001216F"/>
    <w:rsid w:val="00013457"/>
    <w:rsid w:val="00013897"/>
    <w:rsid w:val="0001390F"/>
    <w:rsid w:val="00013B1B"/>
    <w:rsid w:val="000147E7"/>
    <w:rsid w:val="00017AF6"/>
    <w:rsid w:val="000228EB"/>
    <w:rsid w:val="000232D8"/>
    <w:rsid w:val="000241E2"/>
    <w:rsid w:val="00024BC5"/>
    <w:rsid w:val="00026B30"/>
    <w:rsid w:val="00027678"/>
    <w:rsid w:val="00027913"/>
    <w:rsid w:val="00030324"/>
    <w:rsid w:val="000303F9"/>
    <w:rsid w:val="000307A1"/>
    <w:rsid w:val="000330BB"/>
    <w:rsid w:val="00033325"/>
    <w:rsid w:val="00033B3D"/>
    <w:rsid w:val="000355F7"/>
    <w:rsid w:val="0003602B"/>
    <w:rsid w:val="00036D07"/>
    <w:rsid w:val="00037572"/>
    <w:rsid w:val="000416E2"/>
    <w:rsid w:val="00041BAC"/>
    <w:rsid w:val="00041C8E"/>
    <w:rsid w:val="0004210A"/>
    <w:rsid w:val="00042462"/>
    <w:rsid w:val="000426FA"/>
    <w:rsid w:val="0004291A"/>
    <w:rsid w:val="00042D53"/>
    <w:rsid w:val="00042D8F"/>
    <w:rsid w:val="00043CC0"/>
    <w:rsid w:val="000448EA"/>
    <w:rsid w:val="000456E6"/>
    <w:rsid w:val="000466F0"/>
    <w:rsid w:val="00046B84"/>
    <w:rsid w:val="00046EB9"/>
    <w:rsid w:val="00047613"/>
    <w:rsid w:val="00047CAB"/>
    <w:rsid w:val="00050940"/>
    <w:rsid w:val="00051A40"/>
    <w:rsid w:val="00051D39"/>
    <w:rsid w:val="00051EEF"/>
    <w:rsid w:val="000528B6"/>
    <w:rsid w:val="00052A4C"/>
    <w:rsid w:val="0005583E"/>
    <w:rsid w:val="00057997"/>
    <w:rsid w:val="000601A3"/>
    <w:rsid w:val="00064172"/>
    <w:rsid w:val="000652F2"/>
    <w:rsid w:val="00066791"/>
    <w:rsid w:val="00070FFD"/>
    <w:rsid w:val="00071997"/>
    <w:rsid w:val="0007323E"/>
    <w:rsid w:val="0007595A"/>
    <w:rsid w:val="00075CE1"/>
    <w:rsid w:val="0007630E"/>
    <w:rsid w:val="00076670"/>
    <w:rsid w:val="00076D07"/>
    <w:rsid w:val="00076E0A"/>
    <w:rsid w:val="0007764B"/>
    <w:rsid w:val="00077DE9"/>
    <w:rsid w:val="0008126B"/>
    <w:rsid w:val="000829EC"/>
    <w:rsid w:val="00083377"/>
    <w:rsid w:val="0008424B"/>
    <w:rsid w:val="0008449D"/>
    <w:rsid w:val="00084655"/>
    <w:rsid w:val="00084798"/>
    <w:rsid w:val="000856AC"/>
    <w:rsid w:val="000919E7"/>
    <w:rsid w:val="00091F5D"/>
    <w:rsid w:val="000927F9"/>
    <w:rsid w:val="0009496B"/>
    <w:rsid w:val="0009725F"/>
    <w:rsid w:val="00097BC6"/>
    <w:rsid w:val="000A40E1"/>
    <w:rsid w:val="000A4BBD"/>
    <w:rsid w:val="000A65A7"/>
    <w:rsid w:val="000A6DA1"/>
    <w:rsid w:val="000A7F43"/>
    <w:rsid w:val="000B0E23"/>
    <w:rsid w:val="000B0E2D"/>
    <w:rsid w:val="000B2AD4"/>
    <w:rsid w:val="000B2F20"/>
    <w:rsid w:val="000B37BD"/>
    <w:rsid w:val="000B5186"/>
    <w:rsid w:val="000B5442"/>
    <w:rsid w:val="000B71B7"/>
    <w:rsid w:val="000B78B6"/>
    <w:rsid w:val="000C157B"/>
    <w:rsid w:val="000C1A8C"/>
    <w:rsid w:val="000C1C4E"/>
    <w:rsid w:val="000C4446"/>
    <w:rsid w:val="000C4AFF"/>
    <w:rsid w:val="000C67A5"/>
    <w:rsid w:val="000D1303"/>
    <w:rsid w:val="000D528B"/>
    <w:rsid w:val="000D7EFA"/>
    <w:rsid w:val="000E058A"/>
    <w:rsid w:val="000E1412"/>
    <w:rsid w:val="000E4E7A"/>
    <w:rsid w:val="000E54E7"/>
    <w:rsid w:val="000E6C02"/>
    <w:rsid w:val="000E6C4B"/>
    <w:rsid w:val="000F1A78"/>
    <w:rsid w:val="000F3B49"/>
    <w:rsid w:val="000F6AA6"/>
    <w:rsid w:val="000F6E87"/>
    <w:rsid w:val="001009AC"/>
    <w:rsid w:val="0010209A"/>
    <w:rsid w:val="00103CC9"/>
    <w:rsid w:val="001056F2"/>
    <w:rsid w:val="0010570C"/>
    <w:rsid w:val="00106E2E"/>
    <w:rsid w:val="00110AAD"/>
    <w:rsid w:val="00110BE6"/>
    <w:rsid w:val="00110CA0"/>
    <w:rsid w:val="00110F18"/>
    <w:rsid w:val="00111963"/>
    <w:rsid w:val="00112012"/>
    <w:rsid w:val="00112F3F"/>
    <w:rsid w:val="00113EEA"/>
    <w:rsid w:val="001177B6"/>
    <w:rsid w:val="00117872"/>
    <w:rsid w:val="00117FDF"/>
    <w:rsid w:val="00121407"/>
    <w:rsid w:val="0012170D"/>
    <w:rsid w:val="00122CB7"/>
    <w:rsid w:val="001230DA"/>
    <w:rsid w:val="00123CFA"/>
    <w:rsid w:val="001259E1"/>
    <w:rsid w:val="0012659D"/>
    <w:rsid w:val="00126C5C"/>
    <w:rsid w:val="0012761B"/>
    <w:rsid w:val="00130922"/>
    <w:rsid w:val="00131907"/>
    <w:rsid w:val="00131C28"/>
    <w:rsid w:val="00131E8C"/>
    <w:rsid w:val="0013276F"/>
    <w:rsid w:val="001327D8"/>
    <w:rsid w:val="00132885"/>
    <w:rsid w:val="00132AF8"/>
    <w:rsid w:val="001343A4"/>
    <w:rsid w:val="001359B5"/>
    <w:rsid w:val="00135B5E"/>
    <w:rsid w:val="001377AC"/>
    <w:rsid w:val="00141359"/>
    <w:rsid w:val="00143175"/>
    <w:rsid w:val="001439C0"/>
    <w:rsid w:val="001444AC"/>
    <w:rsid w:val="00144C39"/>
    <w:rsid w:val="0014521B"/>
    <w:rsid w:val="0014670F"/>
    <w:rsid w:val="0014790F"/>
    <w:rsid w:val="0015153F"/>
    <w:rsid w:val="00151737"/>
    <w:rsid w:val="001522BA"/>
    <w:rsid w:val="00153AFC"/>
    <w:rsid w:val="00153ED8"/>
    <w:rsid w:val="0015494B"/>
    <w:rsid w:val="00156D46"/>
    <w:rsid w:val="00156D9E"/>
    <w:rsid w:val="00160F07"/>
    <w:rsid w:val="00161EE0"/>
    <w:rsid w:val="0016356B"/>
    <w:rsid w:val="001652FA"/>
    <w:rsid w:val="001657B8"/>
    <w:rsid w:val="0016646F"/>
    <w:rsid w:val="00167E1F"/>
    <w:rsid w:val="001706D6"/>
    <w:rsid w:val="00170A64"/>
    <w:rsid w:val="00171926"/>
    <w:rsid w:val="001745C7"/>
    <w:rsid w:val="00176334"/>
    <w:rsid w:val="001773F2"/>
    <w:rsid w:val="001813E1"/>
    <w:rsid w:val="001815C2"/>
    <w:rsid w:val="00182063"/>
    <w:rsid w:val="00183F01"/>
    <w:rsid w:val="00184029"/>
    <w:rsid w:val="0018615A"/>
    <w:rsid w:val="001878B2"/>
    <w:rsid w:val="00190142"/>
    <w:rsid w:val="00190B12"/>
    <w:rsid w:val="00192157"/>
    <w:rsid w:val="00192530"/>
    <w:rsid w:val="00192A6B"/>
    <w:rsid w:val="001932CF"/>
    <w:rsid w:val="001946C8"/>
    <w:rsid w:val="001954AC"/>
    <w:rsid w:val="00195535"/>
    <w:rsid w:val="00195640"/>
    <w:rsid w:val="001961D3"/>
    <w:rsid w:val="001974DD"/>
    <w:rsid w:val="00197CFE"/>
    <w:rsid w:val="001A0E39"/>
    <w:rsid w:val="001A0FD2"/>
    <w:rsid w:val="001A114D"/>
    <w:rsid w:val="001A20FE"/>
    <w:rsid w:val="001A252C"/>
    <w:rsid w:val="001A343F"/>
    <w:rsid w:val="001A5D55"/>
    <w:rsid w:val="001B1223"/>
    <w:rsid w:val="001B1610"/>
    <w:rsid w:val="001B4584"/>
    <w:rsid w:val="001B49F2"/>
    <w:rsid w:val="001B7FA8"/>
    <w:rsid w:val="001C023B"/>
    <w:rsid w:val="001C1696"/>
    <w:rsid w:val="001C50A0"/>
    <w:rsid w:val="001C554D"/>
    <w:rsid w:val="001C5886"/>
    <w:rsid w:val="001C7670"/>
    <w:rsid w:val="001D0410"/>
    <w:rsid w:val="001D1B19"/>
    <w:rsid w:val="001D248C"/>
    <w:rsid w:val="001D4190"/>
    <w:rsid w:val="001D5708"/>
    <w:rsid w:val="001D7148"/>
    <w:rsid w:val="001D7BCF"/>
    <w:rsid w:val="001E376F"/>
    <w:rsid w:val="001E642E"/>
    <w:rsid w:val="001E67EF"/>
    <w:rsid w:val="001E6CE4"/>
    <w:rsid w:val="001E7368"/>
    <w:rsid w:val="001E7E94"/>
    <w:rsid w:val="001E7FEC"/>
    <w:rsid w:val="001F040C"/>
    <w:rsid w:val="001F2CA9"/>
    <w:rsid w:val="001F2DBF"/>
    <w:rsid w:val="001F4AE3"/>
    <w:rsid w:val="001F578D"/>
    <w:rsid w:val="001F6602"/>
    <w:rsid w:val="002005AF"/>
    <w:rsid w:val="00202E02"/>
    <w:rsid w:val="00204C22"/>
    <w:rsid w:val="0020514A"/>
    <w:rsid w:val="002065CF"/>
    <w:rsid w:val="0021132E"/>
    <w:rsid w:val="002116F8"/>
    <w:rsid w:val="00211A6B"/>
    <w:rsid w:val="00213DA0"/>
    <w:rsid w:val="00214177"/>
    <w:rsid w:val="00216AFC"/>
    <w:rsid w:val="00217F86"/>
    <w:rsid w:val="002228FC"/>
    <w:rsid w:val="0022347D"/>
    <w:rsid w:val="002236EE"/>
    <w:rsid w:val="002242BD"/>
    <w:rsid w:val="00224959"/>
    <w:rsid w:val="002251EF"/>
    <w:rsid w:val="00225CEE"/>
    <w:rsid w:val="0022715B"/>
    <w:rsid w:val="00227624"/>
    <w:rsid w:val="00227CD6"/>
    <w:rsid w:val="0023074D"/>
    <w:rsid w:val="00230DE9"/>
    <w:rsid w:val="002311A2"/>
    <w:rsid w:val="00231E82"/>
    <w:rsid w:val="002329D8"/>
    <w:rsid w:val="002341EF"/>
    <w:rsid w:val="002344E0"/>
    <w:rsid w:val="002349CF"/>
    <w:rsid w:val="00235ADD"/>
    <w:rsid w:val="002362D1"/>
    <w:rsid w:val="00236F60"/>
    <w:rsid w:val="00240486"/>
    <w:rsid w:val="00243F28"/>
    <w:rsid w:val="0024453A"/>
    <w:rsid w:val="002456BE"/>
    <w:rsid w:val="00245ECA"/>
    <w:rsid w:val="00245F1D"/>
    <w:rsid w:val="00247F31"/>
    <w:rsid w:val="00251096"/>
    <w:rsid w:val="00252528"/>
    <w:rsid w:val="00252982"/>
    <w:rsid w:val="00252FB2"/>
    <w:rsid w:val="002534CA"/>
    <w:rsid w:val="002534DF"/>
    <w:rsid w:val="00253BD5"/>
    <w:rsid w:val="00254373"/>
    <w:rsid w:val="00260229"/>
    <w:rsid w:val="0026061B"/>
    <w:rsid w:val="00263084"/>
    <w:rsid w:val="00263655"/>
    <w:rsid w:val="00263755"/>
    <w:rsid w:val="00263E42"/>
    <w:rsid w:val="00265746"/>
    <w:rsid w:val="00270579"/>
    <w:rsid w:val="00270E2B"/>
    <w:rsid w:val="00270FC9"/>
    <w:rsid w:val="00274B8B"/>
    <w:rsid w:val="00275993"/>
    <w:rsid w:val="00276DC0"/>
    <w:rsid w:val="00277DF3"/>
    <w:rsid w:val="002807AE"/>
    <w:rsid w:val="00283328"/>
    <w:rsid w:val="002849C4"/>
    <w:rsid w:val="002867E5"/>
    <w:rsid w:val="0029089C"/>
    <w:rsid w:val="00295CF5"/>
    <w:rsid w:val="0029654A"/>
    <w:rsid w:val="002A0D84"/>
    <w:rsid w:val="002A136E"/>
    <w:rsid w:val="002A2286"/>
    <w:rsid w:val="002A432E"/>
    <w:rsid w:val="002A4868"/>
    <w:rsid w:val="002A48AA"/>
    <w:rsid w:val="002A4B9F"/>
    <w:rsid w:val="002A6A7A"/>
    <w:rsid w:val="002A7BBE"/>
    <w:rsid w:val="002B1E21"/>
    <w:rsid w:val="002B227E"/>
    <w:rsid w:val="002B2CB1"/>
    <w:rsid w:val="002B530E"/>
    <w:rsid w:val="002B6402"/>
    <w:rsid w:val="002C0D87"/>
    <w:rsid w:val="002C185D"/>
    <w:rsid w:val="002C2105"/>
    <w:rsid w:val="002C2AF5"/>
    <w:rsid w:val="002C33D2"/>
    <w:rsid w:val="002C491B"/>
    <w:rsid w:val="002C5184"/>
    <w:rsid w:val="002D0724"/>
    <w:rsid w:val="002D09F3"/>
    <w:rsid w:val="002D10F6"/>
    <w:rsid w:val="002D11B2"/>
    <w:rsid w:val="002D3A2E"/>
    <w:rsid w:val="002D56FF"/>
    <w:rsid w:val="002D72B8"/>
    <w:rsid w:val="002D72BF"/>
    <w:rsid w:val="002D7EF8"/>
    <w:rsid w:val="002E02DA"/>
    <w:rsid w:val="002E0341"/>
    <w:rsid w:val="002E18C7"/>
    <w:rsid w:val="002E21FE"/>
    <w:rsid w:val="002E2292"/>
    <w:rsid w:val="002E34BA"/>
    <w:rsid w:val="002E496C"/>
    <w:rsid w:val="002E49E8"/>
    <w:rsid w:val="002E6347"/>
    <w:rsid w:val="002F278C"/>
    <w:rsid w:val="002F36D2"/>
    <w:rsid w:val="002F4451"/>
    <w:rsid w:val="002F44AC"/>
    <w:rsid w:val="002F492C"/>
    <w:rsid w:val="002F4C3D"/>
    <w:rsid w:val="002F6542"/>
    <w:rsid w:val="002F6E8F"/>
    <w:rsid w:val="002F7122"/>
    <w:rsid w:val="002F7F23"/>
    <w:rsid w:val="00302723"/>
    <w:rsid w:val="00305158"/>
    <w:rsid w:val="00305C49"/>
    <w:rsid w:val="003069C7"/>
    <w:rsid w:val="003071CD"/>
    <w:rsid w:val="00311D5F"/>
    <w:rsid w:val="003132B5"/>
    <w:rsid w:val="003135F9"/>
    <w:rsid w:val="00314188"/>
    <w:rsid w:val="00314EDE"/>
    <w:rsid w:val="003154A6"/>
    <w:rsid w:val="00315F8C"/>
    <w:rsid w:val="0032047C"/>
    <w:rsid w:val="003234BC"/>
    <w:rsid w:val="003236BD"/>
    <w:rsid w:val="0032470B"/>
    <w:rsid w:val="00325C47"/>
    <w:rsid w:val="00326358"/>
    <w:rsid w:val="0033018C"/>
    <w:rsid w:val="00330990"/>
    <w:rsid w:val="00335F16"/>
    <w:rsid w:val="0033679A"/>
    <w:rsid w:val="00336CA1"/>
    <w:rsid w:val="003379C4"/>
    <w:rsid w:val="00337FF9"/>
    <w:rsid w:val="0034010A"/>
    <w:rsid w:val="00341928"/>
    <w:rsid w:val="00342314"/>
    <w:rsid w:val="00342712"/>
    <w:rsid w:val="0034798F"/>
    <w:rsid w:val="003518B5"/>
    <w:rsid w:val="00351C69"/>
    <w:rsid w:val="003522EF"/>
    <w:rsid w:val="00354D92"/>
    <w:rsid w:val="00355212"/>
    <w:rsid w:val="00355DCA"/>
    <w:rsid w:val="00362190"/>
    <w:rsid w:val="0036274E"/>
    <w:rsid w:val="00363BE7"/>
    <w:rsid w:val="00364C49"/>
    <w:rsid w:val="00366EA6"/>
    <w:rsid w:val="00367983"/>
    <w:rsid w:val="00367D5A"/>
    <w:rsid w:val="003708CE"/>
    <w:rsid w:val="00370BFB"/>
    <w:rsid w:val="003721AE"/>
    <w:rsid w:val="0037268E"/>
    <w:rsid w:val="00376C34"/>
    <w:rsid w:val="003770D9"/>
    <w:rsid w:val="0037719C"/>
    <w:rsid w:val="00382C60"/>
    <w:rsid w:val="003835F1"/>
    <w:rsid w:val="00384668"/>
    <w:rsid w:val="00384782"/>
    <w:rsid w:val="00384ADC"/>
    <w:rsid w:val="0038521E"/>
    <w:rsid w:val="00385A64"/>
    <w:rsid w:val="00385CB5"/>
    <w:rsid w:val="0038633F"/>
    <w:rsid w:val="0038737F"/>
    <w:rsid w:val="00387543"/>
    <w:rsid w:val="00387CDA"/>
    <w:rsid w:val="00390B51"/>
    <w:rsid w:val="00391119"/>
    <w:rsid w:val="0039218B"/>
    <w:rsid w:val="0039241E"/>
    <w:rsid w:val="0039389C"/>
    <w:rsid w:val="003957A7"/>
    <w:rsid w:val="00396215"/>
    <w:rsid w:val="0039742D"/>
    <w:rsid w:val="003978C4"/>
    <w:rsid w:val="003A178E"/>
    <w:rsid w:val="003A3CB7"/>
    <w:rsid w:val="003A4554"/>
    <w:rsid w:val="003A77BC"/>
    <w:rsid w:val="003B05FC"/>
    <w:rsid w:val="003B1F7C"/>
    <w:rsid w:val="003B277E"/>
    <w:rsid w:val="003B29AA"/>
    <w:rsid w:val="003B47E9"/>
    <w:rsid w:val="003B5B47"/>
    <w:rsid w:val="003B654C"/>
    <w:rsid w:val="003B7A22"/>
    <w:rsid w:val="003C0336"/>
    <w:rsid w:val="003C18BB"/>
    <w:rsid w:val="003C1D36"/>
    <w:rsid w:val="003C24E9"/>
    <w:rsid w:val="003C2CC2"/>
    <w:rsid w:val="003C4146"/>
    <w:rsid w:val="003C5454"/>
    <w:rsid w:val="003C55EA"/>
    <w:rsid w:val="003C6A1B"/>
    <w:rsid w:val="003D0C8B"/>
    <w:rsid w:val="003D176C"/>
    <w:rsid w:val="003D1D10"/>
    <w:rsid w:val="003D242B"/>
    <w:rsid w:val="003D4076"/>
    <w:rsid w:val="003D4687"/>
    <w:rsid w:val="003D6154"/>
    <w:rsid w:val="003E0F05"/>
    <w:rsid w:val="003E13E6"/>
    <w:rsid w:val="003E1506"/>
    <w:rsid w:val="003E19DD"/>
    <w:rsid w:val="003E1E0C"/>
    <w:rsid w:val="003E2EA8"/>
    <w:rsid w:val="003E3FAE"/>
    <w:rsid w:val="003E42A6"/>
    <w:rsid w:val="003E5E04"/>
    <w:rsid w:val="003E6885"/>
    <w:rsid w:val="003E7191"/>
    <w:rsid w:val="003F02A4"/>
    <w:rsid w:val="003F1E2D"/>
    <w:rsid w:val="003F24DB"/>
    <w:rsid w:val="003F252D"/>
    <w:rsid w:val="003F293D"/>
    <w:rsid w:val="003F3323"/>
    <w:rsid w:val="003F3CA6"/>
    <w:rsid w:val="003F431A"/>
    <w:rsid w:val="003F53FE"/>
    <w:rsid w:val="003F54F8"/>
    <w:rsid w:val="003F626A"/>
    <w:rsid w:val="003F7F18"/>
    <w:rsid w:val="003F7F82"/>
    <w:rsid w:val="00401F7A"/>
    <w:rsid w:val="004033C1"/>
    <w:rsid w:val="004048DE"/>
    <w:rsid w:val="0040637D"/>
    <w:rsid w:val="00407B38"/>
    <w:rsid w:val="00410B4C"/>
    <w:rsid w:val="00410DCD"/>
    <w:rsid w:val="00412141"/>
    <w:rsid w:val="0041243D"/>
    <w:rsid w:val="00412AB5"/>
    <w:rsid w:val="00412C61"/>
    <w:rsid w:val="0041309F"/>
    <w:rsid w:val="00414590"/>
    <w:rsid w:val="00414C48"/>
    <w:rsid w:val="00415507"/>
    <w:rsid w:val="004203F7"/>
    <w:rsid w:val="00420564"/>
    <w:rsid w:val="00420F1B"/>
    <w:rsid w:val="00421342"/>
    <w:rsid w:val="00421903"/>
    <w:rsid w:val="0042428E"/>
    <w:rsid w:val="00424603"/>
    <w:rsid w:val="00425322"/>
    <w:rsid w:val="00427050"/>
    <w:rsid w:val="00430332"/>
    <w:rsid w:val="0043034E"/>
    <w:rsid w:val="004332BD"/>
    <w:rsid w:val="00434262"/>
    <w:rsid w:val="004349DE"/>
    <w:rsid w:val="004363EB"/>
    <w:rsid w:val="00436743"/>
    <w:rsid w:val="00441342"/>
    <w:rsid w:val="00441F66"/>
    <w:rsid w:val="0044295C"/>
    <w:rsid w:val="00442BCC"/>
    <w:rsid w:val="004472A5"/>
    <w:rsid w:val="004517F0"/>
    <w:rsid w:val="00451906"/>
    <w:rsid w:val="00452605"/>
    <w:rsid w:val="00452D36"/>
    <w:rsid w:val="0045384F"/>
    <w:rsid w:val="004538B4"/>
    <w:rsid w:val="00454243"/>
    <w:rsid w:val="004553F7"/>
    <w:rsid w:val="00460354"/>
    <w:rsid w:val="00460A6D"/>
    <w:rsid w:val="00461A7C"/>
    <w:rsid w:val="004646A0"/>
    <w:rsid w:val="00465F7B"/>
    <w:rsid w:val="0046601F"/>
    <w:rsid w:val="0046644B"/>
    <w:rsid w:val="004665E7"/>
    <w:rsid w:val="00466BC8"/>
    <w:rsid w:val="00467C43"/>
    <w:rsid w:val="00467C9F"/>
    <w:rsid w:val="0047065F"/>
    <w:rsid w:val="0047181D"/>
    <w:rsid w:val="00471EA8"/>
    <w:rsid w:val="004721D6"/>
    <w:rsid w:val="00473177"/>
    <w:rsid w:val="0047671D"/>
    <w:rsid w:val="0047700D"/>
    <w:rsid w:val="00477648"/>
    <w:rsid w:val="00477931"/>
    <w:rsid w:val="004802F5"/>
    <w:rsid w:val="00480F45"/>
    <w:rsid w:val="00481E0E"/>
    <w:rsid w:val="00481E1D"/>
    <w:rsid w:val="00482963"/>
    <w:rsid w:val="00483297"/>
    <w:rsid w:val="0048393B"/>
    <w:rsid w:val="00486241"/>
    <w:rsid w:val="00487BB4"/>
    <w:rsid w:val="00487C76"/>
    <w:rsid w:val="00490453"/>
    <w:rsid w:val="00491C9C"/>
    <w:rsid w:val="004924F3"/>
    <w:rsid w:val="00492E62"/>
    <w:rsid w:val="00492F61"/>
    <w:rsid w:val="004937EF"/>
    <w:rsid w:val="004952E5"/>
    <w:rsid w:val="00497D7A"/>
    <w:rsid w:val="004A4878"/>
    <w:rsid w:val="004A5FA9"/>
    <w:rsid w:val="004A63A2"/>
    <w:rsid w:val="004A6AEA"/>
    <w:rsid w:val="004A7B48"/>
    <w:rsid w:val="004B0C8D"/>
    <w:rsid w:val="004B1D4C"/>
    <w:rsid w:val="004B2159"/>
    <w:rsid w:val="004B22E1"/>
    <w:rsid w:val="004B380E"/>
    <w:rsid w:val="004B50D0"/>
    <w:rsid w:val="004B6E85"/>
    <w:rsid w:val="004C00FF"/>
    <w:rsid w:val="004C0EE8"/>
    <w:rsid w:val="004C2A41"/>
    <w:rsid w:val="004C39F1"/>
    <w:rsid w:val="004C530C"/>
    <w:rsid w:val="004C5F0B"/>
    <w:rsid w:val="004C6EEB"/>
    <w:rsid w:val="004D103B"/>
    <w:rsid w:val="004D11A0"/>
    <w:rsid w:val="004D3D90"/>
    <w:rsid w:val="004D6D52"/>
    <w:rsid w:val="004D7CAC"/>
    <w:rsid w:val="004D7E99"/>
    <w:rsid w:val="004D7EA3"/>
    <w:rsid w:val="004D7F04"/>
    <w:rsid w:val="004E0704"/>
    <w:rsid w:val="004E1B81"/>
    <w:rsid w:val="004E1EAA"/>
    <w:rsid w:val="004E2D3D"/>
    <w:rsid w:val="004E3C40"/>
    <w:rsid w:val="004E473A"/>
    <w:rsid w:val="004E490C"/>
    <w:rsid w:val="004E5530"/>
    <w:rsid w:val="004E5B82"/>
    <w:rsid w:val="004E5C86"/>
    <w:rsid w:val="004E62E0"/>
    <w:rsid w:val="004E6910"/>
    <w:rsid w:val="004F1622"/>
    <w:rsid w:val="004F1B4A"/>
    <w:rsid w:val="004F2288"/>
    <w:rsid w:val="004F2C7D"/>
    <w:rsid w:val="004F344A"/>
    <w:rsid w:val="004F3E33"/>
    <w:rsid w:val="004F49CA"/>
    <w:rsid w:val="004F7396"/>
    <w:rsid w:val="005013EC"/>
    <w:rsid w:val="005034C6"/>
    <w:rsid w:val="00503E0D"/>
    <w:rsid w:val="00504CA4"/>
    <w:rsid w:val="00505C33"/>
    <w:rsid w:val="0051085C"/>
    <w:rsid w:val="00510E1B"/>
    <w:rsid w:val="00511735"/>
    <w:rsid w:val="00513BEF"/>
    <w:rsid w:val="00514049"/>
    <w:rsid w:val="00515B45"/>
    <w:rsid w:val="0051610B"/>
    <w:rsid w:val="005202E2"/>
    <w:rsid w:val="005207DE"/>
    <w:rsid w:val="00521D2F"/>
    <w:rsid w:val="00521DA2"/>
    <w:rsid w:val="00525F35"/>
    <w:rsid w:val="00526DCE"/>
    <w:rsid w:val="00527512"/>
    <w:rsid w:val="00527C31"/>
    <w:rsid w:val="00532177"/>
    <w:rsid w:val="005333C2"/>
    <w:rsid w:val="0053749D"/>
    <w:rsid w:val="00537B04"/>
    <w:rsid w:val="00540336"/>
    <w:rsid w:val="00540471"/>
    <w:rsid w:val="005438F2"/>
    <w:rsid w:val="00543F47"/>
    <w:rsid w:val="00545C63"/>
    <w:rsid w:val="00545D90"/>
    <w:rsid w:val="0054657C"/>
    <w:rsid w:val="0054679B"/>
    <w:rsid w:val="00550A01"/>
    <w:rsid w:val="005516BD"/>
    <w:rsid w:val="00552517"/>
    <w:rsid w:val="005556E7"/>
    <w:rsid w:val="0055683C"/>
    <w:rsid w:val="005568D5"/>
    <w:rsid w:val="0056310E"/>
    <w:rsid w:val="005655EB"/>
    <w:rsid w:val="00566715"/>
    <w:rsid w:val="00570292"/>
    <w:rsid w:val="00570CCE"/>
    <w:rsid w:val="0057146E"/>
    <w:rsid w:val="005715D8"/>
    <w:rsid w:val="00571D65"/>
    <w:rsid w:val="00572250"/>
    <w:rsid w:val="00573598"/>
    <w:rsid w:val="00574396"/>
    <w:rsid w:val="0057589B"/>
    <w:rsid w:val="00575F0B"/>
    <w:rsid w:val="00576A4C"/>
    <w:rsid w:val="0058018F"/>
    <w:rsid w:val="005814C6"/>
    <w:rsid w:val="00582218"/>
    <w:rsid w:val="00582342"/>
    <w:rsid w:val="0058411D"/>
    <w:rsid w:val="00584CD3"/>
    <w:rsid w:val="005858C8"/>
    <w:rsid w:val="00586B55"/>
    <w:rsid w:val="005870EB"/>
    <w:rsid w:val="00591D13"/>
    <w:rsid w:val="00592E08"/>
    <w:rsid w:val="005962EC"/>
    <w:rsid w:val="005973A8"/>
    <w:rsid w:val="005A001D"/>
    <w:rsid w:val="005A05E6"/>
    <w:rsid w:val="005A12C5"/>
    <w:rsid w:val="005A38AE"/>
    <w:rsid w:val="005A3FF6"/>
    <w:rsid w:val="005A6610"/>
    <w:rsid w:val="005A708E"/>
    <w:rsid w:val="005B078A"/>
    <w:rsid w:val="005B1505"/>
    <w:rsid w:val="005B26CE"/>
    <w:rsid w:val="005B2F02"/>
    <w:rsid w:val="005B426D"/>
    <w:rsid w:val="005B51A0"/>
    <w:rsid w:val="005B5435"/>
    <w:rsid w:val="005B561B"/>
    <w:rsid w:val="005B5913"/>
    <w:rsid w:val="005B7E8D"/>
    <w:rsid w:val="005C010F"/>
    <w:rsid w:val="005C011C"/>
    <w:rsid w:val="005C04BE"/>
    <w:rsid w:val="005C07D9"/>
    <w:rsid w:val="005C0FAD"/>
    <w:rsid w:val="005C10BD"/>
    <w:rsid w:val="005C1BF3"/>
    <w:rsid w:val="005C1E36"/>
    <w:rsid w:val="005C2A82"/>
    <w:rsid w:val="005C2BD1"/>
    <w:rsid w:val="005C2F9E"/>
    <w:rsid w:val="005C35A5"/>
    <w:rsid w:val="005C3982"/>
    <w:rsid w:val="005C3A88"/>
    <w:rsid w:val="005C3C3A"/>
    <w:rsid w:val="005C5589"/>
    <w:rsid w:val="005C57F7"/>
    <w:rsid w:val="005C5C1F"/>
    <w:rsid w:val="005C6648"/>
    <w:rsid w:val="005C6FE5"/>
    <w:rsid w:val="005C7CA9"/>
    <w:rsid w:val="005D00B5"/>
    <w:rsid w:val="005D02B6"/>
    <w:rsid w:val="005D04B9"/>
    <w:rsid w:val="005D070B"/>
    <w:rsid w:val="005D28AC"/>
    <w:rsid w:val="005D36EA"/>
    <w:rsid w:val="005D5A1D"/>
    <w:rsid w:val="005D6FF7"/>
    <w:rsid w:val="005D7216"/>
    <w:rsid w:val="005D7478"/>
    <w:rsid w:val="005E0261"/>
    <w:rsid w:val="005E114C"/>
    <w:rsid w:val="005E341D"/>
    <w:rsid w:val="005E34A6"/>
    <w:rsid w:val="005E4377"/>
    <w:rsid w:val="005E4991"/>
    <w:rsid w:val="005E4D76"/>
    <w:rsid w:val="005E5D86"/>
    <w:rsid w:val="005E66CA"/>
    <w:rsid w:val="005F0D67"/>
    <w:rsid w:val="005F1915"/>
    <w:rsid w:val="005F1D8F"/>
    <w:rsid w:val="005F1F53"/>
    <w:rsid w:val="005F2AA0"/>
    <w:rsid w:val="005F3D05"/>
    <w:rsid w:val="005F67F0"/>
    <w:rsid w:val="00600138"/>
    <w:rsid w:val="0060110B"/>
    <w:rsid w:val="00601CDD"/>
    <w:rsid w:val="00602687"/>
    <w:rsid w:val="006037C1"/>
    <w:rsid w:val="00605633"/>
    <w:rsid w:val="00606262"/>
    <w:rsid w:val="00607DCE"/>
    <w:rsid w:val="0061077D"/>
    <w:rsid w:val="00610FBD"/>
    <w:rsid w:val="0061292E"/>
    <w:rsid w:val="0061306F"/>
    <w:rsid w:val="00613B55"/>
    <w:rsid w:val="00615346"/>
    <w:rsid w:val="006164A4"/>
    <w:rsid w:val="006166B2"/>
    <w:rsid w:val="00617DCE"/>
    <w:rsid w:val="00617FBA"/>
    <w:rsid w:val="00621507"/>
    <w:rsid w:val="006218EE"/>
    <w:rsid w:val="00622FEB"/>
    <w:rsid w:val="006240B5"/>
    <w:rsid w:val="006245D2"/>
    <w:rsid w:val="00625E0A"/>
    <w:rsid w:val="00633B98"/>
    <w:rsid w:val="00635182"/>
    <w:rsid w:val="00635A3C"/>
    <w:rsid w:val="00635F50"/>
    <w:rsid w:val="00637B84"/>
    <w:rsid w:val="00637D8B"/>
    <w:rsid w:val="00641485"/>
    <w:rsid w:val="006418B5"/>
    <w:rsid w:val="0064198B"/>
    <w:rsid w:val="00643416"/>
    <w:rsid w:val="006451CA"/>
    <w:rsid w:val="00645A80"/>
    <w:rsid w:val="00654C0E"/>
    <w:rsid w:val="00654CCF"/>
    <w:rsid w:val="00655B5B"/>
    <w:rsid w:val="0065684E"/>
    <w:rsid w:val="00656B19"/>
    <w:rsid w:val="00656CE2"/>
    <w:rsid w:val="00657DAA"/>
    <w:rsid w:val="00662826"/>
    <w:rsid w:val="00662ACF"/>
    <w:rsid w:val="006638D1"/>
    <w:rsid w:val="00663F29"/>
    <w:rsid w:val="00664CBB"/>
    <w:rsid w:val="00666D2F"/>
    <w:rsid w:val="00667348"/>
    <w:rsid w:val="00670E5A"/>
    <w:rsid w:val="006722BE"/>
    <w:rsid w:val="00672A7B"/>
    <w:rsid w:val="00673D07"/>
    <w:rsid w:val="006741EC"/>
    <w:rsid w:val="00674958"/>
    <w:rsid w:val="00675492"/>
    <w:rsid w:val="00675C38"/>
    <w:rsid w:val="00676B23"/>
    <w:rsid w:val="00676BC2"/>
    <w:rsid w:val="00677488"/>
    <w:rsid w:val="006778F9"/>
    <w:rsid w:val="00681671"/>
    <w:rsid w:val="00681B25"/>
    <w:rsid w:val="006832F2"/>
    <w:rsid w:val="00683BC1"/>
    <w:rsid w:val="006846FB"/>
    <w:rsid w:val="00684947"/>
    <w:rsid w:val="00685184"/>
    <w:rsid w:val="00685425"/>
    <w:rsid w:val="0068621B"/>
    <w:rsid w:val="0069090F"/>
    <w:rsid w:val="00690F42"/>
    <w:rsid w:val="00691B4D"/>
    <w:rsid w:val="0069299A"/>
    <w:rsid w:val="00692E92"/>
    <w:rsid w:val="0069390F"/>
    <w:rsid w:val="00694658"/>
    <w:rsid w:val="00694D68"/>
    <w:rsid w:val="00695F70"/>
    <w:rsid w:val="00696F37"/>
    <w:rsid w:val="006971AE"/>
    <w:rsid w:val="006A045E"/>
    <w:rsid w:val="006A06AB"/>
    <w:rsid w:val="006A2AE0"/>
    <w:rsid w:val="006A3055"/>
    <w:rsid w:val="006A44B2"/>
    <w:rsid w:val="006A4AAE"/>
    <w:rsid w:val="006A56D4"/>
    <w:rsid w:val="006A7A6A"/>
    <w:rsid w:val="006B0B3A"/>
    <w:rsid w:val="006B13AB"/>
    <w:rsid w:val="006B1F20"/>
    <w:rsid w:val="006B3513"/>
    <w:rsid w:val="006B3F64"/>
    <w:rsid w:val="006B5DE3"/>
    <w:rsid w:val="006C168C"/>
    <w:rsid w:val="006C17C8"/>
    <w:rsid w:val="006C4520"/>
    <w:rsid w:val="006C4D92"/>
    <w:rsid w:val="006C5F7A"/>
    <w:rsid w:val="006C781D"/>
    <w:rsid w:val="006D16C9"/>
    <w:rsid w:val="006D188F"/>
    <w:rsid w:val="006D1AD3"/>
    <w:rsid w:val="006D2792"/>
    <w:rsid w:val="006D28EA"/>
    <w:rsid w:val="006D48E7"/>
    <w:rsid w:val="006D4B42"/>
    <w:rsid w:val="006D4C70"/>
    <w:rsid w:val="006D53B2"/>
    <w:rsid w:val="006D72BA"/>
    <w:rsid w:val="006D79C2"/>
    <w:rsid w:val="006D7B95"/>
    <w:rsid w:val="006D7C65"/>
    <w:rsid w:val="006E0ACB"/>
    <w:rsid w:val="006E1192"/>
    <w:rsid w:val="006E11D6"/>
    <w:rsid w:val="006E28D6"/>
    <w:rsid w:val="006E38E7"/>
    <w:rsid w:val="006E3AA0"/>
    <w:rsid w:val="006E3DDD"/>
    <w:rsid w:val="006E43AC"/>
    <w:rsid w:val="006E47EC"/>
    <w:rsid w:val="006E73C0"/>
    <w:rsid w:val="006F01E1"/>
    <w:rsid w:val="006F137B"/>
    <w:rsid w:val="006F191A"/>
    <w:rsid w:val="006F2640"/>
    <w:rsid w:val="006F2F0E"/>
    <w:rsid w:val="006F3A8A"/>
    <w:rsid w:val="006F5604"/>
    <w:rsid w:val="006F6BF6"/>
    <w:rsid w:val="006F6D70"/>
    <w:rsid w:val="006F7487"/>
    <w:rsid w:val="006F7801"/>
    <w:rsid w:val="006F7D90"/>
    <w:rsid w:val="00701EEF"/>
    <w:rsid w:val="0070304D"/>
    <w:rsid w:val="007032BC"/>
    <w:rsid w:val="00706C2A"/>
    <w:rsid w:val="00707874"/>
    <w:rsid w:val="00710A35"/>
    <w:rsid w:val="0071106F"/>
    <w:rsid w:val="00711A90"/>
    <w:rsid w:val="00712957"/>
    <w:rsid w:val="007130B9"/>
    <w:rsid w:val="00714340"/>
    <w:rsid w:val="0071497E"/>
    <w:rsid w:val="00714CF9"/>
    <w:rsid w:val="00716D08"/>
    <w:rsid w:val="007202AD"/>
    <w:rsid w:val="007207FE"/>
    <w:rsid w:val="007220FC"/>
    <w:rsid w:val="007224C5"/>
    <w:rsid w:val="007240AA"/>
    <w:rsid w:val="007265F6"/>
    <w:rsid w:val="0073117C"/>
    <w:rsid w:val="00731D64"/>
    <w:rsid w:val="007333D0"/>
    <w:rsid w:val="00733B1C"/>
    <w:rsid w:val="00734F55"/>
    <w:rsid w:val="00735643"/>
    <w:rsid w:val="00737E26"/>
    <w:rsid w:val="00740822"/>
    <w:rsid w:val="00741A75"/>
    <w:rsid w:val="00741B94"/>
    <w:rsid w:val="00742182"/>
    <w:rsid w:val="00743C21"/>
    <w:rsid w:val="00744039"/>
    <w:rsid w:val="0074630D"/>
    <w:rsid w:val="0074750D"/>
    <w:rsid w:val="0075087E"/>
    <w:rsid w:val="007519BE"/>
    <w:rsid w:val="00751D4C"/>
    <w:rsid w:val="00752614"/>
    <w:rsid w:val="00753D80"/>
    <w:rsid w:val="00754AB6"/>
    <w:rsid w:val="007566EA"/>
    <w:rsid w:val="007569D1"/>
    <w:rsid w:val="007574CD"/>
    <w:rsid w:val="0076044E"/>
    <w:rsid w:val="00760956"/>
    <w:rsid w:val="00761FF9"/>
    <w:rsid w:val="00762341"/>
    <w:rsid w:val="0076284E"/>
    <w:rsid w:val="00762E28"/>
    <w:rsid w:val="0076324F"/>
    <w:rsid w:val="00763C15"/>
    <w:rsid w:val="0076676D"/>
    <w:rsid w:val="007678DC"/>
    <w:rsid w:val="00772B46"/>
    <w:rsid w:val="00772E1A"/>
    <w:rsid w:val="00774084"/>
    <w:rsid w:val="007741B9"/>
    <w:rsid w:val="00774844"/>
    <w:rsid w:val="00775821"/>
    <w:rsid w:val="00781DB0"/>
    <w:rsid w:val="0078222B"/>
    <w:rsid w:val="0078277D"/>
    <w:rsid w:val="00783D0F"/>
    <w:rsid w:val="00783DAA"/>
    <w:rsid w:val="0078765E"/>
    <w:rsid w:val="00787CDB"/>
    <w:rsid w:val="00790483"/>
    <w:rsid w:val="00791B5F"/>
    <w:rsid w:val="00791F7C"/>
    <w:rsid w:val="00793448"/>
    <w:rsid w:val="0079353C"/>
    <w:rsid w:val="00793557"/>
    <w:rsid w:val="007952E6"/>
    <w:rsid w:val="007953C2"/>
    <w:rsid w:val="00795FF3"/>
    <w:rsid w:val="00796C14"/>
    <w:rsid w:val="00797FDE"/>
    <w:rsid w:val="007A0E71"/>
    <w:rsid w:val="007A35E6"/>
    <w:rsid w:val="007A4E7C"/>
    <w:rsid w:val="007A5B01"/>
    <w:rsid w:val="007A68FA"/>
    <w:rsid w:val="007A770A"/>
    <w:rsid w:val="007B3D44"/>
    <w:rsid w:val="007B41BC"/>
    <w:rsid w:val="007B4F73"/>
    <w:rsid w:val="007B506B"/>
    <w:rsid w:val="007C0D22"/>
    <w:rsid w:val="007C5C13"/>
    <w:rsid w:val="007C6A39"/>
    <w:rsid w:val="007D15B7"/>
    <w:rsid w:val="007D1904"/>
    <w:rsid w:val="007D4694"/>
    <w:rsid w:val="007D5BA8"/>
    <w:rsid w:val="007D6CAC"/>
    <w:rsid w:val="007D7012"/>
    <w:rsid w:val="007E0AA8"/>
    <w:rsid w:val="007E0C4B"/>
    <w:rsid w:val="007E134A"/>
    <w:rsid w:val="007E1AC6"/>
    <w:rsid w:val="007E5191"/>
    <w:rsid w:val="007E55F8"/>
    <w:rsid w:val="007E6843"/>
    <w:rsid w:val="007F2202"/>
    <w:rsid w:val="007F27BD"/>
    <w:rsid w:val="007F42FC"/>
    <w:rsid w:val="007F54C9"/>
    <w:rsid w:val="007F61EE"/>
    <w:rsid w:val="007F7381"/>
    <w:rsid w:val="00801088"/>
    <w:rsid w:val="0080222C"/>
    <w:rsid w:val="008030D8"/>
    <w:rsid w:val="00803E8F"/>
    <w:rsid w:val="00804922"/>
    <w:rsid w:val="00806218"/>
    <w:rsid w:val="0080713E"/>
    <w:rsid w:val="00810078"/>
    <w:rsid w:val="00810552"/>
    <w:rsid w:val="00812CB2"/>
    <w:rsid w:val="00813898"/>
    <w:rsid w:val="008147A7"/>
    <w:rsid w:val="00814EEF"/>
    <w:rsid w:val="00815419"/>
    <w:rsid w:val="00816656"/>
    <w:rsid w:val="00817E0B"/>
    <w:rsid w:val="008202E0"/>
    <w:rsid w:val="0082040F"/>
    <w:rsid w:val="00821B95"/>
    <w:rsid w:val="00821DE1"/>
    <w:rsid w:val="00823B43"/>
    <w:rsid w:val="008261D6"/>
    <w:rsid w:val="00826D19"/>
    <w:rsid w:val="008273B6"/>
    <w:rsid w:val="00831509"/>
    <w:rsid w:val="0083301C"/>
    <w:rsid w:val="008335C4"/>
    <w:rsid w:val="008348F9"/>
    <w:rsid w:val="00835357"/>
    <w:rsid w:val="008370ED"/>
    <w:rsid w:val="00837331"/>
    <w:rsid w:val="008373DC"/>
    <w:rsid w:val="00837798"/>
    <w:rsid w:val="00837D07"/>
    <w:rsid w:val="00837FEF"/>
    <w:rsid w:val="008402DC"/>
    <w:rsid w:val="008403ED"/>
    <w:rsid w:val="00840E7F"/>
    <w:rsid w:val="00840EE2"/>
    <w:rsid w:val="00841B9F"/>
    <w:rsid w:val="008420B5"/>
    <w:rsid w:val="0084357F"/>
    <w:rsid w:val="00844088"/>
    <w:rsid w:val="0084455B"/>
    <w:rsid w:val="00845472"/>
    <w:rsid w:val="00845979"/>
    <w:rsid w:val="008468C1"/>
    <w:rsid w:val="00846DF1"/>
    <w:rsid w:val="0084769A"/>
    <w:rsid w:val="00850DC8"/>
    <w:rsid w:val="008518FE"/>
    <w:rsid w:val="0085360E"/>
    <w:rsid w:val="008560F0"/>
    <w:rsid w:val="008609D1"/>
    <w:rsid w:val="00861581"/>
    <w:rsid w:val="00861FB4"/>
    <w:rsid w:val="00862393"/>
    <w:rsid w:val="00862DBD"/>
    <w:rsid w:val="00864814"/>
    <w:rsid w:val="00864D7E"/>
    <w:rsid w:val="00864EAF"/>
    <w:rsid w:val="008702EB"/>
    <w:rsid w:val="00870E10"/>
    <w:rsid w:val="00872CA7"/>
    <w:rsid w:val="008731E3"/>
    <w:rsid w:val="00875FE6"/>
    <w:rsid w:val="008773CF"/>
    <w:rsid w:val="008779E0"/>
    <w:rsid w:val="008801D9"/>
    <w:rsid w:val="00880DF2"/>
    <w:rsid w:val="00881045"/>
    <w:rsid w:val="00882399"/>
    <w:rsid w:val="00882DA3"/>
    <w:rsid w:val="008847DB"/>
    <w:rsid w:val="008856D1"/>
    <w:rsid w:val="00885AF8"/>
    <w:rsid w:val="00885C39"/>
    <w:rsid w:val="00886D5D"/>
    <w:rsid w:val="008871AC"/>
    <w:rsid w:val="00890B79"/>
    <w:rsid w:val="00890FF2"/>
    <w:rsid w:val="00891004"/>
    <w:rsid w:val="00892CD3"/>
    <w:rsid w:val="00893248"/>
    <w:rsid w:val="00893313"/>
    <w:rsid w:val="00893561"/>
    <w:rsid w:val="00893D87"/>
    <w:rsid w:val="008953BF"/>
    <w:rsid w:val="00895D39"/>
    <w:rsid w:val="008A1AC3"/>
    <w:rsid w:val="008A1E9C"/>
    <w:rsid w:val="008A42C9"/>
    <w:rsid w:val="008A61F8"/>
    <w:rsid w:val="008A6E25"/>
    <w:rsid w:val="008B2EA5"/>
    <w:rsid w:val="008B3418"/>
    <w:rsid w:val="008B3824"/>
    <w:rsid w:val="008B5021"/>
    <w:rsid w:val="008C09A8"/>
    <w:rsid w:val="008C250D"/>
    <w:rsid w:val="008C2901"/>
    <w:rsid w:val="008C330D"/>
    <w:rsid w:val="008C5065"/>
    <w:rsid w:val="008C5CA6"/>
    <w:rsid w:val="008D335F"/>
    <w:rsid w:val="008D39C4"/>
    <w:rsid w:val="008D3FCA"/>
    <w:rsid w:val="008D50D6"/>
    <w:rsid w:val="008D597E"/>
    <w:rsid w:val="008D66F8"/>
    <w:rsid w:val="008E0BBA"/>
    <w:rsid w:val="008E1B15"/>
    <w:rsid w:val="008E27A9"/>
    <w:rsid w:val="008E27F0"/>
    <w:rsid w:val="008E2CDD"/>
    <w:rsid w:val="008E2D39"/>
    <w:rsid w:val="008E2DB6"/>
    <w:rsid w:val="008E40D5"/>
    <w:rsid w:val="008E74AB"/>
    <w:rsid w:val="008E7A5A"/>
    <w:rsid w:val="008E7F26"/>
    <w:rsid w:val="008F060D"/>
    <w:rsid w:val="008F0F2A"/>
    <w:rsid w:val="008F2B35"/>
    <w:rsid w:val="008F3BC2"/>
    <w:rsid w:val="008F632A"/>
    <w:rsid w:val="008F650D"/>
    <w:rsid w:val="008F67D8"/>
    <w:rsid w:val="008F7886"/>
    <w:rsid w:val="008F7B66"/>
    <w:rsid w:val="00901269"/>
    <w:rsid w:val="00903F0F"/>
    <w:rsid w:val="009050D5"/>
    <w:rsid w:val="0090531E"/>
    <w:rsid w:val="00905322"/>
    <w:rsid w:val="009058CE"/>
    <w:rsid w:val="00905DF0"/>
    <w:rsid w:val="00907A36"/>
    <w:rsid w:val="00907BFE"/>
    <w:rsid w:val="00907C68"/>
    <w:rsid w:val="009110D2"/>
    <w:rsid w:val="0091257A"/>
    <w:rsid w:val="00913573"/>
    <w:rsid w:val="00913DBF"/>
    <w:rsid w:val="00913E7A"/>
    <w:rsid w:val="009142ED"/>
    <w:rsid w:val="00914952"/>
    <w:rsid w:val="00914D6B"/>
    <w:rsid w:val="00915152"/>
    <w:rsid w:val="00917148"/>
    <w:rsid w:val="00917851"/>
    <w:rsid w:val="00917E46"/>
    <w:rsid w:val="00917E8A"/>
    <w:rsid w:val="00920876"/>
    <w:rsid w:val="00921C06"/>
    <w:rsid w:val="009225C8"/>
    <w:rsid w:val="009237ED"/>
    <w:rsid w:val="00923853"/>
    <w:rsid w:val="00923C5B"/>
    <w:rsid w:val="00924288"/>
    <w:rsid w:val="00924611"/>
    <w:rsid w:val="009248F6"/>
    <w:rsid w:val="0092513C"/>
    <w:rsid w:val="00925C66"/>
    <w:rsid w:val="009260DC"/>
    <w:rsid w:val="00926889"/>
    <w:rsid w:val="0092736F"/>
    <w:rsid w:val="00927F47"/>
    <w:rsid w:val="0093085B"/>
    <w:rsid w:val="009309BA"/>
    <w:rsid w:val="00930BA1"/>
    <w:rsid w:val="0093449B"/>
    <w:rsid w:val="009350B9"/>
    <w:rsid w:val="009354B7"/>
    <w:rsid w:val="00935F19"/>
    <w:rsid w:val="0094248C"/>
    <w:rsid w:val="009451D1"/>
    <w:rsid w:val="009469FC"/>
    <w:rsid w:val="00947ED4"/>
    <w:rsid w:val="0095058E"/>
    <w:rsid w:val="00950A55"/>
    <w:rsid w:val="0095331F"/>
    <w:rsid w:val="0095340D"/>
    <w:rsid w:val="009536F0"/>
    <w:rsid w:val="00956A87"/>
    <w:rsid w:val="00957656"/>
    <w:rsid w:val="00960624"/>
    <w:rsid w:val="00960A0F"/>
    <w:rsid w:val="0096354D"/>
    <w:rsid w:val="00965738"/>
    <w:rsid w:val="00966842"/>
    <w:rsid w:val="00967558"/>
    <w:rsid w:val="00967595"/>
    <w:rsid w:val="00967B4F"/>
    <w:rsid w:val="00972422"/>
    <w:rsid w:val="009726A7"/>
    <w:rsid w:val="00972833"/>
    <w:rsid w:val="0097370B"/>
    <w:rsid w:val="00974612"/>
    <w:rsid w:val="009752C6"/>
    <w:rsid w:val="00975662"/>
    <w:rsid w:val="00981138"/>
    <w:rsid w:val="009832EE"/>
    <w:rsid w:val="00983B95"/>
    <w:rsid w:val="00985C3B"/>
    <w:rsid w:val="0098692D"/>
    <w:rsid w:val="009872E6"/>
    <w:rsid w:val="00987903"/>
    <w:rsid w:val="00990912"/>
    <w:rsid w:val="00991E4A"/>
    <w:rsid w:val="0099247E"/>
    <w:rsid w:val="0099263F"/>
    <w:rsid w:val="00993146"/>
    <w:rsid w:val="009937E3"/>
    <w:rsid w:val="0099475D"/>
    <w:rsid w:val="00995A70"/>
    <w:rsid w:val="00996C15"/>
    <w:rsid w:val="009A290E"/>
    <w:rsid w:val="009A2BFB"/>
    <w:rsid w:val="009A325C"/>
    <w:rsid w:val="009A3942"/>
    <w:rsid w:val="009A3C50"/>
    <w:rsid w:val="009A4086"/>
    <w:rsid w:val="009A4F18"/>
    <w:rsid w:val="009A554E"/>
    <w:rsid w:val="009A6210"/>
    <w:rsid w:val="009A6968"/>
    <w:rsid w:val="009A7BB8"/>
    <w:rsid w:val="009B0AD4"/>
    <w:rsid w:val="009B1C97"/>
    <w:rsid w:val="009B2486"/>
    <w:rsid w:val="009B2CA4"/>
    <w:rsid w:val="009B39FB"/>
    <w:rsid w:val="009B55A5"/>
    <w:rsid w:val="009B601F"/>
    <w:rsid w:val="009B658C"/>
    <w:rsid w:val="009B658D"/>
    <w:rsid w:val="009B7347"/>
    <w:rsid w:val="009C0733"/>
    <w:rsid w:val="009C235D"/>
    <w:rsid w:val="009C32C5"/>
    <w:rsid w:val="009C3D5A"/>
    <w:rsid w:val="009C4627"/>
    <w:rsid w:val="009C5768"/>
    <w:rsid w:val="009C6584"/>
    <w:rsid w:val="009C660D"/>
    <w:rsid w:val="009C78C5"/>
    <w:rsid w:val="009C7A9A"/>
    <w:rsid w:val="009C7BF3"/>
    <w:rsid w:val="009D2FD2"/>
    <w:rsid w:val="009D3928"/>
    <w:rsid w:val="009D4026"/>
    <w:rsid w:val="009D5704"/>
    <w:rsid w:val="009D5FFC"/>
    <w:rsid w:val="009D6315"/>
    <w:rsid w:val="009D6D9B"/>
    <w:rsid w:val="009D7FE1"/>
    <w:rsid w:val="009E050E"/>
    <w:rsid w:val="009E050F"/>
    <w:rsid w:val="009E1310"/>
    <w:rsid w:val="009E1638"/>
    <w:rsid w:val="009E29C0"/>
    <w:rsid w:val="009E38A8"/>
    <w:rsid w:val="009E58E7"/>
    <w:rsid w:val="009E5B97"/>
    <w:rsid w:val="009E5E69"/>
    <w:rsid w:val="009E6FFC"/>
    <w:rsid w:val="009E76AD"/>
    <w:rsid w:val="009F24F9"/>
    <w:rsid w:val="009F4226"/>
    <w:rsid w:val="009F64D4"/>
    <w:rsid w:val="009F717E"/>
    <w:rsid w:val="009F791C"/>
    <w:rsid w:val="009F7E97"/>
    <w:rsid w:val="00A000C3"/>
    <w:rsid w:val="00A003CB"/>
    <w:rsid w:val="00A02008"/>
    <w:rsid w:val="00A026DA"/>
    <w:rsid w:val="00A0295B"/>
    <w:rsid w:val="00A02A40"/>
    <w:rsid w:val="00A02BB4"/>
    <w:rsid w:val="00A03751"/>
    <w:rsid w:val="00A04F80"/>
    <w:rsid w:val="00A05454"/>
    <w:rsid w:val="00A0700F"/>
    <w:rsid w:val="00A0753F"/>
    <w:rsid w:val="00A07848"/>
    <w:rsid w:val="00A12AB2"/>
    <w:rsid w:val="00A13249"/>
    <w:rsid w:val="00A13D88"/>
    <w:rsid w:val="00A13E73"/>
    <w:rsid w:val="00A14129"/>
    <w:rsid w:val="00A15B2A"/>
    <w:rsid w:val="00A16319"/>
    <w:rsid w:val="00A169D8"/>
    <w:rsid w:val="00A21A49"/>
    <w:rsid w:val="00A24A1F"/>
    <w:rsid w:val="00A250D3"/>
    <w:rsid w:val="00A26BE1"/>
    <w:rsid w:val="00A277A6"/>
    <w:rsid w:val="00A27DAE"/>
    <w:rsid w:val="00A30CCE"/>
    <w:rsid w:val="00A31986"/>
    <w:rsid w:val="00A325F2"/>
    <w:rsid w:val="00A333EF"/>
    <w:rsid w:val="00A35378"/>
    <w:rsid w:val="00A3644A"/>
    <w:rsid w:val="00A36D92"/>
    <w:rsid w:val="00A37485"/>
    <w:rsid w:val="00A375B9"/>
    <w:rsid w:val="00A37617"/>
    <w:rsid w:val="00A44F2C"/>
    <w:rsid w:val="00A45101"/>
    <w:rsid w:val="00A47134"/>
    <w:rsid w:val="00A51D6D"/>
    <w:rsid w:val="00A52011"/>
    <w:rsid w:val="00A53FE1"/>
    <w:rsid w:val="00A543B2"/>
    <w:rsid w:val="00A56659"/>
    <w:rsid w:val="00A569CE"/>
    <w:rsid w:val="00A60F66"/>
    <w:rsid w:val="00A61FD8"/>
    <w:rsid w:val="00A66107"/>
    <w:rsid w:val="00A66A6F"/>
    <w:rsid w:val="00A73FE2"/>
    <w:rsid w:val="00A7427F"/>
    <w:rsid w:val="00A74868"/>
    <w:rsid w:val="00A757FD"/>
    <w:rsid w:val="00A7630B"/>
    <w:rsid w:val="00A80F09"/>
    <w:rsid w:val="00A80F4C"/>
    <w:rsid w:val="00A81397"/>
    <w:rsid w:val="00A83682"/>
    <w:rsid w:val="00A861BA"/>
    <w:rsid w:val="00A92353"/>
    <w:rsid w:val="00A93283"/>
    <w:rsid w:val="00A936AF"/>
    <w:rsid w:val="00A94D77"/>
    <w:rsid w:val="00A95338"/>
    <w:rsid w:val="00AA0080"/>
    <w:rsid w:val="00AA00D9"/>
    <w:rsid w:val="00AA131E"/>
    <w:rsid w:val="00AA1ACE"/>
    <w:rsid w:val="00AA2D2C"/>
    <w:rsid w:val="00AA4DA2"/>
    <w:rsid w:val="00AA5F21"/>
    <w:rsid w:val="00AA6A87"/>
    <w:rsid w:val="00AB0C27"/>
    <w:rsid w:val="00AB1B43"/>
    <w:rsid w:val="00AB2D32"/>
    <w:rsid w:val="00AB3EAF"/>
    <w:rsid w:val="00AB4072"/>
    <w:rsid w:val="00AB4167"/>
    <w:rsid w:val="00AB488D"/>
    <w:rsid w:val="00AB49CE"/>
    <w:rsid w:val="00AB5C7B"/>
    <w:rsid w:val="00AC00C0"/>
    <w:rsid w:val="00AC068D"/>
    <w:rsid w:val="00AC1C5E"/>
    <w:rsid w:val="00AC20D6"/>
    <w:rsid w:val="00AC4060"/>
    <w:rsid w:val="00AC4200"/>
    <w:rsid w:val="00AC6960"/>
    <w:rsid w:val="00AC6CA6"/>
    <w:rsid w:val="00AC72EE"/>
    <w:rsid w:val="00AD036C"/>
    <w:rsid w:val="00AD068C"/>
    <w:rsid w:val="00AD0824"/>
    <w:rsid w:val="00AD18E4"/>
    <w:rsid w:val="00AD62B7"/>
    <w:rsid w:val="00AD6496"/>
    <w:rsid w:val="00AD66B6"/>
    <w:rsid w:val="00AD6E1C"/>
    <w:rsid w:val="00AD73A8"/>
    <w:rsid w:val="00AE2858"/>
    <w:rsid w:val="00AE2961"/>
    <w:rsid w:val="00AE3B0E"/>
    <w:rsid w:val="00AE41A5"/>
    <w:rsid w:val="00AE5611"/>
    <w:rsid w:val="00AE5985"/>
    <w:rsid w:val="00AE61AA"/>
    <w:rsid w:val="00AE6F0E"/>
    <w:rsid w:val="00AF11BA"/>
    <w:rsid w:val="00AF44EE"/>
    <w:rsid w:val="00AF5127"/>
    <w:rsid w:val="00AF62FA"/>
    <w:rsid w:val="00AF7337"/>
    <w:rsid w:val="00B00250"/>
    <w:rsid w:val="00B01680"/>
    <w:rsid w:val="00B02B7F"/>
    <w:rsid w:val="00B02DBF"/>
    <w:rsid w:val="00B03393"/>
    <w:rsid w:val="00B048C6"/>
    <w:rsid w:val="00B04C45"/>
    <w:rsid w:val="00B05B77"/>
    <w:rsid w:val="00B06AAB"/>
    <w:rsid w:val="00B07D66"/>
    <w:rsid w:val="00B100FB"/>
    <w:rsid w:val="00B11916"/>
    <w:rsid w:val="00B11EB5"/>
    <w:rsid w:val="00B14805"/>
    <w:rsid w:val="00B20150"/>
    <w:rsid w:val="00B20A96"/>
    <w:rsid w:val="00B20E41"/>
    <w:rsid w:val="00B235DE"/>
    <w:rsid w:val="00B23D4A"/>
    <w:rsid w:val="00B23E3E"/>
    <w:rsid w:val="00B245C2"/>
    <w:rsid w:val="00B27EC8"/>
    <w:rsid w:val="00B32168"/>
    <w:rsid w:val="00B3284C"/>
    <w:rsid w:val="00B34D1F"/>
    <w:rsid w:val="00B35546"/>
    <w:rsid w:val="00B36B10"/>
    <w:rsid w:val="00B3754A"/>
    <w:rsid w:val="00B403F9"/>
    <w:rsid w:val="00B407BE"/>
    <w:rsid w:val="00B40B01"/>
    <w:rsid w:val="00B411EC"/>
    <w:rsid w:val="00B44ED7"/>
    <w:rsid w:val="00B47403"/>
    <w:rsid w:val="00B50A59"/>
    <w:rsid w:val="00B51523"/>
    <w:rsid w:val="00B51CD9"/>
    <w:rsid w:val="00B54423"/>
    <w:rsid w:val="00B57BC5"/>
    <w:rsid w:val="00B611A1"/>
    <w:rsid w:val="00B61347"/>
    <w:rsid w:val="00B6146C"/>
    <w:rsid w:val="00B61AB5"/>
    <w:rsid w:val="00B625C1"/>
    <w:rsid w:val="00B63672"/>
    <w:rsid w:val="00B6380F"/>
    <w:rsid w:val="00B63DE5"/>
    <w:rsid w:val="00B6629A"/>
    <w:rsid w:val="00B667B1"/>
    <w:rsid w:val="00B671DA"/>
    <w:rsid w:val="00B70685"/>
    <w:rsid w:val="00B7085B"/>
    <w:rsid w:val="00B70B54"/>
    <w:rsid w:val="00B72231"/>
    <w:rsid w:val="00B72558"/>
    <w:rsid w:val="00B72ED9"/>
    <w:rsid w:val="00B73F4C"/>
    <w:rsid w:val="00B74CDF"/>
    <w:rsid w:val="00B756B6"/>
    <w:rsid w:val="00B764EB"/>
    <w:rsid w:val="00B77809"/>
    <w:rsid w:val="00B80570"/>
    <w:rsid w:val="00B82578"/>
    <w:rsid w:val="00B85215"/>
    <w:rsid w:val="00B86915"/>
    <w:rsid w:val="00B903A9"/>
    <w:rsid w:val="00B91135"/>
    <w:rsid w:val="00B923C5"/>
    <w:rsid w:val="00B93E99"/>
    <w:rsid w:val="00B94C25"/>
    <w:rsid w:val="00B96CB1"/>
    <w:rsid w:val="00BA1B76"/>
    <w:rsid w:val="00BA25CF"/>
    <w:rsid w:val="00BA5075"/>
    <w:rsid w:val="00BA557A"/>
    <w:rsid w:val="00BA5678"/>
    <w:rsid w:val="00BA57F8"/>
    <w:rsid w:val="00BA5A9B"/>
    <w:rsid w:val="00BA5F28"/>
    <w:rsid w:val="00BA7897"/>
    <w:rsid w:val="00BB0A41"/>
    <w:rsid w:val="00BB1355"/>
    <w:rsid w:val="00BB2576"/>
    <w:rsid w:val="00BB2EE4"/>
    <w:rsid w:val="00BB4586"/>
    <w:rsid w:val="00BB4ABF"/>
    <w:rsid w:val="00BB546A"/>
    <w:rsid w:val="00BB5FC0"/>
    <w:rsid w:val="00BC0DE9"/>
    <w:rsid w:val="00BC1121"/>
    <w:rsid w:val="00BC19B9"/>
    <w:rsid w:val="00BC3861"/>
    <w:rsid w:val="00BC6DD2"/>
    <w:rsid w:val="00BC7148"/>
    <w:rsid w:val="00BD0041"/>
    <w:rsid w:val="00BD0F39"/>
    <w:rsid w:val="00BD126B"/>
    <w:rsid w:val="00BD1BE5"/>
    <w:rsid w:val="00BD1C92"/>
    <w:rsid w:val="00BD2667"/>
    <w:rsid w:val="00BD2D08"/>
    <w:rsid w:val="00BD33FF"/>
    <w:rsid w:val="00BD39AF"/>
    <w:rsid w:val="00BD4CCF"/>
    <w:rsid w:val="00BD506C"/>
    <w:rsid w:val="00BD781C"/>
    <w:rsid w:val="00BE023A"/>
    <w:rsid w:val="00BE051F"/>
    <w:rsid w:val="00BE06CA"/>
    <w:rsid w:val="00BE07E9"/>
    <w:rsid w:val="00BE3277"/>
    <w:rsid w:val="00BE332C"/>
    <w:rsid w:val="00BE3A27"/>
    <w:rsid w:val="00BE67DC"/>
    <w:rsid w:val="00BE770F"/>
    <w:rsid w:val="00BF178F"/>
    <w:rsid w:val="00BF2884"/>
    <w:rsid w:val="00BF3887"/>
    <w:rsid w:val="00BF58D9"/>
    <w:rsid w:val="00BF7227"/>
    <w:rsid w:val="00BF76A0"/>
    <w:rsid w:val="00C020D0"/>
    <w:rsid w:val="00C02446"/>
    <w:rsid w:val="00C04B13"/>
    <w:rsid w:val="00C0786D"/>
    <w:rsid w:val="00C116E8"/>
    <w:rsid w:val="00C12986"/>
    <w:rsid w:val="00C12CFC"/>
    <w:rsid w:val="00C15B85"/>
    <w:rsid w:val="00C17264"/>
    <w:rsid w:val="00C21009"/>
    <w:rsid w:val="00C21E4D"/>
    <w:rsid w:val="00C2654A"/>
    <w:rsid w:val="00C26DD5"/>
    <w:rsid w:val="00C30258"/>
    <w:rsid w:val="00C308E2"/>
    <w:rsid w:val="00C30E7E"/>
    <w:rsid w:val="00C31526"/>
    <w:rsid w:val="00C31F4F"/>
    <w:rsid w:val="00C3269E"/>
    <w:rsid w:val="00C33464"/>
    <w:rsid w:val="00C33B45"/>
    <w:rsid w:val="00C33DC2"/>
    <w:rsid w:val="00C34CB4"/>
    <w:rsid w:val="00C354BF"/>
    <w:rsid w:val="00C379A0"/>
    <w:rsid w:val="00C42333"/>
    <w:rsid w:val="00C42D67"/>
    <w:rsid w:val="00C42EFA"/>
    <w:rsid w:val="00C43FDA"/>
    <w:rsid w:val="00C44CCA"/>
    <w:rsid w:val="00C4536F"/>
    <w:rsid w:val="00C45EBE"/>
    <w:rsid w:val="00C50BED"/>
    <w:rsid w:val="00C5161C"/>
    <w:rsid w:val="00C521AC"/>
    <w:rsid w:val="00C5262B"/>
    <w:rsid w:val="00C529A7"/>
    <w:rsid w:val="00C52A12"/>
    <w:rsid w:val="00C52A1F"/>
    <w:rsid w:val="00C532F2"/>
    <w:rsid w:val="00C53825"/>
    <w:rsid w:val="00C55601"/>
    <w:rsid w:val="00C60729"/>
    <w:rsid w:val="00C61F30"/>
    <w:rsid w:val="00C62A94"/>
    <w:rsid w:val="00C62DD1"/>
    <w:rsid w:val="00C633EA"/>
    <w:rsid w:val="00C6732F"/>
    <w:rsid w:val="00C67B78"/>
    <w:rsid w:val="00C70AE8"/>
    <w:rsid w:val="00C711EF"/>
    <w:rsid w:val="00C73C77"/>
    <w:rsid w:val="00C7451E"/>
    <w:rsid w:val="00C746F3"/>
    <w:rsid w:val="00C76E49"/>
    <w:rsid w:val="00C7704E"/>
    <w:rsid w:val="00C77DF3"/>
    <w:rsid w:val="00C77DFE"/>
    <w:rsid w:val="00C8145A"/>
    <w:rsid w:val="00C81873"/>
    <w:rsid w:val="00C8312C"/>
    <w:rsid w:val="00C83237"/>
    <w:rsid w:val="00C83564"/>
    <w:rsid w:val="00C84B91"/>
    <w:rsid w:val="00C84EC8"/>
    <w:rsid w:val="00C84ECF"/>
    <w:rsid w:val="00C85012"/>
    <w:rsid w:val="00C90646"/>
    <w:rsid w:val="00C90835"/>
    <w:rsid w:val="00C91BE7"/>
    <w:rsid w:val="00C940EA"/>
    <w:rsid w:val="00C96CA9"/>
    <w:rsid w:val="00CA109D"/>
    <w:rsid w:val="00CA1A4D"/>
    <w:rsid w:val="00CA2133"/>
    <w:rsid w:val="00CA2E02"/>
    <w:rsid w:val="00CA47A0"/>
    <w:rsid w:val="00CA5E0E"/>
    <w:rsid w:val="00CA7032"/>
    <w:rsid w:val="00CA7ABA"/>
    <w:rsid w:val="00CB026F"/>
    <w:rsid w:val="00CB13F1"/>
    <w:rsid w:val="00CB211E"/>
    <w:rsid w:val="00CB23FF"/>
    <w:rsid w:val="00CB4539"/>
    <w:rsid w:val="00CB4EEE"/>
    <w:rsid w:val="00CB5ADB"/>
    <w:rsid w:val="00CB705A"/>
    <w:rsid w:val="00CC0420"/>
    <w:rsid w:val="00CC270D"/>
    <w:rsid w:val="00CC2E7B"/>
    <w:rsid w:val="00CC3F94"/>
    <w:rsid w:val="00CC580E"/>
    <w:rsid w:val="00CC5E59"/>
    <w:rsid w:val="00CC6575"/>
    <w:rsid w:val="00CC680A"/>
    <w:rsid w:val="00CC715F"/>
    <w:rsid w:val="00CC7160"/>
    <w:rsid w:val="00CC7464"/>
    <w:rsid w:val="00CD023F"/>
    <w:rsid w:val="00CD0B51"/>
    <w:rsid w:val="00CD1BE7"/>
    <w:rsid w:val="00CD23C5"/>
    <w:rsid w:val="00CD44A1"/>
    <w:rsid w:val="00CD5358"/>
    <w:rsid w:val="00CD5402"/>
    <w:rsid w:val="00CD675A"/>
    <w:rsid w:val="00CE1661"/>
    <w:rsid w:val="00CE3304"/>
    <w:rsid w:val="00CE330B"/>
    <w:rsid w:val="00CE3F8D"/>
    <w:rsid w:val="00CE43D8"/>
    <w:rsid w:val="00CE544A"/>
    <w:rsid w:val="00CE5D37"/>
    <w:rsid w:val="00CE6530"/>
    <w:rsid w:val="00CE7A0C"/>
    <w:rsid w:val="00CF20E8"/>
    <w:rsid w:val="00CF221D"/>
    <w:rsid w:val="00CF2988"/>
    <w:rsid w:val="00CF320B"/>
    <w:rsid w:val="00CF36C7"/>
    <w:rsid w:val="00CF4552"/>
    <w:rsid w:val="00D007D9"/>
    <w:rsid w:val="00D00EBF"/>
    <w:rsid w:val="00D013D7"/>
    <w:rsid w:val="00D01B7D"/>
    <w:rsid w:val="00D02C9A"/>
    <w:rsid w:val="00D02E59"/>
    <w:rsid w:val="00D044CE"/>
    <w:rsid w:val="00D055A5"/>
    <w:rsid w:val="00D06394"/>
    <w:rsid w:val="00D06396"/>
    <w:rsid w:val="00D06A24"/>
    <w:rsid w:val="00D07C60"/>
    <w:rsid w:val="00D101E5"/>
    <w:rsid w:val="00D10977"/>
    <w:rsid w:val="00D10E81"/>
    <w:rsid w:val="00D12F43"/>
    <w:rsid w:val="00D12F47"/>
    <w:rsid w:val="00D13AFB"/>
    <w:rsid w:val="00D13C38"/>
    <w:rsid w:val="00D14856"/>
    <w:rsid w:val="00D149DB"/>
    <w:rsid w:val="00D1588F"/>
    <w:rsid w:val="00D17129"/>
    <w:rsid w:val="00D17249"/>
    <w:rsid w:val="00D175F7"/>
    <w:rsid w:val="00D20002"/>
    <w:rsid w:val="00D222A8"/>
    <w:rsid w:val="00D2430B"/>
    <w:rsid w:val="00D253A1"/>
    <w:rsid w:val="00D27BB8"/>
    <w:rsid w:val="00D327AC"/>
    <w:rsid w:val="00D3444E"/>
    <w:rsid w:val="00D36145"/>
    <w:rsid w:val="00D41337"/>
    <w:rsid w:val="00D43DEF"/>
    <w:rsid w:val="00D43E9A"/>
    <w:rsid w:val="00D44D2D"/>
    <w:rsid w:val="00D4529F"/>
    <w:rsid w:val="00D455A8"/>
    <w:rsid w:val="00D4632F"/>
    <w:rsid w:val="00D47EA4"/>
    <w:rsid w:val="00D50437"/>
    <w:rsid w:val="00D50A64"/>
    <w:rsid w:val="00D50F91"/>
    <w:rsid w:val="00D5165E"/>
    <w:rsid w:val="00D51712"/>
    <w:rsid w:val="00D53655"/>
    <w:rsid w:val="00D54114"/>
    <w:rsid w:val="00D54ADB"/>
    <w:rsid w:val="00D558C1"/>
    <w:rsid w:val="00D55B73"/>
    <w:rsid w:val="00D560A4"/>
    <w:rsid w:val="00D5656A"/>
    <w:rsid w:val="00D578B0"/>
    <w:rsid w:val="00D63479"/>
    <w:rsid w:val="00D636F3"/>
    <w:rsid w:val="00D65B50"/>
    <w:rsid w:val="00D7110C"/>
    <w:rsid w:val="00D719A2"/>
    <w:rsid w:val="00D730FA"/>
    <w:rsid w:val="00D7324E"/>
    <w:rsid w:val="00D81470"/>
    <w:rsid w:val="00D82A6D"/>
    <w:rsid w:val="00D83798"/>
    <w:rsid w:val="00D84565"/>
    <w:rsid w:val="00D8638D"/>
    <w:rsid w:val="00D90151"/>
    <w:rsid w:val="00D9180E"/>
    <w:rsid w:val="00D92B1B"/>
    <w:rsid w:val="00D942A6"/>
    <w:rsid w:val="00D943AB"/>
    <w:rsid w:val="00D949FB"/>
    <w:rsid w:val="00D94D55"/>
    <w:rsid w:val="00D95332"/>
    <w:rsid w:val="00D96B75"/>
    <w:rsid w:val="00D96DF8"/>
    <w:rsid w:val="00DA1ED1"/>
    <w:rsid w:val="00DA3294"/>
    <w:rsid w:val="00DA72C8"/>
    <w:rsid w:val="00DB0E0F"/>
    <w:rsid w:val="00DB0F2C"/>
    <w:rsid w:val="00DB3499"/>
    <w:rsid w:val="00DB4208"/>
    <w:rsid w:val="00DB43D9"/>
    <w:rsid w:val="00DB49CA"/>
    <w:rsid w:val="00DB4D76"/>
    <w:rsid w:val="00DB5DB6"/>
    <w:rsid w:val="00DB7C95"/>
    <w:rsid w:val="00DC2ECD"/>
    <w:rsid w:val="00DC3726"/>
    <w:rsid w:val="00DC6EF8"/>
    <w:rsid w:val="00DD03B5"/>
    <w:rsid w:val="00DD0432"/>
    <w:rsid w:val="00DD06E8"/>
    <w:rsid w:val="00DD0F97"/>
    <w:rsid w:val="00DD10CF"/>
    <w:rsid w:val="00DD19A6"/>
    <w:rsid w:val="00DD41F9"/>
    <w:rsid w:val="00DD4995"/>
    <w:rsid w:val="00DD4B81"/>
    <w:rsid w:val="00DD6323"/>
    <w:rsid w:val="00DE05C2"/>
    <w:rsid w:val="00DE2798"/>
    <w:rsid w:val="00DE33A9"/>
    <w:rsid w:val="00DE3CFD"/>
    <w:rsid w:val="00DE3D4A"/>
    <w:rsid w:val="00DE40EB"/>
    <w:rsid w:val="00DE4310"/>
    <w:rsid w:val="00DE7A51"/>
    <w:rsid w:val="00DF01DC"/>
    <w:rsid w:val="00DF09D1"/>
    <w:rsid w:val="00DF0ACB"/>
    <w:rsid w:val="00DF1D6C"/>
    <w:rsid w:val="00DF335F"/>
    <w:rsid w:val="00DF39AB"/>
    <w:rsid w:val="00DF3C7D"/>
    <w:rsid w:val="00DF4248"/>
    <w:rsid w:val="00DF47E4"/>
    <w:rsid w:val="00DF503D"/>
    <w:rsid w:val="00DF628D"/>
    <w:rsid w:val="00DF746C"/>
    <w:rsid w:val="00DF7C2D"/>
    <w:rsid w:val="00E05398"/>
    <w:rsid w:val="00E06EC9"/>
    <w:rsid w:val="00E070B9"/>
    <w:rsid w:val="00E07EBD"/>
    <w:rsid w:val="00E10397"/>
    <w:rsid w:val="00E110A4"/>
    <w:rsid w:val="00E11B48"/>
    <w:rsid w:val="00E13880"/>
    <w:rsid w:val="00E1479D"/>
    <w:rsid w:val="00E17BAA"/>
    <w:rsid w:val="00E21481"/>
    <w:rsid w:val="00E21E6E"/>
    <w:rsid w:val="00E23475"/>
    <w:rsid w:val="00E23BC2"/>
    <w:rsid w:val="00E268F8"/>
    <w:rsid w:val="00E2721C"/>
    <w:rsid w:val="00E273C8"/>
    <w:rsid w:val="00E325F7"/>
    <w:rsid w:val="00E340A2"/>
    <w:rsid w:val="00E35AB8"/>
    <w:rsid w:val="00E35B02"/>
    <w:rsid w:val="00E3602C"/>
    <w:rsid w:val="00E36F92"/>
    <w:rsid w:val="00E3717C"/>
    <w:rsid w:val="00E37346"/>
    <w:rsid w:val="00E37545"/>
    <w:rsid w:val="00E40308"/>
    <w:rsid w:val="00E40C07"/>
    <w:rsid w:val="00E42639"/>
    <w:rsid w:val="00E450F4"/>
    <w:rsid w:val="00E457F5"/>
    <w:rsid w:val="00E457FC"/>
    <w:rsid w:val="00E4591C"/>
    <w:rsid w:val="00E50682"/>
    <w:rsid w:val="00E50F94"/>
    <w:rsid w:val="00E53482"/>
    <w:rsid w:val="00E5397B"/>
    <w:rsid w:val="00E54EA6"/>
    <w:rsid w:val="00E556C6"/>
    <w:rsid w:val="00E55CBA"/>
    <w:rsid w:val="00E600D9"/>
    <w:rsid w:val="00E603F4"/>
    <w:rsid w:val="00E61938"/>
    <w:rsid w:val="00E62436"/>
    <w:rsid w:val="00E629AC"/>
    <w:rsid w:val="00E638EE"/>
    <w:rsid w:val="00E63AA4"/>
    <w:rsid w:val="00E65068"/>
    <w:rsid w:val="00E66D49"/>
    <w:rsid w:val="00E67969"/>
    <w:rsid w:val="00E67C43"/>
    <w:rsid w:val="00E710FE"/>
    <w:rsid w:val="00E73F1C"/>
    <w:rsid w:val="00E7406A"/>
    <w:rsid w:val="00E74179"/>
    <w:rsid w:val="00E7527B"/>
    <w:rsid w:val="00E7628F"/>
    <w:rsid w:val="00E7762C"/>
    <w:rsid w:val="00E8020B"/>
    <w:rsid w:val="00E807B3"/>
    <w:rsid w:val="00E80F2F"/>
    <w:rsid w:val="00E81596"/>
    <w:rsid w:val="00E81C1C"/>
    <w:rsid w:val="00E82E3A"/>
    <w:rsid w:val="00E83E46"/>
    <w:rsid w:val="00E85582"/>
    <w:rsid w:val="00E8562F"/>
    <w:rsid w:val="00E85E78"/>
    <w:rsid w:val="00E868D4"/>
    <w:rsid w:val="00E86FAB"/>
    <w:rsid w:val="00E90AF1"/>
    <w:rsid w:val="00E91F51"/>
    <w:rsid w:val="00E94113"/>
    <w:rsid w:val="00E953B1"/>
    <w:rsid w:val="00E9774D"/>
    <w:rsid w:val="00E9788C"/>
    <w:rsid w:val="00E97C57"/>
    <w:rsid w:val="00E97F00"/>
    <w:rsid w:val="00EA03EC"/>
    <w:rsid w:val="00EA0DEF"/>
    <w:rsid w:val="00EA177E"/>
    <w:rsid w:val="00EA5368"/>
    <w:rsid w:val="00EA547C"/>
    <w:rsid w:val="00EA766D"/>
    <w:rsid w:val="00EB0C39"/>
    <w:rsid w:val="00EB20D1"/>
    <w:rsid w:val="00EB2F09"/>
    <w:rsid w:val="00EB450C"/>
    <w:rsid w:val="00EB5B04"/>
    <w:rsid w:val="00EB774B"/>
    <w:rsid w:val="00EB7F37"/>
    <w:rsid w:val="00EC0E53"/>
    <w:rsid w:val="00EC23D2"/>
    <w:rsid w:val="00EC2D2C"/>
    <w:rsid w:val="00EC2F65"/>
    <w:rsid w:val="00EC40D9"/>
    <w:rsid w:val="00EC4C18"/>
    <w:rsid w:val="00EC784C"/>
    <w:rsid w:val="00EC7BA4"/>
    <w:rsid w:val="00ED1899"/>
    <w:rsid w:val="00ED2CB2"/>
    <w:rsid w:val="00ED2E33"/>
    <w:rsid w:val="00ED31D4"/>
    <w:rsid w:val="00ED426E"/>
    <w:rsid w:val="00ED4561"/>
    <w:rsid w:val="00ED6AC9"/>
    <w:rsid w:val="00ED6D36"/>
    <w:rsid w:val="00EE013D"/>
    <w:rsid w:val="00EE064D"/>
    <w:rsid w:val="00EE127E"/>
    <w:rsid w:val="00EE1413"/>
    <w:rsid w:val="00EE3969"/>
    <w:rsid w:val="00EE4419"/>
    <w:rsid w:val="00EE47EF"/>
    <w:rsid w:val="00EE50C5"/>
    <w:rsid w:val="00EE7D06"/>
    <w:rsid w:val="00EF2150"/>
    <w:rsid w:val="00EF21CD"/>
    <w:rsid w:val="00EF354B"/>
    <w:rsid w:val="00EF3583"/>
    <w:rsid w:val="00EF4078"/>
    <w:rsid w:val="00EF64FB"/>
    <w:rsid w:val="00EF6CD8"/>
    <w:rsid w:val="00EF6D88"/>
    <w:rsid w:val="00EF74F4"/>
    <w:rsid w:val="00EF7745"/>
    <w:rsid w:val="00EF7791"/>
    <w:rsid w:val="00EF7E05"/>
    <w:rsid w:val="00F005C1"/>
    <w:rsid w:val="00F02275"/>
    <w:rsid w:val="00F03DCF"/>
    <w:rsid w:val="00F04883"/>
    <w:rsid w:val="00F04D69"/>
    <w:rsid w:val="00F1060C"/>
    <w:rsid w:val="00F10648"/>
    <w:rsid w:val="00F10BD7"/>
    <w:rsid w:val="00F11333"/>
    <w:rsid w:val="00F114D5"/>
    <w:rsid w:val="00F11834"/>
    <w:rsid w:val="00F11DA4"/>
    <w:rsid w:val="00F13D64"/>
    <w:rsid w:val="00F1569E"/>
    <w:rsid w:val="00F17044"/>
    <w:rsid w:val="00F203AD"/>
    <w:rsid w:val="00F21B06"/>
    <w:rsid w:val="00F22E9F"/>
    <w:rsid w:val="00F23DBE"/>
    <w:rsid w:val="00F26E9A"/>
    <w:rsid w:val="00F270F3"/>
    <w:rsid w:val="00F27427"/>
    <w:rsid w:val="00F30804"/>
    <w:rsid w:val="00F30D79"/>
    <w:rsid w:val="00F313AC"/>
    <w:rsid w:val="00F330C9"/>
    <w:rsid w:val="00F33AF2"/>
    <w:rsid w:val="00F33C19"/>
    <w:rsid w:val="00F34FCD"/>
    <w:rsid w:val="00F36019"/>
    <w:rsid w:val="00F404F4"/>
    <w:rsid w:val="00F43FBA"/>
    <w:rsid w:val="00F44689"/>
    <w:rsid w:val="00F46B96"/>
    <w:rsid w:val="00F5016B"/>
    <w:rsid w:val="00F5470A"/>
    <w:rsid w:val="00F5535A"/>
    <w:rsid w:val="00F561DE"/>
    <w:rsid w:val="00F577CD"/>
    <w:rsid w:val="00F60E4F"/>
    <w:rsid w:val="00F61072"/>
    <w:rsid w:val="00F62589"/>
    <w:rsid w:val="00F6311B"/>
    <w:rsid w:val="00F64F40"/>
    <w:rsid w:val="00F66E08"/>
    <w:rsid w:val="00F711FF"/>
    <w:rsid w:val="00F71C5B"/>
    <w:rsid w:val="00F721BB"/>
    <w:rsid w:val="00F72655"/>
    <w:rsid w:val="00F7288F"/>
    <w:rsid w:val="00F73A49"/>
    <w:rsid w:val="00F74DA1"/>
    <w:rsid w:val="00F75331"/>
    <w:rsid w:val="00F80A9E"/>
    <w:rsid w:val="00F81577"/>
    <w:rsid w:val="00F82132"/>
    <w:rsid w:val="00F839A8"/>
    <w:rsid w:val="00F83AEB"/>
    <w:rsid w:val="00F83C92"/>
    <w:rsid w:val="00F848CA"/>
    <w:rsid w:val="00F86016"/>
    <w:rsid w:val="00F86D79"/>
    <w:rsid w:val="00F9083A"/>
    <w:rsid w:val="00F913F9"/>
    <w:rsid w:val="00F914E9"/>
    <w:rsid w:val="00F92417"/>
    <w:rsid w:val="00F92967"/>
    <w:rsid w:val="00F93B76"/>
    <w:rsid w:val="00F949A7"/>
    <w:rsid w:val="00F94B91"/>
    <w:rsid w:val="00F950D1"/>
    <w:rsid w:val="00F9575B"/>
    <w:rsid w:val="00F9651B"/>
    <w:rsid w:val="00F96995"/>
    <w:rsid w:val="00F96B4C"/>
    <w:rsid w:val="00F9784B"/>
    <w:rsid w:val="00FA0E76"/>
    <w:rsid w:val="00FA1417"/>
    <w:rsid w:val="00FA230F"/>
    <w:rsid w:val="00FA4EB9"/>
    <w:rsid w:val="00FA732E"/>
    <w:rsid w:val="00FB14D6"/>
    <w:rsid w:val="00FB1C5B"/>
    <w:rsid w:val="00FB2B2D"/>
    <w:rsid w:val="00FB3287"/>
    <w:rsid w:val="00FB369A"/>
    <w:rsid w:val="00FB46D2"/>
    <w:rsid w:val="00FB6820"/>
    <w:rsid w:val="00FB6C87"/>
    <w:rsid w:val="00FB710A"/>
    <w:rsid w:val="00FB7632"/>
    <w:rsid w:val="00FC2387"/>
    <w:rsid w:val="00FC2497"/>
    <w:rsid w:val="00FC2562"/>
    <w:rsid w:val="00FC27E7"/>
    <w:rsid w:val="00FC2FD9"/>
    <w:rsid w:val="00FC31BA"/>
    <w:rsid w:val="00FC371F"/>
    <w:rsid w:val="00FC4FF5"/>
    <w:rsid w:val="00FC5391"/>
    <w:rsid w:val="00FC5FDB"/>
    <w:rsid w:val="00FC63A9"/>
    <w:rsid w:val="00FC64CF"/>
    <w:rsid w:val="00FC6F85"/>
    <w:rsid w:val="00FD5D83"/>
    <w:rsid w:val="00FD61C2"/>
    <w:rsid w:val="00FD6672"/>
    <w:rsid w:val="00FD7494"/>
    <w:rsid w:val="00FD7AF3"/>
    <w:rsid w:val="00FE080B"/>
    <w:rsid w:val="00FE0AAC"/>
    <w:rsid w:val="00FE0E7B"/>
    <w:rsid w:val="00FE2AE9"/>
    <w:rsid w:val="00FE2F0E"/>
    <w:rsid w:val="00FE3C9C"/>
    <w:rsid w:val="00FE4CF9"/>
    <w:rsid w:val="00FE6238"/>
    <w:rsid w:val="00FE7BA7"/>
    <w:rsid w:val="00FE7E55"/>
    <w:rsid w:val="00FF01B1"/>
    <w:rsid w:val="00FF040B"/>
    <w:rsid w:val="00FF06FE"/>
    <w:rsid w:val="00FF2A6E"/>
    <w:rsid w:val="00FF2AD7"/>
    <w:rsid w:val="00FF38AF"/>
    <w:rsid w:val="00FF4384"/>
    <w:rsid w:val="00FF6628"/>
    <w:rsid w:val="00FF6F38"/>
    <w:rsid w:val="00FF7231"/>
    <w:rsid w:val="00FF744C"/>
    <w:rsid w:val="00FF7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75AC4"/>
  <w15:docId w15:val="{7DC4B079-5CB5-46F2-A391-8A23BD0B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locked="0" w:semiHidden="1" w:uiPriority="0" w:unhideWhenUsed="1" w:qFormat="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50BED"/>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C50BED"/>
    <w:pPr>
      <w:ind w:right="2975"/>
      <w:outlineLvl w:val="0"/>
    </w:pPr>
    <w:rPr>
      <w:b/>
      <w:bCs/>
      <w:sz w:val="56"/>
      <w:szCs w:val="56"/>
    </w:rPr>
  </w:style>
  <w:style w:type="paragraph" w:styleId="Heading2">
    <w:name w:val="heading 2"/>
    <w:basedOn w:val="Normal"/>
    <w:next w:val="Normal"/>
    <w:link w:val="Heading2Char"/>
    <w:unhideWhenUsed/>
    <w:qFormat/>
    <w:rsid w:val="00C50BED"/>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E90AF1"/>
    <w:pPr>
      <w:spacing w:before="480"/>
      <w:outlineLvl w:val="2"/>
    </w:pPr>
    <w:rPr>
      <w:rFonts w:ascii="Arial Bold" w:hAnsi="Arial Bold"/>
      <w:b/>
      <w:bCs/>
      <w:color w:val="E81D32"/>
      <w:sz w:val="24"/>
      <w:szCs w:val="24"/>
    </w:rPr>
  </w:style>
  <w:style w:type="paragraph" w:styleId="Heading4">
    <w:name w:val="heading 4"/>
    <w:basedOn w:val="Normal"/>
    <w:next w:val="Normal"/>
    <w:link w:val="Heading4Char"/>
    <w:uiPriority w:val="9"/>
    <w:unhideWhenUsed/>
    <w:qFormat/>
    <w:rsid w:val="002C33D2"/>
    <w:pPr>
      <w:spacing w:before="200" w:after="0"/>
      <w:outlineLvl w:val="3"/>
    </w:pPr>
    <w:rPr>
      <w:rFonts w:eastAsiaTheme="majorEastAsia" w:cstheme="majorBidi"/>
      <w:bCs/>
      <w:iCs/>
      <w:color w:val="FF0000"/>
      <w:sz w:val="22"/>
      <w:szCs w:val="22"/>
    </w:rPr>
  </w:style>
  <w:style w:type="paragraph" w:styleId="Heading5">
    <w:name w:val="heading 5"/>
    <w:basedOn w:val="Normal"/>
    <w:next w:val="Normal"/>
    <w:link w:val="Heading5Char"/>
    <w:uiPriority w:val="9"/>
    <w:unhideWhenUsed/>
    <w:qFormat/>
    <w:rsid w:val="00C50BED"/>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locked/>
    <w:rsid w:val="00C50BED"/>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locked/>
    <w:rsid w:val="00C50BED"/>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locked/>
    <w:rsid w:val="00C50BED"/>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locked/>
    <w:rsid w:val="00C50BED"/>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BED"/>
    <w:rPr>
      <w:rFonts w:ascii="Arial" w:hAnsi="Arial" w:cs="Arial"/>
      <w:b/>
      <w:bCs/>
      <w:sz w:val="56"/>
      <w:szCs w:val="56"/>
    </w:rPr>
  </w:style>
  <w:style w:type="character" w:customStyle="1" w:styleId="Heading2Char">
    <w:name w:val="Heading 2 Char"/>
    <w:basedOn w:val="DefaultParagraphFont"/>
    <w:link w:val="Heading2"/>
    <w:rsid w:val="00C50BED"/>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E90AF1"/>
    <w:rPr>
      <w:rFonts w:ascii="Arial Bold" w:hAnsi="Arial Bold" w:cs="Arial"/>
      <w:b/>
      <w:bCs/>
      <w:color w:val="E81D32"/>
      <w:sz w:val="24"/>
      <w:szCs w:val="24"/>
    </w:rPr>
  </w:style>
  <w:style w:type="character" w:customStyle="1" w:styleId="Heading4Char">
    <w:name w:val="Heading 4 Char"/>
    <w:basedOn w:val="DefaultParagraphFont"/>
    <w:link w:val="Heading4"/>
    <w:uiPriority w:val="9"/>
    <w:rsid w:val="002C33D2"/>
    <w:rPr>
      <w:rFonts w:ascii="Arial" w:eastAsiaTheme="majorEastAsia" w:hAnsi="Arial" w:cstheme="majorBidi"/>
      <w:bCs/>
      <w:iCs/>
      <w:color w:val="FF0000"/>
    </w:rPr>
  </w:style>
  <w:style w:type="character" w:customStyle="1" w:styleId="Heading5Char">
    <w:name w:val="Heading 5 Char"/>
    <w:basedOn w:val="DefaultParagraphFont"/>
    <w:link w:val="Heading5"/>
    <w:uiPriority w:val="9"/>
    <w:rsid w:val="00C50BE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50BE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50BE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50BE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50BED"/>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C50BED"/>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aliases w:val="Table heading"/>
    <w:basedOn w:val="Normal"/>
    <w:next w:val="Normal"/>
    <w:qFormat/>
    <w:rsid w:val="00C50BED"/>
    <w:pPr>
      <w:overflowPunct w:val="0"/>
      <w:autoSpaceDE w:val="0"/>
      <w:autoSpaceDN w:val="0"/>
      <w:adjustRightInd w:val="0"/>
      <w:spacing w:after="0"/>
      <w:textAlignment w:val="baseline"/>
    </w:pPr>
    <w:rPr>
      <w:b/>
      <w:bCs/>
    </w:rPr>
  </w:style>
  <w:style w:type="character" w:styleId="CommentReference">
    <w:name w:val="annotation reference"/>
    <w:basedOn w:val="DefaultParagraphFont"/>
    <w:uiPriority w:val="99"/>
    <w:semiHidden/>
    <w:unhideWhenUsed/>
    <w:locked/>
    <w:rsid w:val="00F94B91"/>
    <w:rPr>
      <w:sz w:val="16"/>
      <w:szCs w:val="16"/>
    </w:rPr>
  </w:style>
  <w:style w:type="paragraph" w:styleId="CommentText">
    <w:name w:val="annotation text"/>
    <w:basedOn w:val="Normal"/>
    <w:link w:val="CommentTextChar"/>
    <w:uiPriority w:val="99"/>
    <w:semiHidden/>
    <w:locked/>
    <w:rsid w:val="00F94B91"/>
  </w:style>
  <w:style w:type="character" w:customStyle="1" w:styleId="CommentTextChar">
    <w:name w:val="Comment Text Char"/>
    <w:basedOn w:val="DefaultParagraphFont"/>
    <w:link w:val="CommentText"/>
    <w:uiPriority w:val="99"/>
    <w:semiHidden/>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C50BED"/>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qFormat/>
    <w:locked/>
    <w:rsid w:val="00C50BED"/>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C50BED"/>
    <w:pPr>
      <w:numPr>
        <w:numId w:val="4"/>
      </w:numPr>
    </w:pPr>
    <w:rPr>
      <w:rFonts w:eastAsia="Arial" w:cs="Times New Roman"/>
    </w:rPr>
  </w:style>
  <w:style w:type="paragraph" w:styleId="ListBullet2">
    <w:name w:val="List Bullet 2"/>
    <w:basedOn w:val="Normal"/>
    <w:qFormat/>
    <w:rsid w:val="00C50BED"/>
    <w:pPr>
      <w:numPr>
        <w:numId w:val="6"/>
      </w:numPr>
    </w:pPr>
    <w:rPr>
      <w:rFonts w:eastAsia="Times New Roman" w:cs="Times New Roman"/>
    </w:rPr>
  </w:style>
  <w:style w:type="paragraph" w:styleId="ListNumber">
    <w:name w:val="List Number"/>
    <w:basedOn w:val="Normal"/>
    <w:qFormat/>
    <w:rsid w:val="007207FE"/>
    <w:pPr>
      <w:numPr>
        <w:numId w:val="5"/>
      </w:numPr>
    </w:pPr>
    <w:rPr>
      <w:rFonts w:eastAsia="Times New Roman" w:cs="Times New Roman"/>
    </w:rPr>
  </w:style>
  <w:style w:type="paragraph" w:styleId="ListNumber2">
    <w:name w:val="List Number 2"/>
    <w:basedOn w:val="Normal"/>
    <w:qFormat/>
    <w:rsid w:val="00C50BED"/>
    <w:pPr>
      <w:numPr>
        <w:numId w:val="7"/>
      </w:numPr>
    </w:pPr>
    <w:rPr>
      <w:rFonts w:eastAsia="Times New Roman" w:cs="Times New Roman"/>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locked/>
    <w:rsid w:val="00C50BED"/>
    <w:pPr>
      <w:tabs>
        <w:tab w:val="num" w:pos="720"/>
      </w:tabs>
      <w:ind w:left="1440" w:hanging="360"/>
      <w:contextualSpacing/>
    </w:p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qFormat/>
    <w:rsid w:val="00C50BED"/>
    <w:rPr>
      <w:rFonts w:ascii="Arial" w:hAnsi="Arial" w:cs="Arial"/>
      <w:sz w:val="20"/>
      <w:szCs w:val="20"/>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cs="Arial"/>
      <w:sz w:val="20"/>
      <w:szCs w:val="24"/>
    </w:rPr>
  </w:style>
  <w:style w:type="paragraph" w:styleId="NoSpacing">
    <w:name w:val="No Spacing"/>
    <w:basedOn w:val="Normal"/>
    <w:link w:val="NoSpacingChar"/>
    <w:uiPriority w:val="1"/>
    <w:locked/>
    <w:rsid w:val="00F94B91"/>
    <w:pPr>
      <w:spacing w:after="0"/>
    </w:pPr>
  </w:style>
  <w:style w:type="paragraph" w:styleId="NormalWeb">
    <w:name w:val="Normal (Web)"/>
    <w:basedOn w:val="Normal"/>
    <w:uiPriority w:val="99"/>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Heading1"/>
    <w:next w:val="Normal"/>
    <w:link w:val="QuoteChar"/>
    <w:uiPriority w:val="29"/>
    <w:qFormat/>
    <w:rsid w:val="00C50BED"/>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C50BED"/>
    <w:rPr>
      <w:rFonts w:ascii="Arial" w:hAnsi="Arial" w:cs="Arial"/>
      <w:sz w:val="32"/>
      <w:szCs w:val="56"/>
    </w:rPr>
  </w:style>
  <w:style w:type="character" w:customStyle="1" w:styleId="rating-stars">
    <w:name w:val="rating-stars"/>
    <w:basedOn w:val="DefaultParagraphFont"/>
    <w:semiHidden/>
    <w:locked/>
    <w:rsid w:val="00F94B91"/>
  </w:style>
  <w:style w:type="character" w:styleId="Strong">
    <w:name w:val="Strong"/>
    <w:uiPriority w:val="22"/>
    <w:qFormat/>
    <w:locked/>
    <w:rsid w:val="00C50BED"/>
    <w:rPr>
      <w:b/>
      <w:bCs/>
    </w:rPr>
  </w:style>
  <w:style w:type="paragraph" w:styleId="Title">
    <w:name w:val="Title"/>
    <w:basedOn w:val="Normal"/>
    <w:next w:val="Heading1"/>
    <w:link w:val="TitleChar"/>
    <w:qFormat/>
    <w:rsid w:val="00C50BED"/>
    <w:pPr>
      <w:tabs>
        <w:tab w:val="left" w:pos="425"/>
      </w:tabs>
      <w:spacing w:after="360"/>
    </w:pPr>
    <w:rPr>
      <w:sz w:val="72"/>
      <w:szCs w:val="72"/>
    </w:rPr>
  </w:style>
  <w:style w:type="character" w:customStyle="1" w:styleId="TitleChar">
    <w:name w:val="Title Char"/>
    <w:basedOn w:val="DefaultParagraphFont"/>
    <w:link w:val="Title"/>
    <w:rsid w:val="00C50BED"/>
    <w:rPr>
      <w:rFonts w:ascii="Arial" w:hAnsi="Arial" w:cs="Arial"/>
      <w:sz w:val="72"/>
      <w:szCs w:val="72"/>
    </w:rPr>
  </w:style>
  <w:style w:type="paragraph" w:styleId="Subtitle">
    <w:name w:val="Subtitle"/>
    <w:basedOn w:val="Normal"/>
    <w:next w:val="Normal"/>
    <w:link w:val="SubtitleChar"/>
    <w:uiPriority w:val="11"/>
    <w:qFormat/>
    <w:rsid w:val="00C50BED"/>
    <w:pPr>
      <w:spacing w:before="0" w:after="60"/>
      <w:outlineLvl w:val="1"/>
    </w:pPr>
    <w:rPr>
      <w:rFonts w:eastAsiaTheme="majorEastAsia" w:cstheme="majorBidi"/>
      <w:color w:val="E20000"/>
      <w:sz w:val="22"/>
      <w:szCs w:val="24"/>
    </w:rPr>
  </w:style>
  <w:style w:type="character" w:customStyle="1" w:styleId="SubtitleChar">
    <w:name w:val="Subtitle Char"/>
    <w:basedOn w:val="DefaultParagraphFont"/>
    <w:link w:val="Subtitle"/>
    <w:uiPriority w:val="11"/>
    <w:rsid w:val="00C50BED"/>
    <w:rPr>
      <w:rFonts w:ascii="Arial" w:eastAsiaTheme="majorEastAsia" w:hAnsi="Arial" w:cstheme="majorBidi"/>
      <w:color w:val="E20000"/>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qFormat/>
    <w:locked/>
    <w:rsid w:val="00C50BED"/>
    <w:pPr>
      <w:tabs>
        <w:tab w:val="left" w:pos="425"/>
      </w:tabs>
    </w:pPr>
  </w:style>
  <w:style w:type="paragraph" w:customStyle="1" w:styleId="SWABullets">
    <w:name w:val="SWA Bullets"/>
    <w:basedOn w:val="Normal"/>
    <w:link w:val="SWABulletsChar"/>
    <w:semiHidden/>
    <w:qFormat/>
    <w:locked/>
    <w:rsid w:val="00C50BED"/>
    <w:pPr>
      <w:numPr>
        <w:numId w:val="8"/>
      </w:numPr>
      <w:overflowPunct w:val="0"/>
      <w:autoSpaceDE w:val="0"/>
      <w:autoSpaceDN w:val="0"/>
      <w:adjustRightInd w:val="0"/>
      <w:spacing w:after="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C50BED"/>
    <w:rPr>
      <w:rFonts w:ascii="Arial" w:eastAsia="Times New Roman" w:hAnsi="Arial" w:cs="Times New Roman"/>
      <w:sz w:val="20"/>
      <w:szCs w:val="20"/>
      <w:lang w:eastAsia="en-AU"/>
    </w:rPr>
  </w:style>
  <w:style w:type="table" w:styleId="TableGrid">
    <w:name w:val="Table Grid"/>
    <w:basedOn w:val="TableNormal"/>
    <w:uiPriority w:val="39"/>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50BED"/>
    <w:pPr>
      <w:tabs>
        <w:tab w:val="left" w:pos="357"/>
        <w:tab w:val="right" w:leader="dot" w:pos="9072"/>
      </w:tabs>
      <w:spacing w:after="100"/>
    </w:pPr>
    <w:rPr>
      <w:b/>
      <w:noProof/>
    </w:rPr>
  </w:style>
  <w:style w:type="paragraph" w:customStyle="1" w:styleId="TOC">
    <w:name w:val="TOC"/>
    <w:basedOn w:val="TOC1"/>
    <w:link w:val="TOCChar"/>
    <w:qFormat/>
    <w:rsid w:val="00C50BED"/>
    <w:pPr>
      <w:tabs>
        <w:tab w:val="clear" w:pos="357"/>
        <w:tab w:val="clear" w:pos="9072"/>
        <w:tab w:val="right" w:leader="dot" w:pos="9344"/>
      </w:tabs>
      <w:spacing w:before="360" w:after="360"/>
    </w:pPr>
    <w:rPr>
      <w:rFonts w:eastAsia="Times New Roman"/>
      <w:bCs/>
      <w:caps/>
      <w:noProof w:val="0"/>
      <w:sz w:val="32"/>
      <w:szCs w:val="32"/>
    </w:rPr>
  </w:style>
  <w:style w:type="character" w:customStyle="1" w:styleId="TOCChar">
    <w:name w:val="TOC Char"/>
    <w:basedOn w:val="DefaultParagraphFont"/>
    <w:link w:val="TOC"/>
    <w:rsid w:val="00C50BED"/>
    <w:rPr>
      <w:rFonts w:ascii="Arial" w:eastAsia="Times New Roman" w:hAnsi="Arial" w:cs="Arial"/>
      <w:b/>
      <w:bCs/>
      <w:caps/>
      <w:sz w:val="32"/>
      <w:szCs w:val="32"/>
    </w:rPr>
  </w:style>
  <w:style w:type="paragraph" w:styleId="TOC2">
    <w:name w:val="toc 2"/>
    <w:basedOn w:val="Normal"/>
    <w:next w:val="Normal"/>
    <w:autoRedefine/>
    <w:uiPriority w:val="39"/>
    <w:rsid w:val="0029654A"/>
    <w:pPr>
      <w:tabs>
        <w:tab w:val="left" w:pos="357"/>
        <w:tab w:val="left" w:pos="1100"/>
        <w:tab w:val="right" w:leader="dot" w:pos="9072"/>
      </w:tabs>
      <w:spacing w:after="100"/>
      <w:ind w:firstLine="357"/>
    </w:pPr>
    <w:rPr>
      <w:noProof/>
    </w:r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unhideWhenUsed/>
    <w:qFormat/>
    <w:locked/>
    <w:rsid w:val="00C50BED"/>
    <w:pPr>
      <w:outlineLvl w:val="9"/>
    </w:pPr>
    <w:rPr>
      <w:szCs w:val="20"/>
      <w:lang w:bidi="en-US"/>
    </w:rPr>
  </w:style>
  <w:style w:type="character" w:customStyle="1" w:styleId="Emphasised">
    <w:name w:val="Emphasised"/>
    <w:uiPriority w:val="1"/>
    <w:qFormat/>
    <w:rsid w:val="00C50BED"/>
    <w:rPr>
      <w:sz w:val="32"/>
      <w:szCs w:val="32"/>
    </w:rPr>
  </w:style>
  <w:style w:type="paragraph" w:customStyle="1" w:styleId="Titledate">
    <w:name w:val="Title date"/>
    <w:basedOn w:val="TOC1"/>
    <w:rsid w:val="0029654A"/>
    <w:rPr>
      <w:rFonts w:ascii="Arial Bold" w:hAnsi="Arial Bold"/>
      <w:caps/>
      <w:color w:val="145B85"/>
    </w:rPr>
  </w:style>
  <w:style w:type="character" w:customStyle="1" w:styleId="SWADisclaimerheadingChar">
    <w:name w:val="SWA Disclaimer heading Char"/>
    <w:basedOn w:val="DefaultParagraphFont"/>
    <w:link w:val="SWADisclaimerheading"/>
    <w:locked/>
    <w:rsid w:val="00245F1D"/>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rsid w:val="00245F1D"/>
    <w:pPr>
      <w:spacing w:line="276" w:lineRule="auto"/>
    </w:pPr>
    <w:rPr>
      <w:rFonts w:eastAsiaTheme="majorEastAsia" w:cstheme="majorBidi"/>
      <w:b/>
      <w:color w:val="145B85"/>
      <w:spacing w:val="-3"/>
      <w:sz w:val="14"/>
      <w:szCs w:val="14"/>
    </w:rPr>
  </w:style>
  <w:style w:type="paragraph" w:customStyle="1" w:styleId="numberedpara">
    <w:name w:val="numbered para"/>
    <w:basedOn w:val="Normal"/>
    <w:rsid w:val="007265F6"/>
    <w:pPr>
      <w:keepLines/>
      <w:numPr>
        <w:numId w:val="1"/>
      </w:numPr>
    </w:pPr>
    <w:rPr>
      <w:rFonts w:ascii="Calibri" w:eastAsia="Times New Roman" w:hAnsi="Calibri"/>
      <w:szCs w:val="16"/>
    </w:rPr>
  </w:style>
  <w:style w:type="character" w:customStyle="1" w:styleId="TableheaderrowChar">
    <w:name w:val="Table header row Char"/>
    <w:basedOn w:val="DefaultParagraphFont"/>
    <w:link w:val="Tableheaderrow"/>
    <w:locked/>
    <w:rsid w:val="00AE41A5"/>
    <w:rPr>
      <w:rFonts w:ascii="Arial" w:hAnsi="Arial" w:cs="Arial"/>
      <w:b/>
      <w:color w:val="FFFFFF" w:themeColor="background1"/>
      <w:sz w:val="18"/>
      <w:szCs w:val="18"/>
    </w:rPr>
  </w:style>
  <w:style w:type="paragraph" w:customStyle="1" w:styleId="Tableheaderrow">
    <w:name w:val="Table header row"/>
    <w:basedOn w:val="Normal"/>
    <w:link w:val="TableheaderrowChar"/>
    <w:rsid w:val="00AE41A5"/>
    <w:rPr>
      <w:b/>
      <w:color w:val="FFFFFF" w:themeColor="background1"/>
      <w:sz w:val="18"/>
      <w:szCs w:val="18"/>
    </w:rPr>
  </w:style>
  <w:style w:type="paragraph" w:styleId="Revision">
    <w:name w:val="Revision"/>
    <w:hidden/>
    <w:uiPriority w:val="99"/>
    <w:semiHidden/>
    <w:rsid w:val="003E13E6"/>
    <w:pPr>
      <w:spacing w:after="0" w:line="240" w:lineRule="auto"/>
    </w:pPr>
    <w:rPr>
      <w:rFonts w:ascii="Arial" w:hAnsi="Arial"/>
      <w:szCs w:val="24"/>
    </w:rPr>
  </w:style>
  <w:style w:type="character" w:styleId="UnresolvedMention">
    <w:name w:val="Unresolved Mention"/>
    <w:basedOn w:val="DefaultParagraphFont"/>
    <w:uiPriority w:val="99"/>
    <w:semiHidden/>
    <w:unhideWhenUsed/>
    <w:rsid w:val="001A252C"/>
    <w:rPr>
      <w:color w:val="605E5C"/>
      <w:shd w:val="clear" w:color="auto" w:fill="E1DFDD"/>
    </w:rPr>
  </w:style>
  <w:style w:type="character" w:customStyle="1" w:styleId="NoSpacingChar">
    <w:name w:val="No Spacing Char"/>
    <w:basedOn w:val="DefaultParagraphFont"/>
    <w:link w:val="NoSpacing"/>
    <w:uiPriority w:val="1"/>
    <w:rsid w:val="00F03DCF"/>
    <w:rPr>
      <w:rFonts w:ascii="Arial" w:hAnsi="Arial"/>
      <w:szCs w:val="24"/>
    </w:rPr>
  </w:style>
  <w:style w:type="paragraph" w:customStyle="1" w:styleId="Link">
    <w:name w:val="Link"/>
    <w:basedOn w:val="Normal"/>
    <w:link w:val="LinkChar"/>
    <w:qFormat/>
    <w:rsid w:val="00C50BED"/>
    <w:pPr>
      <w:spacing w:after="0"/>
    </w:pPr>
    <w:rPr>
      <w:rFonts w:eastAsia="Times New Roman" w:cs="Times New Roman"/>
      <w:szCs w:val="24"/>
      <w:lang w:eastAsia="en-AU"/>
    </w:rPr>
  </w:style>
  <w:style w:type="character" w:customStyle="1" w:styleId="LinkChar">
    <w:name w:val="Link Char"/>
    <w:basedOn w:val="DefaultParagraphFont"/>
    <w:link w:val="Link"/>
    <w:rsid w:val="00C50BED"/>
    <w:rPr>
      <w:rFonts w:ascii="Arial" w:eastAsia="Times New Roman" w:hAnsi="Arial" w:cs="Times New Roman"/>
      <w:sz w:val="20"/>
      <w:szCs w:val="24"/>
      <w:lang w:eastAsia="en-AU"/>
    </w:rPr>
  </w:style>
  <w:style w:type="paragraph" w:customStyle="1" w:styleId="TableContent">
    <w:name w:val="Table Content"/>
    <w:basedOn w:val="Normal"/>
    <w:link w:val="TableContentChar"/>
    <w:qFormat/>
    <w:rsid w:val="00C50BED"/>
    <w:pPr>
      <w:spacing w:after="0"/>
    </w:pPr>
    <w:rPr>
      <w:b/>
    </w:rPr>
  </w:style>
  <w:style w:type="character" w:customStyle="1" w:styleId="TableContentChar">
    <w:name w:val="Table Content Char"/>
    <w:basedOn w:val="DefaultParagraphFont"/>
    <w:link w:val="TableContent"/>
    <w:rsid w:val="00C50BED"/>
    <w:rPr>
      <w:rFonts w:ascii="Arial" w:hAnsi="Arial" w:cs="Arial"/>
      <w:b/>
      <w:sz w:val="20"/>
      <w:szCs w:val="20"/>
    </w:rPr>
  </w:style>
  <w:style w:type="paragraph" w:customStyle="1" w:styleId="Reporttitle">
    <w:name w:val="Report title"/>
    <w:basedOn w:val="Normal"/>
    <w:uiPriority w:val="19"/>
    <w:qFormat/>
    <w:rsid w:val="00C50BED"/>
    <w:pPr>
      <w:spacing w:before="0" w:after="0" w:line="560" w:lineRule="exact"/>
    </w:pPr>
    <w:rPr>
      <w:rFonts w:eastAsia="Times New Roman" w:cs="Times New Roman"/>
      <w:b/>
      <w:color w:val="C0504D" w:themeColor="accent2"/>
      <w:spacing w:val="-28"/>
      <w:sz w:val="53"/>
      <w:szCs w:val="24"/>
      <w:lang w:eastAsia="en-AU"/>
    </w:rPr>
  </w:style>
  <w:style w:type="paragraph" w:customStyle="1" w:styleId="Reportsubtitle">
    <w:name w:val="Report subtitle"/>
    <w:basedOn w:val="Normal"/>
    <w:uiPriority w:val="20"/>
    <w:qFormat/>
    <w:rsid w:val="00C50BED"/>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C50BED"/>
    <w:pPr>
      <w:keepNext/>
      <w:spacing w:before="0" w:after="240" w:line="240" w:lineRule="atLeast"/>
    </w:pPr>
    <w:rPr>
      <w:rFonts w:eastAsia="Times New Roman"/>
      <w:sz w:val="24"/>
      <w:szCs w:val="24"/>
      <w:lang w:eastAsia="en-AU"/>
    </w:rPr>
  </w:style>
  <w:style w:type="paragraph" w:customStyle="1" w:styleId="Paragraphbeforelist">
    <w:name w:val="Paragraph before list"/>
    <w:basedOn w:val="Paragraph"/>
    <w:uiPriority w:val="4"/>
    <w:qFormat/>
    <w:rsid w:val="00C50BED"/>
    <w:pPr>
      <w:spacing w:after="80"/>
    </w:pPr>
  </w:style>
  <w:style w:type="paragraph" w:customStyle="1" w:styleId="Bulletlevel1">
    <w:name w:val="Bullet level 1"/>
    <w:basedOn w:val="ListBullet"/>
    <w:uiPriority w:val="5"/>
    <w:qFormat/>
    <w:rsid w:val="00C50BED"/>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C50BED"/>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C50BED"/>
    <w:pPr>
      <w:numPr>
        <w:numId w:val="9"/>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C50BED"/>
    <w:pPr>
      <w:spacing w:after="240"/>
    </w:pPr>
  </w:style>
  <w:style w:type="paragraph" w:customStyle="1" w:styleId="Heading2alt">
    <w:name w:val="Heading 2 alt"/>
    <w:basedOn w:val="Heading2"/>
    <w:link w:val="Heading2altChar"/>
    <w:qFormat/>
    <w:rsid w:val="00C50BED"/>
    <w:rPr>
      <w:b w:val="0"/>
      <w:bCs w:val="0"/>
      <w:sz w:val="40"/>
      <w:szCs w:val="40"/>
    </w:rPr>
  </w:style>
  <w:style w:type="character" w:customStyle="1" w:styleId="Heading2altChar">
    <w:name w:val="Heading 2 alt Char"/>
    <w:basedOn w:val="Heading2Char"/>
    <w:link w:val="Heading2alt"/>
    <w:rsid w:val="00C50BED"/>
    <w:rPr>
      <w:rFonts w:ascii="Arial" w:eastAsiaTheme="majorEastAsia" w:hAnsi="Arial" w:cstheme="majorBidi"/>
      <w:b w:val="0"/>
      <w:bCs w:val="0"/>
      <w:i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08163">
      <w:bodyDiv w:val="1"/>
      <w:marLeft w:val="0"/>
      <w:marRight w:val="0"/>
      <w:marTop w:val="0"/>
      <w:marBottom w:val="0"/>
      <w:divBdr>
        <w:top w:val="none" w:sz="0" w:space="0" w:color="auto"/>
        <w:left w:val="none" w:sz="0" w:space="0" w:color="auto"/>
        <w:bottom w:val="none" w:sz="0" w:space="0" w:color="auto"/>
        <w:right w:val="none" w:sz="0" w:space="0" w:color="auto"/>
      </w:divBdr>
    </w:div>
    <w:div w:id="190918998">
      <w:bodyDiv w:val="1"/>
      <w:marLeft w:val="0"/>
      <w:marRight w:val="0"/>
      <w:marTop w:val="0"/>
      <w:marBottom w:val="0"/>
      <w:divBdr>
        <w:top w:val="none" w:sz="0" w:space="0" w:color="auto"/>
        <w:left w:val="none" w:sz="0" w:space="0" w:color="auto"/>
        <w:bottom w:val="none" w:sz="0" w:space="0" w:color="auto"/>
        <w:right w:val="none" w:sz="0" w:space="0" w:color="auto"/>
      </w:divBdr>
    </w:div>
    <w:div w:id="239800044">
      <w:bodyDiv w:val="1"/>
      <w:marLeft w:val="0"/>
      <w:marRight w:val="0"/>
      <w:marTop w:val="0"/>
      <w:marBottom w:val="0"/>
      <w:divBdr>
        <w:top w:val="none" w:sz="0" w:space="0" w:color="auto"/>
        <w:left w:val="none" w:sz="0" w:space="0" w:color="auto"/>
        <w:bottom w:val="none" w:sz="0" w:space="0" w:color="auto"/>
        <w:right w:val="none" w:sz="0" w:space="0" w:color="auto"/>
      </w:divBdr>
    </w:div>
    <w:div w:id="257565415">
      <w:bodyDiv w:val="1"/>
      <w:marLeft w:val="0"/>
      <w:marRight w:val="0"/>
      <w:marTop w:val="0"/>
      <w:marBottom w:val="0"/>
      <w:divBdr>
        <w:top w:val="none" w:sz="0" w:space="0" w:color="auto"/>
        <w:left w:val="none" w:sz="0" w:space="0" w:color="auto"/>
        <w:bottom w:val="none" w:sz="0" w:space="0" w:color="auto"/>
        <w:right w:val="none" w:sz="0" w:space="0" w:color="auto"/>
      </w:divBdr>
    </w:div>
    <w:div w:id="314140587">
      <w:bodyDiv w:val="1"/>
      <w:marLeft w:val="0"/>
      <w:marRight w:val="0"/>
      <w:marTop w:val="0"/>
      <w:marBottom w:val="0"/>
      <w:divBdr>
        <w:top w:val="none" w:sz="0" w:space="0" w:color="auto"/>
        <w:left w:val="none" w:sz="0" w:space="0" w:color="auto"/>
        <w:bottom w:val="none" w:sz="0" w:space="0" w:color="auto"/>
        <w:right w:val="none" w:sz="0" w:space="0" w:color="auto"/>
      </w:divBdr>
    </w:div>
    <w:div w:id="322010946">
      <w:bodyDiv w:val="1"/>
      <w:marLeft w:val="0"/>
      <w:marRight w:val="0"/>
      <w:marTop w:val="0"/>
      <w:marBottom w:val="0"/>
      <w:divBdr>
        <w:top w:val="none" w:sz="0" w:space="0" w:color="auto"/>
        <w:left w:val="none" w:sz="0" w:space="0" w:color="auto"/>
        <w:bottom w:val="none" w:sz="0" w:space="0" w:color="auto"/>
        <w:right w:val="none" w:sz="0" w:space="0" w:color="auto"/>
      </w:divBdr>
      <w:divsChild>
        <w:div w:id="279843465">
          <w:marLeft w:val="547"/>
          <w:marRight w:val="0"/>
          <w:marTop w:val="0"/>
          <w:marBottom w:val="0"/>
          <w:divBdr>
            <w:top w:val="none" w:sz="0" w:space="0" w:color="auto"/>
            <w:left w:val="none" w:sz="0" w:space="0" w:color="auto"/>
            <w:bottom w:val="none" w:sz="0" w:space="0" w:color="auto"/>
            <w:right w:val="none" w:sz="0" w:space="0" w:color="auto"/>
          </w:divBdr>
        </w:div>
      </w:divsChild>
    </w:div>
    <w:div w:id="361901239">
      <w:bodyDiv w:val="1"/>
      <w:marLeft w:val="0"/>
      <w:marRight w:val="0"/>
      <w:marTop w:val="0"/>
      <w:marBottom w:val="0"/>
      <w:divBdr>
        <w:top w:val="none" w:sz="0" w:space="0" w:color="auto"/>
        <w:left w:val="none" w:sz="0" w:space="0" w:color="auto"/>
        <w:bottom w:val="none" w:sz="0" w:space="0" w:color="auto"/>
        <w:right w:val="none" w:sz="0" w:space="0" w:color="auto"/>
      </w:divBdr>
    </w:div>
    <w:div w:id="376324465">
      <w:bodyDiv w:val="1"/>
      <w:marLeft w:val="0"/>
      <w:marRight w:val="0"/>
      <w:marTop w:val="0"/>
      <w:marBottom w:val="0"/>
      <w:divBdr>
        <w:top w:val="none" w:sz="0" w:space="0" w:color="auto"/>
        <w:left w:val="none" w:sz="0" w:space="0" w:color="auto"/>
        <w:bottom w:val="none" w:sz="0" w:space="0" w:color="auto"/>
        <w:right w:val="none" w:sz="0" w:space="0" w:color="auto"/>
      </w:divBdr>
    </w:div>
    <w:div w:id="447621926">
      <w:bodyDiv w:val="1"/>
      <w:marLeft w:val="0"/>
      <w:marRight w:val="0"/>
      <w:marTop w:val="0"/>
      <w:marBottom w:val="0"/>
      <w:divBdr>
        <w:top w:val="none" w:sz="0" w:space="0" w:color="auto"/>
        <w:left w:val="none" w:sz="0" w:space="0" w:color="auto"/>
        <w:bottom w:val="none" w:sz="0" w:space="0" w:color="auto"/>
        <w:right w:val="none" w:sz="0" w:space="0" w:color="auto"/>
      </w:divBdr>
      <w:divsChild>
        <w:div w:id="1001474044">
          <w:marLeft w:val="547"/>
          <w:marRight w:val="0"/>
          <w:marTop w:val="0"/>
          <w:marBottom w:val="0"/>
          <w:divBdr>
            <w:top w:val="none" w:sz="0" w:space="0" w:color="auto"/>
            <w:left w:val="none" w:sz="0" w:space="0" w:color="auto"/>
            <w:bottom w:val="none" w:sz="0" w:space="0" w:color="auto"/>
            <w:right w:val="none" w:sz="0" w:space="0" w:color="auto"/>
          </w:divBdr>
        </w:div>
      </w:divsChild>
    </w:div>
    <w:div w:id="474563387">
      <w:bodyDiv w:val="1"/>
      <w:marLeft w:val="0"/>
      <w:marRight w:val="0"/>
      <w:marTop w:val="0"/>
      <w:marBottom w:val="0"/>
      <w:divBdr>
        <w:top w:val="none" w:sz="0" w:space="0" w:color="auto"/>
        <w:left w:val="none" w:sz="0" w:space="0" w:color="auto"/>
        <w:bottom w:val="none" w:sz="0" w:space="0" w:color="auto"/>
        <w:right w:val="none" w:sz="0" w:space="0" w:color="auto"/>
      </w:divBdr>
      <w:divsChild>
        <w:div w:id="1643659626">
          <w:marLeft w:val="547"/>
          <w:marRight w:val="0"/>
          <w:marTop w:val="0"/>
          <w:marBottom w:val="0"/>
          <w:divBdr>
            <w:top w:val="none" w:sz="0" w:space="0" w:color="auto"/>
            <w:left w:val="none" w:sz="0" w:space="0" w:color="auto"/>
            <w:bottom w:val="none" w:sz="0" w:space="0" w:color="auto"/>
            <w:right w:val="none" w:sz="0" w:space="0" w:color="auto"/>
          </w:divBdr>
        </w:div>
      </w:divsChild>
    </w:div>
    <w:div w:id="585381706">
      <w:bodyDiv w:val="1"/>
      <w:marLeft w:val="0"/>
      <w:marRight w:val="0"/>
      <w:marTop w:val="0"/>
      <w:marBottom w:val="0"/>
      <w:divBdr>
        <w:top w:val="none" w:sz="0" w:space="0" w:color="auto"/>
        <w:left w:val="none" w:sz="0" w:space="0" w:color="auto"/>
        <w:bottom w:val="none" w:sz="0" w:space="0" w:color="auto"/>
        <w:right w:val="none" w:sz="0" w:space="0" w:color="auto"/>
      </w:divBdr>
    </w:div>
    <w:div w:id="597059720">
      <w:bodyDiv w:val="1"/>
      <w:marLeft w:val="0"/>
      <w:marRight w:val="0"/>
      <w:marTop w:val="0"/>
      <w:marBottom w:val="0"/>
      <w:divBdr>
        <w:top w:val="none" w:sz="0" w:space="0" w:color="auto"/>
        <w:left w:val="none" w:sz="0" w:space="0" w:color="auto"/>
        <w:bottom w:val="none" w:sz="0" w:space="0" w:color="auto"/>
        <w:right w:val="none" w:sz="0" w:space="0" w:color="auto"/>
      </w:divBdr>
    </w:div>
    <w:div w:id="862018494">
      <w:bodyDiv w:val="1"/>
      <w:marLeft w:val="0"/>
      <w:marRight w:val="0"/>
      <w:marTop w:val="0"/>
      <w:marBottom w:val="0"/>
      <w:divBdr>
        <w:top w:val="none" w:sz="0" w:space="0" w:color="auto"/>
        <w:left w:val="none" w:sz="0" w:space="0" w:color="auto"/>
        <w:bottom w:val="none" w:sz="0" w:space="0" w:color="auto"/>
        <w:right w:val="none" w:sz="0" w:space="0" w:color="auto"/>
      </w:divBdr>
    </w:div>
    <w:div w:id="883176069">
      <w:bodyDiv w:val="1"/>
      <w:marLeft w:val="0"/>
      <w:marRight w:val="0"/>
      <w:marTop w:val="0"/>
      <w:marBottom w:val="0"/>
      <w:divBdr>
        <w:top w:val="none" w:sz="0" w:space="0" w:color="auto"/>
        <w:left w:val="none" w:sz="0" w:space="0" w:color="auto"/>
        <w:bottom w:val="none" w:sz="0" w:space="0" w:color="auto"/>
        <w:right w:val="none" w:sz="0" w:space="0" w:color="auto"/>
      </w:divBdr>
    </w:div>
    <w:div w:id="927228819">
      <w:bodyDiv w:val="1"/>
      <w:marLeft w:val="0"/>
      <w:marRight w:val="0"/>
      <w:marTop w:val="0"/>
      <w:marBottom w:val="0"/>
      <w:divBdr>
        <w:top w:val="none" w:sz="0" w:space="0" w:color="auto"/>
        <w:left w:val="none" w:sz="0" w:space="0" w:color="auto"/>
        <w:bottom w:val="none" w:sz="0" w:space="0" w:color="auto"/>
        <w:right w:val="none" w:sz="0" w:space="0" w:color="auto"/>
      </w:divBdr>
      <w:divsChild>
        <w:div w:id="1622688170">
          <w:marLeft w:val="547"/>
          <w:marRight w:val="0"/>
          <w:marTop w:val="0"/>
          <w:marBottom w:val="0"/>
          <w:divBdr>
            <w:top w:val="none" w:sz="0" w:space="0" w:color="auto"/>
            <w:left w:val="none" w:sz="0" w:space="0" w:color="auto"/>
            <w:bottom w:val="none" w:sz="0" w:space="0" w:color="auto"/>
            <w:right w:val="none" w:sz="0" w:space="0" w:color="auto"/>
          </w:divBdr>
        </w:div>
      </w:divsChild>
    </w:div>
    <w:div w:id="1293318275">
      <w:bodyDiv w:val="1"/>
      <w:marLeft w:val="0"/>
      <w:marRight w:val="0"/>
      <w:marTop w:val="0"/>
      <w:marBottom w:val="0"/>
      <w:divBdr>
        <w:top w:val="none" w:sz="0" w:space="0" w:color="auto"/>
        <w:left w:val="none" w:sz="0" w:space="0" w:color="auto"/>
        <w:bottom w:val="none" w:sz="0" w:space="0" w:color="auto"/>
        <w:right w:val="none" w:sz="0" w:space="0" w:color="auto"/>
      </w:divBdr>
    </w:div>
    <w:div w:id="1322082316">
      <w:bodyDiv w:val="1"/>
      <w:marLeft w:val="0"/>
      <w:marRight w:val="0"/>
      <w:marTop w:val="0"/>
      <w:marBottom w:val="0"/>
      <w:divBdr>
        <w:top w:val="none" w:sz="0" w:space="0" w:color="auto"/>
        <w:left w:val="none" w:sz="0" w:space="0" w:color="auto"/>
        <w:bottom w:val="none" w:sz="0" w:space="0" w:color="auto"/>
        <w:right w:val="none" w:sz="0" w:space="0" w:color="auto"/>
      </w:divBdr>
      <w:divsChild>
        <w:div w:id="893543263">
          <w:marLeft w:val="547"/>
          <w:marRight w:val="0"/>
          <w:marTop w:val="0"/>
          <w:marBottom w:val="0"/>
          <w:divBdr>
            <w:top w:val="none" w:sz="0" w:space="0" w:color="auto"/>
            <w:left w:val="none" w:sz="0" w:space="0" w:color="auto"/>
            <w:bottom w:val="none" w:sz="0" w:space="0" w:color="auto"/>
            <w:right w:val="none" w:sz="0" w:space="0" w:color="auto"/>
          </w:divBdr>
        </w:div>
      </w:divsChild>
    </w:div>
    <w:div w:id="1329597996">
      <w:bodyDiv w:val="1"/>
      <w:marLeft w:val="0"/>
      <w:marRight w:val="0"/>
      <w:marTop w:val="0"/>
      <w:marBottom w:val="0"/>
      <w:divBdr>
        <w:top w:val="none" w:sz="0" w:space="0" w:color="auto"/>
        <w:left w:val="none" w:sz="0" w:space="0" w:color="auto"/>
        <w:bottom w:val="none" w:sz="0" w:space="0" w:color="auto"/>
        <w:right w:val="none" w:sz="0" w:space="0" w:color="auto"/>
      </w:divBdr>
    </w:div>
    <w:div w:id="1337809534">
      <w:bodyDiv w:val="1"/>
      <w:marLeft w:val="0"/>
      <w:marRight w:val="0"/>
      <w:marTop w:val="0"/>
      <w:marBottom w:val="0"/>
      <w:divBdr>
        <w:top w:val="none" w:sz="0" w:space="0" w:color="auto"/>
        <w:left w:val="none" w:sz="0" w:space="0" w:color="auto"/>
        <w:bottom w:val="none" w:sz="0" w:space="0" w:color="auto"/>
        <w:right w:val="none" w:sz="0" w:space="0" w:color="auto"/>
      </w:divBdr>
    </w:div>
    <w:div w:id="1378435652">
      <w:bodyDiv w:val="1"/>
      <w:marLeft w:val="0"/>
      <w:marRight w:val="0"/>
      <w:marTop w:val="0"/>
      <w:marBottom w:val="0"/>
      <w:divBdr>
        <w:top w:val="none" w:sz="0" w:space="0" w:color="auto"/>
        <w:left w:val="none" w:sz="0" w:space="0" w:color="auto"/>
        <w:bottom w:val="none" w:sz="0" w:space="0" w:color="auto"/>
        <w:right w:val="none" w:sz="0" w:space="0" w:color="auto"/>
      </w:divBdr>
      <w:divsChild>
        <w:div w:id="1535537802">
          <w:marLeft w:val="547"/>
          <w:marRight w:val="0"/>
          <w:marTop w:val="0"/>
          <w:marBottom w:val="0"/>
          <w:divBdr>
            <w:top w:val="none" w:sz="0" w:space="0" w:color="auto"/>
            <w:left w:val="none" w:sz="0" w:space="0" w:color="auto"/>
            <w:bottom w:val="none" w:sz="0" w:space="0" w:color="auto"/>
            <w:right w:val="none" w:sz="0" w:space="0" w:color="auto"/>
          </w:divBdr>
        </w:div>
      </w:divsChild>
    </w:div>
    <w:div w:id="1445691122">
      <w:bodyDiv w:val="1"/>
      <w:marLeft w:val="0"/>
      <w:marRight w:val="0"/>
      <w:marTop w:val="0"/>
      <w:marBottom w:val="0"/>
      <w:divBdr>
        <w:top w:val="none" w:sz="0" w:space="0" w:color="auto"/>
        <w:left w:val="none" w:sz="0" w:space="0" w:color="auto"/>
        <w:bottom w:val="none" w:sz="0" w:space="0" w:color="auto"/>
        <w:right w:val="none" w:sz="0" w:space="0" w:color="auto"/>
      </w:divBdr>
    </w:div>
    <w:div w:id="1462727952">
      <w:bodyDiv w:val="1"/>
      <w:marLeft w:val="0"/>
      <w:marRight w:val="0"/>
      <w:marTop w:val="0"/>
      <w:marBottom w:val="0"/>
      <w:divBdr>
        <w:top w:val="none" w:sz="0" w:space="0" w:color="auto"/>
        <w:left w:val="none" w:sz="0" w:space="0" w:color="auto"/>
        <w:bottom w:val="none" w:sz="0" w:space="0" w:color="auto"/>
        <w:right w:val="none" w:sz="0" w:space="0" w:color="auto"/>
      </w:divBdr>
    </w:div>
    <w:div w:id="1576359660">
      <w:bodyDiv w:val="1"/>
      <w:marLeft w:val="0"/>
      <w:marRight w:val="0"/>
      <w:marTop w:val="0"/>
      <w:marBottom w:val="0"/>
      <w:divBdr>
        <w:top w:val="none" w:sz="0" w:space="0" w:color="auto"/>
        <w:left w:val="none" w:sz="0" w:space="0" w:color="auto"/>
        <w:bottom w:val="none" w:sz="0" w:space="0" w:color="auto"/>
        <w:right w:val="none" w:sz="0" w:space="0" w:color="auto"/>
      </w:divBdr>
    </w:div>
    <w:div w:id="1700928904">
      <w:bodyDiv w:val="1"/>
      <w:marLeft w:val="0"/>
      <w:marRight w:val="0"/>
      <w:marTop w:val="0"/>
      <w:marBottom w:val="0"/>
      <w:divBdr>
        <w:top w:val="none" w:sz="0" w:space="0" w:color="auto"/>
        <w:left w:val="none" w:sz="0" w:space="0" w:color="auto"/>
        <w:bottom w:val="none" w:sz="0" w:space="0" w:color="auto"/>
        <w:right w:val="none" w:sz="0" w:space="0" w:color="auto"/>
      </w:divBdr>
    </w:div>
    <w:div w:id="1732386378">
      <w:bodyDiv w:val="1"/>
      <w:marLeft w:val="0"/>
      <w:marRight w:val="0"/>
      <w:marTop w:val="0"/>
      <w:marBottom w:val="0"/>
      <w:divBdr>
        <w:top w:val="none" w:sz="0" w:space="0" w:color="auto"/>
        <w:left w:val="none" w:sz="0" w:space="0" w:color="auto"/>
        <w:bottom w:val="none" w:sz="0" w:space="0" w:color="auto"/>
        <w:right w:val="none" w:sz="0" w:space="0" w:color="auto"/>
      </w:divBdr>
    </w:div>
    <w:div w:id="1816798209">
      <w:bodyDiv w:val="1"/>
      <w:marLeft w:val="0"/>
      <w:marRight w:val="0"/>
      <w:marTop w:val="0"/>
      <w:marBottom w:val="0"/>
      <w:divBdr>
        <w:top w:val="none" w:sz="0" w:space="0" w:color="auto"/>
        <w:left w:val="none" w:sz="0" w:space="0" w:color="auto"/>
        <w:bottom w:val="none" w:sz="0" w:space="0" w:color="auto"/>
        <w:right w:val="none" w:sz="0" w:space="0" w:color="auto"/>
      </w:divBdr>
      <w:divsChild>
        <w:div w:id="435096029">
          <w:marLeft w:val="547"/>
          <w:marRight w:val="0"/>
          <w:marTop w:val="0"/>
          <w:marBottom w:val="0"/>
          <w:divBdr>
            <w:top w:val="none" w:sz="0" w:space="0" w:color="auto"/>
            <w:left w:val="none" w:sz="0" w:space="0" w:color="auto"/>
            <w:bottom w:val="none" w:sz="0" w:space="0" w:color="auto"/>
            <w:right w:val="none" w:sz="0" w:space="0" w:color="auto"/>
          </w:divBdr>
        </w:div>
      </w:divsChild>
    </w:div>
    <w:div w:id="1818065950">
      <w:bodyDiv w:val="1"/>
      <w:marLeft w:val="0"/>
      <w:marRight w:val="0"/>
      <w:marTop w:val="0"/>
      <w:marBottom w:val="0"/>
      <w:divBdr>
        <w:top w:val="none" w:sz="0" w:space="0" w:color="auto"/>
        <w:left w:val="none" w:sz="0" w:space="0" w:color="auto"/>
        <w:bottom w:val="none" w:sz="0" w:space="0" w:color="auto"/>
        <w:right w:val="none" w:sz="0" w:space="0" w:color="auto"/>
      </w:divBdr>
    </w:div>
    <w:div w:id="1917007362">
      <w:bodyDiv w:val="1"/>
      <w:marLeft w:val="0"/>
      <w:marRight w:val="0"/>
      <w:marTop w:val="0"/>
      <w:marBottom w:val="0"/>
      <w:divBdr>
        <w:top w:val="none" w:sz="0" w:space="0" w:color="auto"/>
        <w:left w:val="none" w:sz="0" w:space="0" w:color="auto"/>
        <w:bottom w:val="none" w:sz="0" w:space="0" w:color="auto"/>
        <w:right w:val="none" w:sz="0" w:space="0" w:color="auto"/>
      </w:divBdr>
    </w:div>
    <w:div w:id="1925527381">
      <w:bodyDiv w:val="1"/>
      <w:marLeft w:val="0"/>
      <w:marRight w:val="0"/>
      <w:marTop w:val="0"/>
      <w:marBottom w:val="0"/>
      <w:divBdr>
        <w:top w:val="none" w:sz="0" w:space="0" w:color="auto"/>
        <w:left w:val="none" w:sz="0" w:space="0" w:color="auto"/>
        <w:bottom w:val="none" w:sz="0" w:space="0" w:color="auto"/>
        <w:right w:val="none" w:sz="0" w:space="0" w:color="auto"/>
      </w:divBdr>
    </w:div>
    <w:div w:id="2133866547">
      <w:bodyDiv w:val="1"/>
      <w:marLeft w:val="0"/>
      <w:marRight w:val="0"/>
      <w:marTop w:val="0"/>
      <w:marBottom w:val="0"/>
      <w:divBdr>
        <w:top w:val="none" w:sz="0" w:space="0" w:color="auto"/>
        <w:left w:val="none" w:sz="0" w:space="0" w:color="auto"/>
        <w:bottom w:val="none" w:sz="0" w:space="0" w:color="auto"/>
        <w:right w:val="none" w:sz="0" w:space="0" w:color="auto"/>
      </w:divBdr>
      <w:divsChild>
        <w:div w:id="1506939878">
          <w:marLeft w:val="547"/>
          <w:marRight w:val="0"/>
          <w:marTop w:val="0"/>
          <w:marBottom w:val="0"/>
          <w:divBdr>
            <w:top w:val="none" w:sz="0" w:space="0" w:color="auto"/>
            <w:left w:val="none" w:sz="0" w:space="0" w:color="auto"/>
            <w:bottom w:val="none" w:sz="0" w:space="0" w:color="auto"/>
            <w:right w:val="none" w:sz="0" w:space="0" w:color="auto"/>
          </w:divBdr>
        </w:div>
        <w:div w:id="1479346335">
          <w:marLeft w:val="1166"/>
          <w:marRight w:val="0"/>
          <w:marTop w:val="0"/>
          <w:marBottom w:val="0"/>
          <w:divBdr>
            <w:top w:val="none" w:sz="0" w:space="0" w:color="auto"/>
            <w:left w:val="none" w:sz="0" w:space="0" w:color="auto"/>
            <w:bottom w:val="none" w:sz="0" w:space="0" w:color="auto"/>
            <w:right w:val="none" w:sz="0" w:space="0" w:color="auto"/>
          </w:divBdr>
        </w:div>
        <w:div w:id="961233278">
          <w:marLeft w:val="1800"/>
          <w:marRight w:val="0"/>
          <w:marTop w:val="0"/>
          <w:marBottom w:val="0"/>
          <w:divBdr>
            <w:top w:val="none" w:sz="0" w:space="0" w:color="auto"/>
            <w:left w:val="none" w:sz="0" w:space="0" w:color="auto"/>
            <w:bottom w:val="none" w:sz="0" w:space="0" w:color="auto"/>
            <w:right w:val="none" w:sz="0" w:space="0" w:color="auto"/>
          </w:divBdr>
        </w:div>
        <w:div w:id="756292833">
          <w:marLeft w:val="2520"/>
          <w:marRight w:val="0"/>
          <w:marTop w:val="0"/>
          <w:marBottom w:val="0"/>
          <w:divBdr>
            <w:top w:val="none" w:sz="0" w:space="0" w:color="auto"/>
            <w:left w:val="none" w:sz="0" w:space="0" w:color="auto"/>
            <w:bottom w:val="none" w:sz="0" w:space="0" w:color="auto"/>
            <w:right w:val="none" w:sz="0" w:space="0" w:color="auto"/>
          </w:divBdr>
        </w:div>
        <w:div w:id="1002898385">
          <w:marLeft w:val="32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a.hosts.application.enet/business-support/Communication/Documents/www.swa.gov.au"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wa.gov.au"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5.austlii.edu.au/cgi-bin/LawCite?cit=%282001%29%20207%20CLR%2021" TargetMode="External"/><Relationship Id="rId18" Type="http://schemas.openxmlformats.org/officeDocument/2006/relationships/hyperlink" Target="https://www.safeworkaustralia.gov.au/collection/comparison-workers-compensation-arrangements-australia-and-new-zealand" TargetMode="External"/><Relationship Id="rId26" Type="http://schemas.openxmlformats.org/officeDocument/2006/relationships/hyperlink" Target="https://www.safeworkaustralia.gov.au/collection/australian-workers-compensation-statistics" TargetMode="External"/><Relationship Id="rId39" Type="http://schemas.openxmlformats.org/officeDocument/2006/relationships/hyperlink" Target="https://www.aph.gov.au/Parliamentary_Business/Committees/Senate/Education_and_Employment/AvoidanceofFairWork" TargetMode="External"/><Relationship Id="rId21" Type="http://schemas.openxmlformats.org/officeDocument/2006/relationships/hyperlink" Target="https://www.actuaries.asn.au/public-policy-and-media/thought-leadership/green-papers/the-rise-of-the-gig-economy-and-its-impact-on-the-australian-workforce" TargetMode="External"/><Relationship Id="rId34" Type="http://schemas.openxmlformats.org/officeDocument/2006/relationships/hyperlink" Target="https://www.qff.org.au/blog/future-australias-agricultural-workforce-report/" TargetMode="External"/><Relationship Id="rId7" Type="http://schemas.openxmlformats.org/officeDocument/2006/relationships/hyperlink" Target="https://www.pc.gov.au/inquiries/completed/workers-compensation/report" TargetMode="External"/><Relationship Id="rId2" Type="http://schemas.openxmlformats.org/officeDocument/2006/relationships/hyperlink" Target="https://www.pc.gov.au/inquiries/completed/workers-compensation/report" TargetMode="External"/><Relationship Id="rId16" Type="http://schemas.openxmlformats.org/officeDocument/2006/relationships/hyperlink" Target="file:///\\agencies.application.enet\SWA_HOME$\JC3858\Documents\Offline%20Records%20(ZZ)\GIG%20Economy\Digital%20labour%20and%20development.pdf" TargetMode="External"/><Relationship Id="rId20" Type="http://schemas.openxmlformats.org/officeDocument/2006/relationships/hyperlink" Target="https://engage.vic.gov.au/inquiry-on-demand-workforce" TargetMode="External"/><Relationship Id="rId29" Type="http://schemas.openxmlformats.org/officeDocument/2006/relationships/hyperlink" Target="http://www.austlii.edu.au/cgi-bin/viewdoc/au/cases/nsw/NSWCA/2006/330.html?context=1;query=Singh%20v%20Taj%20(Sydney)%20Pty%20Limited%20;mask_path=" TargetMode="External"/><Relationship Id="rId41" Type="http://schemas.openxmlformats.org/officeDocument/2006/relationships/hyperlink" Target="https://www.aph.gov.au/Parliamentary_Business/Committees/Senate/Job_Security/JobSecurity" TargetMode="External"/><Relationship Id="rId1" Type="http://schemas.openxmlformats.org/officeDocument/2006/relationships/hyperlink" Target="https://data61.csiro.au/en/Our-Research/Our-Work/Future-Cities/Planning-sustainable-infrastructure/WorkplaceSafety" TargetMode="External"/><Relationship Id="rId6" Type="http://schemas.openxmlformats.org/officeDocument/2006/relationships/hyperlink" Target="https://www.aph.gov.au/Parliamentary_Business/Committees/Senate/Job_Security/JobSecurity" TargetMode="External"/><Relationship Id="rId11" Type="http://schemas.openxmlformats.org/officeDocument/2006/relationships/hyperlink" Target="http://www5.austlii.edu.au/cgi-bin/LawCite?cit=%281986%29%20160%20CLR%2016" TargetMode="External"/><Relationship Id="rId24" Type="http://schemas.openxmlformats.org/officeDocument/2006/relationships/hyperlink" Target="https://www.aph.gov.au/Parliamentary_Business/Committees/Senate/Job_Security/JobSecurity" TargetMode="External"/><Relationship Id="rId32" Type="http://schemas.openxmlformats.org/officeDocument/2006/relationships/hyperlink" Target="https://www.theguardian.com/australia-news/2021/sep/15/australias-farmers-set-for-record-70bn-year-but-labour-shortages-and-covid-rules-threaten-harvest" TargetMode="External"/><Relationship Id="rId37" Type="http://schemas.openxmlformats.org/officeDocument/2006/relationships/hyperlink" Target="https://www.pc.gov.au/inquiries/completed/workers-compensation/report" TargetMode="External"/><Relationship Id="rId40" Type="http://schemas.openxmlformats.org/officeDocument/2006/relationships/hyperlink" Target="https://engage.vic.gov.au/inquiry-on-demand-workforce" TargetMode="External"/><Relationship Id="rId5" Type="http://schemas.openxmlformats.org/officeDocument/2006/relationships/hyperlink" Target="https://engage.vic.gov.au/inquiry-on-demand-workforce" TargetMode="External"/><Relationship Id="rId15" Type="http://schemas.openxmlformats.org/officeDocument/2006/relationships/hyperlink" Target="http://www5.austlii.edu.au/au/journals/MelbULawRw/2019/2.html" TargetMode="External"/><Relationship Id="rId23" Type="http://schemas.openxmlformats.org/officeDocument/2006/relationships/hyperlink" Target="https://www.fairwork.gov.au/find-help-for/independent-contractors/gig-economy" TargetMode="External"/><Relationship Id="rId28" Type="http://schemas.openxmlformats.org/officeDocument/2006/relationships/hyperlink" Target="http://www.austlii.edu.au/cgi-bin/viewdoc/au/cases/wa/WADC/2011/160.html?context=1;query=Manthe%20v%20BHP%20Billiton%20Iron%20Ore%20Pty%20Ltd%20;mask_path=" TargetMode="External"/><Relationship Id="rId36" Type="http://schemas.openxmlformats.org/officeDocument/2006/relationships/hyperlink" Target="https://www.safeworkaustralia.gov.au/collection/comparative-performance-monitoring-reports" TargetMode="External"/><Relationship Id="rId10" Type="http://schemas.openxmlformats.org/officeDocument/2006/relationships/hyperlink" Target="http://www.austlii.edu.au/au/cases/cth/HCA/1986/1.html" TargetMode="External"/><Relationship Id="rId19" Type="http://schemas.openxmlformats.org/officeDocument/2006/relationships/hyperlink" Target="https://www.legislation.gov.au/Details/C2019C00158" TargetMode="External"/><Relationship Id="rId31" Type="http://schemas.openxmlformats.org/officeDocument/2006/relationships/hyperlink" Target="https://www.awe.gov.au/abares/research-topics/agricultural-outlook/agriculture-overview" TargetMode="External"/><Relationship Id="rId4" Type="http://schemas.openxmlformats.org/officeDocument/2006/relationships/hyperlink" Target="https://www.aph.gov.au/Parliamentary_Business/Committees/Senate/Education_and_Employment/AvoidanceofFairWork" TargetMode="External"/><Relationship Id="rId9" Type="http://schemas.openxmlformats.org/officeDocument/2006/relationships/hyperlink" Target="https://www.safeworkaustralia.gov.au/system/files/documents/2001/comparison-report-2019.pdf" TargetMode="External"/><Relationship Id="rId14" Type="http://schemas.openxmlformats.org/officeDocument/2006/relationships/hyperlink" Target="http://www5.austlii.edu.au/au/journals/MelbULawRw/2019/2019_2.html" TargetMode="External"/><Relationship Id="rId22" Type="http://schemas.openxmlformats.org/officeDocument/2006/relationships/hyperlink" Target="https://eprints.qut.edu.au/203119/1/65060881.pdf" TargetMode="External"/><Relationship Id="rId27" Type="http://schemas.openxmlformats.org/officeDocument/2006/relationships/hyperlink" Target="https://www.ag.gov.au/industrial-relations/publications/report-migrant-workers-taskforce" TargetMode="External"/><Relationship Id="rId30" Type="http://schemas.openxmlformats.org/officeDocument/2006/relationships/hyperlink" Target="http://www.austlii.edu.au/cgi-bin/viewdoc/au/cases/qld/QCA/2004/147.html?context=1;query=Australia%20Meat%20Holdings%20P/L%20v%20Kazi%20;mask_path=" TargetMode="External"/><Relationship Id="rId35" Type="http://schemas.openxmlformats.org/officeDocument/2006/relationships/hyperlink" Target="http://www.austlii.edu.au/au/journals/LegIssBus/2007/3.pdf" TargetMode="External"/><Relationship Id="rId8" Type="http://schemas.openxmlformats.org/officeDocument/2006/relationships/hyperlink" Target="https://www.safeworkaustralia.gov.au/system/files/documents/2001/comparison-report-2019.pdf" TargetMode="External"/><Relationship Id="rId3" Type="http://schemas.openxmlformats.org/officeDocument/2006/relationships/hyperlink" Target="http://civilforensicpsychiatry.com.au/wp-content/uploads/2013/04/NationalWorkersCompensationActionPlan2010_2013.pdf" TargetMode="External"/><Relationship Id="rId12" Type="http://schemas.openxmlformats.org/officeDocument/2006/relationships/hyperlink" Target="http://www.austlii.edu.au/au/cases/cth/HCA/2001/44.html" TargetMode="External"/><Relationship Id="rId17" Type="http://schemas.openxmlformats.org/officeDocument/2006/relationships/hyperlink" Target="https://www.aph.gov.au/Parliamentary_Business/Committees/Senate/Education_and_Employment/AvoidanceofFairWork" TargetMode="External"/><Relationship Id="rId25" Type="http://schemas.openxmlformats.org/officeDocument/2006/relationships/hyperlink" Target="https://www.awe.gov.au/abares/research-topics/labour/australian-agricultural-workforce-trends" TargetMode="External"/><Relationship Id="rId33" Type="http://schemas.openxmlformats.org/officeDocument/2006/relationships/hyperlink" Target="http://www.austlii.edu.au/au/journals/LegIssBus/2007/3.pdf" TargetMode="External"/><Relationship Id="rId38" Type="http://schemas.openxmlformats.org/officeDocument/2006/relationships/hyperlink" Target="http://civilforensicpsychiatry.com.au/wp-content/uploads/2013/04/NationalWorkersCompensationActionPlan2010_20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F5BD7BA60FBAA408748C89ED6BBDBE7" ma:contentTypeVersion="40" ma:contentTypeDescription="Create a new document." ma:contentTypeScope="" ma:versionID="de7b4d25a7d5814595ba2fa6712f90cb">
  <xsd:schema xmlns:xsd="http://www.w3.org/2001/XMLSchema" xmlns:xs="http://www.w3.org/2001/XMLSchema" xmlns:p="http://schemas.microsoft.com/office/2006/metadata/properties" xmlns:ns2="2b6b1ac6-3da4-4973-8589-218893d1bb98" xmlns:ns3="5019e602-c650-4316-a3a7-10b2921f6c05" targetNamespace="http://schemas.microsoft.com/office/2006/metadata/properties" ma:root="true" ma:fieldsID="2e108a6be416b65065eb29732163a93d" ns2:_="" ns3:_="">
    <xsd:import namespace="2b6b1ac6-3da4-4973-8589-218893d1bb98"/>
    <xsd:import namespace="5019e602-c650-4316-a3a7-10b2921f6c0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19e602-c650-4316-a3a7-10b2921f6c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b6b1ac6-3da4-4973-8589-218893d1bb98">SWABUSNISUPRT-2026640480-171</_dlc_DocId>
    <_dlc_DocIdUrl xmlns="2b6b1ac6-3da4-4973-8589-218893d1bb98">
      <Url>https://sharedservicescentre.sharepoint.com/sites/swa-businesssupport/_layouts/15/DocIdRedir.aspx?ID=SWABUSNISUPRT-2026640480-171</Url>
      <Description>SWABUSNISUPRT-2026640480-171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9B50BE-4B1B-4B63-AB71-41F10BED9858}">
  <ds:schemaRefs>
    <ds:schemaRef ds:uri="http://schemas.microsoft.com/sharepoint/events"/>
  </ds:schemaRefs>
</ds:datastoreItem>
</file>

<file path=customXml/itemProps2.xml><?xml version="1.0" encoding="utf-8"?>
<ds:datastoreItem xmlns:ds="http://schemas.openxmlformats.org/officeDocument/2006/customXml" ds:itemID="{DAF17BED-E150-403F-B58A-54D4D9E74E2A}">
  <ds:schemaRefs>
    <ds:schemaRef ds:uri="http://schemas.openxmlformats.org/officeDocument/2006/bibliography"/>
  </ds:schemaRefs>
</ds:datastoreItem>
</file>

<file path=customXml/itemProps3.xml><?xml version="1.0" encoding="utf-8"?>
<ds:datastoreItem xmlns:ds="http://schemas.openxmlformats.org/officeDocument/2006/customXml" ds:itemID="{63F819EA-1DB0-4561-91F0-F18D2E532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5019e602-c650-4316-a3a7-10b2921f6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A8AFEF-2B81-4EDA-8E03-B5AB52F04764}">
  <ds:schemaRefs>
    <ds:schemaRef ds:uri="http://schemas.microsoft.com/office/2006/metadata/properties"/>
    <ds:schemaRef ds:uri="http://schemas.microsoft.com/office/infopath/2007/PartnerControls"/>
    <ds:schemaRef ds:uri="2b6b1ac6-3da4-4973-8589-218893d1bb98"/>
  </ds:schemaRefs>
</ds:datastoreItem>
</file>

<file path=customXml/itemProps5.xml><?xml version="1.0" encoding="utf-8"?>
<ds:datastoreItem xmlns:ds="http://schemas.openxmlformats.org/officeDocument/2006/customXml" ds:itemID="{9089D162-1505-4973-8BB2-EA67981C08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4090</Words>
  <Characters>23319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Guidance material or code of practice template</vt:lpstr>
    </vt:vector>
  </TitlesOfParts>
  <Company>Australian Government</Company>
  <LinksUpToDate>false</LinksUpToDate>
  <CharactersWithSpaces>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or code of practice template</dc:title>
  <dc:creator>CATANZARITI,Julia</dc:creator>
  <cp:keywords>Guidance, Code of practice</cp:keywords>
  <cp:lastModifiedBy>ZHOU,Jenny</cp:lastModifiedBy>
  <cp:revision>4</cp:revision>
  <cp:lastPrinted>2021-06-17T07:07:00Z</cp:lastPrinted>
  <dcterms:created xsi:type="dcterms:W3CDTF">2021-11-22T02:00:00Z</dcterms:created>
  <dcterms:modified xsi:type="dcterms:W3CDTF">2021-11-23T03:47:00Z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0x010100BF5BD7BA60FBAA408748C89ED6BBDBE7</vt:lpwstr>
  </property>
  <property fmtid="{D5CDD505-2E9C-101B-9397-08002B2CF9AE}" pid="3" name="_dlc_DocIdItemGuid">
    <vt:lpwstr>2b6d982d-3ad2-4f3c-adbc-318849716b9e</vt:lpwstr>
  </property>
</Properties>
</file>