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A144" w14:textId="1CEACE7A" w:rsidR="00480B47" w:rsidRDefault="00A263EA">
      <w:pPr>
        <w:spacing w:before="0" w:after="200" w:line="276" w:lineRule="auto"/>
        <w:jc w:val="left"/>
        <w:rPr>
          <w:noProof/>
        </w:rPr>
      </w:pPr>
      <w:bookmarkStart w:id="0" w:name="_Hlk88723725"/>
      <w:bookmarkEnd w:id="0"/>
      <w:r>
        <w:rPr>
          <w:noProof/>
        </w:rPr>
        <w:drawing>
          <wp:anchor distT="0" distB="0" distL="114300" distR="114300" simplePos="0" relativeHeight="251664384" behindDoc="0" locked="0" layoutInCell="1" allowOverlap="1" wp14:anchorId="4299B74C" wp14:editId="4CEC5756">
            <wp:simplePos x="0" y="0"/>
            <wp:positionH relativeFrom="column">
              <wp:posOffset>-857250</wp:posOffset>
            </wp:positionH>
            <wp:positionV relativeFrom="paragraph">
              <wp:posOffset>-641350</wp:posOffset>
            </wp:positionV>
            <wp:extent cx="7576185" cy="10729595"/>
            <wp:effectExtent l="0" t="0" r="5715" b="0"/>
            <wp:wrapNone/>
            <wp:docPr id="1" name="Picture 1" descr="This image is the title page for the report: Comparative Performance Monitoring Report 23rd edition.  This section is on Workers’ Compensation Prem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title page for the report: Comparative Performance Monitoring Report 23rd edition.  This section is on Workers’ Compensation Premiu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6185" cy="1072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B47">
        <w:rPr>
          <w:noProof/>
        </w:rPr>
        <w:br w:type="page"/>
      </w:r>
    </w:p>
    <w:p w14:paraId="48238E36" w14:textId="77777777" w:rsidR="007F03B6" w:rsidRPr="001D7C48" w:rsidRDefault="007F03B6" w:rsidP="00CF1326">
      <w:pPr>
        <w:spacing w:after="120"/>
        <w:ind w:left="-1276"/>
      </w:pPr>
    </w:p>
    <w:p w14:paraId="171385A9" w14:textId="77777777" w:rsidR="00CF1326" w:rsidRDefault="00CF1326">
      <w:pPr>
        <w:spacing w:before="0" w:after="200" w:line="276" w:lineRule="auto"/>
        <w:jc w:val="left"/>
        <w:rPr>
          <w:rFonts w:eastAsiaTheme="majorEastAsia" w:cstheme="majorBidi"/>
          <w:b/>
          <w:color w:val="AF1E2D"/>
          <w:spacing w:val="-3"/>
          <w:sz w:val="14"/>
          <w:szCs w:val="14"/>
          <w:lang w:eastAsia="en-US"/>
        </w:rPr>
      </w:pPr>
    </w:p>
    <w:p w14:paraId="5B9B2824" w14:textId="77777777" w:rsidR="00E02CBC" w:rsidRPr="001D7C48" w:rsidRDefault="00E02CBC" w:rsidP="00E02CBC">
      <w:pPr>
        <w:pStyle w:val="SWADisclaimerheading"/>
      </w:pPr>
      <w:r w:rsidRPr="001D7C48">
        <w:t>Disclaimer</w:t>
      </w:r>
    </w:p>
    <w:p w14:paraId="6A5FCBB6" w14:textId="77777777" w:rsidR="00E02CBC" w:rsidRDefault="00E02CBC" w:rsidP="00E02CBC">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16EEC3" w14:textId="77777777" w:rsidR="00E02CBC" w:rsidRDefault="00E02CBC" w:rsidP="00E02CBC">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2D2B364" w14:textId="77777777" w:rsidR="00E02CBC" w:rsidRPr="00077D9A" w:rsidRDefault="00E02CBC" w:rsidP="00E02CBC">
      <w:pPr>
        <w:autoSpaceDE w:val="0"/>
        <w:autoSpaceDN w:val="0"/>
        <w:rPr>
          <w:b/>
          <w:bCs/>
          <w:color w:val="000000"/>
          <w:sz w:val="14"/>
          <w:szCs w:val="14"/>
          <w:lang w:eastAsia="ko-KR"/>
        </w:rPr>
      </w:pPr>
      <w:r w:rsidRPr="00077D9A">
        <w:rPr>
          <w:b/>
          <w:bCs/>
          <w:color w:val="000000"/>
          <w:sz w:val="14"/>
          <w:szCs w:val="14"/>
          <w:lang w:eastAsia="ko-KR"/>
        </w:rPr>
        <w:t>ISSN 2209-9158</w:t>
      </w:r>
    </w:p>
    <w:p w14:paraId="0838C33F" w14:textId="77777777" w:rsidR="00E02CBC" w:rsidRPr="008530EB" w:rsidRDefault="00E02CBC" w:rsidP="00E02CBC">
      <w:pPr>
        <w:pStyle w:val="SWADisclaimerheading"/>
      </w:pPr>
      <w:r>
        <w:t>Creative Commons</w:t>
      </w:r>
    </w:p>
    <w:p w14:paraId="04A6F90B" w14:textId="77777777" w:rsidR="00E02CBC" w:rsidRPr="00A034C4" w:rsidRDefault="00E02CBC" w:rsidP="00E02CBC">
      <w:pPr>
        <w:pStyle w:val="SWADisclaimerheading"/>
        <w:rPr>
          <w:rFonts w:eastAsia="Times New Roman" w:cs="Times New Roman"/>
          <w:b w:val="0"/>
          <w:color w:val="auto"/>
          <w:spacing w:val="0"/>
          <w:lang w:eastAsia="en-AU"/>
        </w:rPr>
      </w:pPr>
      <w:r w:rsidRPr="003770DC">
        <w:rPr>
          <w:rFonts w:eastAsia="Times New Roman" w:cs="Times New Roman"/>
          <w:b w:val="0"/>
          <w:color w:val="auto"/>
          <w:spacing w:val="0"/>
          <w:lang w:eastAsia="en-AU"/>
        </w:rPr>
        <w:t>With the exception of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as long as you attribute the work to Safe Work Australia and abide by the other licence terms.</w:t>
      </w:r>
    </w:p>
    <w:p w14:paraId="14ACD478" w14:textId="77777777" w:rsidR="00E02CBC" w:rsidRPr="00A034C4" w:rsidRDefault="00E02CBC" w:rsidP="00E02CBC">
      <w:pPr>
        <w:pStyle w:val="SWADisclaimerheading"/>
        <w:rPr>
          <w:color w:val="145B85"/>
        </w:rPr>
      </w:pPr>
      <w:r>
        <w:t>Contact information</w:t>
      </w:r>
    </w:p>
    <w:p w14:paraId="455FBF48" w14:textId="7AA6FDC1" w:rsidR="00E02CBC" w:rsidRPr="00D60313" w:rsidRDefault="00E02CBC" w:rsidP="00E02CBC">
      <w:pPr>
        <w:pStyle w:val="SWADisclaimerheading"/>
        <w:sectPr w:rsidR="00E02CBC" w:rsidRPr="00D60313" w:rsidSect="00E02CBC">
          <w:footerReference w:type="default" r:id="rId9"/>
          <w:pgSz w:w="11906" w:h="16838" w:code="9"/>
          <w:pgMar w:top="992" w:right="1797" w:bottom="1440" w:left="1276" w:header="709" w:footer="709" w:gutter="0"/>
          <w:cols w:space="242"/>
          <w:vAlign w:val="bottom"/>
          <w:titlePg/>
          <w:docGrid w:linePitch="360"/>
        </w:sectPr>
      </w:pPr>
      <w:r w:rsidRPr="00A034C4">
        <w:rPr>
          <w:rFonts w:eastAsia="Times New Roman" w:cs="Times New Roman"/>
          <w:b w:val="0"/>
          <w:color w:val="auto"/>
          <w:spacing w:val="0"/>
          <w:lang w:eastAsia="en-AU"/>
        </w:rPr>
        <w:t xml:space="preserve">Safe Work Australia | </w:t>
      </w:r>
      <w:hyperlink r:id="rId10"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1" w:history="1">
        <w:r w:rsidRPr="00A034C4">
          <w:rPr>
            <w:rStyle w:val="Hyperlink"/>
            <w:rFonts w:eastAsia="Times New Roman" w:cs="Times New Roman"/>
            <w:b w:val="0"/>
            <w:spacing w:val="0"/>
            <w:lang w:eastAsia="en-AU"/>
          </w:rPr>
          <w:t>www.swa.gov.au</w:t>
        </w:r>
      </w:hyperlink>
    </w:p>
    <w:sdt>
      <w:sdtPr>
        <w:rPr>
          <w:rFonts w:eastAsia="Times New Roman" w:cs="Times New Roman"/>
          <w:b w:val="0"/>
          <w:bCs w:val="0"/>
          <w:noProof/>
          <w:color w:val="auto"/>
          <w:sz w:val="20"/>
          <w:szCs w:val="24"/>
          <w:lang w:val="en-AU" w:eastAsia="en-AU"/>
        </w:rPr>
        <w:id w:val="-2034717502"/>
        <w:docPartObj>
          <w:docPartGallery w:val="Table of Contents"/>
          <w:docPartUnique/>
        </w:docPartObj>
      </w:sdtPr>
      <w:sdtEndPr/>
      <w:sdtContent>
        <w:p w14:paraId="23CDE83B" w14:textId="77777777" w:rsidR="00D60313" w:rsidRPr="00D60313" w:rsidRDefault="00D60313" w:rsidP="00E53AC3">
          <w:pPr>
            <w:pStyle w:val="TOCHeading"/>
            <w:spacing w:before="0"/>
          </w:pPr>
          <w:r w:rsidRPr="00816022">
            <w:t>Contents</w:t>
          </w:r>
        </w:p>
        <w:p w14:paraId="0F12D6F9" w14:textId="5184BAA3" w:rsidR="00BF0BAE" w:rsidRPr="00BF0BAE" w:rsidRDefault="00C00338" w:rsidP="00BF0BAE">
          <w:pPr>
            <w:pStyle w:val="TOC1"/>
            <w:spacing w:before="160" w:after="160"/>
            <w:rPr>
              <w:rFonts w:asciiTheme="minorHAnsi" w:eastAsiaTheme="minorEastAsia" w:hAnsiTheme="minorHAnsi" w:cstheme="minorBidi"/>
              <w:b/>
              <w:bCs/>
              <w:sz w:val="22"/>
              <w:szCs w:val="22"/>
            </w:rPr>
          </w:pPr>
          <w:r>
            <w:fldChar w:fldCharType="begin"/>
          </w:r>
          <w:r>
            <w:instrText xml:space="preserve"> TOC \h \z \t "Title,1,SWA Section numbering heading,1,SWA Section title,1,SWA Section num 2,2" </w:instrText>
          </w:r>
          <w:r>
            <w:fldChar w:fldCharType="separate"/>
          </w:r>
          <w:hyperlink w:anchor="_Toc80972061" w:history="1">
            <w:r w:rsidR="00BF0BAE" w:rsidRPr="00BF0BAE">
              <w:rPr>
                <w:rStyle w:val="Hyperlink"/>
                <w:b/>
                <w:bCs/>
              </w:rPr>
              <w:t>Foreword</w:t>
            </w:r>
            <w:r w:rsidR="00BF0BAE" w:rsidRPr="00BF0BAE">
              <w:rPr>
                <w:b/>
                <w:bCs/>
                <w:webHidden/>
              </w:rPr>
              <w:tab/>
            </w:r>
            <w:r w:rsidR="00BF0BAE" w:rsidRPr="00BF0BAE">
              <w:rPr>
                <w:b/>
                <w:bCs/>
                <w:webHidden/>
              </w:rPr>
              <w:fldChar w:fldCharType="begin"/>
            </w:r>
            <w:r w:rsidR="00BF0BAE" w:rsidRPr="00BF0BAE">
              <w:rPr>
                <w:b/>
                <w:bCs/>
                <w:webHidden/>
              </w:rPr>
              <w:instrText xml:space="preserve"> PAGEREF _Toc80972061 \h </w:instrText>
            </w:r>
            <w:r w:rsidR="00BF0BAE" w:rsidRPr="00BF0BAE">
              <w:rPr>
                <w:b/>
                <w:bCs/>
                <w:webHidden/>
              </w:rPr>
            </w:r>
            <w:r w:rsidR="00BF0BAE" w:rsidRPr="00BF0BAE">
              <w:rPr>
                <w:b/>
                <w:bCs/>
                <w:webHidden/>
              </w:rPr>
              <w:fldChar w:fldCharType="separate"/>
            </w:r>
            <w:r w:rsidR="008B74D6">
              <w:rPr>
                <w:b/>
                <w:bCs/>
                <w:webHidden/>
              </w:rPr>
              <w:t>4</w:t>
            </w:r>
            <w:r w:rsidR="00BF0BAE" w:rsidRPr="00BF0BAE">
              <w:rPr>
                <w:b/>
                <w:bCs/>
                <w:webHidden/>
              </w:rPr>
              <w:fldChar w:fldCharType="end"/>
            </w:r>
          </w:hyperlink>
        </w:p>
        <w:p w14:paraId="60CDCAC6" w14:textId="6B9528CD" w:rsidR="00BF0BAE" w:rsidRPr="00BF0BAE" w:rsidRDefault="0081586F" w:rsidP="00BF0BAE">
          <w:pPr>
            <w:pStyle w:val="TOC1"/>
            <w:spacing w:before="160" w:after="160"/>
            <w:rPr>
              <w:rFonts w:asciiTheme="minorHAnsi" w:eastAsiaTheme="minorEastAsia" w:hAnsiTheme="minorHAnsi" w:cstheme="minorBidi"/>
              <w:b/>
              <w:bCs/>
              <w:sz w:val="22"/>
              <w:szCs w:val="22"/>
            </w:rPr>
          </w:pPr>
          <w:hyperlink w:anchor="_Toc80972062" w:history="1">
            <w:r w:rsidR="00BF0BAE" w:rsidRPr="00BF0BAE">
              <w:rPr>
                <w:rStyle w:val="Hyperlink"/>
                <w:b/>
                <w:bCs/>
              </w:rPr>
              <w:t>1.</w:t>
            </w:r>
            <w:r w:rsidR="00BF0BAE" w:rsidRPr="00BF0BAE">
              <w:rPr>
                <w:rFonts w:asciiTheme="minorHAnsi" w:eastAsiaTheme="minorEastAsia" w:hAnsiTheme="minorHAnsi" w:cstheme="minorBidi"/>
                <w:b/>
                <w:bCs/>
                <w:sz w:val="22"/>
                <w:szCs w:val="22"/>
              </w:rPr>
              <w:tab/>
            </w:r>
            <w:r w:rsidR="00BF0BAE" w:rsidRPr="00BF0BAE">
              <w:rPr>
                <w:rStyle w:val="Hyperlink"/>
                <w:b/>
                <w:bCs/>
              </w:rPr>
              <w:t>Workers’ compensation premiums</w:t>
            </w:r>
            <w:r w:rsidR="00BF0BAE" w:rsidRPr="00BF0BAE">
              <w:rPr>
                <w:b/>
                <w:bCs/>
                <w:webHidden/>
              </w:rPr>
              <w:tab/>
            </w:r>
            <w:r w:rsidR="00BF0BAE" w:rsidRPr="00BF0BAE">
              <w:rPr>
                <w:b/>
                <w:bCs/>
                <w:webHidden/>
              </w:rPr>
              <w:fldChar w:fldCharType="begin"/>
            </w:r>
            <w:r w:rsidR="00BF0BAE" w:rsidRPr="00BF0BAE">
              <w:rPr>
                <w:b/>
                <w:bCs/>
                <w:webHidden/>
              </w:rPr>
              <w:instrText xml:space="preserve"> PAGEREF _Toc80972062 \h </w:instrText>
            </w:r>
            <w:r w:rsidR="00BF0BAE" w:rsidRPr="00BF0BAE">
              <w:rPr>
                <w:b/>
                <w:bCs/>
                <w:webHidden/>
              </w:rPr>
            </w:r>
            <w:r w:rsidR="00BF0BAE" w:rsidRPr="00BF0BAE">
              <w:rPr>
                <w:b/>
                <w:bCs/>
                <w:webHidden/>
              </w:rPr>
              <w:fldChar w:fldCharType="separate"/>
            </w:r>
            <w:r w:rsidR="008B74D6">
              <w:rPr>
                <w:b/>
                <w:bCs/>
                <w:webHidden/>
              </w:rPr>
              <w:t>6</w:t>
            </w:r>
            <w:r w:rsidR="00BF0BAE" w:rsidRPr="00BF0BAE">
              <w:rPr>
                <w:b/>
                <w:bCs/>
                <w:webHidden/>
              </w:rPr>
              <w:fldChar w:fldCharType="end"/>
            </w:r>
          </w:hyperlink>
        </w:p>
        <w:p w14:paraId="51E8F03C" w14:textId="634B1DA1" w:rsidR="00BF0BAE" w:rsidRDefault="0081586F" w:rsidP="00BF0BAE">
          <w:pPr>
            <w:pStyle w:val="TOC2"/>
            <w:spacing w:before="160" w:after="160"/>
            <w:rPr>
              <w:rFonts w:asciiTheme="minorHAnsi" w:eastAsiaTheme="minorEastAsia" w:hAnsiTheme="minorHAnsi" w:cstheme="minorBidi"/>
              <w:noProof/>
              <w:sz w:val="22"/>
              <w:szCs w:val="22"/>
            </w:rPr>
          </w:pPr>
          <w:hyperlink w:anchor="_Toc80972063" w:history="1">
            <w:r w:rsidR="00BF0BAE" w:rsidRPr="00BF0BAE">
              <w:rPr>
                <w:rStyle w:val="Hyperlink"/>
                <w:b/>
                <w:bCs/>
                <w:noProof/>
              </w:rPr>
              <w:t>1.1</w:t>
            </w:r>
            <w:r w:rsidR="00BF0BAE" w:rsidRPr="00BF0BAE">
              <w:rPr>
                <w:rFonts w:asciiTheme="minorHAnsi" w:eastAsiaTheme="minorEastAsia" w:hAnsiTheme="minorHAnsi" w:cstheme="minorBidi"/>
                <w:b/>
                <w:bCs/>
                <w:noProof/>
                <w:sz w:val="22"/>
                <w:szCs w:val="22"/>
              </w:rPr>
              <w:tab/>
            </w:r>
            <w:r w:rsidR="00BF0BAE" w:rsidRPr="00BF0BAE">
              <w:rPr>
                <w:rStyle w:val="Hyperlink"/>
                <w:b/>
                <w:bCs/>
                <w:noProof/>
              </w:rPr>
              <w:t>Standardised average premium rates by jurisdiction</w:t>
            </w:r>
            <w:r w:rsidR="00BF0BAE" w:rsidRPr="00BF0BAE">
              <w:rPr>
                <w:b/>
                <w:bCs/>
                <w:noProof/>
                <w:webHidden/>
              </w:rPr>
              <w:tab/>
            </w:r>
            <w:r w:rsidR="00BF0BAE" w:rsidRPr="00BF0BAE">
              <w:rPr>
                <w:b/>
                <w:bCs/>
                <w:noProof/>
                <w:webHidden/>
              </w:rPr>
              <w:fldChar w:fldCharType="begin"/>
            </w:r>
            <w:r w:rsidR="00BF0BAE" w:rsidRPr="00BF0BAE">
              <w:rPr>
                <w:b/>
                <w:bCs/>
                <w:noProof/>
                <w:webHidden/>
              </w:rPr>
              <w:instrText xml:space="preserve"> PAGEREF _Toc80972063 \h </w:instrText>
            </w:r>
            <w:r w:rsidR="00BF0BAE" w:rsidRPr="00BF0BAE">
              <w:rPr>
                <w:b/>
                <w:bCs/>
                <w:noProof/>
                <w:webHidden/>
              </w:rPr>
            </w:r>
            <w:r w:rsidR="00BF0BAE" w:rsidRPr="00BF0BAE">
              <w:rPr>
                <w:b/>
                <w:bCs/>
                <w:noProof/>
                <w:webHidden/>
              </w:rPr>
              <w:fldChar w:fldCharType="separate"/>
            </w:r>
            <w:r w:rsidR="008B74D6">
              <w:rPr>
                <w:b/>
                <w:bCs/>
                <w:noProof/>
                <w:webHidden/>
              </w:rPr>
              <w:t>6</w:t>
            </w:r>
            <w:r w:rsidR="00BF0BAE" w:rsidRPr="00BF0BAE">
              <w:rPr>
                <w:b/>
                <w:bCs/>
                <w:noProof/>
                <w:webHidden/>
              </w:rPr>
              <w:fldChar w:fldCharType="end"/>
            </w:r>
          </w:hyperlink>
        </w:p>
        <w:p w14:paraId="7055139F" w14:textId="077EE036"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64" w:history="1">
            <w:r w:rsidR="00BF0BAE" w:rsidRPr="008E47E7">
              <w:rPr>
                <w:rStyle w:val="Hyperlink"/>
              </w:rPr>
              <w:t>Indicator 13 – Standardised average premium rates (including insured and self-insured sectors) by jurisdiction</w:t>
            </w:r>
            <w:r w:rsidR="00BF0BAE">
              <w:rPr>
                <w:webHidden/>
              </w:rPr>
              <w:tab/>
            </w:r>
            <w:r w:rsidR="00BF0BAE">
              <w:rPr>
                <w:webHidden/>
              </w:rPr>
              <w:fldChar w:fldCharType="begin"/>
            </w:r>
            <w:r w:rsidR="00BF0BAE">
              <w:rPr>
                <w:webHidden/>
              </w:rPr>
              <w:instrText xml:space="preserve"> PAGEREF _Toc80972064 \h </w:instrText>
            </w:r>
            <w:r w:rsidR="00BF0BAE">
              <w:rPr>
                <w:webHidden/>
              </w:rPr>
            </w:r>
            <w:r w:rsidR="00BF0BAE">
              <w:rPr>
                <w:webHidden/>
              </w:rPr>
              <w:fldChar w:fldCharType="separate"/>
            </w:r>
            <w:r w:rsidR="008B74D6">
              <w:rPr>
                <w:webHidden/>
              </w:rPr>
              <w:t>7</w:t>
            </w:r>
            <w:r w:rsidR="00BF0BAE">
              <w:rPr>
                <w:webHidden/>
              </w:rPr>
              <w:fldChar w:fldCharType="end"/>
            </w:r>
          </w:hyperlink>
        </w:p>
        <w:p w14:paraId="0ADEB533" w14:textId="33DDFEFD" w:rsidR="00BF0BAE" w:rsidRPr="00BF0BAE" w:rsidRDefault="0081586F" w:rsidP="00BF0BAE">
          <w:pPr>
            <w:pStyle w:val="TOC2"/>
            <w:spacing w:before="160" w:after="160"/>
            <w:rPr>
              <w:rFonts w:asciiTheme="minorHAnsi" w:eastAsiaTheme="minorEastAsia" w:hAnsiTheme="minorHAnsi" w:cstheme="minorBidi"/>
              <w:b/>
              <w:bCs/>
              <w:noProof/>
              <w:sz w:val="22"/>
              <w:szCs w:val="22"/>
            </w:rPr>
          </w:pPr>
          <w:hyperlink w:anchor="_Toc80972065" w:history="1">
            <w:r w:rsidR="00BF0BAE" w:rsidRPr="00BF0BAE">
              <w:rPr>
                <w:rStyle w:val="Hyperlink"/>
                <w:b/>
                <w:bCs/>
                <w:noProof/>
              </w:rPr>
              <w:t>1.2</w:t>
            </w:r>
            <w:r w:rsidR="00BF0BAE" w:rsidRPr="00BF0BAE">
              <w:rPr>
                <w:rFonts w:asciiTheme="minorHAnsi" w:eastAsiaTheme="minorEastAsia" w:hAnsiTheme="minorHAnsi" w:cstheme="minorBidi"/>
                <w:b/>
                <w:bCs/>
                <w:noProof/>
                <w:sz w:val="22"/>
                <w:szCs w:val="22"/>
              </w:rPr>
              <w:tab/>
            </w:r>
            <w:r w:rsidR="00BF0BAE" w:rsidRPr="00BF0BAE">
              <w:rPr>
                <w:rStyle w:val="Hyperlink"/>
                <w:b/>
                <w:bCs/>
                <w:noProof/>
              </w:rPr>
              <w:t>Standardised average premium rates by industry</w:t>
            </w:r>
            <w:r w:rsidR="00BF0BAE" w:rsidRPr="00BF0BAE">
              <w:rPr>
                <w:b/>
                <w:bCs/>
                <w:noProof/>
                <w:webHidden/>
              </w:rPr>
              <w:tab/>
            </w:r>
            <w:r w:rsidR="00BF0BAE" w:rsidRPr="00BF0BAE">
              <w:rPr>
                <w:b/>
                <w:bCs/>
                <w:noProof/>
                <w:webHidden/>
              </w:rPr>
              <w:fldChar w:fldCharType="begin"/>
            </w:r>
            <w:r w:rsidR="00BF0BAE" w:rsidRPr="00BF0BAE">
              <w:rPr>
                <w:b/>
                <w:bCs/>
                <w:noProof/>
                <w:webHidden/>
              </w:rPr>
              <w:instrText xml:space="preserve"> PAGEREF _Toc80972065 \h </w:instrText>
            </w:r>
            <w:r w:rsidR="00BF0BAE" w:rsidRPr="00BF0BAE">
              <w:rPr>
                <w:b/>
                <w:bCs/>
                <w:noProof/>
                <w:webHidden/>
              </w:rPr>
            </w:r>
            <w:r w:rsidR="00BF0BAE" w:rsidRPr="00BF0BAE">
              <w:rPr>
                <w:b/>
                <w:bCs/>
                <w:noProof/>
                <w:webHidden/>
              </w:rPr>
              <w:fldChar w:fldCharType="separate"/>
            </w:r>
            <w:r w:rsidR="008B74D6">
              <w:rPr>
                <w:b/>
                <w:bCs/>
                <w:noProof/>
                <w:webHidden/>
              </w:rPr>
              <w:t>7</w:t>
            </w:r>
            <w:r w:rsidR="00BF0BAE" w:rsidRPr="00BF0BAE">
              <w:rPr>
                <w:b/>
                <w:bCs/>
                <w:noProof/>
                <w:webHidden/>
              </w:rPr>
              <w:fldChar w:fldCharType="end"/>
            </w:r>
          </w:hyperlink>
        </w:p>
        <w:p w14:paraId="1CDA1183" w14:textId="24F48135"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66" w:history="1">
            <w:r w:rsidR="00BF0BAE" w:rsidRPr="008E47E7">
              <w:rPr>
                <w:rStyle w:val="Hyperlink"/>
              </w:rPr>
              <w:t>Indicator 14 – Australian average premium rates by industry</w:t>
            </w:r>
            <w:r w:rsidR="00BF0BAE">
              <w:rPr>
                <w:webHidden/>
              </w:rPr>
              <w:tab/>
            </w:r>
            <w:r w:rsidR="00BF0BAE">
              <w:rPr>
                <w:webHidden/>
              </w:rPr>
              <w:fldChar w:fldCharType="begin"/>
            </w:r>
            <w:r w:rsidR="00BF0BAE">
              <w:rPr>
                <w:webHidden/>
              </w:rPr>
              <w:instrText xml:space="preserve"> PAGEREF _Toc80972066 \h </w:instrText>
            </w:r>
            <w:r w:rsidR="00BF0BAE">
              <w:rPr>
                <w:webHidden/>
              </w:rPr>
            </w:r>
            <w:r w:rsidR="00BF0BAE">
              <w:rPr>
                <w:webHidden/>
              </w:rPr>
              <w:fldChar w:fldCharType="separate"/>
            </w:r>
            <w:r w:rsidR="008B74D6">
              <w:rPr>
                <w:webHidden/>
              </w:rPr>
              <w:t>8</w:t>
            </w:r>
            <w:r w:rsidR="00BF0BAE">
              <w:rPr>
                <w:webHidden/>
              </w:rPr>
              <w:fldChar w:fldCharType="end"/>
            </w:r>
          </w:hyperlink>
        </w:p>
        <w:p w14:paraId="74DE99F7" w14:textId="4DBFD4D9"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67" w:history="1">
            <w:r w:rsidR="00BF0BAE" w:rsidRPr="008E47E7">
              <w:rPr>
                <w:rStyle w:val="Hyperlink"/>
              </w:rPr>
              <w:t>Indicator 14a – Standardised premium rates for Agriculture, forestry and fishing by jurisdiction</w:t>
            </w:r>
            <w:r w:rsidR="00BF0BAE">
              <w:rPr>
                <w:webHidden/>
              </w:rPr>
              <w:tab/>
            </w:r>
            <w:r w:rsidR="00BF0BAE">
              <w:rPr>
                <w:webHidden/>
              </w:rPr>
              <w:fldChar w:fldCharType="begin"/>
            </w:r>
            <w:r w:rsidR="00BF0BAE">
              <w:rPr>
                <w:webHidden/>
              </w:rPr>
              <w:instrText xml:space="preserve"> PAGEREF _Toc80972067 \h </w:instrText>
            </w:r>
            <w:r w:rsidR="00BF0BAE">
              <w:rPr>
                <w:webHidden/>
              </w:rPr>
            </w:r>
            <w:r w:rsidR="00BF0BAE">
              <w:rPr>
                <w:webHidden/>
              </w:rPr>
              <w:fldChar w:fldCharType="separate"/>
            </w:r>
            <w:r w:rsidR="008B74D6">
              <w:rPr>
                <w:webHidden/>
              </w:rPr>
              <w:t>9</w:t>
            </w:r>
            <w:r w:rsidR="00BF0BAE">
              <w:rPr>
                <w:webHidden/>
              </w:rPr>
              <w:fldChar w:fldCharType="end"/>
            </w:r>
          </w:hyperlink>
        </w:p>
        <w:p w14:paraId="1AC58E98" w14:textId="0DE25038"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68" w:history="1">
            <w:r w:rsidR="00BF0BAE" w:rsidRPr="008E47E7">
              <w:rPr>
                <w:rStyle w:val="Hyperlink"/>
              </w:rPr>
              <w:t>Indicator 14b – Standardised premium rates for Mining by jurisdiction</w:t>
            </w:r>
            <w:r w:rsidR="00BF0BAE">
              <w:rPr>
                <w:webHidden/>
              </w:rPr>
              <w:tab/>
            </w:r>
            <w:r w:rsidR="00BF0BAE">
              <w:rPr>
                <w:webHidden/>
              </w:rPr>
              <w:fldChar w:fldCharType="begin"/>
            </w:r>
            <w:r w:rsidR="00BF0BAE">
              <w:rPr>
                <w:webHidden/>
              </w:rPr>
              <w:instrText xml:space="preserve"> PAGEREF _Toc80972068 \h </w:instrText>
            </w:r>
            <w:r w:rsidR="00BF0BAE">
              <w:rPr>
                <w:webHidden/>
              </w:rPr>
            </w:r>
            <w:r w:rsidR="00BF0BAE">
              <w:rPr>
                <w:webHidden/>
              </w:rPr>
              <w:fldChar w:fldCharType="separate"/>
            </w:r>
            <w:r w:rsidR="008B74D6">
              <w:rPr>
                <w:webHidden/>
              </w:rPr>
              <w:t>10</w:t>
            </w:r>
            <w:r w:rsidR="00BF0BAE">
              <w:rPr>
                <w:webHidden/>
              </w:rPr>
              <w:fldChar w:fldCharType="end"/>
            </w:r>
          </w:hyperlink>
        </w:p>
        <w:p w14:paraId="27FC2C6B" w14:textId="5D3C7D95"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69" w:history="1">
            <w:r w:rsidR="00BF0BAE" w:rsidRPr="008E47E7">
              <w:rPr>
                <w:rStyle w:val="Hyperlink"/>
              </w:rPr>
              <w:t>Indicator 14c – Standardised premium rates for Manufacturing by jurisdiction</w:t>
            </w:r>
            <w:r w:rsidR="00BF0BAE">
              <w:rPr>
                <w:webHidden/>
              </w:rPr>
              <w:tab/>
            </w:r>
            <w:r w:rsidR="00BF0BAE">
              <w:rPr>
                <w:webHidden/>
              </w:rPr>
              <w:fldChar w:fldCharType="begin"/>
            </w:r>
            <w:r w:rsidR="00BF0BAE">
              <w:rPr>
                <w:webHidden/>
              </w:rPr>
              <w:instrText xml:space="preserve"> PAGEREF _Toc80972069 \h </w:instrText>
            </w:r>
            <w:r w:rsidR="00BF0BAE">
              <w:rPr>
                <w:webHidden/>
              </w:rPr>
            </w:r>
            <w:r w:rsidR="00BF0BAE">
              <w:rPr>
                <w:webHidden/>
              </w:rPr>
              <w:fldChar w:fldCharType="separate"/>
            </w:r>
            <w:r w:rsidR="008B74D6">
              <w:rPr>
                <w:webHidden/>
              </w:rPr>
              <w:t>11</w:t>
            </w:r>
            <w:r w:rsidR="00BF0BAE">
              <w:rPr>
                <w:webHidden/>
              </w:rPr>
              <w:fldChar w:fldCharType="end"/>
            </w:r>
          </w:hyperlink>
        </w:p>
        <w:p w14:paraId="1040DE7D" w14:textId="74AA9D8F"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0" w:history="1">
            <w:r w:rsidR="00BF0BAE" w:rsidRPr="008E47E7">
              <w:rPr>
                <w:rStyle w:val="Hyperlink"/>
              </w:rPr>
              <w:t>Indicator 14d – Standardised premium rates for Electricity, gas, water and waste services by jurisdiction</w:t>
            </w:r>
            <w:r w:rsidR="00BF0BAE">
              <w:rPr>
                <w:webHidden/>
              </w:rPr>
              <w:tab/>
            </w:r>
            <w:r w:rsidR="00BF0BAE">
              <w:rPr>
                <w:webHidden/>
              </w:rPr>
              <w:fldChar w:fldCharType="begin"/>
            </w:r>
            <w:r w:rsidR="00BF0BAE">
              <w:rPr>
                <w:webHidden/>
              </w:rPr>
              <w:instrText xml:space="preserve"> PAGEREF _Toc80972070 \h </w:instrText>
            </w:r>
            <w:r w:rsidR="00BF0BAE">
              <w:rPr>
                <w:webHidden/>
              </w:rPr>
            </w:r>
            <w:r w:rsidR="00BF0BAE">
              <w:rPr>
                <w:webHidden/>
              </w:rPr>
              <w:fldChar w:fldCharType="separate"/>
            </w:r>
            <w:r w:rsidR="008B74D6">
              <w:rPr>
                <w:webHidden/>
              </w:rPr>
              <w:t>12</w:t>
            </w:r>
            <w:r w:rsidR="00BF0BAE">
              <w:rPr>
                <w:webHidden/>
              </w:rPr>
              <w:fldChar w:fldCharType="end"/>
            </w:r>
          </w:hyperlink>
        </w:p>
        <w:p w14:paraId="23A41E2E" w14:textId="506B6E62"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1" w:history="1">
            <w:r w:rsidR="00BF0BAE" w:rsidRPr="008E47E7">
              <w:rPr>
                <w:rStyle w:val="Hyperlink"/>
              </w:rPr>
              <w:t>Indicator 14e – Standardised premium rates for Construction by jurisdiction</w:t>
            </w:r>
            <w:r w:rsidR="00BF0BAE">
              <w:rPr>
                <w:webHidden/>
              </w:rPr>
              <w:tab/>
            </w:r>
            <w:r w:rsidR="00BF0BAE">
              <w:rPr>
                <w:webHidden/>
              </w:rPr>
              <w:fldChar w:fldCharType="begin"/>
            </w:r>
            <w:r w:rsidR="00BF0BAE">
              <w:rPr>
                <w:webHidden/>
              </w:rPr>
              <w:instrText xml:space="preserve"> PAGEREF _Toc80972071 \h </w:instrText>
            </w:r>
            <w:r w:rsidR="00BF0BAE">
              <w:rPr>
                <w:webHidden/>
              </w:rPr>
            </w:r>
            <w:r w:rsidR="00BF0BAE">
              <w:rPr>
                <w:webHidden/>
              </w:rPr>
              <w:fldChar w:fldCharType="separate"/>
            </w:r>
            <w:r w:rsidR="008B74D6">
              <w:rPr>
                <w:webHidden/>
              </w:rPr>
              <w:t>13</w:t>
            </w:r>
            <w:r w:rsidR="00BF0BAE">
              <w:rPr>
                <w:webHidden/>
              </w:rPr>
              <w:fldChar w:fldCharType="end"/>
            </w:r>
          </w:hyperlink>
        </w:p>
        <w:p w14:paraId="6A268A19" w14:textId="4476941F"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2" w:history="1">
            <w:r w:rsidR="00BF0BAE" w:rsidRPr="008E47E7">
              <w:rPr>
                <w:rStyle w:val="Hyperlink"/>
              </w:rPr>
              <w:t>Indicator 14f – Standardised premium rates for Wholesale trade by jurisdiction</w:t>
            </w:r>
            <w:r w:rsidR="00BF0BAE">
              <w:rPr>
                <w:webHidden/>
              </w:rPr>
              <w:tab/>
            </w:r>
            <w:r w:rsidR="00BF0BAE">
              <w:rPr>
                <w:webHidden/>
              </w:rPr>
              <w:fldChar w:fldCharType="begin"/>
            </w:r>
            <w:r w:rsidR="00BF0BAE">
              <w:rPr>
                <w:webHidden/>
              </w:rPr>
              <w:instrText xml:space="preserve"> PAGEREF _Toc80972072 \h </w:instrText>
            </w:r>
            <w:r w:rsidR="00BF0BAE">
              <w:rPr>
                <w:webHidden/>
              </w:rPr>
            </w:r>
            <w:r w:rsidR="00BF0BAE">
              <w:rPr>
                <w:webHidden/>
              </w:rPr>
              <w:fldChar w:fldCharType="separate"/>
            </w:r>
            <w:r w:rsidR="008B74D6">
              <w:rPr>
                <w:webHidden/>
              </w:rPr>
              <w:t>14</w:t>
            </w:r>
            <w:r w:rsidR="00BF0BAE">
              <w:rPr>
                <w:webHidden/>
              </w:rPr>
              <w:fldChar w:fldCharType="end"/>
            </w:r>
          </w:hyperlink>
        </w:p>
        <w:p w14:paraId="638CD48B" w14:textId="141D4008"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3" w:history="1">
            <w:r w:rsidR="00BF0BAE" w:rsidRPr="008E47E7">
              <w:rPr>
                <w:rStyle w:val="Hyperlink"/>
              </w:rPr>
              <w:t>Indicator 14g – Standardised premium rates for Retail trade by jurisdiction</w:t>
            </w:r>
            <w:r w:rsidR="00BF0BAE">
              <w:rPr>
                <w:webHidden/>
              </w:rPr>
              <w:tab/>
            </w:r>
            <w:r w:rsidR="00BF0BAE">
              <w:rPr>
                <w:webHidden/>
              </w:rPr>
              <w:fldChar w:fldCharType="begin"/>
            </w:r>
            <w:r w:rsidR="00BF0BAE">
              <w:rPr>
                <w:webHidden/>
              </w:rPr>
              <w:instrText xml:space="preserve"> PAGEREF _Toc80972073 \h </w:instrText>
            </w:r>
            <w:r w:rsidR="00BF0BAE">
              <w:rPr>
                <w:webHidden/>
              </w:rPr>
            </w:r>
            <w:r w:rsidR="00BF0BAE">
              <w:rPr>
                <w:webHidden/>
              </w:rPr>
              <w:fldChar w:fldCharType="separate"/>
            </w:r>
            <w:r w:rsidR="008B74D6">
              <w:rPr>
                <w:webHidden/>
              </w:rPr>
              <w:t>15</w:t>
            </w:r>
            <w:r w:rsidR="00BF0BAE">
              <w:rPr>
                <w:webHidden/>
              </w:rPr>
              <w:fldChar w:fldCharType="end"/>
            </w:r>
          </w:hyperlink>
        </w:p>
        <w:p w14:paraId="2CC2D52E" w14:textId="412E336B"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4" w:history="1">
            <w:r w:rsidR="00BF0BAE" w:rsidRPr="008E47E7">
              <w:rPr>
                <w:rStyle w:val="Hyperlink"/>
              </w:rPr>
              <w:t>Indicator 14h – Standardised premium rates for Accommodation and food services by jurisdiction</w:t>
            </w:r>
            <w:r w:rsidR="00BF0BAE">
              <w:rPr>
                <w:webHidden/>
              </w:rPr>
              <w:tab/>
            </w:r>
            <w:r w:rsidR="00BF0BAE">
              <w:rPr>
                <w:webHidden/>
              </w:rPr>
              <w:fldChar w:fldCharType="begin"/>
            </w:r>
            <w:r w:rsidR="00BF0BAE">
              <w:rPr>
                <w:webHidden/>
              </w:rPr>
              <w:instrText xml:space="preserve"> PAGEREF _Toc80972074 \h </w:instrText>
            </w:r>
            <w:r w:rsidR="00BF0BAE">
              <w:rPr>
                <w:webHidden/>
              </w:rPr>
            </w:r>
            <w:r w:rsidR="00BF0BAE">
              <w:rPr>
                <w:webHidden/>
              </w:rPr>
              <w:fldChar w:fldCharType="separate"/>
            </w:r>
            <w:r w:rsidR="008B74D6">
              <w:rPr>
                <w:webHidden/>
              </w:rPr>
              <w:t>16</w:t>
            </w:r>
            <w:r w:rsidR="00BF0BAE">
              <w:rPr>
                <w:webHidden/>
              </w:rPr>
              <w:fldChar w:fldCharType="end"/>
            </w:r>
          </w:hyperlink>
        </w:p>
        <w:p w14:paraId="497902C7" w14:textId="247778C6"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5" w:history="1">
            <w:r w:rsidR="00BF0BAE" w:rsidRPr="008E47E7">
              <w:rPr>
                <w:rStyle w:val="Hyperlink"/>
              </w:rPr>
              <w:t>Indicator 14i – Standardised premium rates for Transport, postal and warehousing by jurisdiction</w:t>
            </w:r>
            <w:r w:rsidR="00BF0BAE">
              <w:rPr>
                <w:webHidden/>
              </w:rPr>
              <w:tab/>
            </w:r>
            <w:r w:rsidR="00BF0BAE">
              <w:rPr>
                <w:webHidden/>
              </w:rPr>
              <w:fldChar w:fldCharType="begin"/>
            </w:r>
            <w:r w:rsidR="00BF0BAE">
              <w:rPr>
                <w:webHidden/>
              </w:rPr>
              <w:instrText xml:space="preserve"> PAGEREF _Toc80972075 \h </w:instrText>
            </w:r>
            <w:r w:rsidR="00BF0BAE">
              <w:rPr>
                <w:webHidden/>
              </w:rPr>
            </w:r>
            <w:r w:rsidR="00BF0BAE">
              <w:rPr>
                <w:webHidden/>
              </w:rPr>
              <w:fldChar w:fldCharType="separate"/>
            </w:r>
            <w:r w:rsidR="008B74D6">
              <w:rPr>
                <w:webHidden/>
              </w:rPr>
              <w:t>17</w:t>
            </w:r>
            <w:r w:rsidR="00BF0BAE">
              <w:rPr>
                <w:webHidden/>
              </w:rPr>
              <w:fldChar w:fldCharType="end"/>
            </w:r>
          </w:hyperlink>
        </w:p>
        <w:p w14:paraId="426C678E" w14:textId="166102CC"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6" w:history="1">
            <w:r w:rsidR="00BF0BAE" w:rsidRPr="008E47E7">
              <w:rPr>
                <w:rStyle w:val="Hyperlink"/>
              </w:rPr>
              <w:t>Indicator 14j – Standardised premium rates for Information, media and telecommunications by jurisdiction</w:t>
            </w:r>
            <w:r w:rsidR="00BF0BAE">
              <w:rPr>
                <w:webHidden/>
              </w:rPr>
              <w:tab/>
            </w:r>
            <w:r w:rsidR="00BF0BAE">
              <w:rPr>
                <w:webHidden/>
              </w:rPr>
              <w:fldChar w:fldCharType="begin"/>
            </w:r>
            <w:r w:rsidR="00BF0BAE">
              <w:rPr>
                <w:webHidden/>
              </w:rPr>
              <w:instrText xml:space="preserve"> PAGEREF _Toc80972076 \h </w:instrText>
            </w:r>
            <w:r w:rsidR="00BF0BAE">
              <w:rPr>
                <w:webHidden/>
              </w:rPr>
            </w:r>
            <w:r w:rsidR="00BF0BAE">
              <w:rPr>
                <w:webHidden/>
              </w:rPr>
              <w:fldChar w:fldCharType="separate"/>
            </w:r>
            <w:r w:rsidR="008B74D6">
              <w:rPr>
                <w:webHidden/>
              </w:rPr>
              <w:t>18</w:t>
            </w:r>
            <w:r w:rsidR="00BF0BAE">
              <w:rPr>
                <w:webHidden/>
              </w:rPr>
              <w:fldChar w:fldCharType="end"/>
            </w:r>
          </w:hyperlink>
        </w:p>
        <w:p w14:paraId="53CD9591" w14:textId="22B50ECC"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7" w:history="1">
            <w:r w:rsidR="00BF0BAE" w:rsidRPr="008E47E7">
              <w:rPr>
                <w:rStyle w:val="Hyperlink"/>
              </w:rPr>
              <w:t>Indicator 14k – Standardised premium rates for Financial and insurance services by jurisdiction</w:t>
            </w:r>
            <w:r w:rsidR="00BF0BAE">
              <w:rPr>
                <w:webHidden/>
              </w:rPr>
              <w:tab/>
            </w:r>
            <w:r w:rsidR="00BF0BAE">
              <w:rPr>
                <w:webHidden/>
              </w:rPr>
              <w:fldChar w:fldCharType="begin"/>
            </w:r>
            <w:r w:rsidR="00BF0BAE">
              <w:rPr>
                <w:webHidden/>
              </w:rPr>
              <w:instrText xml:space="preserve"> PAGEREF _Toc80972077 \h </w:instrText>
            </w:r>
            <w:r w:rsidR="00BF0BAE">
              <w:rPr>
                <w:webHidden/>
              </w:rPr>
            </w:r>
            <w:r w:rsidR="00BF0BAE">
              <w:rPr>
                <w:webHidden/>
              </w:rPr>
              <w:fldChar w:fldCharType="separate"/>
            </w:r>
            <w:r w:rsidR="008B74D6">
              <w:rPr>
                <w:webHidden/>
              </w:rPr>
              <w:t>19</w:t>
            </w:r>
            <w:r w:rsidR="00BF0BAE">
              <w:rPr>
                <w:webHidden/>
              </w:rPr>
              <w:fldChar w:fldCharType="end"/>
            </w:r>
          </w:hyperlink>
        </w:p>
        <w:p w14:paraId="10EFB37F" w14:textId="170574EA"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8" w:history="1">
            <w:r w:rsidR="00BF0BAE" w:rsidRPr="008E47E7">
              <w:rPr>
                <w:rStyle w:val="Hyperlink"/>
              </w:rPr>
              <w:t>Indicator 14l – Standardised premium rates for Rental, hiring and real estate services by jurisdiction</w:t>
            </w:r>
            <w:r w:rsidR="00BF0BAE">
              <w:rPr>
                <w:webHidden/>
              </w:rPr>
              <w:tab/>
            </w:r>
            <w:r w:rsidR="00BF0BAE">
              <w:rPr>
                <w:webHidden/>
              </w:rPr>
              <w:fldChar w:fldCharType="begin"/>
            </w:r>
            <w:r w:rsidR="00BF0BAE">
              <w:rPr>
                <w:webHidden/>
              </w:rPr>
              <w:instrText xml:space="preserve"> PAGEREF _Toc80972078 \h </w:instrText>
            </w:r>
            <w:r w:rsidR="00BF0BAE">
              <w:rPr>
                <w:webHidden/>
              </w:rPr>
            </w:r>
            <w:r w:rsidR="00BF0BAE">
              <w:rPr>
                <w:webHidden/>
              </w:rPr>
              <w:fldChar w:fldCharType="separate"/>
            </w:r>
            <w:r w:rsidR="008B74D6">
              <w:rPr>
                <w:webHidden/>
              </w:rPr>
              <w:t>20</w:t>
            </w:r>
            <w:r w:rsidR="00BF0BAE">
              <w:rPr>
                <w:webHidden/>
              </w:rPr>
              <w:fldChar w:fldCharType="end"/>
            </w:r>
          </w:hyperlink>
        </w:p>
        <w:p w14:paraId="56C5BE1E" w14:textId="4762EF74"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79" w:history="1">
            <w:r w:rsidR="00BF0BAE" w:rsidRPr="008E47E7">
              <w:rPr>
                <w:rStyle w:val="Hyperlink"/>
              </w:rPr>
              <w:t>Indicator 14m – Standardised premium rates for Professional, scientific and technical services by jurisdiction</w:t>
            </w:r>
            <w:r w:rsidR="00BF0BAE">
              <w:rPr>
                <w:webHidden/>
              </w:rPr>
              <w:tab/>
            </w:r>
            <w:r w:rsidR="00BF0BAE">
              <w:rPr>
                <w:webHidden/>
              </w:rPr>
              <w:fldChar w:fldCharType="begin"/>
            </w:r>
            <w:r w:rsidR="00BF0BAE">
              <w:rPr>
                <w:webHidden/>
              </w:rPr>
              <w:instrText xml:space="preserve"> PAGEREF _Toc80972079 \h </w:instrText>
            </w:r>
            <w:r w:rsidR="00BF0BAE">
              <w:rPr>
                <w:webHidden/>
              </w:rPr>
            </w:r>
            <w:r w:rsidR="00BF0BAE">
              <w:rPr>
                <w:webHidden/>
              </w:rPr>
              <w:fldChar w:fldCharType="separate"/>
            </w:r>
            <w:r w:rsidR="008B74D6">
              <w:rPr>
                <w:webHidden/>
              </w:rPr>
              <w:t>21</w:t>
            </w:r>
            <w:r w:rsidR="00BF0BAE">
              <w:rPr>
                <w:webHidden/>
              </w:rPr>
              <w:fldChar w:fldCharType="end"/>
            </w:r>
          </w:hyperlink>
        </w:p>
        <w:p w14:paraId="7B1B5A77" w14:textId="398902B1"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0" w:history="1">
            <w:r w:rsidR="00BF0BAE" w:rsidRPr="008E47E7">
              <w:rPr>
                <w:rStyle w:val="Hyperlink"/>
              </w:rPr>
              <w:t>Indicator 14n – Standardised premium rates for Administrative and support services by jurisdiction</w:t>
            </w:r>
            <w:r w:rsidR="00BF0BAE">
              <w:rPr>
                <w:webHidden/>
              </w:rPr>
              <w:tab/>
            </w:r>
            <w:r w:rsidR="00BF0BAE">
              <w:rPr>
                <w:webHidden/>
              </w:rPr>
              <w:fldChar w:fldCharType="begin"/>
            </w:r>
            <w:r w:rsidR="00BF0BAE">
              <w:rPr>
                <w:webHidden/>
              </w:rPr>
              <w:instrText xml:space="preserve"> PAGEREF _Toc80972080 \h </w:instrText>
            </w:r>
            <w:r w:rsidR="00BF0BAE">
              <w:rPr>
                <w:webHidden/>
              </w:rPr>
            </w:r>
            <w:r w:rsidR="00BF0BAE">
              <w:rPr>
                <w:webHidden/>
              </w:rPr>
              <w:fldChar w:fldCharType="separate"/>
            </w:r>
            <w:r w:rsidR="008B74D6">
              <w:rPr>
                <w:webHidden/>
              </w:rPr>
              <w:t>22</w:t>
            </w:r>
            <w:r w:rsidR="00BF0BAE">
              <w:rPr>
                <w:webHidden/>
              </w:rPr>
              <w:fldChar w:fldCharType="end"/>
            </w:r>
          </w:hyperlink>
        </w:p>
        <w:p w14:paraId="636A71B4" w14:textId="58391A10"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1" w:history="1">
            <w:r w:rsidR="00BF0BAE" w:rsidRPr="008E47E7">
              <w:rPr>
                <w:rStyle w:val="Hyperlink"/>
              </w:rPr>
              <w:t>Indicator 14o – Standardised premium rates for Public administration and safety by jurisdiction</w:t>
            </w:r>
            <w:r w:rsidR="00BF0BAE">
              <w:rPr>
                <w:webHidden/>
              </w:rPr>
              <w:tab/>
            </w:r>
            <w:r w:rsidR="00BF0BAE">
              <w:rPr>
                <w:webHidden/>
              </w:rPr>
              <w:fldChar w:fldCharType="begin"/>
            </w:r>
            <w:r w:rsidR="00BF0BAE">
              <w:rPr>
                <w:webHidden/>
              </w:rPr>
              <w:instrText xml:space="preserve"> PAGEREF _Toc80972081 \h </w:instrText>
            </w:r>
            <w:r w:rsidR="00BF0BAE">
              <w:rPr>
                <w:webHidden/>
              </w:rPr>
            </w:r>
            <w:r w:rsidR="00BF0BAE">
              <w:rPr>
                <w:webHidden/>
              </w:rPr>
              <w:fldChar w:fldCharType="separate"/>
            </w:r>
            <w:r w:rsidR="008B74D6">
              <w:rPr>
                <w:webHidden/>
              </w:rPr>
              <w:t>23</w:t>
            </w:r>
            <w:r w:rsidR="00BF0BAE">
              <w:rPr>
                <w:webHidden/>
              </w:rPr>
              <w:fldChar w:fldCharType="end"/>
            </w:r>
          </w:hyperlink>
        </w:p>
        <w:p w14:paraId="0598E494" w14:textId="21A9C8E2"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2" w:history="1">
            <w:r w:rsidR="00BF0BAE" w:rsidRPr="008E47E7">
              <w:rPr>
                <w:rStyle w:val="Hyperlink"/>
              </w:rPr>
              <w:t>Indicator 14p – Standardised premium rates for Education and training by jurisdiction</w:t>
            </w:r>
            <w:r w:rsidR="00BF0BAE">
              <w:rPr>
                <w:webHidden/>
              </w:rPr>
              <w:tab/>
            </w:r>
            <w:r w:rsidR="00BF0BAE">
              <w:rPr>
                <w:webHidden/>
              </w:rPr>
              <w:fldChar w:fldCharType="begin"/>
            </w:r>
            <w:r w:rsidR="00BF0BAE">
              <w:rPr>
                <w:webHidden/>
              </w:rPr>
              <w:instrText xml:space="preserve"> PAGEREF _Toc80972082 \h </w:instrText>
            </w:r>
            <w:r w:rsidR="00BF0BAE">
              <w:rPr>
                <w:webHidden/>
              </w:rPr>
            </w:r>
            <w:r w:rsidR="00BF0BAE">
              <w:rPr>
                <w:webHidden/>
              </w:rPr>
              <w:fldChar w:fldCharType="separate"/>
            </w:r>
            <w:r w:rsidR="008B74D6">
              <w:rPr>
                <w:webHidden/>
              </w:rPr>
              <w:t>24</w:t>
            </w:r>
            <w:r w:rsidR="00BF0BAE">
              <w:rPr>
                <w:webHidden/>
              </w:rPr>
              <w:fldChar w:fldCharType="end"/>
            </w:r>
          </w:hyperlink>
        </w:p>
        <w:p w14:paraId="5585C19B" w14:textId="098C3D41"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3" w:history="1">
            <w:r w:rsidR="00BF0BAE" w:rsidRPr="008E47E7">
              <w:rPr>
                <w:rStyle w:val="Hyperlink"/>
              </w:rPr>
              <w:t>Indicator 14q – Standardised premium rates for Healthcare and social assistance by jurisdiction</w:t>
            </w:r>
            <w:r w:rsidR="00BF0BAE">
              <w:rPr>
                <w:webHidden/>
              </w:rPr>
              <w:tab/>
            </w:r>
            <w:r w:rsidR="00BF0BAE">
              <w:rPr>
                <w:webHidden/>
              </w:rPr>
              <w:fldChar w:fldCharType="begin"/>
            </w:r>
            <w:r w:rsidR="00BF0BAE">
              <w:rPr>
                <w:webHidden/>
              </w:rPr>
              <w:instrText xml:space="preserve"> PAGEREF _Toc80972083 \h </w:instrText>
            </w:r>
            <w:r w:rsidR="00BF0BAE">
              <w:rPr>
                <w:webHidden/>
              </w:rPr>
            </w:r>
            <w:r w:rsidR="00BF0BAE">
              <w:rPr>
                <w:webHidden/>
              </w:rPr>
              <w:fldChar w:fldCharType="separate"/>
            </w:r>
            <w:r w:rsidR="008B74D6">
              <w:rPr>
                <w:webHidden/>
              </w:rPr>
              <w:t>25</w:t>
            </w:r>
            <w:r w:rsidR="00BF0BAE">
              <w:rPr>
                <w:webHidden/>
              </w:rPr>
              <w:fldChar w:fldCharType="end"/>
            </w:r>
          </w:hyperlink>
        </w:p>
        <w:p w14:paraId="076127DC" w14:textId="64168E19"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4" w:history="1">
            <w:r w:rsidR="00BF0BAE" w:rsidRPr="008E47E7">
              <w:rPr>
                <w:rStyle w:val="Hyperlink"/>
              </w:rPr>
              <w:t>Indicator 14r – Standardised premium rates for Arts and recreation services by jurisdiction</w:t>
            </w:r>
            <w:r w:rsidR="00BF0BAE">
              <w:rPr>
                <w:webHidden/>
              </w:rPr>
              <w:tab/>
            </w:r>
            <w:r w:rsidR="00BF0BAE">
              <w:rPr>
                <w:webHidden/>
              </w:rPr>
              <w:fldChar w:fldCharType="begin"/>
            </w:r>
            <w:r w:rsidR="00BF0BAE">
              <w:rPr>
                <w:webHidden/>
              </w:rPr>
              <w:instrText xml:space="preserve"> PAGEREF _Toc80972084 \h </w:instrText>
            </w:r>
            <w:r w:rsidR="00BF0BAE">
              <w:rPr>
                <w:webHidden/>
              </w:rPr>
            </w:r>
            <w:r w:rsidR="00BF0BAE">
              <w:rPr>
                <w:webHidden/>
              </w:rPr>
              <w:fldChar w:fldCharType="separate"/>
            </w:r>
            <w:r w:rsidR="008B74D6">
              <w:rPr>
                <w:webHidden/>
              </w:rPr>
              <w:t>26</w:t>
            </w:r>
            <w:r w:rsidR="00BF0BAE">
              <w:rPr>
                <w:webHidden/>
              </w:rPr>
              <w:fldChar w:fldCharType="end"/>
            </w:r>
          </w:hyperlink>
        </w:p>
        <w:p w14:paraId="3542E084" w14:textId="50564AB8" w:rsidR="00BF0BAE" w:rsidRDefault="0081586F" w:rsidP="00BF0BAE">
          <w:pPr>
            <w:pStyle w:val="TOC1"/>
            <w:spacing w:before="160" w:after="160"/>
            <w:ind w:left="720"/>
            <w:rPr>
              <w:rFonts w:asciiTheme="minorHAnsi" w:eastAsiaTheme="minorEastAsia" w:hAnsiTheme="minorHAnsi" w:cstheme="minorBidi"/>
              <w:sz w:val="22"/>
              <w:szCs w:val="22"/>
            </w:rPr>
          </w:pPr>
          <w:hyperlink w:anchor="_Toc80972085" w:history="1">
            <w:r w:rsidR="00BF0BAE" w:rsidRPr="008E47E7">
              <w:rPr>
                <w:rStyle w:val="Hyperlink"/>
              </w:rPr>
              <w:t>Indicator 14s – Standardised premium rates for Other services by jurisdiction</w:t>
            </w:r>
            <w:r w:rsidR="00BF0BAE">
              <w:rPr>
                <w:webHidden/>
              </w:rPr>
              <w:tab/>
            </w:r>
            <w:r w:rsidR="00BF0BAE">
              <w:rPr>
                <w:webHidden/>
              </w:rPr>
              <w:fldChar w:fldCharType="begin"/>
            </w:r>
            <w:r w:rsidR="00BF0BAE">
              <w:rPr>
                <w:webHidden/>
              </w:rPr>
              <w:instrText xml:space="preserve"> PAGEREF _Toc80972085 \h </w:instrText>
            </w:r>
            <w:r w:rsidR="00BF0BAE">
              <w:rPr>
                <w:webHidden/>
              </w:rPr>
            </w:r>
            <w:r w:rsidR="00BF0BAE">
              <w:rPr>
                <w:webHidden/>
              </w:rPr>
              <w:fldChar w:fldCharType="separate"/>
            </w:r>
            <w:r w:rsidR="008B74D6">
              <w:rPr>
                <w:webHidden/>
              </w:rPr>
              <w:t>27</w:t>
            </w:r>
            <w:r w:rsidR="00BF0BAE">
              <w:rPr>
                <w:webHidden/>
              </w:rPr>
              <w:fldChar w:fldCharType="end"/>
            </w:r>
          </w:hyperlink>
        </w:p>
        <w:p w14:paraId="61ABE744" w14:textId="197D556E" w:rsidR="00BF0BAE" w:rsidRDefault="0081586F" w:rsidP="00BF0BAE">
          <w:pPr>
            <w:pStyle w:val="TOC1"/>
            <w:spacing w:before="160" w:after="160"/>
            <w:rPr>
              <w:rFonts w:asciiTheme="minorHAnsi" w:eastAsiaTheme="minorEastAsia" w:hAnsiTheme="minorHAnsi" w:cstheme="minorBidi"/>
              <w:sz w:val="22"/>
              <w:szCs w:val="22"/>
            </w:rPr>
          </w:pPr>
          <w:hyperlink w:anchor="_Toc80972086" w:history="1">
            <w:r w:rsidR="00BF0BAE" w:rsidRPr="008E47E7">
              <w:rPr>
                <w:rStyle w:val="Hyperlink"/>
              </w:rPr>
              <w:t>Appendix 1 — Explanatory notes</w:t>
            </w:r>
            <w:r w:rsidR="00BF0BAE">
              <w:rPr>
                <w:webHidden/>
              </w:rPr>
              <w:tab/>
            </w:r>
            <w:r w:rsidR="00BF0BAE">
              <w:rPr>
                <w:webHidden/>
              </w:rPr>
              <w:fldChar w:fldCharType="begin"/>
            </w:r>
            <w:r w:rsidR="00BF0BAE">
              <w:rPr>
                <w:webHidden/>
              </w:rPr>
              <w:instrText xml:space="preserve"> PAGEREF _Toc80972086 \h </w:instrText>
            </w:r>
            <w:r w:rsidR="00BF0BAE">
              <w:rPr>
                <w:webHidden/>
              </w:rPr>
            </w:r>
            <w:r w:rsidR="00BF0BAE">
              <w:rPr>
                <w:webHidden/>
              </w:rPr>
              <w:fldChar w:fldCharType="separate"/>
            </w:r>
            <w:r w:rsidR="008B74D6">
              <w:rPr>
                <w:webHidden/>
              </w:rPr>
              <w:t>28</w:t>
            </w:r>
            <w:r w:rsidR="00BF0BAE">
              <w:rPr>
                <w:webHidden/>
              </w:rPr>
              <w:fldChar w:fldCharType="end"/>
            </w:r>
          </w:hyperlink>
        </w:p>
        <w:p w14:paraId="1AD40834" w14:textId="7843159B" w:rsidR="00BF0BAE" w:rsidRDefault="0081586F" w:rsidP="00BF0BAE">
          <w:pPr>
            <w:pStyle w:val="TOC2"/>
            <w:spacing w:before="160" w:after="160"/>
            <w:ind w:left="709"/>
            <w:rPr>
              <w:rFonts w:asciiTheme="minorHAnsi" w:eastAsiaTheme="minorEastAsia" w:hAnsiTheme="minorHAnsi" w:cstheme="minorBidi"/>
              <w:noProof/>
              <w:sz w:val="22"/>
              <w:szCs w:val="22"/>
            </w:rPr>
          </w:pPr>
          <w:hyperlink w:anchor="_Toc80972087" w:history="1">
            <w:r w:rsidR="00BF0BAE" w:rsidRPr="008E47E7">
              <w:rPr>
                <w:rStyle w:val="Hyperlink"/>
                <w:noProof/>
              </w:rPr>
              <w:t>Premium rates and entitlements</w:t>
            </w:r>
            <w:r w:rsidR="00BF0BAE">
              <w:rPr>
                <w:noProof/>
                <w:webHidden/>
              </w:rPr>
              <w:tab/>
            </w:r>
            <w:r w:rsidR="00BF0BAE">
              <w:rPr>
                <w:noProof/>
                <w:webHidden/>
              </w:rPr>
              <w:fldChar w:fldCharType="begin"/>
            </w:r>
            <w:r w:rsidR="00BF0BAE">
              <w:rPr>
                <w:noProof/>
                <w:webHidden/>
              </w:rPr>
              <w:instrText xml:space="preserve"> PAGEREF _Toc80972087 \h </w:instrText>
            </w:r>
            <w:r w:rsidR="00BF0BAE">
              <w:rPr>
                <w:noProof/>
                <w:webHidden/>
              </w:rPr>
            </w:r>
            <w:r w:rsidR="00BF0BAE">
              <w:rPr>
                <w:noProof/>
                <w:webHidden/>
              </w:rPr>
              <w:fldChar w:fldCharType="separate"/>
            </w:r>
            <w:r w:rsidR="008B74D6">
              <w:rPr>
                <w:noProof/>
                <w:webHidden/>
              </w:rPr>
              <w:t>28</w:t>
            </w:r>
            <w:r w:rsidR="00BF0BAE">
              <w:rPr>
                <w:noProof/>
                <w:webHidden/>
              </w:rPr>
              <w:fldChar w:fldCharType="end"/>
            </w:r>
          </w:hyperlink>
        </w:p>
        <w:p w14:paraId="14694D12" w14:textId="40A0C170" w:rsidR="00D60313" w:rsidRDefault="0081586F" w:rsidP="00BF0BAE">
          <w:pPr>
            <w:pStyle w:val="TOC1"/>
            <w:spacing w:before="160" w:after="160"/>
          </w:pPr>
          <w:hyperlink w:anchor="_Toc80972088" w:history="1">
            <w:r w:rsidR="00BF0BAE" w:rsidRPr="008E47E7">
              <w:rPr>
                <w:rStyle w:val="Hyperlink"/>
              </w:rPr>
              <w:t>Appendix 2 – Jurisdictional contact information</w:t>
            </w:r>
            <w:r w:rsidR="00BF0BAE">
              <w:rPr>
                <w:webHidden/>
              </w:rPr>
              <w:tab/>
            </w:r>
            <w:r w:rsidR="00BF0BAE">
              <w:rPr>
                <w:webHidden/>
              </w:rPr>
              <w:fldChar w:fldCharType="begin"/>
            </w:r>
            <w:r w:rsidR="00BF0BAE">
              <w:rPr>
                <w:webHidden/>
              </w:rPr>
              <w:instrText xml:space="preserve"> PAGEREF _Toc80972088 \h </w:instrText>
            </w:r>
            <w:r w:rsidR="00BF0BAE">
              <w:rPr>
                <w:webHidden/>
              </w:rPr>
            </w:r>
            <w:r w:rsidR="00BF0BAE">
              <w:rPr>
                <w:webHidden/>
              </w:rPr>
              <w:fldChar w:fldCharType="separate"/>
            </w:r>
            <w:r w:rsidR="008B74D6">
              <w:rPr>
                <w:webHidden/>
              </w:rPr>
              <w:t>31</w:t>
            </w:r>
            <w:r w:rsidR="00BF0BAE">
              <w:rPr>
                <w:webHidden/>
              </w:rPr>
              <w:fldChar w:fldCharType="end"/>
            </w:r>
          </w:hyperlink>
          <w:r w:rsidR="00C00338">
            <w:fldChar w:fldCharType="end"/>
          </w:r>
        </w:p>
      </w:sdtContent>
    </w:sdt>
    <w:p w14:paraId="472E9ED9" w14:textId="77777777" w:rsidR="00504A3A" w:rsidRDefault="00504A3A" w:rsidP="00504A3A">
      <w:pPr>
        <w:pStyle w:val="Title"/>
        <w:tabs>
          <w:tab w:val="center" w:pos="8222"/>
        </w:tabs>
      </w:pPr>
      <w:bookmarkStart w:id="1" w:name="_Toc56599599"/>
      <w:bookmarkStart w:id="2" w:name="_Toc79584098"/>
      <w:bookmarkStart w:id="3" w:name="_Toc80188295"/>
      <w:bookmarkStart w:id="4" w:name="_Toc80972061"/>
      <w:bookmarkStart w:id="5" w:name="_Hlk54968570"/>
      <w:r>
        <w:lastRenderedPageBreak/>
        <w:t>Foreword</w:t>
      </w:r>
      <w:bookmarkEnd w:id="1"/>
      <w:bookmarkEnd w:id="2"/>
      <w:bookmarkEnd w:id="3"/>
      <w:bookmarkEnd w:id="4"/>
    </w:p>
    <w:p w14:paraId="6290CF89" w14:textId="77777777" w:rsidR="00504A3A" w:rsidRDefault="00504A3A" w:rsidP="00203FD5">
      <w:r>
        <w:t>This is the 23</w:t>
      </w:r>
      <w:r w:rsidRPr="0023498B">
        <w:rPr>
          <w:vertAlign w:val="superscript"/>
        </w:rPr>
        <w:t>rd</w:t>
      </w:r>
      <w:r>
        <w:t xml:space="preserve"> edition of the Comparative Performance Monitoring (CPM) report which provides trend analyses about work health and safety and workers’ compensation schemes operating in Australia and New Zealand. </w:t>
      </w:r>
    </w:p>
    <w:p w14:paraId="68769967" w14:textId="77777777" w:rsidR="00504A3A" w:rsidRDefault="00504A3A" w:rsidP="00203FD5">
      <w:r>
        <w:t>This report has been compiled and coordinated by Safe Work Australia with assistance from representatives of all work health and safety and workers’ compensation authorities in Australia and New Zealand. Through a partnership of governments, employers and employees, Safe Work Australia leads the development of national policy to improve WHS and workers’ compensation arrangements across Australia.</w:t>
      </w:r>
    </w:p>
    <w:p w14:paraId="28E7EE12" w14:textId="07A80B4C" w:rsidR="00504A3A" w:rsidRDefault="00504A3A" w:rsidP="00203FD5">
      <w:r>
        <w:t xml:space="preserve">The report is </w:t>
      </w:r>
      <w:r w:rsidR="00C810D3">
        <w:t xml:space="preserve">presented in the </w:t>
      </w:r>
      <w:r>
        <w:t>following sections:</w:t>
      </w:r>
    </w:p>
    <w:p w14:paraId="64A4E05C" w14:textId="77777777" w:rsidR="00504A3A" w:rsidRPr="00E336F9" w:rsidRDefault="00504A3A" w:rsidP="00EC66E7">
      <w:pPr>
        <w:pStyle w:val="ListParagraph"/>
        <w:numPr>
          <w:ilvl w:val="0"/>
          <w:numId w:val="10"/>
        </w:numPr>
        <w:tabs>
          <w:tab w:val="left" w:pos="709"/>
        </w:tabs>
        <w:spacing w:before="60" w:after="60"/>
        <w:ind w:left="714" w:hanging="357"/>
        <w:rPr>
          <w:rStyle w:val="SWALinkChar"/>
          <w:rFonts w:eastAsiaTheme="majorEastAsia"/>
          <w:i/>
        </w:rPr>
      </w:pPr>
      <w:bookmarkStart w:id="6" w:name="_Hlk79738017"/>
      <w:r w:rsidRPr="00E336F9">
        <w:rPr>
          <w:rStyle w:val="SWALinkChar"/>
          <w:rFonts w:eastAsiaTheme="majorEastAsia"/>
          <w:i/>
        </w:rPr>
        <w:t>Work health and safety performance</w:t>
      </w:r>
      <w:r w:rsidRPr="00BF0BAE">
        <w:rPr>
          <w:rStyle w:val="SWALinkChar"/>
          <w:rFonts w:eastAsiaTheme="majorEastAsia"/>
          <w:iCs/>
          <w:u w:val="none"/>
        </w:rPr>
        <w:t xml:space="preserve"> – provides an overview of work health and safety performance across Australia and New Zealand through analysing trends in serious claim rates and work-related fatalities across jurisdictions.</w:t>
      </w:r>
    </w:p>
    <w:p w14:paraId="24400FA0" w14:textId="77777777" w:rsidR="00504A3A" w:rsidRPr="00E336F9" w:rsidRDefault="00504A3A" w:rsidP="00EC66E7">
      <w:pPr>
        <w:pStyle w:val="ListParagraph"/>
        <w:numPr>
          <w:ilvl w:val="0"/>
          <w:numId w:val="10"/>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compliance and enforcement activities</w:t>
      </w:r>
      <w:r w:rsidRPr="00BF0BAE">
        <w:rPr>
          <w:rStyle w:val="SWALinkChar"/>
          <w:rFonts w:eastAsiaTheme="majorEastAsia"/>
          <w:i/>
          <w:u w:val="none"/>
        </w:rPr>
        <w:t xml:space="preserve"> </w:t>
      </w:r>
      <w:r w:rsidRPr="00BF0BAE">
        <w:rPr>
          <w:rStyle w:val="SWALinkChar"/>
          <w:rFonts w:eastAsiaTheme="majorEastAsia"/>
          <w:iCs/>
          <w:u w:val="none"/>
        </w:rPr>
        <w:t>– includes a jurisdictional comparison of workplace interventions, inspectorate activity, safety notices, enforceable undertakings, legal proceedings and fines.</w:t>
      </w:r>
    </w:p>
    <w:p w14:paraId="48A43DAC" w14:textId="1C11B84B" w:rsidR="00504A3A" w:rsidRPr="00BF0BAE" w:rsidRDefault="00504A3A" w:rsidP="00EC66E7">
      <w:pPr>
        <w:pStyle w:val="ListParagraph"/>
        <w:numPr>
          <w:ilvl w:val="0"/>
          <w:numId w:val="10"/>
        </w:numPr>
        <w:tabs>
          <w:tab w:val="left" w:pos="709"/>
        </w:tabs>
        <w:spacing w:before="60" w:after="60"/>
        <w:ind w:left="714" w:hanging="357"/>
        <w:rPr>
          <w:rStyle w:val="SWALinkChar"/>
          <w:rFonts w:eastAsiaTheme="majorEastAsia"/>
          <w:i/>
          <w:u w:val="none"/>
        </w:rPr>
      </w:pPr>
      <w:r w:rsidRPr="00E336F9">
        <w:rPr>
          <w:rStyle w:val="SWALinkChar"/>
          <w:rFonts w:eastAsiaTheme="majorEastAsia"/>
          <w:i/>
        </w:rPr>
        <w:t>Workers’ compensation premiums</w:t>
      </w:r>
      <w:r w:rsidR="00D60DC0">
        <w:rPr>
          <w:rStyle w:val="SWALinkChar"/>
          <w:rFonts w:eastAsiaTheme="majorEastAsia"/>
          <w:i/>
        </w:rPr>
        <w:t xml:space="preserve"> </w:t>
      </w:r>
      <w:r w:rsidR="00BF0BAE" w:rsidRPr="00BF0BAE">
        <w:rPr>
          <w:rStyle w:val="SWALinkChar"/>
          <w:rFonts w:eastAsiaTheme="majorEastAsia"/>
          <w:iCs/>
          <w:u w:val="none"/>
        </w:rPr>
        <w:t>–</w:t>
      </w:r>
      <w:r w:rsidRPr="00BF0BAE">
        <w:rPr>
          <w:rStyle w:val="SWALinkChar"/>
          <w:rFonts w:eastAsiaTheme="majorEastAsia"/>
          <w:i/>
          <w:u w:val="none"/>
        </w:rPr>
        <w:t xml:space="preserve"> </w:t>
      </w:r>
      <w:r w:rsidRPr="00BF0BAE">
        <w:rPr>
          <w:rStyle w:val="SWALinkChar"/>
          <w:rFonts w:eastAsiaTheme="majorEastAsia"/>
          <w:iCs/>
          <w:u w:val="none"/>
        </w:rPr>
        <w:t>includes a national and jurisdictional overview of the standardised average premium rates by industry in the past 5 years</w:t>
      </w:r>
      <w:r w:rsidR="00D60DC0">
        <w:rPr>
          <w:rStyle w:val="SWALinkChar"/>
          <w:rFonts w:eastAsiaTheme="majorEastAsia"/>
          <w:iCs/>
          <w:u w:val="none"/>
        </w:rPr>
        <w:t xml:space="preserve"> </w:t>
      </w:r>
      <w:r w:rsidR="00D60DC0" w:rsidRPr="00BF0BAE">
        <w:rPr>
          <w:rStyle w:val="SWALinkChar"/>
          <w:rFonts w:eastAsiaTheme="majorEastAsia"/>
          <w:iCs/>
          <w:u w:val="none"/>
        </w:rPr>
        <w:t>(this section)</w:t>
      </w:r>
      <w:r w:rsidRPr="00BF0BAE">
        <w:rPr>
          <w:rStyle w:val="SWALinkChar"/>
          <w:rFonts w:eastAsiaTheme="majorEastAsia"/>
          <w:iCs/>
          <w:u w:val="none"/>
        </w:rPr>
        <w:t>.</w:t>
      </w:r>
    </w:p>
    <w:p w14:paraId="5FDED370" w14:textId="77777777" w:rsidR="00504A3A" w:rsidRPr="00E336F9" w:rsidRDefault="00504A3A" w:rsidP="00EC66E7">
      <w:pPr>
        <w:pStyle w:val="ListParagraph"/>
        <w:numPr>
          <w:ilvl w:val="0"/>
          <w:numId w:val="10"/>
        </w:numPr>
        <w:tabs>
          <w:tab w:val="left" w:pos="709"/>
        </w:tabs>
        <w:spacing w:before="60" w:after="60"/>
        <w:ind w:left="714" w:hanging="357"/>
        <w:rPr>
          <w:rStyle w:val="SWALinkChar"/>
          <w:rFonts w:eastAsiaTheme="majorEastAsia"/>
          <w:i/>
        </w:rPr>
      </w:pPr>
      <w:r w:rsidRPr="00E336F9">
        <w:rPr>
          <w:rStyle w:val="SWALinkChar"/>
          <w:rFonts w:eastAsiaTheme="majorEastAsia"/>
          <w:i/>
        </w:rPr>
        <w:t>Entitlements under workers’ compensation (scenarios)</w:t>
      </w:r>
      <w:r w:rsidRPr="00BF0BAE">
        <w:rPr>
          <w:rStyle w:val="SWALinkChar"/>
          <w:rFonts w:eastAsiaTheme="majorEastAsia"/>
          <w:i/>
          <w:u w:val="none"/>
        </w:rPr>
        <w:t xml:space="preserve"> </w:t>
      </w:r>
      <w:r w:rsidRPr="00BF0BAE">
        <w:rPr>
          <w:rStyle w:val="SWALinkChar"/>
          <w:rFonts w:eastAsiaTheme="majorEastAsia"/>
          <w:iCs/>
          <w:u w:val="none"/>
        </w:rPr>
        <w:t>– illustrates the differences in entitlement levels across jurisdictions under several scenarios.</w:t>
      </w:r>
    </w:p>
    <w:p w14:paraId="0262555F" w14:textId="4D9BB489" w:rsidR="00504A3A" w:rsidRPr="00E336F9" w:rsidRDefault="00504A3A" w:rsidP="00EC66E7">
      <w:pPr>
        <w:pStyle w:val="ListParagraph"/>
        <w:numPr>
          <w:ilvl w:val="0"/>
          <w:numId w:val="10"/>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sidRPr="00BD2C17">
        <w:rPr>
          <w:rStyle w:val="SWALinkChar"/>
          <w:rFonts w:eastAsiaTheme="majorEastAsia"/>
          <w:i/>
        </w:rPr>
        <w:t>funding – assets, liabilities and expenditure</w:t>
      </w:r>
      <w:r w:rsidRPr="00BF0BAE">
        <w:rPr>
          <w:rStyle w:val="SWALinkChar"/>
          <w:rFonts w:eastAsiaTheme="majorEastAsia"/>
          <w:iCs/>
          <w:u w:val="none"/>
        </w:rPr>
        <w:t xml:space="preserve"> – includes information about the different funding arrangements of the schemes and compares the differences in scheme funding arrangements and finances.</w:t>
      </w:r>
    </w:p>
    <w:p w14:paraId="1171BD49" w14:textId="500EED64" w:rsidR="00504A3A" w:rsidRPr="00E336F9" w:rsidRDefault="00504A3A" w:rsidP="00EC66E7">
      <w:pPr>
        <w:pStyle w:val="ListParagraph"/>
        <w:numPr>
          <w:ilvl w:val="0"/>
          <w:numId w:val="10"/>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Pr>
          <w:rStyle w:val="SWALinkChar"/>
          <w:rFonts w:eastAsiaTheme="majorEastAsia"/>
          <w:i/>
        </w:rPr>
        <w:t>disputes</w:t>
      </w:r>
      <w:r w:rsidRPr="00BF0BAE">
        <w:rPr>
          <w:rStyle w:val="SWALinkChar"/>
          <w:rFonts w:eastAsiaTheme="majorEastAsia"/>
          <w:i/>
          <w:u w:val="none"/>
        </w:rPr>
        <w:t xml:space="preserve"> </w:t>
      </w:r>
      <w:r w:rsidRPr="00BF0BAE">
        <w:rPr>
          <w:rStyle w:val="SWALinkChar"/>
          <w:rFonts w:eastAsiaTheme="majorEastAsia"/>
          <w:iCs/>
          <w:u w:val="none"/>
        </w:rPr>
        <w:t>– includes information about disputes against an insurer’s decision or decisions relating to compensation.</w:t>
      </w:r>
    </w:p>
    <w:bookmarkEnd w:id="6"/>
    <w:p w14:paraId="4148E5FA" w14:textId="77777777" w:rsidR="00966605" w:rsidRDefault="00966605" w:rsidP="00966605">
      <w:pPr>
        <w:spacing w:before="120"/>
      </w:pPr>
      <w:r>
        <w:t xml:space="preserve">Previous editions of the CPM report also included return to work rates as measured in the National Return to Work Survey. At the time of writing, the latest available survey results were from the 2018 Survey. For trend data on the return to work rates (from 2012 to 2018) please refer to the </w:t>
      </w:r>
      <w:hyperlink r:id="rId12" w:history="1">
        <w:r w:rsidRPr="004251D3">
          <w:rPr>
            <w:rStyle w:val="Hyperlink"/>
            <w:i/>
            <w:iCs/>
            <w:color w:val="000000" w:themeColor="text1"/>
          </w:rPr>
          <w:t>22</w:t>
        </w:r>
        <w:r w:rsidRPr="004251D3">
          <w:rPr>
            <w:rStyle w:val="Hyperlink"/>
            <w:i/>
            <w:iCs/>
            <w:color w:val="000000" w:themeColor="text1"/>
            <w:vertAlign w:val="superscript"/>
          </w:rPr>
          <w:t>nd</w:t>
        </w:r>
        <w:r w:rsidRPr="004251D3">
          <w:rPr>
            <w:rStyle w:val="Hyperlink"/>
            <w:i/>
            <w:iCs/>
            <w:color w:val="000000" w:themeColor="text1"/>
          </w:rPr>
          <w:t xml:space="preserve"> edition of the CPM (Part 3)</w:t>
        </w:r>
      </w:hyperlink>
      <w:r w:rsidRPr="001D28CE">
        <w:rPr>
          <w:color w:val="000000" w:themeColor="text1"/>
        </w:rPr>
        <w:t xml:space="preserve">. </w:t>
      </w:r>
      <w:r>
        <w:rPr>
          <w:color w:val="000000" w:themeColor="text1"/>
        </w:rPr>
        <w:t>Results from t</w:t>
      </w:r>
      <w:r>
        <w:t xml:space="preserve">he 2021 National Return to Work Survey will be published on the </w:t>
      </w:r>
      <w:hyperlink r:id="rId13" w:history="1">
        <w:r w:rsidRPr="001D28CE">
          <w:rPr>
            <w:rStyle w:val="Hyperlink"/>
            <w:rFonts w:eastAsiaTheme="majorEastAsia"/>
            <w:color w:val="auto"/>
          </w:rPr>
          <w:t>Safe Work Australia</w:t>
        </w:r>
      </w:hyperlink>
      <w:r w:rsidRPr="00DC1D71">
        <w:t xml:space="preserve"> w</w:t>
      </w:r>
      <w:r>
        <w:t xml:space="preserve">ebsite from late 2021. </w:t>
      </w:r>
    </w:p>
    <w:p w14:paraId="24AB8076" w14:textId="77777777" w:rsidR="00966605" w:rsidRPr="001D28CE" w:rsidRDefault="00966605" w:rsidP="00966605">
      <w:pPr>
        <w:rPr>
          <w:color w:val="000000" w:themeColor="text1"/>
        </w:rPr>
      </w:pPr>
      <w:r w:rsidRPr="001D28CE">
        <w:rPr>
          <w:color w:val="000000" w:themeColor="text1"/>
        </w:rPr>
        <w:t xml:space="preserve">Readers may find the </w:t>
      </w:r>
      <w:hyperlink r:id="rId14" w:history="1">
        <w:r w:rsidRPr="001D28CE">
          <w:rPr>
            <w:rStyle w:val="SWALinkChar"/>
            <w:rFonts w:eastAsiaTheme="majorEastAsia"/>
            <w:i/>
            <w:color w:val="000000" w:themeColor="text1"/>
          </w:rPr>
          <w:t>Comparison of Workers’ Compensation Arrangements in Australia and New Zealand</w:t>
        </w:r>
      </w:hyperlink>
      <w:r w:rsidRPr="001D28CE">
        <w:rPr>
          <w:color w:val="000000" w:themeColor="text1"/>
        </w:rPr>
        <w:t xml:space="preserve"> useful as it discusses the way that each scheme deals with key aspects such as coverage, benefits, self-insurance, common law and disputes. </w:t>
      </w:r>
    </w:p>
    <w:p w14:paraId="553F0B83" w14:textId="0D62512C" w:rsidR="00504A3A" w:rsidRPr="00504A3A" w:rsidRDefault="00504A3A" w:rsidP="00203FD5">
      <w:pPr>
        <w:rPr>
          <w:i/>
          <w:iCs/>
          <w:color w:val="000000" w:themeColor="text1"/>
        </w:rPr>
      </w:pPr>
      <w:r w:rsidRPr="00504A3A">
        <w:rPr>
          <w:i/>
          <w:iCs/>
          <w:color w:val="000000" w:themeColor="text1"/>
        </w:rPr>
        <w:t>About the data</w:t>
      </w:r>
    </w:p>
    <w:p w14:paraId="6EA972A2" w14:textId="3C13B918" w:rsidR="00504A3A" w:rsidRDefault="00504A3A" w:rsidP="00203FD5">
      <w:r w:rsidRPr="00504A3A">
        <w:rPr>
          <w:color w:val="000000" w:themeColor="text1"/>
        </w:rPr>
        <w:t xml:space="preserve">Data in this publication may differ from jurisdictional </w:t>
      </w:r>
      <w:r>
        <w:t xml:space="preserve">annual reports due to the use of different definitions and the application of adjustment factors to aid in the comparability of data. </w:t>
      </w:r>
    </w:p>
    <w:p w14:paraId="5BB0B425" w14:textId="468BD5B2" w:rsidR="00F27168" w:rsidRDefault="00F27168" w:rsidP="00203FD5">
      <w:r w:rsidRPr="00F27168">
        <w:t xml:space="preserve">These statistics should be considered in the broader context of </w:t>
      </w:r>
      <w:r w:rsidR="00A36AAB">
        <w:t xml:space="preserve">the COVID-19 pandemic </w:t>
      </w:r>
      <w:r w:rsidRPr="00F27168">
        <w:t xml:space="preserve">when comparing data over previous periods. The potential impact of the COVID-19 pandemic on this data are explored in the </w:t>
      </w:r>
      <w:hyperlink r:id="rId15" w:history="1">
        <w:r w:rsidR="00686D59" w:rsidRPr="004251D3">
          <w:rPr>
            <w:rStyle w:val="Hyperlink"/>
            <w:i/>
            <w:iCs/>
            <w:color w:val="auto"/>
          </w:rPr>
          <w:t>COVID-19 and Safe Work Australia data</w:t>
        </w:r>
      </w:hyperlink>
      <w:r w:rsidR="00686D59" w:rsidRPr="00686D59">
        <w:t xml:space="preserve"> </w:t>
      </w:r>
      <w:r w:rsidRPr="00F27168">
        <w:t>report.</w:t>
      </w:r>
    </w:p>
    <w:p w14:paraId="6A5D57D2" w14:textId="77777777" w:rsidR="00F972A0" w:rsidRDefault="00F972A0" w:rsidP="00203FD5">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4EB549EA" w14:textId="4C1946DF" w:rsidR="00A45F33" w:rsidRDefault="004A66C0" w:rsidP="00203FD5">
      <w:pPr>
        <w:rPr>
          <w:b/>
        </w:rPr>
        <w:sectPr w:rsidR="00A45F33" w:rsidSect="00BF0BAE">
          <w:headerReference w:type="first" r:id="rId16"/>
          <w:footerReference w:type="first" r:id="rId17"/>
          <w:pgSz w:w="11906" w:h="16838"/>
          <w:pgMar w:top="993" w:right="1800" w:bottom="1418" w:left="1276" w:header="708" w:footer="708" w:gutter="0"/>
          <w:cols w:space="242"/>
          <w:titlePg/>
          <w:docGrid w:linePitch="360"/>
        </w:sectPr>
      </w:pPr>
      <w:r w:rsidRPr="004A66C0">
        <w:t>In this report ‘Australian Government’ is used for indicators relating to WHS and workers’ compensation matters under the Australian Government jurisdiction, while ‘Comcare’ is used for the indicators relating to premium rates and entitlements.</w:t>
      </w:r>
    </w:p>
    <w:bookmarkEnd w:id="5"/>
    <w:p w14:paraId="2EA49000" w14:textId="12E6C86C" w:rsidR="00E22C81" w:rsidRPr="00E22C81" w:rsidRDefault="00E22C81" w:rsidP="00785578"/>
    <w:p w14:paraId="7A3526B0" w14:textId="0068647E" w:rsidR="004B79B6" w:rsidRDefault="004B79B6" w:rsidP="00FE79B5">
      <w:pPr>
        <w:spacing w:before="40" w:line="276" w:lineRule="auto"/>
        <w:jc w:val="left"/>
        <w:rPr>
          <w:noProof/>
        </w:rPr>
      </w:pPr>
    </w:p>
    <w:p w14:paraId="641A3435" w14:textId="3FE3E760" w:rsidR="00FE79B5" w:rsidRPr="004B79B6" w:rsidRDefault="002D2132" w:rsidP="00FE79B5">
      <w:pPr>
        <w:spacing w:before="0" w:after="120" w:line="276" w:lineRule="auto"/>
        <w:jc w:val="left"/>
        <w:rPr>
          <w:noProof/>
        </w:rPr>
      </w:pPr>
      <w:r>
        <w:rPr>
          <w:noProof/>
        </w:rPr>
        <w:drawing>
          <wp:anchor distT="0" distB="0" distL="114300" distR="114300" simplePos="0" relativeHeight="251677696" behindDoc="0" locked="0" layoutInCell="1" allowOverlap="1" wp14:anchorId="1E0F9B65" wp14:editId="2AC0E339">
            <wp:simplePos x="0" y="0"/>
            <wp:positionH relativeFrom="column">
              <wp:posOffset>-114935</wp:posOffset>
            </wp:positionH>
            <wp:positionV relativeFrom="paragraph">
              <wp:posOffset>396240</wp:posOffset>
            </wp:positionV>
            <wp:extent cx="5847715" cy="8667750"/>
            <wp:effectExtent l="0" t="0" r="635" b="0"/>
            <wp:wrapThrough wrapText="bothSides">
              <wp:wrapPolygon edited="0">
                <wp:start x="0" y="0"/>
                <wp:lineTo x="0" y="21553"/>
                <wp:lineTo x="21532" y="21553"/>
                <wp:lineTo x="21532" y="0"/>
                <wp:lineTo x="0" y="0"/>
              </wp:wrapPolygon>
            </wp:wrapThrough>
            <wp:docPr id="3" name="Picture 3" descr="This image contains the key findings for CPM 23 – Workers’ compensation premiums.&#10;The key findings include that the standardised average Australian premium rate is 1.29% of payroll in 2019-20, a 3% increase since 2015-16. &#10;&#10;In 2019-20 the average premium rate in the Agriculture, forestry and fishing industry was the highest at 3.54% of payroll, and the lowest was in the Financial and Insurance industry at 0.23% of payroll. &#10;&#10;On average, the jurisdiction with the highest premium rate in 2019-20 was the Australian Capital Territory at 1.75% of payroll and the lowest was Comcare at 0.67% of pay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contains the key findings for CPM 23 – Workers’ compensation premiums.&#10;The key findings include that the standardised average Australian premium rate is 1.29% of payroll in 2019-20, a 3% increase since 2015-16. &#10;&#10;In 2019-20 the average premium rate in the Agriculture, forestry and fishing industry was the highest at 3.54% of payroll, and the lowest was in the Financial and Insurance industry at 0.23% of payroll. &#10;&#10;On average, the jurisdiction with the highest premium rate in 2019-20 was the Australian Capital Territory at 1.75% of payroll and the lowest was Comcare at 0.67% of payroll."/>
                    <pic:cNvPicPr/>
                  </pic:nvPicPr>
                  <pic:blipFill>
                    <a:blip r:embed="rId18">
                      <a:extLst>
                        <a:ext uri="{28A0092B-C50C-407E-A947-70E740481C1C}">
                          <a14:useLocalDpi xmlns:a14="http://schemas.microsoft.com/office/drawing/2010/main" val="0"/>
                        </a:ext>
                      </a:extLst>
                    </a:blip>
                    <a:stretch>
                      <a:fillRect/>
                    </a:stretch>
                  </pic:blipFill>
                  <pic:spPr>
                    <a:xfrm>
                      <a:off x="0" y="0"/>
                      <a:ext cx="5847715" cy="8667750"/>
                    </a:xfrm>
                    <a:prstGeom prst="rect">
                      <a:avLst/>
                    </a:prstGeom>
                  </pic:spPr>
                </pic:pic>
              </a:graphicData>
            </a:graphic>
            <wp14:sizeRelH relativeFrom="page">
              <wp14:pctWidth>0</wp14:pctWidth>
            </wp14:sizeRelH>
            <wp14:sizeRelV relativeFrom="page">
              <wp14:pctHeight>0</wp14:pctHeight>
            </wp14:sizeRelV>
          </wp:anchor>
        </w:drawing>
      </w:r>
    </w:p>
    <w:p w14:paraId="4796DC48" w14:textId="4E9882C1" w:rsidR="004B79B6" w:rsidRPr="00194ED6" w:rsidRDefault="004B79B6" w:rsidP="00194ED6">
      <w:pPr>
        <w:pStyle w:val="NoSpacing"/>
        <w:rPr>
          <w:rFonts w:eastAsiaTheme="minorHAnsi"/>
          <w:lang w:val="en-US"/>
        </w:rPr>
        <w:sectPr w:rsidR="004B79B6" w:rsidRPr="00194ED6" w:rsidSect="00C57EFE">
          <w:headerReference w:type="first" r:id="rId19"/>
          <w:pgSz w:w="11906" w:h="16838"/>
          <w:pgMar w:top="-142" w:right="1800" w:bottom="1440" w:left="1276" w:header="0" w:footer="708" w:gutter="0"/>
          <w:cols w:space="242"/>
          <w:titlePg/>
          <w:docGrid w:linePitch="360"/>
        </w:sectPr>
      </w:pPr>
    </w:p>
    <w:p w14:paraId="018DA2BB" w14:textId="73778A61" w:rsidR="006D31F5" w:rsidRPr="005C2E0B" w:rsidRDefault="006D31F5" w:rsidP="00763976">
      <w:pPr>
        <w:pStyle w:val="SWASectionnumberingheading"/>
      </w:pPr>
      <w:bookmarkStart w:id="7" w:name="_Toc80289670"/>
      <w:bookmarkStart w:id="8" w:name="_Toc80972062"/>
      <w:r w:rsidRPr="005C2E0B">
        <w:lastRenderedPageBreak/>
        <w:t>Workers’ compensation premiums</w:t>
      </w:r>
      <w:bookmarkEnd w:id="7"/>
      <w:bookmarkEnd w:id="8"/>
      <w:r w:rsidR="00A13926">
        <w:t xml:space="preserve"> </w:t>
      </w:r>
    </w:p>
    <w:p w14:paraId="31A89AFA" w14:textId="7D91DBD0" w:rsidR="00117CAF" w:rsidRDefault="00117CAF" w:rsidP="00F9415A">
      <w:pPr>
        <w:pStyle w:val="BodyJustified"/>
      </w:pPr>
      <w:r>
        <w:t xml:space="preserve">Workers’ compensation </w:t>
      </w:r>
      <w:r w:rsidR="00187D32">
        <w:t xml:space="preserve">is a compulsory form of insurance for all employers in Australia. It provides protection to employees if they suffer a work-related injury or </w:t>
      </w:r>
      <w:r w:rsidR="00EE5F73">
        <w:t>illness</w:t>
      </w:r>
      <w:r w:rsidR="00187D32">
        <w:t xml:space="preserve">. Workers’ compensation </w:t>
      </w:r>
      <w:r>
        <w:t xml:space="preserve">premiums are paid by employers </w:t>
      </w:r>
      <w:r w:rsidR="00187D32">
        <w:t xml:space="preserve">for this insurance, with the premium generally determined based on the amount of wages paid, as well as the industry and claim history of the employer. </w:t>
      </w:r>
    </w:p>
    <w:p w14:paraId="2C4E47C2" w14:textId="5934061D" w:rsidR="006D31F5" w:rsidRPr="007C2060" w:rsidRDefault="006D31F5" w:rsidP="00F9415A">
      <w:pPr>
        <w:pStyle w:val="BodyJustified"/>
      </w:pPr>
      <w:r w:rsidRPr="007C2060">
        <w:t xml:space="preserve">The </w:t>
      </w:r>
      <w:r w:rsidR="00643391">
        <w:t xml:space="preserve">premium </w:t>
      </w:r>
      <w:r w:rsidRPr="007C2060">
        <w:t>rates in this chapter are for policies that provided coverage during the financial years</w:t>
      </w:r>
      <w:r w:rsidR="00117CAF">
        <w:t xml:space="preserve"> </w:t>
      </w:r>
      <w:r w:rsidR="00117CAF" w:rsidRPr="00350283">
        <w:t>201</w:t>
      </w:r>
      <w:r w:rsidR="00A92B53" w:rsidRPr="00350283">
        <w:t>5</w:t>
      </w:r>
      <w:r w:rsidR="00312237">
        <w:noBreakHyphen/>
      </w:r>
      <w:r w:rsidR="00A92B53" w:rsidRPr="00350283">
        <w:t>16</w:t>
      </w:r>
      <w:r w:rsidR="00643391" w:rsidRPr="00A92B53">
        <w:t xml:space="preserve"> </w:t>
      </w:r>
      <w:r w:rsidR="00117CAF" w:rsidRPr="00A92B53">
        <w:t>to</w:t>
      </w:r>
      <w:r w:rsidR="00643391" w:rsidRPr="00A92B53">
        <w:t xml:space="preserve"> </w:t>
      </w:r>
      <w:r w:rsidR="00117CAF" w:rsidRPr="00A92B53">
        <w:t>201</w:t>
      </w:r>
      <w:r w:rsidR="00A92B53" w:rsidRPr="00A92B53">
        <w:t>9-20</w:t>
      </w:r>
      <w:r w:rsidRPr="007C2060">
        <w:t xml:space="preserve">. The premium rates reported are ‘earned premium’. Earned premium is defined as the amount allocated for cover in a financial year from premiums collected during the previous and current financial years, while written premium is defined as the amount of premium recorded for a policy at the time it is issued. The premiums reported are allocated for defined periods of risk, irrespective of when they were actually paid, enabling rates to be compared for each financial year. Goods and Services Tax charged on premiums is not included in the reported rates as most Australian employers recoup part or </w:t>
      </w:r>
      <w:r w:rsidR="00A92B53" w:rsidRPr="007C2060">
        <w:t>all</w:t>
      </w:r>
      <w:r w:rsidRPr="007C2060">
        <w:t xml:space="preserve"> this tax through input tax credits. </w:t>
      </w:r>
    </w:p>
    <w:p w14:paraId="5223A1C6" w14:textId="5FF522EB" w:rsidR="006D31F5" w:rsidRDefault="006D31F5" w:rsidP="00763976">
      <w:pPr>
        <w:pStyle w:val="SWASectionnum2"/>
      </w:pPr>
      <w:bookmarkStart w:id="9" w:name="_Toc476564184"/>
      <w:bookmarkStart w:id="10" w:name="_Toc80289671"/>
      <w:bookmarkStart w:id="11" w:name="_Toc80972063"/>
      <w:r w:rsidRPr="00763976">
        <w:t>Standardised average premium rates</w:t>
      </w:r>
      <w:bookmarkEnd w:id="9"/>
      <w:r w:rsidRPr="00763976">
        <w:t xml:space="preserve"> </w:t>
      </w:r>
      <w:r w:rsidR="00A72B7E">
        <w:t>by jurisdiction</w:t>
      </w:r>
      <w:bookmarkEnd w:id="10"/>
      <w:bookmarkEnd w:id="11"/>
      <w:r w:rsidR="00C3012D">
        <w:t xml:space="preserve"> </w:t>
      </w:r>
    </w:p>
    <w:p w14:paraId="36F3BA22" w14:textId="61A034D1" w:rsidR="008B072E" w:rsidRPr="00471348" w:rsidRDefault="000467E1" w:rsidP="0053393D">
      <w:pPr>
        <w:rPr>
          <w:i/>
          <w:iCs/>
        </w:rPr>
      </w:pPr>
      <w:r>
        <w:rPr>
          <w:i/>
          <w:iCs/>
        </w:rPr>
        <w:t>About average premium rates</w:t>
      </w:r>
    </w:p>
    <w:p w14:paraId="084CA248" w14:textId="1AC3470E" w:rsidR="002524A1" w:rsidRDefault="00B00E29" w:rsidP="00F9415A">
      <w:pPr>
        <w:pStyle w:val="BodyJustified"/>
      </w:pPr>
      <w:r>
        <w:t>P</w:t>
      </w:r>
      <w:r w:rsidR="002524A1">
        <w:t xml:space="preserve">remium rates published </w:t>
      </w:r>
      <w:r>
        <w:t xml:space="preserve">also vary to those published </w:t>
      </w:r>
      <w:r w:rsidR="002524A1">
        <w:t xml:space="preserve">by the jurisdictions as adjustments are made to the data to enable jurisdictional comparisons. </w:t>
      </w:r>
      <w:r w:rsidR="00643391">
        <w:t>To increase comparability</w:t>
      </w:r>
      <w:r>
        <w:t>,</w:t>
      </w:r>
      <w:r w:rsidR="00643391">
        <w:t xml:space="preserve"> </w:t>
      </w:r>
      <w:r w:rsidR="000467E1">
        <w:t xml:space="preserve">adjustments have been applied </w:t>
      </w:r>
      <w:r w:rsidR="00643391">
        <w:t xml:space="preserve">to </w:t>
      </w:r>
      <w:r w:rsidR="000467E1">
        <w:t>this indicator</w:t>
      </w:r>
      <w:r w:rsidR="00643391">
        <w:t xml:space="preserve"> including</w:t>
      </w:r>
      <w:r w:rsidR="000467E1">
        <w:t xml:space="preserve">: </w:t>
      </w:r>
    </w:p>
    <w:p w14:paraId="3AFFCAC8" w14:textId="064C6F15" w:rsidR="00221671" w:rsidRDefault="00221671" w:rsidP="0001354B">
      <w:pPr>
        <w:pStyle w:val="BodyJustified"/>
        <w:numPr>
          <w:ilvl w:val="0"/>
          <w:numId w:val="11"/>
        </w:numPr>
        <w:ind w:left="709" w:hanging="425"/>
      </w:pPr>
      <w:r>
        <w:t xml:space="preserve">the use of </w:t>
      </w:r>
      <w:r w:rsidRPr="00221671">
        <w:t>Australian and New Zealand Standard Industrial Classification (ANZSIC) 2006 instead of ANZSIC 1993</w:t>
      </w:r>
      <w:r w:rsidR="00FF75B6">
        <w:t>,</w:t>
      </w:r>
    </w:p>
    <w:p w14:paraId="4F96F679" w14:textId="3D4E2D01" w:rsidR="002524A1" w:rsidRDefault="000467E1" w:rsidP="0001354B">
      <w:pPr>
        <w:pStyle w:val="BodyJustified"/>
        <w:numPr>
          <w:ilvl w:val="0"/>
          <w:numId w:val="11"/>
        </w:numPr>
        <w:ind w:left="709" w:hanging="425"/>
      </w:pPr>
      <w:r>
        <w:t>the exclusion of provision for coverage of journey claims</w:t>
      </w:r>
      <w:r w:rsidR="00FF75B6">
        <w:t>,</w:t>
      </w:r>
    </w:p>
    <w:p w14:paraId="761BA239" w14:textId="7B2157ED" w:rsidR="002524A1" w:rsidRDefault="000467E1" w:rsidP="0001354B">
      <w:pPr>
        <w:pStyle w:val="BodyJustified"/>
        <w:numPr>
          <w:ilvl w:val="0"/>
          <w:numId w:val="11"/>
        </w:numPr>
        <w:ind w:left="709" w:hanging="425"/>
      </w:pPr>
      <w:r>
        <w:t>the inclusion of self-insurers</w:t>
      </w:r>
      <w:r w:rsidR="00FF75B6">
        <w:t>,</w:t>
      </w:r>
    </w:p>
    <w:p w14:paraId="13CCFC49" w14:textId="35270F80" w:rsidR="002524A1" w:rsidRDefault="000467E1" w:rsidP="0001354B">
      <w:pPr>
        <w:pStyle w:val="BodyJustified"/>
        <w:numPr>
          <w:ilvl w:val="0"/>
          <w:numId w:val="11"/>
        </w:numPr>
        <w:ind w:left="709" w:hanging="425"/>
      </w:pPr>
      <w:r>
        <w:t>the inclusion of superannuation as part of remuneration</w:t>
      </w:r>
      <w:r w:rsidR="002524A1">
        <w:t>,</w:t>
      </w:r>
      <w:r>
        <w:t xml:space="preserve"> and </w:t>
      </w:r>
    </w:p>
    <w:p w14:paraId="5ACB1D60" w14:textId="77777777" w:rsidR="002524A1" w:rsidRDefault="000467E1" w:rsidP="0001354B">
      <w:pPr>
        <w:pStyle w:val="BodyJustified"/>
        <w:numPr>
          <w:ilvl w:val="0"/>
          <w:numId w:val="11"/>
        </w:numPr>
        <w:ind w:left="709" w:hanging="425"/>
      </w:pPr>
      <w:r>
        <w:t xml:space="preserve">the standardisation of non-compensable excesses imposed by each scheme. </w:t>
      </w:r>
    </w:p>
    <w:p w14:paraId="54E0A4BB" w14:textId="45073D49" w:rsidR="00F25DCA" w:rsidRPr="00CB70F9" w:rsidRDefault="000467E1" w:rsidP="00CB70F9">
      <w:r>
        <w:t xml:space="preserve">The effect of each of these adjustments is shown in </w:t>
      </w:r>
      <w:r w:rsidRPr="00CB1F05">
        <w:rPr>
          <w:i/>
          <w:iCs/>
        </w:rPr>
        <w:t>Appendix 1 – Table 2: Effect of adjustment factors on premium rates in 201</w:t>
      </w:r>
      <w:r w:rsidR="00AB66C7" w:rsidRPr="00CB1F05">
        <w:rPr>
          <w:i/>
          <w:iCs/>
        </w:rPr>
        <w:t>9-20</w:t>
      </w:r>
      <w:r w:rsidRPr="00471348">
        <w:t>,</w:t>
      </w:r>
      <w:r>
        <w:t xml:space="preserve"> in the </w:t>
      </w:r>
      <w:r w:rsidRPr="00CB1F05">
        <w:rPr>
          <w:i/>
          <w:iCs/>
        </w:rPr>
        <w:t>Explanatory Notes</w:t>
      </w:r>
      <w:r>
        <w:t xml:space="preserve">. </w:t>
      </w:r>
    </w:p>
    <w:p w14:paraId="43CCEC78" w14:textId="5089ABDE" w:rsidR="000467E1" w:rsidRDefault="000467E1" w:rsidP="00A70109">
      <w:pPr>
        <w:spacing w:before="120" w:after="120"/>
      </w:pPr>
      <w:r>
        <w:t>To be consistent with Australian jurisdictions, the New Zealand premium information includes the levy on employers to fund the workers’ compensation portion of the ‘Residual Claims Account’. This account relates to workers’ compensation claims incurred prior to 1 July 1999 but excludes the liability for pre-1992 non</w:t>
      </w:r>
      <w:r w:rsidR="00F87F56">
        <w:noBreakHyphen/>
      </w:r>
      <w:r>
        <w:t>work injuries for earners.</w:t>
      </w:r>
    </w:p>
    <w:p w14:paraId="4C5D4770" w14:textId="324E4EB8" w:rsidR="007C1A94" w:rsidRDefault="007C1A94" w:rsidP="00F9415A">
      <w:pPr>
        <w:pStyle w:val="BodyJustified"/>
      </w:pPr>
      <w:r>
        <w:t xml:space="preserve">Information about jurisdictional workers’ compensation </w:t>
      </w:r>
      <w:r w:rsidRPr="00F85465">
        <w:t xml:space="preserve">arrangements is available from the </w:t>
      </w:r>
      <w:hyperlink r:id="rId20" w:history="1">
        <w:r w:rsidR="00F85465" w:rsidRPr="00F85465">
          <w:rPr>
            <w:rStyle w:val="Hyperlink"/>
            <w:i/>
            <w:iCs/>
            <w:color w:val="auto"/>
          </w:rPr>
          <w:t>Comparison of Workers’ Compensation Arrangements in Australia and New Zealand</w:t>
        </w:r>
      </w:hyperlink>
      <w:r w:rsidRPr="00F85465">
        <w:t xml:space="preserve"> publication </w:t>
      </w:r>
      <w:r>
        <w:t xml:space="preserve">that can be found on the </w:t>
      </w:r>
      <w:hyperlink r:id="rId21" w:history="1">
        <w:r w:rsidRPr="00BA36C3">
          <w:rPr>
            <w:u w:val="single"/>
          </w:rPr>
          <w:t>Safe Work Australia</w:t>
        </w:r>
      </w:hyperlink>
      <w:r>
        <w:t xml:space="preserve"> website.</w:t>
      </w:r>
    </w:p>
    <w:p w14:paraId="3B3C4F9A" w14:textId="77777777" w:rsidR="009E712B" w:rsidRDefault="009E712B">
      <w:pPr>
        <w:spacing w:before="0" w:after="200" w:line="276" w:lineRule="auto"/>
        <w:jc w:val="left"/>
        <w:rPr>
          <w:i/>
          <w:iCs/>
        </w:rPr>
      </w:pPr>
      <w:r>
        <w:rPr>
          <w:i/>
          <w:iCs/>
        </w:rPr>
        <w:br w:type="page"/>
      </w:r>
    </w:p>
    <w:p w14:paraId="27E4F8F4" w14:textId="1D074705" w:rsidR="000467E1" w:rsidRPr="00B62606" w:rsidRDefault="000467E1" w:rsidP="00B62606">
      <w:pPr>
        <w:pStyle w:val="SWATableheader"/>
      </w:pPr>
      <w:r w:rsidRPr="00B62606">
        <w:lastRenderedPageBreak/>
        <w:t>Standardised average premium rates</w:t>
      </w:r>
    </w:p>
    <w:p w14:paraId="34915CF2" w14:textId="48F06A32" w:rsidR="006D31F5" w:rsidRPr="00980BC2" w:rsidRDefault="006D31F5" w:rsidP="00F9415A">
      <w:pPr>
        <w:pStyle w:val="BodyJustified"/>
      </w:pPr>
      <w:r w:rsidRPr="005D5C72">
        <w:t xml:space="preserve">Indicator </w:t>
      </w:r>
      <w:r w:rsidRPr="005D5C72">
        <w:rPr>
          <w:noProof/>
        </w:rPr>
        <w:t>1</w:t>
      </w:r>
      <w:r w:rsidR="00826689" w:rsidRPr="009C6309">
        <w:rPr>
          <w:noProof/>
        </w:rPr>
        <w:t>3</w:t>
      </w:r>
      <w:r w:rsidRPr="009C6309">
        <w:t xml:space="preserve"> shows that the standardised Australian average premium rate was 1.</w:t>
      </w:r>
      <w:r w:rsidR="00FD4582" w:rsidRPr="009C6309">
        <w:t>2</w:t>
      </w:r>
      <w:r w:rsidR="00367A5A">
        <w:t>9</w:t>
      </w:r>
      <w:r w:rsidR="000B150E" w:rsidRPr="009C6309">
        <w:t>%</w:t>
      </w:r>
      <w:r w:rsidRPr="009C6309">
        <w:t xml:space="preserve"> of payroll in 20</w:t>
      </w:r>
      <w:r w:rsidR="00350283" w:rsidRPr="001332C9">
        <w:t>19</w:t>
      </w:r>
      <w:r w:rsidR="00CB1F05">
        <w:noBreakHyphen/>
      </w:r>
      <w:r w:rsidR="00350283" w:rsidRPr="001332C9">
        <w:t>20</w:t>
      </w:r>
      <w:r w:rsidRPr="00980BC2">
        <w:t xml:space="preserve">, </w:t>
      </w:r>
      <w:r w:rsidR="00E81532">
        <w:t xml:space="preserve">a </w:t>
      </w:r>
      <w:r w:rsidR="002D2132">
        <w:rPr>
          <w:b/>
          <w:bCs/>
          <w:color w:val="B94F25"/>
        </w:rPr>
        <w:t xml:space="preserve">reduction of </w:t>
      </w:r>
      <w:r w:rsidR="005D2D2E" w:rsidRPr="002D2132">
        <w:rPr>
          <w:b/>
          <w:bCs/>
          <w:color w:val="B94F25"/>
        </w:rPr>
        <w:t xml:space="preserve">3% </w:t>
      </w:r>
      <w:r w:rsidR="001D0D1C" w:rsidRPr="00980BC2">
        <w:t>over the 5</w:t>
      </w:r>
      <w:r w:rsidR="00274846">
        <w:t xml:space="preserve"> </w:t>
      </w:r>
      <w:r w:rsidR="001D0D1C" w:rsidRPr="00980BC2">
        <w:t xml:space="preserve">year reporting period. </w:t>
      </w:r>
    </w:p>
    <w:p w14:paraId="47A775D2" w14:textId="11BB1D95" w:rsidR="006D31F5" w:rsidRPr="00376FAA" w:rsidRDefault="00A45F33" w:rsidP="00376FAA">
      <w:pPr>
        <w:pStyle w:val="SWASectionnumberingheading"/>
        <w:numPr>
          <w:ilvl w:val="0"/>
          <w:numId w:val="0"/>
        </w:numPr>
        <w:rPr>
          <w:sz w:val="20"/>
          <w:szCs w:val="20"/>
        </w:rPr>
      </w:pPr>
      <w:bookmarkStart w:id="12" w:name="_Toc80972064"/>
      <w:r w:rsidRPr="00376FAA">
        <w:rPr>
          <w:sz w:val="20"/>
          <w:szCs w:val="20"/>
        </w:rPr>
        <w:t xml:space="preserve">Indicator </w:t>
      </w:r>
      <w:r w:rsidR="000B016A" w:rsidRPr="00376FAA">
        <w:rPr>
          <w:sz w:val="20"/>
          <w:szCs w:val="20"/>
        </w:rPr>
        <w:fldChar w:fldCharType="begin"/>
      </w:r>
      <w:r w:rsidR="000B016A" w:rsidRPr="00376FAA">
        <w:rPr>
          <w:sz w:val="20"/>
          <w:szCs w:val="20"/>
        </w:rPr>
        <w:instrText xml:space="preserve"> SEQ Indicator \* ARABIC \s 1 </w:instrText>
      </w:r>
      <w:r w:rsidR="000B016A" w:rsidRPr="00376FAA">
        <w:rPr>
          <w:sz w:val="20"/>
          <w:szCs w:val="20"/>
        </w:rPr>
        <w:fldChar w:fldCharType="separate"/>
      </w:r>
      <w:r w:rsidR="008B74D6">
        <w:rPr>
          <w:noProof/>
          <w:sz w:val="20"/>
          <w:szCs w:val="20"/>
        </w:rPr>
        <w:t>1</w:t>
      </w:r>
      <w:r w:rsidR="000B016A" w:rsidRPr="00376FAA">
        <w:rPr>
          <w:sz w:val="20"/>
          <w:szCs w:val="20"/>
        </w:rPr>
        <w:fldChar w:fldCharType="end"/>
      </w:r>
      <w:r w:rsidRPr="00376FAA">
        <w:rPr>
          <w:sz w:val="20"/>
          <w:szCs w:val="20"/>
        </w:rPr>
        <w:t xml:space="preserve">3 </w:t>
      </w:r>
      <w:r w:rsidR="006D31F5" w:rsidRPr="00376FAA">
        <w:rPr>
          <w:sz w:val="20"/>
          <w:szCs w:val="20"/>
        </w:rPr>
        <w:t>– Standardised average premium rates (including insured and self-insured sectors) by jurisdiction</w:t>
      </w:r>
      <w:bookmarkStart w:id="13" w:name="_Toc476564186"/>
      <w:bookmarkEnd w:id="12"/>
    </w:p>
    <w:p w14:paraId="5D5DD163" w14:textId="1ACB8186" w:rsidR="008D7D80" w:rsidRDefault="008D7D80" w:rsidP="00F9415A">
      <w:pPr>
        <w:pStyle w:val="BodyJustified"/>
      </w:pPr>
      <w:r>
        <w:rPr>
          <w:noProof/>
        </w:rPr>
        <w:drawing>
          <wp:inline distT="0" distB="0" distL="0" distR="0" wp14:anchorId="1105CCBD" wp14:editId="7CDD5BBE">
            <wp:extent cx="5935064" cy="3000375"/>
            <wp:effectExtent l="0" t="0" r="8890" b="0"/>
            <wp:docPr id="29" name="Picture 29" descr="This bar graph shows standardised average premium rates (including insured and self-insured sectors)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is bar graph shows standardised average premium rates (including insured and self-insured sectors) by jurisdiction, from 2015-16 to 2019-20, and a line indicating the Australian average for 2019-20. Please refer to body text for more inform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5520" cy="3005661"/>
                    </a:xfrm>
                    <a:prstGeom prst="rect">
                      <a:avLst/>
                    </a:prstGeom>
                    <a:noFill/>
                  </pic:spPr>
                </pic:pic>
              </a:graphicData>
            </a:graphic>
          </wp:inline>
        </w:drawing>
      </w:r>
    </w:p>
    <w:p w14:paraId="1DB76E0D" w14:textId="7A1A488A" w:rsidR="000D4F03" w:rsidRDefault="000D4F03" w:rsidP="00F9415A">
      <w:pPr>
        <w:pStyle w:val="BodyJustified"/>
      </w:pPr>
      <w:r>
        <w:t xml:space="preserve">The Australian Capital Territory </w:t>
      </w:r>
      <w:r w:rsidR="006D1B33">
        <w:t xml:space="preserve">(Private) </w:t>
      </w:r>
      <w:r>
        <w:t xml:space="preserve">continued to </w:t>
      </w:r>
      <w:r w:rsidRPr="007C2060">
        <w:t xml:space="preserve">record the </w:t>
      </w:r>
      <w:r>
        <w:t xml:space="preserve">highest </w:t>
      </w:r>
      <w:r w:rsidR="005D5C72">
        <w:t xml:space="preserve">average </w:t>
      </w:r>
      <w:r>
        <w:t xml:space="preserve">premium rate in the nation at 1.75% of payroll. This was </w:t>
      </w:r>
      <w:r w:rsidRPr="007C2060">
        <w:t>followed by</w:t>
      </w:r>
      <w:r>
        <w:t xml:space="preserve"> Tasmania (1.6</w:t>
      </w:r>
      <w:r w:rsidR="00054C80">
        <w:t>7</w:t>
      </w:r>
      <w:r>
        <w:t>% of payroll)</w:t>
      </w:r>
      <w:r w:rsidR="00054C80">
        <w:t xml:space="preserve"> and </w:t>
      </w:r>
      <w:r w:rsidR="00367A5A">
        <w:t>South Australia</w:t>
      </w:r>
      <w:r w:rsidR="00054C80">
        <w:t xml:space="preserve"> (</w:t>
      </w:r>
      <w:r w:rsidR="00894971">
        <w:t>1.</w:t>
      </w:r>
      <w:r w:rsidR="00367A5A">
        <w:t>64</w:t>
      </w:r>
      <w:r w:rsidR="00B31E6E">
        <w:t>%</w:t>
      </w:r>
      <w:r w:rsidR="00894971">
        <w:t xml:space="preserve"> of payroll)</w:t>
      </w:r>
      <w:r>
        <w:t xml:space="preserve">. </w:t>
      </w:r>
      <w:r w:rsidR="00BC1EC7">
        <w:t xml:space="preserve">Conversely, </w:t>
      </w:r>
      <w:r>
        <w:t xml:space="preserve">Comcare recorded the lowest </w:t>
      </w:r>
      <w:r w:rsidR="00145692">
        <w:t xml:space="preserve">average </w:t>
      </w:r>
      <w:r>
        <w:t>premium rate among all Australian jurisdictions at 0.</w:t>
      </w:r>
      <w:r w:rsidR="00BC1EC7">
        <w:t>67</w:t>
      </w:r>
      <w:r>
        <w:t xml:space="preserve">% of payroll. </w:t>
      </w:r>
      <w:r w:rsidR="00BC1EC7">
        <w:t xml:space="preserve">This is a </w:t>
      </w:r>
      <w:r w:rsidR="00BC1EC7" w:rsidRPr="00D601BC">
        <w:rPr>
          <w:b/>
          <w:bCs/>
          <w:color w:val="B94F25"/>
        </w:rPr>
        <w:t>reduction of 11%</w:t>
      </w:r>
      <w:r w:rsidR="00BC1EC7">
        <w:t xml:space="preserve"> from </w:t>
      </w:r>
      <w:r w:rsidR="00626AFB">
        <w:t>the previous</w:t>
      </w:r>
      <w:r w:rsidR="00BC1EC7">
        <w:t xml:space="preserve"> year and </w:t>
      </w:r>
      <w:r w:rsidR="0093388A">
        <w:t xml:space="preserve">a </w:t>
      </w:r>
      <w:r w:rsidR="0093388A" w:rsidRPr="00D601BC">
        <w:rPr>
          <w:b/>
          <w:bCs/>
          <w:color w:val="B94F25"/>
        </w:rPr>
        <w:t xml:space="preserve">reduction of </w:t>
      </w:r>
      <w:r w:rsidR="00BC1EC7" w:rsidRPr="00D601BC">
        <w:rPr>
          <w:b/>
          <w:bCs/>
          <w:color w:val="B94F25"/>
        </w:rPr>
        <w:t>40%</w:t>
      </w:r>
      <w:r w:rsidR="00BC1EC7">
        <w:t xml:space="preserve"> from the 2015-16 financial year. </w:t>
      </w:r>
    </w:p>
    <w:p w14:paraId="2105AC3C" w14:textId="50B6A259" w:rsidR="000D4F03" w:rsidRDefault="000D4F03" w:rsidP="00F9415A">
      <w:pPr>
        <w:pStyle w:val="BodyJustified"/>
      </w:pPr>
      <w:r>
        <w:t>The New Zealand standardised average premium rate was 0.5</w:t>
      </w:r>
      <w:r w:rsidR="00BC1EC7">
        <w:t>4</w:t>
      </w:r>
      <w:r>
        <w:t>% of payroll in 2019</w:t>
      </w:r>
      <w:r w:rsidR="00BC1EC7">
        <w:t>-20</w:t>
      </w:r>
      <w:r>
        <w:t xml:space="preserve">; substantially lower than the rate recorded for Australia. One reason for the lower rate in New Zealand is that the New Zealand scheme does not provide coverage for the same range of mental health conditions as the Australian schemes. </w:t>
      </w:r>
    </w:p>
    <w:p w14:paraId="481DF336" w14:textId="0C27B09C" w:rsidR="00B94996" w:rsidRPr="00593601" w:rsidRDefault="00A72B7E" w:rsidP="00A72B7E">
      <w:pPr>
        <w:pStyle w:val="SWASectionnum2"/>
      </w:pPr>
      <w:bookmarkStart w:id="14" w:name="_Toc80289672"/>
      <w:bookmarkStart w:id="15" w:name="_Toc80972065"/>
      <w:r w:rsidRPr="00763976">
        <w:t xml:space="preserve">Standardised average premium rates </w:t>
      </w:r>
      <w:r>
        <w:t>by in</w:t>
      </w:r>
      <w:r w:rsidR="00EB6A23">
        <w:t>d</w:t>
      </w:r>
      <w:r>
        <w:t>ustry</w:t>
      </w:r>
      <w:bookmarkEnd w:id="14"/>
      <w:bookmarkEnd w:id="15"/>
      <w:r w:rsidR="00B94996">
        <w:rPr>
          <w:color w:val="681E5B"/>
        </w:rPr>
        <w:t xml:space="preserve"> </w:t>
      </w:r>
    </w:p>
    <w:p w14:paraId="69A6ACF0" w14:textId="77777777" w:rsidR="00CB1F05" w:rsidRDefault="00E75176" w:rsidP="00F9415A">
      <w:pPr>
        <w:pStyle w:val="BodyJustified"/>
      </w:pPr>
      <w:bookmarkStart w:id="16" w:name="_Ref464469525"/>
      <w:r>
        <w:t>The average premium rates by industry in Australia for the period from 20</w:t>
      </w:r>
      <w:r w:rsidR="00F02F4D">
        <w:t xml:space="preserve">15-16 </w:t>
      </w:r>
      <w:r>
        <w:t>to 20</w:t>
      </w:r>
      <w:r w:rsidR="00F02F4D">
        <w:t>19-20</w:t>
      </w:r>
      <w:r>
        <w:t xml:space="preserve"> are shown in Indicator 14 </w:t>
      </w:r>
      <w:r w:rsidR="00CB1F05">
        <w:t>on the next page</w:t>
      </w:r>
      <w:r>
        <w:t xml:space="preserve">. </w:t>
      </w:r>
    </w:p>
    <w:p w14:paraId="29ACBBD3" w14:textId="008E2ED1" w:rsidR="00E75176" w:rsidRPr="008F4107" w:rsidRDefault="00E75176" w:rsidP="00F9415A">
      <w:pPr>
        <w:pStyle w:val="BodyJustified"/>
      </w:pPr>
      <w:r>
        <w:t>T</w:t>
      </w:r>
      <w:r w:rsidRPr="008F4107">
        <w:t>he Agriculture, forestry and fishing industry recorded the highest average premium rate at 3.</w:t>
      </w:r>
      <w:r>
        <w:t>5</w:t>
      </w:r>
      <w:r w:rsidR="00F02F4D">
        <w:t>4</w:t>
      </w:r>
      <w:r>
        <w:t>%</w:t>
      </w:r>
      <w:r w:rsidRPr="008F4107">
        <w:t xml:space="preserve"> of payroll in 201</w:t>
      </w:r>
      <w:r w:rsidR="00F02F4D">
        <w:t>9</w:t>
      </w:r>
      <w:r w:rsidRPr="008F4107">
        <w:t>–</w:t>
      </w:r>
      <w:r w:rsidR="00F02F4D">
        <w:t>20</w:t>
      </w:r>
      <w:r w:rsidRPr="008F4107">
        <w:t>. The lowest premium rate was recorded by the Financ</w:t>
      </w:r>
      <w:r>
        <w:t>ial</w:t>
      </w:r>
      <w:r w:rsidRPr="008F4107">
        <w:t xml:space="preserve"> and insurance </w:t>
      </w:r>
      <w:r>
        <w:t xml:space="preserve">services </w:t>
      </w:r>
      <w:r w:rsidRPr="008F4107">
        <w:t>industry at 0.2</w:t>
      </w:r>
      <w:r>
        <w:t>3%</w:t>
      </w:r>
      <w:r w:rsidR="00FD0054">
        <w:t>.</w:t>
      </w:r>
    </w:p>
    <w:p w14:paraId="196A2F4A" w14:textId="3F7BCA66" w:rsidR="004D5E09" w:rsidRDefault="00E75176" w:rsidP="00F9415A">
      <w:pPr>
        <w:pStyle w:val="BodyJustified"/>
        <w:sectPr w:rsidR="004D5E09" w:rsidSect="0047156B">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134" w:right="1134" w:bottom="1134" w:left="1418" w:header="720" w:footer="720" w:gutter="0"/>
          <w:cols w:space="720"/>
          <w:noEndnote/>
          <w:titlePg/>
          <w:docGrid w:linePitch="299"/>
        </w:sectPr>
      </w:pPr>
      <w:r w:rsidRPr="008F4107">
        <w:t xml:space="preserve">Premium rates </w:t>
      </w:r>
      <w:r w:rsidR="00C31F8C">
        <w:t>for</w:t>
      </w:r>
      <w:r w:rsidR="00C31F8C" w:rsidRPr="008F4107">
        <w:t xml:space="preserve"> </w:t>
      </w:r>
      <w:r w:rsidR="005B7C87">
        <w:t>7</w:t>
      </w:r>
      <w:r w:rsidRPr="008F4107">
        <w:t xml:space="preserve"> out of the 1</w:t>
      </w:r>
      <w:r w:rsidR="00FD0054">
        <w:t>9</w:t>
      </w:r>
      <w:r w:rsidRPr="008F4107">
        <w:t xml:space="preserve"> industries have </w:t>
      </w:r>
      <w:r w:rsidR="00696AA9">
        <w:t>increased</w:t>
      </w:r>
      <w:r w:rsidRPr="008F4107">
        <w:t xml:space="preserve"> </w:t>
      </w:r>
      <w:r w:rsidR="0030159A">
        <w:t>in the past 5 years</w:t>
      </w:r>
      <w:r w:rsidR="00696AA9">
        <w:t xml:space="preserve">, however </w:t>
      </w:r>
      <w:r w:rsidR="0030159A">
        <w:t xml:space="preserve">significant decreases were seen in the </w:t>
      </w:r>
      <w:r w:rsidR="00CB1F05">
        <w:t>P</w:t>
      </w:r>
      <w:r w:rsidR="0030159A">
        <w:t xml:space="preserve">ublic administration and safety industry with </w:t>
      </w:r>
      <w:r w:rsidR="00274846">
        <w:t xml:space="preserve">average </w:t>
      </w:r>
      <w:r w:rsidR="0030159A">
        <w:t xml:space="preserve">premium rates </w:t>
      </w:r>
      <w:r w:rsidR="0030159A" w:rsidRPr="00B05199">
        <w:rPr>
          <w:b/>
          <w:bCs/>
          <w:color w:val="B94F25"/>
        </w:rPr>
        <w:t>reduced</w:t>
      </w:r>
      <w:r w:rsidR="00A33B0C">
        <w:rPr>
          <w:b/>
          <w:bCs/>
          <w:color w:val="B94F25"/>
        </w:rPr>
        <w:t> </w:t>
      </w:r>
      <w:r w:rsidR="0030159A" w:rsidRPr="00B05199">
        <w:rPr>
          <w:b/>
          <w:bCs/>
          <w:color w:val="B94F25"/>
        </w:rPr>
        <w:t>by 1</w:t>
      </w:r>
      <w:r w:rsidR="005B7C87">
        <w:rPr>
          <w:b/>
          <w:bCs/>
          <w:color w:val="B94F25"/>
        </w:rPr>
        <w:t>7</w:t>
      </w:r>
      <w:r w:rsidR="0030159A" w:rsidRPr="00B05199">
        <w:rPr>
          <w:b/>
          <w:bCs/>
          <w:color w:val="B94F25"/>
        </w:rPr>
        <w:t>%</w:t>
      </w:r>
      <w:r w:rsidR="0030159A">
        <w:t xml:space="preserve"> since the 2015-16 financial year.</w:t>
      </w:r>
    </w:p>
    <w:p w14:paraId="19A4E6A7" w14:textId="493713C3" w:rsidR="00B94996" w:rsidRPr="00376FAA" w:rsidRDefault="00B94996" w:rsidP="00376FAA">
      <w:pPr>
        <w:pStyle w:val="SWASectionnumberingheading"/>
        <w:numPr>
          <w:ilvl w:val="0"/>
          <w:numId w:val="0"/>
        </w:numPr>
        <w:rPr>
          <w:sz w:val="20"/>
          <w:szCs w:val="20"/>
        </w:rPr>
      </w:pPr>
      <w:bookmarkStart w:id="17" w:name="_Toc80972066"/>
      <w:r w:rsidRPr="00376FAA">
        <w:rPr>
          <w:sz w:val="20"/>
          <w:szCs w:val="20"/>
        </w:rPr>
        <w:lastRenderedPageBreak/>
        <w:t xml:space="preserve">Indicator </w:t>
      </w:r>
      <w:bookmarkEnd w:id="16"/>
      <w:r w:rsidR="00474952" w:rsidRPr="00376FAA">
        <w:rPr>
          <w:sz w:val="20"/>
          <w:szCs w:val="20"/>
        </w:rPr>
        <w:t>14</w:t>
      </w:r>
      <w:r w:rsidRPr="00376FAA">
        <w:rPr>
          <w:sz w:val="20"/>
          <w:szCs w:val="20"/>
        </w:rPr>
        <w:t xml:space="preserve"> – Australian average premium rates by industry</w:t>
      </w:r>
      <w:bookmarkEnd w:id="17"/>
      <w:r w:rsidR="007A4B93" w:rsidRPr="00376FAA">
        <w:rPr>
          <w:sz w:val="20"/>
          <w:szCs w:val="20"/>
        </w:rPr>
        <w:t xml:space="preserve"> </w:t>
      </w:r>
    </w:p>
    <w:p w14:paraId="7F204789" w14:textId="1791D619" w:rsidR="00FD0054" w:rsidRDefault="00567DB4" w:rsidP="00246D62">
      <w:pPr>
        <w:spacing w:before="0" w:after="200" w:line="276" w:lineRule="auto"/>
        <w:jc w:val="center"/>
        <w:rPr>
          <w:lang w:val="en-US" w:eastAsia="en-US"/>
        </w:rPr>
        <w:sectPr w:rsidR="00FD0054" w:rsidSect="0047156B">
          <w:footerReference w:type="first" r:id="rId29"/>
          <w:pgSz w:w="16838" w:h="11906" w:orient="landscape"/>
          <w:pgMar w:top="1418" w:right="1134" w:bottom="1134" w:left="1134" w:header="720" w:footer="720" w:gutter="0"/>
          <w:cols w:space="720"/>
          <w:noEndnote/>
          <w:titlePg/>
          <w:docGrid w:linePitch="299"/>
        </w:sectPr>
      </w:pPr>
      <w:r w:rsidRPr="00567DB4">
        <w:rPr>
          <w:noProof/>
        </w:rPr>
        <w:t xml:space="preserve"> </w:t>
      </w:r>
      <w:r w:rsidR="007720FC">
        <w:rPr>
          <w:noProof/>
        </w:rPr>
        <w:drawing>
          <wp:inline distT="0" distB="0" distL="0" distR="0" wp14:anchorId="0C676407" wp14:editId="77F4C717">
            <wp:extent cx="8968105" cy="4486910"/>
            <wp:effectExtent l="0" t="0" r="4445" b="8890"/>
            <wp:docPr id="9" name="Picture 9" descr="This bar graph shows Australian average premium rates by industry from 2015-16 to 2019-20, and a line indicating the Australian average f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bar graph shows Australian average premium rates by industry from 2015-16 to 2019-20, and a line indicating the Australian average for 2019-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68105" cy="4486910"/>
                    </a:xfrm>
                    <a:prstGeom prst="rect">
                      <a:avLst/>
                    </a:prstGeom>
                    <a:noFill/>
                  </pic:spPr>
                </pic:pic>
              </a:graphicData>
            </a:graphic>
          </wp:inline>
        </w:drawing>
      </w:r>
    </w:p>
    <w:p w14:paraId="14655C91" w14:textId="77777777" w:rsidR="007B4BFE" w:rsidRDefault="00EB6A23" w:rsidP="00E53AC3">
      <w:pPr>
        <w:pStyle w:val="SWASectionnum3"/>
        <w:spacing w:before="0"/>
      </w:pPr>
      <w:bookmarkStart w:id="18" w:name="_Toc474744860"/>
      <w:bookmarkStart w:id="19" w:name="_Toc80289673"/>
      <w:bookmarkStart w:id="20" w:name="_Toc476564185"/>
      <w:r w:rsidRPr="00763976">
        <w:lastRenderedPageBreak/>
        <w:t xml:space="preserve">Standardised average premium rates </w:t>
      </w:r>
      <w:r>
        <w:t>by industry</w:t>
      </w:r>
      <w:r w:rsidR="0047156B">
        <w:t xml:space="preserve"> and </w:t>
      </w:r>
      <w:r w:rsidR="007B4BFE">
        <w:t>jurisdiction</w:t>
      </w:r>
      <w:bookmarkEnd w:id="18"/>
      <w:bookmarkEnd w:id="19"/>
    </w:p>
    <w:p w14:paraId="0F9CDBA7" w14:textId="78907ED3" w:rsidR="007B4BFE" w:rsidRDefault="007B4BFE" w:rsidP="00F9415A">
      <w:pPr>
        <w:pStyle w:val="BodyJustified"/>
      </w:pPr>
      <w:r>
        <w:t>Presented below is a comparison of standardised average premium rates across the Australian jurisdictions for</w:t>
      </w:r>
      <w:r w:rsidR="00F168BC">
        <w:t xml:space="preserve"> each of</w:t>
      </w:r>
      <w:r>
        <w:t xml:space="preserve"> the </w:t>
      </w:r>
      <w:r w:rsidR="00DA15A7">
        <w:t>1</w:t>
      </w:r>
      <w:r w:rsidR="0052354F">
        <w:t>9</w:t>
      </w:r>
      <w:r w:rsidR="00DA15A7">
        <w:t xml:space="preserve"> </w:t>
      </w:r>
      <w:r w:rsidR="00477706">
        <w:t>industry groups</w:t>
      </w:r>
      <w:r w:rsidR="00274846">
        <w:t xml:space="preserve"> listed in Indicator 14</w:t>
      </w:r>
      <w:r>
        <w:t>.</w:t>
      </w:r>
      <w:r w:rsidR="00F168BC">
        <w:t xml:space="preserve"> Not all jurisdictions are included under each industry, as some industries will not be relevant for </w:t>
      </w:r>
      <w:r w:rsidR="00F02F4D">
        <w:t xml:space="preserve">certain </w:t>
      </w:r>
      <w:r w:rsidR="00F168BC">
        <w:t xml:space="preserve">jurisdictions, particularly </w:t>
      </w:r>
      <w:r w:rsidR="00B023C0">
        <w:t>Australian Government (Comcare).</w:t>
      </w:r>
    </w:p>
    <w:p w14:paraId="0FA35942" w14:textId="066A2B31" w:rsidR="007B4BFE" w:rsidRPr="00285B6A" w:rsidRDefault="007B4BFE" w:rsidP="007C5673">
      <w:pPr>
        <w:pStyle w:val="Heading1"/>
        <w:spacing w:before="240"/>
      </w:pPr>
      <w:bookmarkStart w:id="21" w:name="_Toc80289674"/>
      <w:r w:rsidRPr="00285B6A">
        <w:t>Agriculture, forestry and fishing</w:t>
      </w:r>
      <w:bookmarkEnd w:id="21"/>
      <w:r w:rsidRPr="00285B6A">
        <w:t xml:space="preserve"> </w:t>
      </w:r>
    </w:p>
    <w:p w14:paraId="034102C0" w14:textId="4C786FC1" w:rsidR="004C2334" w:rsidRDefault="004C2334" w:rsidP="0001354B">
      <w:pPr>
        <w:pStyle w:val="BodyJustified"/>
        <w:numPr>
          <w:ilvl w:val="0"/>
          <w:numId w:val="12"/>
        </w:numPr>
        <w:ind w:left="709" w:hanging="425"/>
      </w:pPr>
      <w:r>
        <w:t xml:space="preserve">The Australian average </w:t>
      </w:r>
      <w:r w:rsidRPr="00CD63A1">
        <w:t xml:space="preserve">premium rate in the </w:t>
      </w:r>
      <w:r w:rsidRPr="004C2334">
        <w:t>Agriculture, forestry and fishing</w:t>
      </w:r>
      <w:r w:rsidRPr="00CD63A1">
        <w:t xml:space="preserve"> industry </w:t>
      </w:r>
      <w:r>
        <w:t xml:space="preserve">increased slightly each year of the </w:t>
      </w:r>
      <w:r w:rsidR="0003484B">
        <w:t>5 year</w:t>
      </w:r>
      <w:r>
        <w:t xml:space="preserve"> period to 3.54% of payroll </w:t>
      </w:r>
      <w:r w:rsidR="009C6309">
        <w:t xml:space="preserve">in 2019-20. This </w:t>
      </w:r>
      <w:r w:rsidR="00106163">
        <w:t xml:space="preserve">was </w:t>
      </w:r>
      <w:r w:rsidR="009C6309">
        <w:t xml:space="preserve">the </w:t>
      </w:r>
      <w:r>
        <w:t xml:space="preserve">highest </w:t>
      </w:r>
      <w:r w:rsidRPr="009261F3">
        <w:t xml:space="preserve">average premium rate </w:t>
      </w:r>
      <w:r>
        <w:t xml:space="preserve">recorded </w:t>
      </w:r>
      <w:r w:rsidRPr="009261F3">
        <w:t>across all industries</w:t>
      </w:r>
      <w:r w:rsidR="009C6309">
        <w:t>.</w:t>
      </w:r>
    </w:p>
    <w:p w14:paraId="0201D440" w14:textId="30A4075E" w:rsidR="004C2334" w:rsidRPr="004C2334" w:rsidRDefault="004C2334" w:rsidP="0001354B">
      <w:pPr>
        <w:pStyle w:val="BodyJustified"/>
        <w:numPr>
          <w:ilvl w:val="0"/>
          <w:numId w:val="12"/>
        </w:numPr>
        <w:ind w:left="709" w:hanging="425"/>
      </w:pPr>
      <w:r>
        <w:t>W</w:t>
      </w:r>
      <w:r w:rsidR="007035DA">
        <w:t xml:space="preserve">estern </w:t>
      </w:r>
      <w:r>
        <w:t>A</w:t>
      </w:r>
      <w:r w:rsidR="007035DA">
        <w:t>ustralia</w:t>
      </w:r>
      <w:r>
        <w:t xml:space="preserve"> and the N</w:t>
      </w:r>
      <w:r w:rsidR="007035DA">
        <w:t xml:space="preserve">orthern </w:t>
      </w:r>
      <w:r>
        <w:t>T</w:t>
      </w:r>
      <w:r w:rsidR="007035DA">
        <w:t>erritory</w:t>
      </w:r>
      <w:r w:rsidRPr="004C2334">
        <w:t xml:space="preserve"> experienced </w:t>
      </w:r>
      <w:r w:rsidR="009C6309">
        <w:t xml:space="preserve">the </w:t>
      </w:r>
      <w:r w:rsidRPr="004C2334">
        <w:t>large</w:t>
      </w:r>
      <w:r>
        <w:t>st</w:t>
      </w:r>
      <w:r w:rsidRPr="004C2334">
        <w:t xml:space="preserve"> </w:t>
      </w:r>
      <w:r w:rsidRPr="0004353B">
        <w:rPr>
          <w:b/>
          <w:bCs/>
          <w:color w:val="00518E"/>
        </w:rPr>
        <w:t>increases of 9% and 7%</w:t>
      </w:r>
      <w:r w:rsidRPr="0004353B">
        <w:rPr>
          <w:color w:val="00518E"/>
        </w:rPr>
        <w:t xml:space="preserve"> </w:t>
      </w:r>
      <w:r w:rsidRPr="004C2334">
        <w:t>respectively</w:t>
      </w:r>
      <w:r w:rsidR="007035DA">
        <w:t xml:space="preserve"> compared to the previous</w:t>
      </w:r>
      <w:r w:rsidR="0023389D">
        <w:t xml:space="preserve"> financial</w:t>
      </w:r>
      <w:r w:rsidR="007035DA">
        <w:t xml:space="preserve"> year</w:t>
      </w:r>
      <w:r w:rsidRPr="004C2334">
        <w:t xml:space="preserve">, with the </w:t>
      </w:r>
      <w:r w:rsidR="007035DA">
        <w:t>Northern Territory</w:t>
      </w:r>
      <w:r w:rsidR="007035DA" w:rsidRPr="004C2334">
        <w:t xml:space="preserve"> </w:t>
      </w:r>
      <w:r w:rsidRPr="004C2334">
        <w:t xml:space="preserve">having the highest premium rate of the Australian jurisdictions </w:t>
      </w:r>
      <w:r w:rsidR="00106163">
        <w:t>at</w:t>
      </w:r>
      <w:r w:rsidR="00106163" w:rsidRPr="004C2334">
        <w:t xml:space="preserve"> </w:t>
      </w:r>
      <w:r>
        <w:t>6.61</w:t>
      </w:r>
      <w:r w:rsidRPr="004C2334">
        <w:t>% of payroll.</w:t>
      </w:r>
    </w:p>
    <w:p w14:paraId="4C5A4D62" w14:textId="5F65135B" w:rsidR="004C2334" w:rsidRPr="00910C47" w:rsidRDefault="004C2334" w:rsidP="0001354B">
      <w:pPr>
        <w:pStyle w:val="BodyJustified"/>
        <w:numPr>
          <w:ilvl w:val="0"/>
          <w:numId w:val="12"/>
        </w:numPr>
        <w:ind w:left="709" w:hanging="425"/>
      </w:pPr>
      <w:r>
        <w:t xml:space="preserve">The New Zealand premium rate for this industry </w:t>
      </w:r>
      <w:r w:rsidR="00E20BB3">
        <w:t xml:space="preserve">was </w:t>
      </w:r>
      <w:r>
        <w:t>1.59% of payroll</w:t>
      </w:r>
      <w:r w:rsidR="00E20BB3">
        <w:t xml:space="preserve">, a </w:t>
      </w:r>
      <w:r w:rsidR="00E20BB3" w:rsidRPr="00786116">
        <w:rPr>
          <w:b/>
          <w:bCs/>
          <w:color w:val="B94F25"/>
        </w:rPr>
        <w:t xml:space="preserve">decrease of </w:t>
      </w:r>
      <w:r w:rsidR="00F46D49" w:rsidRPr="00DF5BAE">
        <w:rPr>
          <w:b/>
          <w:bCs/>
          <w:color w:val="B94F25"/>
        </w:rPr>
        <w:t xml:space="preserve">5% </w:t>
      </w:r>
      <w:r w:rsidR="00072F28">
        <w:t>from</w:t>
      </w:r>
      <w:r w:rsidR="00E20BB3" w:rsidRPr="00E80B37">
        <w:t xml:space="preserve"> the previous financial year</w:t>
      </w:r>
      <w:r>
        <w:t>.</w:t>
      </w:r>
    </w:p>
    <w:p w14:paraId="0018ECEC" w14:textId="251621DE" w:rsidR="007B4BFE" w:rsidRPr="00376FAA" w:rsidRDefault="00535035" w:rsidP="007C5673">
      <w:pPr>
        <w:pStyle w:val="SWASectionnumberingheading"/>
        <w:numPr>
          <w:ilvl w:val="0"/>
          <w:numId w:val="0"/>
        </w:numPr>
        <w:spacing w:before="240"/>
        <w:rPr>
          <w:sz w:val="19"/>
          <w:szCs w:val="19"/>
        </w:rPr>
      </w:pPr>
      <w:bookmarkStart w:id="22" w:name="_Toc80972067"/>
      <w:r w:rsidRPr="00376FAA">
        <w:rPr>
          <w:sz w:val="19"/>
          <w:szCs w:val="19"/>
        </w:rPr>
        <w:t>Indicator 14</w:t>
      </w:r>
      <w:r w:rsidR="007B4BFE" w:rsidRPr="00376FAA">
        <w:rPr>
          <w:sz w:val="19"/>
          <w:szCs w:val="19"/>
        </w:rPr>
        <w:t>a –</w:t>
      </w:r>
      <w:r w:rsidR="00376FAA" w:rsidRPr="00376FAA">
        <w:rPr>
          <w:sz w:val="19"/>
          <w:szCs w:val="19"/>
        </w:rPr>
        <w:t xml:space="preserve"> </w:t>
      </w:r>
      <w:r w:rsidR="007B4BFE" w:rsidRPr="00376FAA">
        <w:rPr>
          <w:sz w:val="19"/>
          <w:szCs w:val="19"/>
        </w:rPr>
        <w:t>Standardised premium rates for Agriculture, forestry and fishing by</w:t>
      </w:r>
      <w:r w:rsidR="00376FAA" w:rsidRPr="00376FAA">
        <w:rPr>
          <w:sz w:val="19"/>
          <w:szCs w:val="19"/>
        </w:rPr>
        <w:t xml:space="preserve"> j</w:t>
      </w:r>
      <w:r w:rsidR="007B4BFE" w:rsidRPr="00376FAA">
        <w:rPr>
          <w:sz w:val="19"/>
          <w:szCs w:val="19"/>
        </w:rPr>
        <w:t>urisdiction</w:t>
      </w:r>
      <w:bookmarkEnd w:id="22"/>
    </w:p>
    <w:p w14:paraId="5745C93D" w14:textId="53209BE4" w:rsidR="00103DD7" w:rsidRDefault="008D7D80" w:rsidP="00AC6D6D">
      <w:pPr>
        <w:jc w:val="center"/>
        <w:rPr>
          <w:noProof/>
          <w:lang w:val="en-US" w:eastAsia="en-US"/>
        </w:rPr>
      </w:pPr>
      <w:r>
        <w:rPr>
          <w:noProof/>
          <w:lang w:val="en-US" w:eastAsia="en-US"/>
        </w:rPr>
        <w:drawing>
          <wp:inline distT="0" distB="0" distL="0" distR="0" wp14:anchorId="076841F7" wp14:editId="6CCC7A07">
            <wp:extent cx="6194023" cy="2408555"/>
            <wp:effectExtent l="0" t="0" r="0" b="0"/>
            <wp:docPr id="37" name="Picture 37" descr="Bar graph shows standardised premium rates for the agriculture, forestry and fishing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Bar graph shows standardised premium rates for the agriculture, forestry and fishing industry by jurisdiction, from 2015-16 to 2019-20, and a line indicating the Australian average for 2019-20. Please refer to body text for more informati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25050" cy="2420620"/>
                    </a:xfrm>
                    <a:prstGeom prst="rect">
                      <a:avLst/>
                    </a:prstGeom>
                    <a:noFill/>
                  </pic:spPr>
                </pic:pic>
              </a:graphicData>
            </a:graphic>
          </wp:inline>
        </w:drawing>
      </w:r>
    </w:p>
    <w:p w14:paraId="0ADF8473" w14:textId="4B668CC6" w:rsidR="007035DA" w:rsidRPr="00E53AC3" w:rsidRDefault="00E86611" w:rsidP="006900D4">
      <w:pPr>
        <w:spacing w:before="120"/>
        <w:rPr>
          <w:sz w:val="14"/>
          <w:szCs w:val="18"/>
          <w:lang w:val="en-US" w:eastAsia="en-US"/>
        </w:rPr>
      </w:pPr>
      <w:r w:rsidRPr="00E86611">
        <w:rPr>
          <w:noProof/>
          <w:sz w:val="14"/>
          <w:szCs w:val="18"/>
          <w:lang w:val="en-US" w:eastAsia="en-US"/>
        </w:rPr>
        <w:t>u/a – Data is unavailable or not collected</w:t>
      </w:r>
    </w:p>
    <w:p w14:paraId="35F6BB5F" w14:textId="77777777" w:rsidR="00740915" w:rsidRDefault="00740915">
      <w:pPr>
        <w:spacing w:before="0" w:after="200" w:line="276" w:lineRule="auto"/>
        <w:jc w:val="left"/>
        <w:rPr>
          <w:rFonts w:ascii="Arial Bold" w:eastAsiaTheme="majorEastAsia" w:hAnsi="Arial Bold" w:cs="Arial"/>
          <w:b/>
          <w:kern w:val="32"/>
          <w:sz w:val="28"/>
          <w:szCs w:val="22"/>
        </w:rPr>
      </w:pPr>
      <w:bookmarkStart w:id="23" w:name="_Toc80289675"/>
      <w:r>
        <w:br w:type="page"/>
      </w:r>
    </w:p>
    <w:p w14:paraId="2B460925" w14:textId="272AF49C" w:rsidR="007B4BFE" w:rsidRPr="00285B6A" w:rsidRDefault="007B4BFE" w:rsidP="006900D4">
      <w:pPr>
        <w:pStyle w:val="Heading1"/>
        <w:spacing w:before="120"/>
      </w:pPr>
      <w:r w:rsidRPr="00285B6A">
        <w:lastRenderedPageBreak/>
        <w:t>Mining</w:t>
      </w:r>
      <w:bookmarkEnd w:id="23"/>
      <w:r w:rsidRPr="00285B6A">
        <w:t xml:space="preserve"> </w:t>
      </w:r>
    </w:p>
    <w:p w14:paraId="02510A88" w14:textId="7C0B86EA" w:rsidR="00570D05" w:rsidRDefault="00570D05" w:rsidP="0001354B">
      <w:pPr>
        <w:pStyle w:val="BodyJustified"/>
        <w:numPr>
          <w:ilvl w:val="0"/>
          <w:numId w:val="13"/>
        </w:numPr>
        <w:ind w:left="709" w:hanging="425"/>
      </w:pPr>
      <w:r>
        <w:t xml:space="preserve">The Australian average </w:t>
      </w:r>
      <w:r w:rsidRPr="00CD63A1">
        <w:t xml:space="preserve">premium rate in the </w:t>
      </w:r>
      <w:r w:rsidRPr="00285B6A">
        <w:t>M</w:t>
      </w:r>
      <w:r>
        <w:t>ining</w:t>
      </w:r>
      <w:r w:rsidRPr="00CD63A1">
        <w:t xml:space="preserve"> industry </w:t>
      </w:r>
      <w:r w:rsidR="007B6633">
        <w:t>increased slightly to</w:t>
      </w:r>
      <w:r>
        <w:t xml:space="preserve"> 1.4</w:t>
      </w:r>
      <w:r w:rsidR="003B4482">
        <w:t>6</w:t>
      </w:r>
      <w:r>
        <w:t>% of payroll</w:t>
      </w:r>
      <w:r w:rsidR="00237977">
        <w:t xml:space="preserve"> for the 2019-20 financial year.</w:t>
      </w:r>
    </w:p>
    <w:p w14:paraId="461B570A" w14:textId="527BE9C9" w:rsidR="003A71BD" w:rsidRDefault="007035DA" w:rsidP="0001354B">
      <w:pPr>
        <w:pStyle w:val="BodyJustified"/>
        <w:numPr>
          <w:ilvl w:val="0"/>
          <w:numId w:val="13"/>
        </w:numPr>
        <w:ind w:left="709" w:hanging="425"/>
      </w:pPr>
      <w:r>
        <w:t>Since 2018-19, t</w:t>
      </w:r>
      <w:r w:rsidR="00A77289">
        <w:t xml:space="preserve">he </w:t>
      </w:r>
      <w:r w:rsidR="007B4BFE">
        <w:t xml:space="preserve">largest </w:t>
      </w:r>
      <w:r w:rsidR="001649A1">
        <w:t>increase</w:t>
      </w:r>
      <w:r w:rsidR="007B4BFE">
        <w:t xml:space="preserve"> </w:t>
      </w:r>
      <w:r w:rsidR="004923DE">
        <w:t xml:space="preserve">was observed </w:t>
      </w:r>
      <w:bookmarkStart w:id="24" w:name="_Hlk79583677"/>
      <w:r w:rsidR="004923DE">
        <w:t xml:space="preserve">in </w:t>
      </w:r>
      <w:r w:rsidR="00397E6C">
        <w:t xml:space="preserve">the </w:t>
      </w:r>
      <w:bookmarkEnd w:id="24"/>
      <w:r>
        <w:t xml:space="preserve">Northern Territory </w:t>
      </w:r>
      <w:r w:rsidR="00072117">
        <w:t>(</w:t>
      </w:r>
      <w:r w:rsidR="00380579">
        <w:rPr>
          <w:rFonts w:ascii="Wingdings 3" w:eastAsia="Times New Roman" w:hAnsi="Wingdings 3"/>
          <w:b/>
          <w:bCs/>
          <w:color w:val="00518E"/>
        </w:rPr>
        <w:t>h</w:t>
      </w:r>
      <w:r w:rsidR="00380579">
        <w:rPr>
          <w:rFonts w:eastAsia="Times New Roman"/>
          <w:b/>
          <w:bCs/>
          <w:color w:val="00518E"/>
        </w:rPr>
        <w:t xml:space="preserve"> </w:t>
      </w:r>
      <w:r w:rsidR="001649A1" w:rsidRPr="00704BAE">
        <w:rPr>
          <w:b/>
          <w:bCs/>
          <w:color w:val="00518E"/>
        </w:rPr>
        <w:t>up</w:t>
      </w:r>
      <w:r w:rsidR="007B4BFE" w:rsidRPr="00704BAE">
        <w:rPr>
          <w:b/>
          <w:bCs/>
          <w:color w:val="00518E"/>
        </w:rPr>
        <w:t> </w:t>
      </w:r>
      <w:r w:rsidR="00F16666" w:rsidRPr="00704BAE">
        <w:rPr>
          <w:b/>
          <w:bCs/>
          <w:color w:val="00518E"/>
        </w:rPr>
        <w:t>2</w:t>
      </w:r>
      <w:r w:rsidR="00002142" w:rsidRPr="00704BAE">
        <w:rPr>
          <w:b/>
          <w:bCs/>
          <w:color w:val="00518E"/>
        </w:rPr>
        <w:t>7</w:t>
      </w:r>
      <w:r w:rsidR="000B150E" w:rsidRPr="00704BAE">
        <w:rPr>
          <w:b/>
          <w:bCs/>
          <w:color w:val="00518E"/>
        </w:rPr>
        <w:t>%</w:t>
      </w:r>
      <w:r w:rsidR="007B4BFE">
        <w:t>)</w:t>
      </w:r>
      <w:r w:rsidR="001649A1">
        <w:t xml:space="preserve">, followed by </w:t>
      </w:r>
      <w:r w:rsidR="00AC30A3">
        <w:t xml:space="preserve">Victoria </w:t>
      </w:r>
      <w:r w:rsidR="001649A1">
        <w:t>(</w:t>
      </w:r>
      <w:r w:rsidR="00380579">
        <w:rPr>
          <w:rFonts w:ascii="Wingdings 3" w:eastAsia="Times New Roman" w:hAnsi="Wingdings 3"/>
          <w:b/>
          <w:bCs/>
          <w:color w:val="00518E"/>
        </w:rPr>
        <w:t>h</w:t>
      </w:r>
      <w:r w:rsidR="00380579">
        <w:rPr>
          <w:rFonts w:eastAsia="Times New Roman"/>
          <w:b/>
          <w:bCs/>
          <w:color w:val="00518E"/>
        </w:rPr>
        <w:t xml:space="preserve"> </w:t>
      </w:r>
      <w:r w:rsidR="001649A1" w:rsidRPr="00704BAE">
        <w:rPr>
          <w:b/>
          <w:bCs/>
          <w:color w:val="00518E"/>
        </w:rPr>
        <w:t xml:space="preserve">up </w:t>
      </w:r>
      <w:r w:rsidR="00F16666" w:rsidRPr="00704BAE">
        <w:rPr>
          <w:b/>
          <w:bCs/>
          <w:color w:val="00518E"/>
        </w:rPr>
        <w:t>14</w:t>
      </w:r>
      <w:r w:rsidR="000B150E" w:rsidRPr="00704BAE">
        <w:rPr>
          <w:b/>
          <w:bCs/>
          <w:color w:val="00518E"/>
        </w:rPr>
        <w:t>%</w:t>
      </w:r>
      <w:r w:rsidR="001649A1">
        <w:t>)</w:t>
      </w:r>
      <w:r w:rsidR="007B4BFE">
        <w:t xml:space="preserve">. </w:t>
      </w:r>
    </w:p>
    <w:p w14:paraId="6CC81548" w14:textId="6D706577" w:rsidR="00570D05" w:rsidRDefault="00F16666" w:rsidP="0001354B">
      <w:pPr>
        <w:pStyle w:val="BodyJustified"/>
        <w:numPr>
          <w:ilvl w:val="0"/>
          <w:numId w:val="13"/>
        </w:numPr>
        <w:ind w:left="709" w:hanging="425"/>
      </w:pPr>
      <w:r>
        <w:t>T</w:t>
      </w:r>
      <w:r w:rsidRPr="00F16666">
        <w:t>he Australian Capital Territory</w:t>
      </w:r>
      <w:r>
        <w:t xml:space="preserve"> </w:t>
      </w:r>
      <w:r w:rsidR="00B101B1">
        <w:t xml:space="preserve">(Private) </w:t>
      </w:r>
      <w:r>
        <w:t xml:space="preserve">and Tasmania </w:t>
      </w:r>
      <w:r w:rsidR="007035DA">
        <w:t xml:space="preserve">experienced the highest decreases </w:t>
      </w:r>
      <w:r w:rsidR="00046D4A">
        <w:t>in their premium rate</w:t>
      </w:r>
      <w:r w:rsidR="00D575BD">
        <w:t>s</w:t>
      </w:r>
      <w:r w:rsidR="00046D4A">
        <w:t xml:space="preserve"> (</w:t>
      </w:r>
      <w:r w:rsidR="006450CF">
        <w:rPr>
          <w:rFonts w:ascii="Wingdings 3" w:eastAsia="Times New Roman" w:hAnsi="Wingdings 3"/>
          <w:b/>
          <w:bCs/>
          <w:color w:val="B94F25"/>
        </w:rPr>
        <w:t>i</w:t>
      </w:r>
      <w:r w:rsidR="006450CF">
        <w:rPr>
          <w:rFonts w:eastAsia="Times New Roman"/>
          <w:b/>
          <w:bCs/>
          <w:color w:val="B94F25"/>
        </w:rPr>
        <w:t xml:space="preserve"> </w:t>
      </w:r>
      <w:r w:rsidR="00046D4A" w:rsidRPr="00704BAE">
        <w:rPr>
          <w:b/>
          <w:bCs/>
          <w:color w:val="B94F25"/>
        </w:rPr>
        <w:t>down </w:t>
      </w:r>
      <w:r w:rsidRPr="00704BAE">
        <w:rPr>
          <w:b/>
          <w:bCs/>
          <w:color w:val="B94F25"/>
        </w:rPr>
        <w:t>18% and 1</w:t>
      </w:r>
      <w:r w:rsidR="007035DA" w:rsidRPr="00704BAE">
        <w:rPr>
          <w:b/>
          <w:bCs/>
          <w:color w:val="B94F25"/>
        </w:rPr>
        <w:t>3</w:t>
      </w:r>
      <w:r w:rsidR="000B150E" w:rsidRPr="00704BAE">
        <w:rPr>
          <w:b/>
          <w:bCs/>
          <w:color w:val="B94F25"/>
        </w:rPr>
        <w:t>%</w:t>
      </w:r>
      <w:r w:rsidR="00AC30A3">
        <w:t xml:space="preserve"> </w:t>
      </w:r>
      <w:r w:rsidR="00D575BD">
        <w:t>respectively</w:t>
      </w:r>
      <w:r w:rsidR="00046D4A">
        <w:t>)</w:t>
      </w:r>
      <w:r w:rsidR="007035DA">
        <w:t xml:space="preserve"> since the previous</w:t>
      </w:r>
      <w:r w:rsidR="0023389D">
        <w:t xml:space="preserve"> financial</w:t>
      </w:r>
      <w:r w:rsidR="007035DA">
        <w:t xml:space="preserve"> year</w:t>
      </w:r>
      <w:r w:rsidR="00046D4A">
        <w:t>.</w:t>
      </w:r>
    </w:p>
    <w:p w14:paraId="38D9ABB4" w14:textId="7D3B1705" w:rsidR="00117CAF" w:rsidRDefault="00397E6C" w:rsidP="0001354B">
      <w:pPr>
        <w:pStyle w:val="BodyJustified"/>
        <w:numPr>
          <w:ilvl w:val="0"/>
          <w:numId w:val="13"/>
        </w:numPr>
        <w:ind w:left="709" w:hanging="425"/>
      </w:pPr>
      <w:r>
        <w:t>Western Australia</w:t>
      </w:r>
      <w:r w:rsidR="007B4BFE">
        <w:t xml:space="preserve"> had the lowest premium rate (</w:t>
      </w:r>
      <w:r w:rsidR="005E7503">
        <w:t>0.8</w:t>
      </w:r>
      <w:r w:rsidR="00F16666">
        <w:t>9</w:t>
      </w:r>
      <w:r w:rsidR="000B150E">
        <w:t>%</w:t>
      </w:r>
      <w:r w:rsidR="007B4BFE">
        <w:t xml:space="preserve"> of payroll) for this industry in 20</w:t>
      </w:r>
      <w:r w:rsidR="00046D4A">
        <w:t>1</w:t>
      </w:r>
      <w:r w:rsidR="00F16666">
        <w:t>9</w:t>
      </w:r>
      <w:r w:rsidR="0003484B">
        <w:noBreakHyphen/>
      </w:r>
      <w:r w:rsidR="00F16666">
        <w:t>20</w:t>
      </w:r>
      <w:r w:rsidR="00117CAF">
        <w:t>.</w:t>
      </w:r>
      <w:r w:rsidR="007B4BFE">
        <w:t xml:space="preserve"> </w:t>
      </w:r>
    </w:p>
    <w:p w14:paraId="119CFB60" w14:textId="6C0AE8EB" w:rsidR="007B4BFE" w:rsidRDefault="00117CAF" w:rsidP="0001354B">
      <w:pPr>
        <w:pStyle w:val="BodyJustified"/>
        <w:numPr>
          <w:ilvl w:val="0"/>
          <w:numId w:val="13"/>
        </w:numPr>
        <w:ind w:left="709" w:hanging="425"/>
      </w:pPr>
      <w:r>
        <w:t>T</w:t>
      </w:r>
      <w:r w:rsidR="007B4BFE">
        <w:t>he New Zealand premium rate</w:t>
      </w:r>
      <w:r w:rsidR="00CF75E8">
        <w:t xml:space="preserve"> for </w:t>
      </w:r>
      <w:r w:rsidR="00077E05">
        <w:t>M</w:t>
      </w:r>
      <w:r w:rsidR="00CF75E8">
        <w:t>ining</w:t>
      </w:r>
      <w:r w:rsidR="007B4BFE">
        <w:t xml:space="preserve"> </w:t>
      </w:r>
      <w:r w:rsidR="00705342" w:rsidRPr="00380579">
        <w:rPr>
          <w:b/>
          <w:bCs/>
          <w:color w:val="B94F25"/>
        </w:rPr>
        <w:t>decreased by 17%</w:t>
      </w:r>
      <w:r w:rsidR="00705342">
        <w:t xml:space="preserve"> to a rate of 0.53% of payrol</w:t>
      </w:r>
      <w:r w:rsidR="00F16666">
        <w:t>l</w:t>
      </w:r>
      <w:r w:rsidR="00F16666" w:rsidRPr="00F16666">
        <w:rPr>
          <w:rFonts w:eastAsia="Times New Roman" w:cs="Times New Roman"/>
          <w:szCs w:val="24"/>
          <w:lang w:val="en-AU" w:eastAsia="en-AU"/>
        </w:rPr>
        <w:t xml:space="preserve"> </w:t>
      </w:r>
      <w:r w:rsidR="00F16666" w:rsidRPr="00F16666">
        <w:rPr>
          <w:lang w:val="en-AU"/>
        </w:rPr>
        <w:t>in 2019–20</w:t>
      </w:r>
      <w:r w:rsidR="00705342">
        <w:t>, substantially lower than the Australian average and any Australian jurisdiction.</w:t>
      </w:r>
      <w:r w:rsidR="007B4BFE">
        <w:t xml:space="preserve"> </w:t>
      </w:r>
    </w:p>
    <w:p w14:paraId="50F0FAFA" w14:textId="0D978F5E" w:rsidR="00C210C2" w:rsidRPr="00C210C2" w:rsidRDefault="00535035" w:rsidP="00F85465">
      <w:pPr>
        <w:pStyle w:val="SWASectionnumberingheading"/>
        <w:numPr>
          <w:ilvl w:val="0"/>
          <w:numId w:val="0"/>
        </w:numPr>
        <w:spacing w:before="240" w:after="60"/>
      </w:pPr>
      <w:bookmarkStart w:id="25" w:name="_Toc80972068"/>
      <w:r w:rsidRPr="00376FAA">
        <w:rPr>
          <w:sz w:val="20"/>
          <w:szCs w:val="20"/>
        </w:rPr>
        <w:t>Indicator 14</w:t>
      </w:r>
      <w:r w:rsidR="007B4BFE" w:rsidRPr="00376FAA">
        <w:rPr>
          <w:sz w:val="20"/>
          <w:szCs w:val="20"/>
        </w:rPr>
        <w:t>b – Standardised premium rates for Mining by jurisdiction</w:t>
      </w:r>
      <w:bookmarkEnd w:id="25"/>
      <w:r w:rsidR="00AA1ED7" w:rsidRPr="00376FAA">
        <w:rPr>
          <w:sz w:val="20"/>
          <w:szCs w:val="20"/>
        </w:rPr>
        <w:t xml:space="preserve"> </w:t>
      </w:r>
    </w:p>
    <w:p w14:paraId="7777C2DB" w14:textId="0BDFA1E1" w:rsidR="00B4399D" w:rsidRDefault="00B4399D" w:rsidP="007C5673">
      <w:pPr>
        <w:spacing w:before="0"/>
        <w:jc w:val="center"/>
      </w:pPr>
    </w:p>
    <w:bookmarkStart w:id="26" w:name="_Toc80289676"/>
    <w:p w14:paraId="02ACFA03" w14:textId="1D51EC43" w:rsidR="00740915" w:rsidRDefault="00DA0388">
      <w:pPr>
        <w:spacing w:before="0" w:after="200" w:line="276" w:lineRule="auto"/>
        <w:jc w:val="left"/>
        <w:rPr>
          <w:rFonts w:ascii="Arial Bold" w:eastAsiaTheme="majorEastAsia" w:hAnsi="Arial Bold" w:cs="Arial"/>
          <w:b/>
          <w:kern w:val="32"/>
          <w:sz w:val="28"/>
          <w:szCs w:val="22"/>
        </w:rPr>
      </w:pPr>
      <w:r>
        <w:rPr>
          <w:noProof/>
        </w:rPr>
        <mc:AlternateContent>
          <mc:Choice Requires="wps">
            <w:drawing>
              <wp:anchor distT="0" distB="0" distL="114300" distR="114300" simplePos="0" relativeHeight="251666432" behindDoc="0" locked="0" layoutInCell="1" allowOverlap="1" wp14:anchorId="2682A984" wp14:editId="26FA38EB">
                <wp:simplePos x="0" y="0"/>
                <wp:positionH relativeFrom="column">
                  <wp:posOffset>1323340</wp:posOffset>
                </wp:positionH>
                <wp:positionV relativeFrom="paragraph">
                  <wp:posOffset>2485390</wp:posOffset>
                </wp:positionV>
                <wp:extent cx="4415013" cy="137160"/>
                <wp:effectExtent l="0" t="0" r="5080"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15013" cy="137160"/>
                        </a:xfrm>
                        <a:prstGeom prst="rect">
                          <a:avLst/>
                        </a:prstGeom>
                        <a:solidFill>
                          <a:srgbClr val="FFFFFF"/>
                        </a:solidFill>
                        <a:ln w="9525">
                          <a:noFill/>
                          <a:miter lim="800000"/>
                          <a:headEnd/>
                          <a:tailEnd/>
                        </a:ln>
                      </wps:spPr>
                      <wps:bodyPr wrap="square"/>
                    </wps:wsp>
                  </a:graphicData>
                </a:graphic>
                <wp14:sizeRelV relativeFrom="margin">
                  <wp14:pctHeight>0</wp14:pctHeight>
                </wp14:sizeRelV>
              </wp:anchor>
            </w:drawing>
          </mc:Choice>
          <mc:Fallback>
            <w:pict>
              <v:rect w14:anchorId="65D9C3AC" id="Rectangle 22" o:spid="_x0000_s1026" style="position:absolute;margin-left:104.2pt;margin-top:195.7pt;width:347.65pt;height:10.8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" stroked="f"/>
            </w:pict>
          </mc:Fallback>
        </mc:AlternateContent>
      </w:r>
      <w:r>
        <w:rPr>
          <w:noProof/>
        </w:rPr>
        <w:drawing>
          <wp:inline distT="0" distB="0" distL="0" distR="0" wp14:anchorId="301170DD" wp14:editId="682EBCD1">
            <wp:extent cx="6211570" cy="2638425"/>
            <wp:effectExtent l="0" t="0" r="0" b="9525"/>
            <wp:docPr id="4" name="Picture 4" descr="This bar graph shows standardised premium rates for the mining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bar graph shows standardised premium rates for the mining industry by jurisdiction, from 2015-16 to 2019-20, and a line indicating the Australian average for 2019-20. Please refer to body text for more informat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5305" cy="2640011"/>
                    </a:xfrm>
                    <a:prstGeom prst="rect">
                      <a:avLst/>
                    </a:prstGeom>
                    <a:noFill/>
                  </pic:spPr>
                </pic:pic>
              </a:graphicData>
            </a:graphic>
          </wp:inline>
        </w:drawing>
      </w:r>
      <w:r w:rsidR="00740915">
        <w:br w:type="page"/>
      </w:r>
    </w:p>
    <w:p w14:paraId="487B477D" w14:textId="557EF5EA" w:rsidR="007B4BFE" w:rsidRPr="00285B6A" w:rsidRDefault="007B4BFE" w:rsidP="00B101B1">
      <w:pPr>
        <w:pStyle w:val="Heading1"/>
        <w:spacing w:before="240" w:after="120"/>
      </w:pPr>
      <w:r w:rsidRPr="0023389D">
        <w:lastRenderedPageBreak/>
        <w:t>Manufacturing</w:t>
      </w:r>
      <w:bookmarkEnd w:id="26"/>
      <w:r w:rsidRPr="00285B6A">
        <w:t xml:space="preserve"> </w:t>
      </w:r>
    </w:p>
    <w:p w14:paraId="43F3642D" w14:textId="75C3D821" w:rsidR="00570D05" w:rsidRDefault="00570D05" w:rsidP="0001354B">
      <w:pPr>
        <w:pStyle w:val="BodyJustified"/>
        <w:numPr>
          <w:ilvl w:val="0"/>
          <w:numId w:val="19"/>
        </w:numPr>
        <w:ind w:left="709" w:hanging="425"/>
      </w:pPr>
      <w:r>
        <w:t xml:space="preserve">The Australian average </w:t>
      </w:r>
      <w:r w:rsidRPr="00CD63A1">
        <w:t xml:space="preserve">premium rate in the </w:t>
      </w:r>
      <w:r w:rsidRPr="00285B6A">
        <w:t>Manufacturing</w:t>
      </w:r>
      <w:r w:rsidRPr="00CD63A1">
        <w:t xml:space="preserve"> industry </w:t>
      </w:r>
      <w:r w:rsidR="00CD0645">
        <w:t xml:space="preserve">increased slightly </w:t>
      </w:r>
      <w:r w:rsidR="0030461F">
        <w:t xml:space="preserve">since the previous year </w:t>
      </w:r>
      <w:r w:rsidR="00CD0645">
        <w:t>to</w:t>
      </w:r>
      <w:r>
        <w:t xml:space="preserve"> 2.1</w:t>
      </w:r>
      <w:r w:rsidR="001152AF">
        <w:t>9</w:t>
      </w:r>
      <w:r>
        <w:t>% of payroll</w:t>
      </w:r>
      <w:r w:rsidR="005C7CC8">
        <w:t xml:space="preserve"> in 2019-20</w:t>
      </w:r>
      <w:r>
        <w:t>.</w:t>
      </w:r>
      <w:r w:rsidR="00762A68">
        <w:t xml:space="preserve"> </w:t>
      </w:r>
    </w:p>
    <w:p w14:paraId="33649876" w14:textId="77777777" w:rsidR="007459E7" w:rsidRDefault="007459E7" w:rsidP="007459E7">
      <w:pPr>
        <w:pStyle w:val="BodyJustified"/>
        <w:numPr>
          <w:ilvl w:val="0"/>
          <w:numId w:val="19"/>
        </w:numPr>
        <w:ind w:left="709" w:hanging="425"/>
      </w:pPr>
      <w:r>
        <w:t xml:space="preserve">Despite </w:t>
      </w:r>
      <w:r w:rsidRPr="00A72E48">
        <w:rPr>
          <w:b/>
          <w:bCs/>
          <w:color w:val="00518E"/>
        </w:rPr>
        <w:t>increasing by over 50%</w:t>
      </w:r>
      <w:r>
        <w:t xml:space="preserve"> from the previous financial year, Comcare’s premium rates for this industry (0.21% of payroll) were significantly lower than those of the remaining Australian jurisdictions. </w:t>
      </w:r>
    </w:p>
    <w:p w14:paraId="4BDE2CE6" w14:textId="452E8B21" w:rsidR="005C7CC8" w:rsidRDefault="00DC64CF" w:rsidP="00EB1E6E">
      <w:pPr>
        <w:pStyle w:val="BodyJustified"/>
        <w:numPr>
          <w:ilvl w:val="0"/>
          <w:numId w:val="19"/>
        </w:numPr>
        <w:ind w:left="709" w:hanging="425"/>
      </w:pPr>
      <w:r>
        <w:t xml:space="preserve">Apart from a </w:t>
      </w:r>
      <w:r w:rsidR="00D531B9" w:rsidRPr="00005704">
        <w:rPr>
          <w:b/>
          <w:bCs/>
          <w:color w:val="B94F25"/>
        </w:rPr>
        <w:t>2</w:t>
      </w:r>
      <w:r w:rsidR="00D531B9">
        <w:rPr>
          <w:b/>
          <w:bCs/>
          <w:color w:val="B94F25"/>
        </w:rPr>
        <w:t>9</w:t>
      </w:r>
      <w:r w:rsidR="00D531B9" w:rsidRPr="00005704">
        <w:rPr>
          <w:b/>
          <w:bCs/>
          <w:color w:val="B94F25"/>
        </w:rPr>
        <w:t>%</w:t>
      </w:r>
      <w:r w:rsidR="00D531B9">
        <w:rPr>
          <w:b/>
          <w:bCs/>
          <w:color w:val="B94F25"/>
        </w:rPr>
        <w:t xml:space="preserve"> decrease</w:t>
      </w:r>
      <w:r w:rsidRPr="00892DE7">
        <w:rPr>
          <w:color w:val="00518E"/>
        </w:rPr>
        <w:t xml:space="preserve"> </w:t>
      </w:r>
      <w:r>
        <w:t xml:space="preserve">in the </w:t>
      </w:r>
      <w:r w:rsidR="005C7CC8">
        <w:t xml:space="preserve">average </w:t>
      </w:r>
      <w:r>
        <w:t xml:space="preserve">premium </w:t>
      </w:r>
      <w:r w:rsidR="005C7CC8">
        <w:t xml:space="preserve">rate </w:t>
      </w:r>
      <w:r>
        <w:t xml:space="preserve">in </w:t>
      </w:r>
      <w:r w:rsidR="003A77F3">
        <w:t>South Australia</w:t>
      </w:r>
      <w:r w:rsidR="00B101B1">
        <w:t xml:space="preserve"> </w:t>
      </w:r>
      <w:r w:rsidR="005C7CC8">
        <w:t>(</w:t>
      </w:r>
      <w:r w:rsidR="003A77F3">
        <w:t>from 3.45</w:t>
      </w:r>
      <w:r w:rsidR="00D531B9">
        <w:t>% of payroll in 2015-16</w:t>
      </w:r>
      <w:r w:rsidR="003A77F3">
        <w:t xml:space="preserve"> to 2.45</w:t>
      </w:r>
      <w:r w:rsidR="00BF1F39">
        <w:t>% of payroll</w:t>
      </w:r>
      <w:r w:rsidR="00D531B9">
        <w:t xml:space="preserve"> in 2019-20</w:t>
      </w:r>
      <w:r w:rsidR="005C7CC8">
        <w:t>)</w:t>
      </w:r>
      <w:r>
        <w:t xml:space="preserve">, there </w:t>
      </w:r>
      <w:r w:rsidR="001332C9">
        <w:t>were</w:t>
      </w:r>
      <w:r>
        <w:t xml:space="preserve"> few notable changes in these rates in the </w:t>
      </w:r>
      <w:r w:rsidR="00A21824">
        <w:t>5</w:t>
      </w:r>
      <w:r w:rsidR="001152AF">
        <w:t> </w:t>
      </w:r>
      <w:r w:rsidR="00A21824">
        <w:t>year</w:t>
      </w:r>
      <w:r>
        <w:t xml:space="preserve"> reporting period.</w:t>
      </w:r>
      <w:r w:rsidR="001332C9">
        <w:t xml:space="preserve"> </w:t>
      </w:r>
    </w:p>
    <w:p w14:paraId="4EF3049E" w14:textId="6B380396" w:rsidR="00570D05" w:rsidRDefault="001332C9" w:rsidP="00270771">
      <w:pPr>
        <w:pStyle w:val="BodyJustified"/>
        <w:numPr>
          <w:ilvl w:val="0"/>
          <w:numId w:val="19"/>
        </w:numPr>
        <w:ind w:left="709" w:hanging="425"/>
      </w:pPr>
      <w:r>
        <w:t xml:space="preserve">Excluding Comcare and </w:t>
      </w:r>
      <w:r w:rsidR="00CE7AB3">
        <w:t>South Australia</w:t>
      </w:r>
      <w:r>
        <w:t xml:space="preserve">, the premium rates of the Manufacturing industry in the remaining Australian jurisdictions </w:t>
      </w:r>
      <w:r w:rsidR="00524F44">
        <w:t xml:space="preserve">vary </w:t>
      </w:r>
      <w:r>
        <w:t xml:space="preserve">less </w:t>
      </w:r>
      <w:r w:rsidRPr="00605A9B">
        <w:t>than 10%</w:t>
      </w:r>
      <w:r w:rsidR="00EB521B">
        <w:t xml:space="preserve"> since 2015-16</w:t>
      </w:r>
      <w:r>
        <w:t>.</w:t>
      </w:r>
    </w:p>
    <w:p w14:paraId="17185235" w14:textId="71145787" w:rsidR="000A2EDF" w:rsidRPr="00B94407" w:rsidRDefault="000A2EDF" w:rsidP="0001354B">
      <w:pPr>
        <w:pStyle w:val="BodyJustified"/>
        <w:numPr>
          <w:ilvl w:val="0"/>
          <w:numId w:val="19"/>
        </w:numPr>
        <w:ind w:left="709" w:hanging="425"/>
      </w:pPr>
      <w:r>
        <w:t xml:space="preserve">New Zealand had a premium rate of 0.64% of payroll in 2019-20, a </w:t>
      </w:r>
      <w:r w:rsidRPr="00005704">
        <w:rPr>
          <w:b/>
          <w:bCs/>
          <w:color w:val="B94F25"/>
        </w:rPr>
        <w:t>decrease of 2%</w:t>
      </w:r>
      <w:r>
        <w:t xml:space="preserve"> from the previous </w:t>
      </w:r>
      <w:r w:rsidR="0023389D">
        <w:t xml:space="preserve">financial </w:t>
      </w:r>
      <w:r>
        <w:t xml:space="preserve">year. </w:t>
      </w:r>
    </w:p>
    <w:p w14:paraId="4A0E06A2" w14:textId="0F73137A" w:rsidR="007B4BFE" w:rsidRPr="00376FAA" w:rsidRDefault="00535035" w:rsidP="00B101B1">
      <w:pPr>
        <w:pStyle w:val="SWASectionnumberingheading"/>
        <w:numPr>
          <w:ilvl w:val="0"/>
          <w:numId w:val="0"/>
        </w:numPr>
        <w:spacing w:before="120" w:after="60"/>
        <w:rPr>
          <w:sz w:val="20"/>
          <w:szCs w:val="20"/>
        </w:rPr>
      </w:pPr>
      <w:bookmarkStart w:id="27" w:name="_Toc80972069"/>
      <w:r w:rsidRPr="00376FAA">
        <w:rPr>
          <w:sz w:val="20"/>
          <w:szCs w:val="20"/>
        </w:rPr>
        <w:t>Indicator 14</w:t>
      </w:r>
      <w:r w:rsidR="007B4BFE" w:rsidRPr="00376FAA">
        <w:rPr>
          <w:sz w:val="20"/>
          <w:szCs w:val="20"/>
        </w:rPr>
        <w:t>c – Standardised premium rates for Manufacturing by jurisdiction</w:t>
      </w:r>
      <w:bookmarkEnd w:id="27"/>
    </w:p>
    <w:p w14:paraId="17214A46" w14:textId="549D075D" w:rsidR="0044769B" w:rsidRDefault="00BF789A" w:rsidP="00046D4A">
      <w:pPr>
        <w:spacing w:before="0" w:after="200" w:line="276" w:lineRule="auto"/>
        <w:jc w:val="center"/>
        <w:rPr>
          <w:rFonts w:ascii="Arial Bold" w:eastAsiaTheme="majorEastAsia" w:hAnsi="Arial Bold" w:cs="Arial"/>
          <w:b/>
          <w:noProof/>
          <w:kern w:val="32"/>
          <w:sz w:val="28"/>
          <w:szCs w:val="22"/>
        </w:rPr>
      </w:pPr>
      <w:r>
        <w:rPr>
          <w:rFonts w:ascii="Arial Bold" w:eastAsiaTheme="majorEastAsia" w:hAnsi="Arial Bold" w:cs="Arial"/>
          <w:b/>
          <w:noProof/>
          <w:kern w:val="32"/>
          <w:sz w:val="28"/>
          <w:szCs w:val="22"/>
        </w:rPr>
        <w:drawing>
          <wp:inline distT="0" distB="0" distL="0" distR="0" wp14:anchorId="0EC3FD4A" wp14:editId="7BDFE051">
            <wp:extent cx="6100083" cy="2332355"/>
            <wp:effectExtent l="0" t="0" r="0" b="0"/>
            <wp:docPr id="39" name="Picture 39" descr="This bar graph shows standardised premium rates for the manufacturing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his bar graph shows standardised premium rates for the manufacturing industry by jurisdiction, from 2015-16 to 2019-20, and a line indicating the Australian average for 2019-20. Please refer to body text for more informa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8109" cy="2339247"/>
                    </a:xfrm>
                    <a:prstGeom prst="rect">
                      <a:avLst/>
                    </a:prstGeom>
                    <a:noFill/>
                  </pic:spPr>
                </pic:pic>
              </a:graphicData>
            </a:graphic>
          </wp:inline>
        </w:drawing>
      </w:r>
    </w:p>
    <w:p w14:paraId="4C6E8A4D" w14:textId="77777777" w:rsidR="00E3379D" w:rsidRDefault="00E3379D">
      <w:pPr>
        <w:spacing w:before="0" w:after="200" w:line="276" w:lineRule="auto"/>
        <w:jc w:val="left"/>
        <w:rPr>
          <w:rFonts w:ascii="Arial Bold" w:eastAsiaTheme="majorEastAsia" w:hAnsi="Arial Bold" w:cs="Arial"/>
          <w:b/>
          <w:noProof/>
          <w:kern w:val="32"/>
          <w:sz w:val="28"/>
          <w:szCs w:val="22"/>
        </w:rPr>
      </w:pPr>
      <w:bookmarkStart w:id="28" w:name="_Toc80289677"/>
      <w:r>
        <w:rPr>
          <w:noProof/>
        </w:rPr>
        <w:br w:type="page"/>
      </w:r>
    </w:p>
    <w:p w14:paraId="732B159A" w14:textId="7411080B" w:rsidR="007B4BFE" w:rsidRPr="00285B6A" w:rsidRDefault="007B4BFE" w:rsidP="007C5673">
      <w:pPr>
        <w:pStyle w:val="Heading1"/>
        <w:keepLines/>
        <w:spacing w:before="240"/>
      </w:pPr>
      <w:r w:rsidRPr="00285B6A">
        <w:rPr>
          <w:noProof/>
        </w:rPr>
        <w:lastRenderedPageBreak/>
        <w:t>Electricity, gas</w:t>
      </w:r>
      <w:r w:rsidR="00592E49">
        <w:rPr>
          <w:noProof/>
        </w:rPr>
        <w:t>,</w:t>
      </w:r>
      <w:r w:rsidRPr="00285B6A">
        <w:rPr>
          <w:noProof/>
        </w:rPr>
        <w:t xml:space="preserve"> water</w:t>
      </w:r>
      <w:r w:rsidR="00592E49">
        <w:rPr>
          <w:noProof/>
        </w:rPr>
        <w:t xml:space="preserve"> and waste services</w:t>
      </w:r>
      <w:bookmarkEnd w:id="28"/>
      <w:r w:rsidRPr="00285B6A">
        <w:t xml:space="preserve"> </w:t>
      </w:r>
    </w:p>
    <w:p w14:paraId="2D1BD032" w14:textId="6AE8DADB" w:rsidR="00CD63A1" w:rsidRDefault="00570D05" w:rsidP="0001354B">
      <w:pPr>
        <w:pStyle w:val="BodyJustified"/>
        <w:numPr>
          <w:ilvl w:val="0"/>
          <w:numId w:val="14"/>
        </w:numPr>
        <w:ind w:left="709" w:hanging="425"/>
      </w:pPr>
      <w:r>
        <w:t>T</w:t>
      </w:r>
      <w:r w:rsidR="00CD63A1">
        <w:t xml:space="preserve">he Australian average </w:t>
      </w:r>
      <w:r w:rsidR="00CD63A1" w:rsidRPr="00CD63A1">
        <w:t xml:space="preserve">premium rate in the Electricity, gas, water and waste services industry </w:t>
      </w:r>
      <w:r w:rsidR="00BF1F39">
        <w:t>was</w:t>
      </w:r>
      <w:r w:rsidR="00CD63A1">
        <w:t xml:space="preserve"> 1.</w:t>
      </w:r>
      <w:r w:rsidR="0093345A">
        <w:t>22</w:t>
      </w:r>
      <w:r w:rsidR="00CD63A1">
        <w:t>% of payroll</w:t>
      </w:r>
      <w:r w:rsidR="00BF1F39">
        <w:t xml:space="preserve"> in the 2019-20 financial year, largely unchanging throughout the 5</w:t>
      </w:r>
      <w:r w:rsidR="005C7CC8">
        <w:t xml:space="preserve"> </w:t>
      </w:r>
      <w:r w:rsidR="00BF1F39">
        <w:t>year period.</w:t>
      </w:r>
    </w:p>
    <w:p w14:paraId="50842BDB" w14:textId="093B6307" w:rsidR="00CD63A1" w:rsidRDefault="00723EB4" w:rsidP="0001354B">
      <w:pPr>
        <w:pStyle w:val="BodyJustified"/>
        <w:numPr>
          <w:ilvl w:val="0"/>
          <w:numId w:val="14"/>
        </w:numPr>
        <w:ind w:left="709" w:hanging="425"/>
      </w:pPr>
      <w:r>
        <w:t xml:space="preserve">All but </w:t>
      </w:r>
      <w:r w:rsidR="005C7CC8">
        <w:t>3</w:t>
      </w:r>
      <w:r w:rsidR="0010496A">
        <w:t xml:space="preserve"> jurisdictions recorded </w:t>
      </w:r>
      <w:r>
        <w:t xml:space="preserve">slight </w:t>
      </w:r>
      <w:r w:rsidR="0010496A">
        <w:t>decreases in their average premium rates in 201</w:t>
      </w:r>
      <w:r>
        <w:t>9-20</w:t>
      </w:r>
      <w:r w:rsidR="0010496A">
        <w:t xml:space="preserve"> compared to the previous </w:t>
      </w:r>
      <w:r w:rsidR="0023389D">
        <w:t xml:space="preserve">financial </w:t>
      </w:r>
      <w:r w:rsidR="0010496A">
        <w:t>year</w:t>
      </w:r>
      <w:r w:rsidR="00CD63A1">
        <w:t>.</w:t>
      </w:r>
    </w:p>
    <w:p w14:paraId="56E89B4C" w14:textId="41F65F28" w:rsidR="0044769B" w:rsidRDefault="0010496A" w:rsidP="0001354B">
      <w:pPr>
        <w:pStyle w:val="BodyJustified"/>
        <w:numPr>
          <w:ilvl w:val="0"/>
          <w:numId w:val="14"/>
        </w:numPr>
        <w:ind w:left="709" w:hanging="425"/>
      </w:pPr>
      <w:bookmarkStart w:id="29" w:name="_Hlk79761658"/>
      <w:r>
        <w:t xml:space="preserve">The </w:t>
      </w:r>
      <w:r w:rsidR="00723EB4">
        <w:t xml:space="preserve">Australian Capital Territory </w:t>
      </w:r>
      <w:bookmarkEnd w:id="29"/>
      <w:r w:rsidR="00B101B1">
        <w:t xml:space="preserve">(Private) </w:t>
      </w:r>
      <w:r w:rsidR="00723EB4">
        <w:t xml:space="preserve">and Comcare experienced large </w:t>
      </w:r>
      <w:r w:rsidR="00723EB4" w:rsidRPr="00C67827">
        <w:rPr>
          <w:b/>
          <w:bCs/>
          <w:color w:val="00518E"/>
        </w:rPr>
        <w:t xml:space="preserve">increases of 20% and </w:t>
      </w:r>
      <w:r w:rsidR="00AA7523" w:rsidRPr="00C67827">
        <w:rPr>
          <w:b/>
          <w:bCs/>
          <w:color w:val="00518E"/>
        </w:rPr>
        <w:t>1</w:t>
      </w:r>
      <w:r w:rsidR="009D31AD" w:rsidRPr="00C67827">
        <w:rPr>
          <w:b/>
          <w:bCs/>
          <w:color w:val="00518E"/>
        </w:rPr>
        <w:t>1</w:t>
      </w:r>
      <w:r w:rsidR="002F04C2" w:rsidRPr="00C67827">
        <w:rPr>
          <w:b/>
          <w:bCs/>
          <w:color w:val="00518E"/>
        </w:rPr>
        <w:t>%</w:t>
      </w:r>
      <w:r w:rsidR="00723EB4">
        <w:t xml:space="preserve"> respectively, with the </w:t>
      </w:r>
      <w:r w:rsidR="005C7CC8">
        <w:t xml:space="preserve">Australia Capital Territory </w:t>
      </w:r>
      <w:r w:rsidR="00BF1F39">
        <w:t xml:space="preserve">recording </w:t>
      </w:r>
      <w:r w:rsidR="00723EB4">
        <w:t>the highest premium rate of the Australian jurisdictions o</w:t>
      </w:r>
      <w:r w:rsidR="00CD63A1">
        <w:t>f</w:t>
      </w:r>
      <w:r w:rsidR="00723EB4">
        <w:t xml:space="preserve"> 2.62% of payroll</w:t>
      </w:r>
      <w:r w:rsidR="00CD63A1">
        <w:t>.</w:t>
      </w:r>
    </w:p>
    <w:p w14:paraId="20A8ED4E" w14:textId="1F0A03AB" w:rsidR="00CD63A1" w:rsidRPr="00CD63A1" w:rsidRDefault="00564A78" w:rsidP="0001354B">
      <w:pPr>
        <w:pStyle w:val="BodyJustified"/>
        <w:numPr>
          <w:ilvl w:val="0"/>
          <w:numId w:val="14"/>
        </w:numPr>
        <w:ind w:left="709" w:hanging="425"/>
      </w:pPr>
      <w:r>
        <w:t>The Northern Territory</w:t>
      </w:r>
      <w:r w:rsidR="005C7CC8">
        <w:t xml:space="preserve"> </w:t>
      </w:r>
      <w:r w:rsidR="00CD63A1" w:rsidRPr="00CD63A1">
        <w:t>ha</w:t>
      </w:r>
      <w:r w:rsidR="00DE4F2C">
        <w:t>d</w:t>
      </w:r>
      <w:r w:rsidR="00CD63A1" w:rsidRPr="00CD63A1">
        <w:t xml:space="preserve"> the lowest </w:t>
      </w:r>
      <w:bookmarkStart w:id="30" w:name="_Hlk80197059"/>
      <w:r w:rsidR="00CD63A1" w:rsidRPr="00CD63A1">
        <w:t xml:space="preserve">premium rate in </w:t>
      </w:r>
      <w:bookmarkEnd w:id="30"/>
      <w:r w:rsidR="00F9415A">
        <w:t xml:space="preserve">this industry </w:t>
      </w:r>
      <w:r w:rsidR="00CD63A1" w:rsidRPr="00CD63A1">
        <w:t xml:space="preserve">at </w:t>
      </w:r>
      <w:r w:rsidR="00CD63A1">
        <w:t>0.6</w:t>
      </w:r>
      <w:r>
        <w:t>7</w:t>
      </w:r>
      <w:r w:rsidR="00CD63A1" w:rsidRPr="00CD63A1">
        <w:t>% of payroll</w:t>
      </w:r>
      <w:r w:rsidR="00BF1F39">
        <w:t>,</w:t>
      </w:r>
      <w:r w:rsidR="00CD63A1">
        <w:t xml:space="preserve"> followed closely by </w:t>
      </w:r>
      <w:r>
        <w:t>Western Australia</w:t>
      </w:r>
      <w:r w:rsidR="00CD63A1">
        <w:t xml:space="preserve"> at 0.</w:t>
      </w:r>
      <w:r>
        <w:t>80</w:t>
      </w:r>
      <w:r w:rsidR="00CD63A1">
        <w:t>%</w:t>
      </w:r>
      <w:r w:rsidR="005C7CC8">
        <w:t>.</w:t>
      </w:r>
    </w:p>
    <w:p w14:paraId="349A913F" w14:textId="41B23FFE" w:rsidR="007B4BFE" w:rsidRPr="00B94407" w:rsidRDefault="007B4BFE" w:rsidP="0001354B">
      <w:pPr>
        <w:pStyle w:val="BodyJustified"/>
        <w:numPr>
          <w:ilvl w:val="0"/>
          <w:numId w:val="14"/>
        </w:numPr>
        <w:ind w:left="709" w:hanging="425"/>
      </w:pPr>
      <w:r>
        <w:t xml:space="preserve">New Zealand had a premium rate of </w:t>
      </w:r>
      <w:r w:rsidR="007C2AE9">
        <w:t>0.</w:t>
      </w:r>
      <w:r w:rsidR="00FA2DDD">
        <w:t>62</w:t>
      </w:r>
      <w:r w:rsidR="000B150E">
        <w:t>%</w:t>
      </w:r>
      <w:r>
        <w:t xml:space="preserve"> of payroll in </w:t>
      </w:r>
      <w:r w:rsidR="00FA2DDD">
        <w:t>2019-20</w:t>
      </w:r>
      <w:r>
        <w:t>, a</w:t>
      </w:r>
      <w:r w:rsidR="003B3565">
        <w:t>n</w:t>
      </w:r>
      <w:r w:rsidR="00895634">
        <w:t xml:space="preserve"> </w:t>
      </w:r>
      <w:r w:rsidR="003B3565" w:rsidRPr="00C67827">
        <w:rPr>
          <w:b/>
          <w:bCs/>
          <w:color w:val="00518E"/>
        </w:rPr>
        <w:t xml:space="preserve">increase </w:t>
      </w:r>
      <w:r w:rsidRPr="00C67827">
        <w:rPr>
          <w:b/>
          <w:bCs/>
          <w:color w:val="00518E"/>
        </w:rPr>
        <w:t xml:space="preserve">of </w:t>
      </w:r>
      <w:r w:rsidR="003B3565" w:rsidRPr="00C67827">
        <w:rPr>
          <w:b/>
          <w:bCs/>
          <w:color w:val="00518E"/>
        </w:rPr>
        <w:t>4</w:t>
      </w:r>
      <w:r w:rsidR="000B150E" w:rsidRPr="00C67827">
        <w:rPr>
          <w:b/>
          <w:bCs/>
          <w:color w:val="00518E"/>
        </w:rPr>
        <w:t>%</w:t>
      </w:r>
      <w:r>
        <w:t xml:space="preserve"> from the previous </w:t>
      </w:r>
      <w:r w:rsidR="0023389D">
        <w:t xml:space="preserve">financial </w:t>
      </w:r>
      <w:r>
        <w:t xml:space="preserve">year. </w:t>
      </w:r>
    </w:p>
    <w:p w14:paraId="28C2E12D" w14:textId="2AC4D745" w:rsidR="007B4BFE" w:rsidRPr="00376FAA" w:rsidRDefault="00535035" w:rsidP="007C5673">
      <w:pPr>
        <w:pStyle w:val="SWASectionnumberingheading"/>
        <w:numPr>
          <w:ilvl w:val="0"/>
          <w:numId w:val="0"/>
        </w:numPr>
        <w:spacing w:before="240"/>
        <w:rPr>
          <w:sz w:val="20"/>
          <w:szCs w:val="20"/>
        </w:rPr>
      </w:pPr>
      <w:bookmarkStart w:id="31" w:name="_Toc80972070"/>
      <w:r w:rsidRPr="00376FAA">
        <w:rPr>
          <w:sz w:val="20"/>
          <w:szCs w:val="20"/>
        </w:rPr>
        <w:t>Indicator 14</w:t>
      </w:r>
      <w:r w:rsidR="007B4BFE" w:rsidRPr="00376FAA">
        <w:rPr>
          <w:sz w:val="20"/>
          <w:szCs w:val="20"/>
        </w:rPr>
        <w:t xml:space="preserve">d – Standardised premium rates for </w:t>
      </w:r>
      <w:r w:rsidR="00884561" w:rsidRPr="00376FAA">
        <w:rPr>
          <w:sz w:val="20"/>
          <w:szCs w:val="20"/>
        </w:rPr>
        <w:t>Electricity, gas</w:t>
      </w:r>
      <w:r w:rsidR="00047378" w:rsidRPr="00376FAA">
        <w:rPr>
          <w:sz w:val="20"/>
          <w:szCs w:val="20"/>
        </w:rPr>
        <w:t>,</w:t>
      </w:r>
      <w:r w:rsidR="007B4BFE" w:rsidRPr="00376FAA">
        <w:rPr>
          <w:sz w:val="20"/>
          <w:szCs w:val="20"/>
        </w:rPr>
        <w:t xml:space="preserve"> water</w:t>
      </w:r>
      <w:r w:rsidR="00047378" w:rsidRPr="00376FAA">
        <w:rPr>
          <w:sz w:val="20"/>
          <w:szCs w:val="20"/>
        </w:rPr>
        <w:t xml:space="preserve"> and waste services by</w:t>
      </w:r>
      <w:r w:rsidR="007B4BFE" w:rsidRPr="00376FAA">
        <w:rPr>
          <w:sz w:val="20"/>
          <w:szCs w:val="20"/>
        </w:rPr>
        <w:t xml:space="preserve"> jurisdiction</w:t>
      </w:r>
      <w:bookmarkEnd w:id="31"/>
    </w:p>
    <w:p w14:paraId="7731E4E0" w14:textId="7C71E600" w:rsidR="007240E7" w:rsidRPr="00484319" w:rsidRDefault="00BF789A" w:rsidP="00246D62">
      <w:pPr>
        <w:jc w:val="center"/>
        <w:rPr>
          <w:lang w:val="en-GB"/>
        </w:rPr>
      </w:pPr>
      <w:r>
        <w:rPr>
          <w:noProof/>
          <w:lang w:val="en-GB"/>
        </w:rPr>
        <w:drawing>
          <wp:inline distT="0" distB="0" distL="0" distR="0" wp14:anchorId="51811DE0" wp14:editId="3DBF8315">
            <wp:extent cx="6203102" cy="2397760"/>
            <wp:effectExtent l="0" t="0" r="7620" b="2540"/>
            <wp:docPr id="40" name="Picture 40" descr="This bar graph shows standardised premium rates for the electricity, gas, water and waste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This bar graph shows standardised premium rates for the electricity, gas, water and waste services industry by jurisdiction, from 2015-16 to 2019-20, and a line indicating the Australian average for 2019-20. Please refer to body text for more inform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33711" cy="2409592"/>
                    </a:xfrm>
                    <a:prstGeom prst="rect">
                      <a:avLst/>
                    </a:prstGeom>
                    <a:noFill/>
                  </pic:spPr>
                </pic:pic>
              </a:graphicData>
            </a:graphic>
          </wp:inline>
        </w:drawing>
      </w:r>
    </w:p>
    <w:p w14:paraId="1E699ACC" w14:textId="77777777" w:rsidR="00A24F7A" w:rsidRDefault="00A24F7A">
      <w:pPr>
        <w:spacing w:before="0" w:after="200" w:line="276" w:lineRule="auto"/>
        <w:jc w:val="left"/>
        <w:rPr>
          <w:rFonts w:ascii="Arial Bold" w:eastAsiaTheme="majorEastAsia" w:hAnsi="Arial Bold" w:cs="Arial"/>
          <w:b/>
          <w:kern w:val="32"/>
          <w:sz w:val="28"/>
          <w:szCs w:val="22"/>
        </w:rPr>
      </w:pPr>
      <w:bookmarkStart w:id="32" w:name="_Toc80289678"/>
      <w:r>
        <w:br w:type="page"/>
      </w:r>
    </w:p>
    <w:p w14:paraId="79191532" w14:textId="3EC81F67" w:rsidR="007B4BFE" w:rsidRPr="00285B6A" w:rsidRDefault="007B4BFE" w:rsidP="007C5673">
      <w:pPr>
        <w:pStyle w:val="Heading1"/>
        <w:spacing w:before="240"/>
      </w:pPr>
      <w:r w:rsidRPr="00285B6A">
        <w:lastRenderedPageBreak/>
        <w:t>Construction</w:t>
      </w:r>
      <w:bookmarkEnd w:id="32"/>
      <w:r w:rsidRPr="00285B6A">
        <w:t xml:space="preserve"> </w:t>
      </w:r>
    </w:p>
    <w:p w14:paraId="50FDD7A0" w14:textId="5AD0FFB8" w:rsidR="00CD63A1" w:rsidRDefault="00CD63A1" w:rsidP="0001354B">
      <w:pPr>
        <w:pStyle w:val="BodyJustified"/>
        <w:numPr>
          <w:ilvl w:val="0"/>
          <w:numId w:val="15"/>
        </w:numPr>
        <w:ind w:left="709" w:hanging="425"/>
      </w:pPr>
      <w:r>
        <w:t xml:space="preserve">The Australian average premium rate in the </w:t>
      </w:r>
      <w:r w:rsidRPr="00CD63A1">
        <w:t>Construction industry</w:t>
      </w:r>
      <w:r>
        <w:t xml:space="preserve"> </w:t>
      </w:r>
      <w:r w:rsidR="00BF1F39">
        <w:t>rose</w:t>
      </w:r>
      <w:r>
        <w:t xml:space="preserve"> steadily over the p</w:t>
      </w:r>
      <w:r w:rsidR="00BF1F39">
        <w:t>revious</w:t>
      </w:r>
      <w:r>
        <w:t xml:space="preserve"> 5</w:t>
      </w:r>
      <w:r w:rsidR="000A2EDF">
        <w:t xml:space="preserve"> </w:t>
      </w:r>
      <w:r>
        <w:t xml:space="preserve">years </w:t>
      </w:r>
      <w:r w:rsidR="00BF1F39">
        <w:t>to</w:t>
      </w:r>
      <w:r>
        <w:t xml:space="preserve"> 2.2</w:t>
      </w:r>
      <w:r w:rsidR="000A2EDF">
        <w:t>0</w:t>
      </w:r>
      <w:r>
        <w:t>% of payroll</w:t>
      </w:r>
      <w:r w:rsidR="0023389D">
        <w:t xml:space="preserve"> in 2019-20</w:t>
      </w:r>
      <w:r w:rsidR="00BF1F39">
        <w:t>.</w:t>
      </w:r>
    </w:p>
    <w:p w14:paraId="2B34F72A" w14:textId="3B5DB0B7" w:rsidR="00CD63A1" w:rsidRDefault="00F20562" w:rsidP="0001354B">
      <w:pPr>
        <w:pStyle w:val="BodyJustified"/>
        <w:numPr>
          <w:ilvl w:val="0"/>
          <w:numId w:val="15"/>
        </w:numPr>
        <w:ind w:left="709" w:hanging="425"/>
      </w:pPr>
      <w:r>
        <w:t xml:space="preserve">Comcare premium rates for </w:t>
      </w:r>
      <w:r w:rsidR="00F9415A">
        <w:t xml:space="preserve">this </w:t>
      </w:r>
      <w:r>
        <w:t xml:space="preserve">industry rose </w:t>
      </w:r>
      <w:r w:rsidR="009D31AD">
        <w:t xml:space="preserve">in 2019-20 </w:t>
      </w:r>
      <w:r>
        <w:t>to 0.24% of payroll</w:t>
      </w:r>
      <w:r w:rsidR="009D31AD">
        <w:t>,</w:t>
      </w:r>
      <w:r>
        <w:t xml:space="preserve"> from a previous low of 0.05%</w:t>
      </w:r>
      <w:r w:rsidR="000A2EDF">
        <w:t xml:space="preserve"> in 201</w:t>
      </w:r>
      <w:r w:rsidR="007B3293">
        <w:t>8</w:t>
      </w:r>
      <w:r w:rsidR="000A2EDF">
        <w:t>-</w:t>
      </w:r>
      <w:r w:rsidR="007B3293">
        <w:t>19</w:t>
      </w:r>
      <w:r>
        <w:t xml:space="preserve">. </w:t>
      </w:r>
    </w:p>
    <w:p w14:paraId="15E76E1D" w14:textId="5923744B" w:rsidR="00CD63A1" w:rsidRDefault="009578D8" w:rsidP="0001354B">
      <w:pPr>
        <w:pStyle w:val="BodyJustified"/>
        <w:numPr>
          <w:ilvl w:val="0"/>
          <w:numId w:val="15"/>
        </w:numPr>
        <w:ind w:left="709" w:hanging="425"/>
      </w:pPr>
      <w:r>
        <w:t xml:space="preserve">The </w:t>
      </w:r>
      <w:r w:rsidR="000A2EDF">
        <w:t xml:space="preserve">average premium rate </w:t>
      </w:r>
      <w:r>
        <w:t xml:space="preserve">Northern Territory </w:t>
      </w:r>
      <w:r w:rsidRPr="00896996">
        <w:rPr>
          <w:b/>
          <w:bCs/>
          <w:color w:val="00518E"/>
        </w:rPr>
        <w:t>increased by 11%</w:t>
      </w:r>
      <w:r>
        <w:t xml:space="preserve"> </w:t>
      </w:r>
      <w:r w:rsidR="000A2EDF">
        <w:t xml:space="preserve">since 2018-19, </w:t>
      </w:r>
      <w:r>
        <w:t xml:space="preserve">to </w:t>
      </w:r>
      <w:r w:rsidR="000A2EDF">
        <w:t xml:space="preserve">be </w:t>
      </w:r>
      <w:r>
        <w:t xml:space="preserve">2.39% of payroll. </w:t>
      </w:r>
    </w:p>
    <w:p w14:paraId="524F297B" w14:textId="2936B39C" w:rsidR="0044769B" w:rsidRDefault="00F20562" w:rsidP="0001354B">
      <w:pPr>
        <w:pStyle w:val="BodyJustified"/>
        <w:numPr>
          <w:ilvl w:val="0"/>
          <w:numId w:val="15"/>
        </w:numPr>
        <w:ind w:left="709" w:hanging="425"/>
      </w:pPr>
      <w:r>
        <w:t>The remainder of the</w:t>
      </w:r>
      <w:r w:rsidR="009578D8">
        <w:t xml:space="preserve"> Australian jurisdictions experienced minor changes </w:t>
      </w:r>
      <w:r w:rsidR="009578D8" w:rsidRPr="00605A9B">
        <w:t xml:space="preserve">of </w:t>
      </w:r>
      <w:r w:rsidR="00BD38E6" w:rsidRPr="00605A9B">
        <w:t xml:space="preserve">less than </w:t>
      </w:r>
      <w:r w:rsidR="009578D8" w:rsidRPr="00605A9B">
        <w:t>5%.</w:t>
      </w:r>
    </w:p>
    <w:p w14:paraId="41F73983" w14:textId="589EE38F" w:rsidR="007B4BFE" w:rsidRDefault="007B4BFE" w:rsidP="0001354B">
      <w:pPr>
        <w:pStyle w:val="BodyJustified"/>
        <w:numPr>
          <w:ilvl w:val="0"/>
          <w:numId w:val="15"/>
        </w:numPr>
        <w:ind w:left="709" w:hanging="425"/>
      </w:pPr>
      <w:r>
        <w:t>New Zealand recorded a</w:t>
      </w:r>
      <w:r w:rsidR="00C01B18">
        <w:t>n average premium rate of 1.</w:t>
      </w:r>
      <w:r w:rsidR="00F20562">
        <w:t>25</w:t>
      </w:r>
      <w:r w:rsidR="000B150E">
        <w:t>%</w:t>
      </w:r>
      <w:r w:rsidR="00C01B18">
        <w:t xml:space="preserve"> of payroll</w:t>
      </w:r>
      <w:r>
        <w:t xml:space="preserve"> in </w:t>
      </w:r>
      <w:r w:rsidR="00F20562">
        <w:t>2019-20</w:t>
      </w:r>
      <w:r w:rsidR="00BC3FD5">
        <w:t xml:space="preserve">, </w:t>
      </w:r>
      <w:r w:rsidR="00F20562">
        <w:t xml:space="preserve">a </w:t>
      </w:r>
      <w:r w:rsidR="00F20562" w:rsidRPr="00C71B6A">
        <w:rPr>
          <w:b/>
          <w:bCs/>
          <w:color w:val="B94F25"/>
        </w:rPr>
        <w:t>reduction</w:t>
      </w:r>
      <w:r w:rsidR="00362846">
        <w:rPr>
          <w:b/>
          <w:bCs/>
          <w:color w:val="B94F25"/>
        </w:rPr>
        <w:t> </w:t>
      </w:r>
      <w:r w:rsidR="00F20562" w:rsidRPr="00C71B6A">
        <w:rPr>
          <w:b/>
          <w:bCs/>
          <w:color w:val="B94F25"/>
        </w:rPr>
        <w:t>of</w:t>
      </w:r>
      <w:r w:rsidR="00362846">
        <w:rPr>
          <w:b/>
          <w:bCs/>
          <w:color w:val="B94F25"/>
        </w:rPr>
        <w:t> </w:t>
      </w:r>
      <w:r w:rsidR="00F20562" w:rsidRPr="00C71B6A">
        <w:rPr>
          <w:b/>
          <w:bCs/>
          <w:color w:val="B94F25"/>
        </w:rPr>
        <w:t>6%</w:t>
      </w:r>
      <w:r w:rsidR="00F20562">
        <w:t xml:space="preserve"> from the previous financial year.</w:t>
      </w:r>
    </w:p>
    <w:p w14:paraId="44662AA9" w14:textId="2C713564" w:rsidR="007B4BFE" w:rsidRPr="00376FAA" w:rsidRDefault="00535035" w:rsidP="007C5673">
      <w:pPr>
        <w:pStyle w:val="SWASectionnumberingheading"/>
        <w:numPr>
          <w:ilvl w:val="0"/>
          <w:numId w:val="0"/>
        </w:numPr>
        <w:spacing w:before="240"/>
        <w:rPr>
          <w:sz w:val="20"/>
          <w:szCs w:val="20"/>
        </w:rPr>
      </w:pPr>
      <w:bookmarkStart w:id="33" w:name="_Toc80972071"/>
      <w:r w:rsidRPr="00376FAA">
        <w:rPr>
          <w:sz w:val="20"/>
          <w:szCs w:val="20"/>
        </w:rPr>
        <w:t>Indicator 14</w:t>
      </w:r>
      <w:r w:rsidR="007B4BFE" w:rsidRPr="00376FAA">
        <w:rPr>
          <w:sz w:val="20"/>
          <w:szCs w:val="20"/>
        </w:rPr>
        <w:t xml:space="preserve">e – Standardised premium rates for Construction by </w:t>
      </w:r>
      <w:r w:rsidR="001D69AD" w:rsidRPr="00376FAA">
        <w:rPr>
          <w:sz w:val="20"/>
          <w:szCs w:val="20"/>
        </w:rPr>
        <w:t>jurisdiction</w:t>
      </w:r>
      <w:bookmarkEnd w:id="33"/>
    </w:p>
    <w:p w14:paraId="1E7F6798" w14:textId="0D815D85" w:rsidR="00EA40EE" w:rsidRDefault="000D29EE" w:rsidP="007B4BFE">
      <w:pPr>
        <w:jc w:val="center"/>
        <w:rPr>
          <w:lang w:val="en-GB"/>
        </w:rPr>
      </w:pPr>
      <w:r>
        <w:rPr>
          <w:noProof/>
        </w:rPr>
        <mc:AlternateContent>
          <mc:Choice Requires="wps">
            <w:drawing>
              <wp:anchor distT="0" distB="0" distL="114300" distR="114300" simplePos="0" relativeHeight="251672576" behindDoc="0" locked="0" layoutInCell="1" allowOverlap="1" wp14:anchorId="3213542E" wp14:editId="67E3A6A4">
                <wp:simplePos x="0" y="0"/>
                <wp:positionH relativeFrom="column">
                  <wp:posOffset>1238250</wp:posOffset>
                </wp:positionH>
                <wp:positionV relativeFrom="paragraph">
                  <wp:posOffset>2609215</wp:posOffset>
                </wp:positionV>
                <wp:extent cx="4415342" cy="145453"/>
                <wp:effectExtent l="0" t="0" r="4445" b="6985"/>
                <wp:wrapNone/>
                <wp:docPr id="26" name="Rectangle 25">
                  <a:extLst xmlns:a="http://schemas.openxmlformats.org/drawingml/2006/main">
                    <a:ext uri="{FF2B5EF4-FFF2-40B4-BE49-F238E27FC236}">
                      <a16:creationId xmlns:a16="http://schemas.microsoft.com/office/drawing/2014/main" id="{C2AF9168-1E40-4751-9760-67CCCFF300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15342" cy="145453"/>
                        </a:xfrm>
                        <a:prstGeom prst="rect">
                          <a:avLst/>
                        </a:prstGeom>
                        <a:solidFill>
                          <a:srgbClr val="FFFFFF"/>
                        </a:solidFill>
                        <a:ln w="9525">
                          <a:noFill/>
                          <a:miter lim="800000"/>
                          <a:headEnd/>
                          <a:tailEnd/>
                        </a:ln>
                      </wps:spPr>
                      <wps:bodyPr wrap="square"/>
                    </wps:wsp>
                  </a:graphicData>
                </a:graphic>
              </wp:anchor>
            </w:drawing>
          </mc:Choice>
          <mc:Fallback>
            <w:pict>
              <v:rect w14:anchorId="206EA96E" id="Rectangle 25" o:spid="_x0000_s1026" style="position:absolute;margin-left:97.5pt;margin-top:205.45pt;width:347.65pt;height:11.45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" stroked="f"/>
            </w:pict>
          </mc:Fallback>
        </mc:AlternateContent>
      </w:r>
      <w:r w:rsidR="00BF789A">
        <w:rPr>
          <w:noProof/>
          <w:lang w:val="en-GB"/>
        </w:rPr>
        <w:drawing>
          <wp:inline distT="0" distB="0" distL="0" distR="0" wp14:anchorId="691E082A" wp14:editId="746115EB">
            <wp:extent cx="6253360" cy="2439035"/>
            <wp:effectExtent l="0" t="0" r="0" b="0"/>
            <wp:docPr id="42" name="Picture 42" descr="This bar graph shows standardised premium rates for the construction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is bar graph shows standardised premium rates for the construction industry by jurisdiction, from 2015-16 to 2019-20, and a line indicating the Australian average for 2019-20. Please refer to body text for more informati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3825" cy="2443117"/>
                    </a:xfrm>
                    <a:prstGeom prst="rect">
                      <a:avLst/>
                    </a:prstGeom>
                    <a:noFill/>
                  </pic:spPr>
                </pic:pic>
              </a:graphicData>
            </a:graphic>
          </wp:inline>
        </w:drawing>
      </w:r>
    </w:p>
    <w:p w14:paraId="26228512" w14:textId="77777777" w:rsidR="000D29EE" w:rsidRDefault="000D29EE">
      <w:pPr>
        <w:spacing w:before="0" w:after="200" w:line="276" w:lineRule="auto"/>
        <w:jc w:val="left"/>
        <w:rPr>
          <w:rFonts w:ascii="Arial Bold" w:eastAsiaTheme="majorEastAsia" w:hAnsi="Arial Bold" w:cs="Arial"/>
          <w:b/>
          <w:kern w:val="32"/>
          <w:sz w:val="28"/>
          <w:szCs w:val="22"/>
        </w:rPr>
      </w:pPr>
      <w:bookmarkStart w:id="34" w:name="_Toc80289679"/>
      <w:r>
        <w:br w:type="page"/>
      </w:r>
    </w:p>
    <w:p w14:paraId="18B5EFAA" w14:textId="1649BE9F" w:rsidR="007B4BFE" w:rsidRPr="00285B6A" w:rsidRDefault="007B4BFE" w:rsidP="007C5673">
      <w:pPr>
        <w:pStyle w:val="Heading1"/>
        <w:keepLines/>
        <w:spacing w:before="240"/>
      </w:pPr>
      <w:r w:rsidRPr="00285B6A">
        <w:lastRenderedPageBreak/>
        <w:t>Wholesale trade</w:t>
      </w:r>
      <w:bookmarkEnd w:id="34"/>
      <w:r w:rsidRPr="00285B6A">
        <w:t xml:space="preserve"> </w:t>
      </w:r>
    </w:p>
    <w:p w14:paraId="18A86ABA" w14:textId="604A3292" w:rsidR="00CD63A1" w:rsidRDefault="002269C9" w:rsidP="0001354B">
      <w:pPr>
        <w:pStyle w:val="BodyJustified"/>
        <w:numPr>
          <w:ilvl w:val="0"/>
          <w:numId w:val="16"/>
        </w:numPr>
        <w:ind w:left="709" w:hanging="425"/>
      </w:pPr>
      <w:bookmarkStart w:id="35" w:name="_Hlk80196599"/>
      <w:r>
        <w:t>The</w:t>
      </w:r>
      <w:r w:rsidR="007B4BFE">
        <w:t xml:space="preserve"> Australian average premium rate in the Wholesale trade industry </w:t>
      </w:r>
      <w:r w:rsidR="009F5370">
        <w:t xml:space="preserve">has </w:t>
      </w:r>
      <w:r>
        <w:t xml:space="preserve">remained </w:t>
      </w:r>
      <w:r w:rsidR="00755A8D">
        <w:t xml:space="preserve">relatively </w:t>
      </w:r>
      <w:r>
        <w:t xml:space="preserve">stable since </w:t>
      </w:r>
      <w:r w:rsidR="00DA2118">
        <w:t>20</w:t>
      </w:r>
      <w:r w:rsidR="003B308F">
        <w:t>1</w:t>
      </w:r>
      <w:r>
        <w:t>5</w:t>
      </w:r>
      <w:r w:rsidR="0003484B">
        <w:t>-</w:t>
      </w:r>
      <w:r w:rsidR="003B308F">
        <w:t>1</w:t>
      </w:r>
      <w:r>
        <w:t>6</w:t>
      </w:r>
      <w:r w:rsidR="007B4BFE">
        <w:t xml:space="preserve"> </w:t>
      </w:r>
      <w:r>
        <w:t>at 1.0</w:t>
      </w:r>
      <w:r w:rsidR="00033D6A">
        <w:t>6</w:t>
      </w:r>
      <w:r w:rsidR="0023389D">
        <w:t xml:space="preserve">% </w:t>
      </w:r>
      <w:r>
        <w:t>of payroll.</w:t>
      </w:r>
      <w:r w:rsidR="007B4BFE">
        <w:t xml:space="preserve"> </w:t>
      </w:r>
    </w:p>
    <w:bookmarkEnd w:id="35"/>
    <w:p w14:paraId="497CA39D" w14:textId="4A862614" w:rsidR="00CD63A1" w:rsidRDefault="00033D6A" w:rsidP="0001354B">
      <w:pPr>
        <w:pStyle w:val="BodyJustified"/>
        <w:numPr>
          <w:ilvl w:val="0"/>
          <w:numId w:val="16"/>
        </w:numPr>
        <w:ind w:left="709" w:hanging="425"/>
      </w:pPr>
      <w:r w:rsidRPr="00033D6A">
        <w:t>The Australian Capital Territory</w:t>
      </w:r>
      <w:r>
        <w:t xml:space="preserve"> </w:t>
      </w:r>
      <w:r w:rsidR="00B101B1">
        <w:t xml:space="preserve">(Private) </w:t>
      </w:r>
      <w:r w:rsidR="0003484B">
        <w:t xml:space="preserve">recorded </w:t>
      </w:r>
      <w:r>
        <w:t>increase</w:t>
      </w:r>
      <w:r w:rsidR="0003484B">
        <w:t>s</w:t>
      </w:r>
      <w:r w:rsidR="00102259">
        <w:t xml:space="preserve"> </w:t>
      </w:r>
      <w:r>
        <w:t xml:space="preserve">each year </w:t>
      </w:r>
      <w:r w:rsidR="00C55201">
        <w:t xml:space="preserve">of the </w:t>
      </w:r>
      <w:r w:rsidR="00914BA4">
        <w:t>5</w:t>
      </w:r>
      <w:r w:rsidR="0023389D">
        <w:t xml:space="preserve"> </w:t>
      </w:r>
      <w:r w:rsidR="00914BA4">
        <w:t>year</w:t>
      </w:r>
      <w:r w:rsidR="00C55201">
        <w:t xml:space="preserve"> period</w:t>
      </w:r>
      <w:r w:rsidR="00914BA4">
        <w:t xml:space="preserve"> to a high of 2.56% of payroll, </w:t>
      </w:r>
      <w:r w:rsidR="009F5370">
        <w:t>the highest</w:t>
      </w:r>
      <w:r w:rsidR="00914BA4">
        <w:t xml:space="preserve"> of the Australian jurisdictions. </w:t>
      </w:r>
    </w:p>
    <w:p w14:paraId="16B7FE23" w14:textId="4C63F760" w:rsidR="0044769B" w:rsidRDefault="00305FE3" w:rsidP="0001354B">
      <w:pPr>
        <w:pStyle w:val="BodyJustified"/>
        <w:numPr>
          <w:ilvl w:val="0"/>
          <w:numId w:val="16"/>
        </w:numPr>
        <w:ind w:left="709" w:hanging="425"/>
      </w:pPr>
      <w:r>
        <w:t xml:space="preserve">The Northern Territory </w:t>
      </w:r>
      <w:r w:rsidR="009F5370">
        <w:t>had</w:t>
      </w:r>
      <w:r>
        <w:t xml:space="preserve"> the second highest </w:t>
      </w:r>
      <w:r w:rsidR="003A2E50">
        <w:t>rate of the jurisdictions with 1.84% of payroll, followed by Tasmania and Western Australia (1.37% and 1.32% respectfully).</w:t>
      </w:r>
    </w:p>
    <w:p w14:paraId="2B9D5317" w14:textId="4C32545D" w:rsidR="007B4BFE" w:rsidRPr="00B94407" w:rsidRDefault="003A2BFB" w:rsidP="0001354B">
      <w:pPr>
        <w:pStyle w:val="BodyJustified"/>
        <w:numPr>
          <w:ilvl w:val="0"/>
          <w:numId w:val="16"/>
        </w:numPr>
        <w:ind w:left="709" w:hanging="425"/>
      </w:pPr>
      <w:r>
        <w:t xml:space="preserve">The </w:t>
      </w:r>
      <w:r w:rsidR="007B4BFE">
        <w:t>New Zealand premium rate</w:t>
      </w:r>
      <w:r w:rsidR="00072117">
        <w:t xml:space="preserve"> for this industry</w:t>
      </w:r>
      <w:r w:rsidR="007B4BFE">
        <w:t xml:space="preserve"> in </w:t>
      </w:r>
      <w:r w:rsidR="00DA2118">
        <w:t>20</w:t>
      </w:r>
      <w:r w:rsidR="003B308F">
        <w:t>1</w:t>
      </w:r>
      <w:r w:rsidR="009578D8">
        <w:t xml:space="preserve">9-20 reduced </w:t>
      </w:r>
      <w:r w:rsidR="00033D6A">
        <w:t>slightly compared to th</w:t>
      </w:r>
      <w:r w:rsidR="000F219B">
        <w:t>e</w:t>
      </w:r>
      <w:r w:rsidR="00033D6A">
        <w:t xml:space="preserve"> </w:t>
      </w:r>
      <w:r w:rsidR="003C75B0">
        <w:t>previous</w:t>
      </w:r>
      <w:r>
        <w:t xml:space="preserve"> financial</w:t>
      </w:r>
      <w:r w:rsidR="003C75B0">
        <w:t xml:space="preserve"> year </w:t>
      </w:r>
      <w:r w:rsidR="0023389D">
        <w:t xml:space="preserve">to be </w:t>
      </w:r>
      <w:r w:rsidR="00072117">
        <w:t>0.</w:t>
      </w:r>
      <w:r w:rsidR="009578D8">
        <w:t>39</w:t>
      </w:r>
      <w:r w:rsidR="000B150E">
        <w:t>%</w:t>
      </w:r>
      <w:r w:rsidR="00072117">
        <w:t xml:space="preserve"> of payroll</w:t>
      </w:r>
      <w:r w:rsidR="007B4BFE">
        <w:t>.</w:t>
      </w:r>
    </w:p>
    <w:p w14:paraId="4D89730B" w14:textId="35014383" w:rsidR="007B4BFE" w:rsidRPr="00376FAA" w:rsidRDefault="00535035" w:rsidP="007C5673">
      <w:pPr>
        <w:pStyle w:val="SWASectionnumberingheading"/>
        <w:numPr>
          <w:ilvl w:val="0"/>
          <w:numId w:val="0"/>
        </w:numPr>
        <w:spacing w:before="240"/>
        <w:rPr>
          <w:sz w:val="20"/>
          <w:szCs w:val="20"/>
        </w:rPr>
      </w:pPr>
      <w:bookmarkStart w:id="36" w:name="_Toc80972072"/>
      <w:r w:rsidRPr="00376FAA">
        <w:rPr>
          <w:sz w:val="20"/>
          <w:szCs w:val="20"/>
        </w:rPr>
        <w:t>Indicator 14</w:t>
      </w:r>
      <w:r w:rsidR="007B4BFE" w:rsidRPr="00376FAA">
        <w:rPr>
          <w:sz w:val="20"/>
          <w:szCs w:val="20"/>
        </w:rPr>
        <w:t>f –</w:t>
      </w:r>
      <w:r w:rsidR="00376FAA">
        <w:rPr>
          <w:sz w:val="20"/>
          <w:szCs w:val="20"/>
        </w:rPr>
        <w:t xml:space="preserve"> </w:t>
      </w:r>
      <w:r w:rsidR="007B4BFE" w:rsidRPr="00376FAA">
        <w:rPr>
          <w:sz w:val="20"/>
          <w:szCs w:val="20"/>
        </w:rPr>
        <w:t>Standardised premium rates for Wholesale trade by jurisdiction</w:t>
      </w:r>
      <w:bookmarkEnd w:id="36"/>
    </w:p>
    <w:p w14:paraId="2D0F5719" w14:textId="24B507A0" w:rsidR="00EA40EE" w:rsidRDefault="00DA0388" w:rsidP="00B62606">
      <w:pPr>
        <w:spacing w:before="0"/>
        <w:jc w:val="center"/>
        <w:rPr>
          <w:lang w:val="en-GB"/>
        </w:rPr>
      </w:pPr>
      <w:r>
        <w:rPr>
          <w:noProof/>
          <w:lang w:val="en-GB"/>
        </w:rPr>
        <w:drawing>
          <wp:inline distT="0" distB="0" distL="0" distR="0" wp14:anchorId="78C03212" wp14:editId="44787AE1">
            <wp:extent cx="6186228" cy="2609850"/>
            <wp:effectExtent l="0" t="0" r="5080" b="0"/>
            <wp:docPr id="5" name="Picture 5" descr="This bar graph shows standardised premium rates for the wholesale trade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bar graph shows standardised premium rates for the wholesale trade industry by jurisdiction, from 2015-16 to 2019-20, and a line indicating the Australian average for 2019-20. Please refer to body text for more inform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5595" cy="2613802"/>
                    </a:xfrm>
                    <a:prstGeom prst="rect">
                      <a:avLst/>
                    </a:prstGeom>
                    <a:noFill/>
                  </pic:spPr>
                </pic:pic>
              </a:graphicData>
            </a:graphic>
          </wp:inline>
        </w:drawing>
      </w:r>
    </w:p>
    <w:p w14:paraId="66C364AF" w14:textId="77777777" w:rsidR="000D29EE" w:rsidRDefault="000D29EE">
      <w:pPr>
        <w:spacing w:before="0" w:after="200" w:line="276" w:lineRule="auto"/>
        <w:jc w:val="left"/>
        <w:rPr>
          <w:rFonts w:ascii="Arial Bold" w:eastAsiaTheme="majorEastAsia" w:hAnsi="Arial Bold" w:cs="Arial"/>
          <w:b/>
          <w:kern w:val="32"/>
          <w:sz w:val="28"/>
          <w:szCs w:val="22"/>
        </w:rPr>
      </w:pPr>
      <w:bookmarkStart w:id="37" w:name="_Toc80289680"/>
      <w:r>
        <w:br w:type="page"/>
      </w:r>
    </w:p>
    <w:p w14:paraId="408D155A" w14:textId="1557DCEE" w:rsidR="007B4BFE" w:rsidRPr="00285B6A" w:rsidRDefault="007B4BFE" w:rsidP="007C5673">
      <w:pPr>
        <w:pStyle w:val="Heading1"/>
        <w:keepLines/>
        <w:spacing w:before="240"/>
      </w:pPr>
      <w:r w:rsidRPr="00285B6A">
        <w:lastRenderedPageBreak/>
        <w:t>Retail trade</w:t>
      </w:r>
      <w:bookmarkEnd w:id="37"/>
      <w:r w:rsidRPr="00285B6A">
        <w:t xml:space="preserve"> </w:t>
      </w:r>
    </w:p>
    <w:p w14:paraId="54E6FB61" w14:textId="5BE14D5F" w:rsidR="004D56F0" w:rsidRDefault="004D56F0" w:rsidP="0001354B">
      <w:pPr>
        <w:pStyle w:val="BodyJustified"/>
        <w:numPr>
          <w:ilvl w:val="0"/>
          <w:numId w:val="17"/>
        </w:numPr>
        <w:ind w:left="709" w:hanging="425"/>
      </w:pPr>
      <w:bookmarkStart w:id="38" w:name="_Hlk80007509"/>
      <w:r>
        <w:t xml:space="preserve">The Australian average premium rate in the Retail trade industry </w:t>
      </w:r>
      <w:r w:rsidR="0023389D">
        <w:t xml:space="preserve">was </w:t>
      </w:r>
      <w:r w:rsidR="000B016A">
        <w:t>steady at</w:t>
      </w:r>
      <w:r>
        <w:t xml:space="preserve"> </w:t>
      </w:r>
      <w:r w:rsidR="00A840C2">
        <w:t>1.4</w:t>
      </w:r>
      <w:r w:rsidR="006859AC">
        <w:t>9</w:t>
      </w:r>
      <w:r w:rsidR="00A840C2">
        <w:t>% of payroll</w:t>
      </w:r>
      <w:r w:rsidR="00F9415A">
        <w:t xml:space="preserve"> in 2019-20</w:t>
      </w:r>
      <w:r w:rsidR="000B016A">
        <w:t>, with almost no fluctuations in the past 5</w:t>
      </w:r>
      <w:r w:rsidR="0023389D">
        <w:t xml:space="preserve"> </w:t>
      </w:r>
      <w:r w:rsidR="000B016A">
        <w:t>year period.</w:t>
      </w:r>
    </w:p>
    <w:p w14:paraId="6B863ADE" w14:textId="5CED2553" w:rsidR="004D56F0" w:rsidRDefault="0023389D" w:rsidP="0001354B">
      <w:pPr>
        <w:pStyle w:val="BodyJustified"/>
        <w:numPr>
          <w:ilvl w:val="0"/>
          <w:numId w:val="17"/>
        </w:numPr>
        <w:ind w:left="709" w:hanging="425"/>
      </w:pPr>
      <w:r>
        <w:t>In 2019-20, t</w:t>
      </w:r>
      <w:r w:rsidR="004D56F0">
        <w:t xml:space="preserve">he </w:t>
      </w:r>
      <w:r>
        <w:t>Australian Capital Territory</w:t>
      </w:r>
      <w:r w:rsidR="00B101B1">
        <w:t xml:space="preserve"> (Private)</w:t>
      </w:r>
      <w:r w:rsidR="004D56F0">
        <w:t xml:space="preserve"> ha</w:t>
      </w:r>
      <w:r w:rsidR="009F5370">
        <w:t>d the</w:t>
      </w:r>
      <w:r w:rsidR="004D56F0">
        <w:t xml:space="preserve"> highest </w:t>
      </w:r>
      <w:r w:rsidR="00434131">
        <w:t xml:space="preserve">premium rate </w:t>
      </w:r>
      <w:r w:rsidR="004D56F0">
        <w:t xml:space="preserve">of the </w:t>
      </w:r>
      <w:r w:rsidR="00434131">
        <w:t xml:space="preserve">Australian </w:t>
      </w:r>
      <w:r w:rsidR="004D56F0">
        <w:t>jurisdictions at 2.</w:t>
      </w:r>
      <w:r>
        <w:t>61</w:t>
      </w:r>
      <w:r w:rsidR="004D56F0">
        <w:t xml:space="preserve">% of payroll, followed by </w:t>
      </w:r>
      <w:r>
        <w:t xml:space="preserve">the Northern Territory </w:t>
      </w:r>
      <w:r w:rsidR="004D56F0">
        <w:t xml:space="preserve">(1.84%) and </w:t>
      </w:r>
      <w:r>
        <w:t xml:space="preserve">New South Wales </w:t>
      </w:r>
      <w:r w:rsidR="004D56F0">
        <w:t>(1.83%)</w:t>
      </w:r>
      <w:r>
        <w:t>.</w:t>
      </w:r>
    </w:p>
    <w:p w14:paraId="19D5A52D" w14:textId="40AC05D8" w:rsidR="00A840C2" w:rsidRDefault="00682E5E" w:rsidP="0001354B">
      <w:pPr>
        <w:pStyle w:val="BodyJustified"/>
        <w:numPr>
          <w:ilvl w:val="0"/>
          <w:numId w:val="17"/>
        </w:numPr>
        <w:ind w:left="709" w:hanging="425"/>
      </w:pPr>
      <w:r>
        <w:t>Queensland</w:t>
      </w:r>
      <w:r>
        <w:rPr>
          <w:rStyle w:val="CommentReference"/>
          <w:lang w:val="en-AU"/>
        </w:rPr>
        <w:t xml:space="preserve"> </w:t>
      </w:r>
      <w:r>
        <w:t>recorded</w:t>
      </w:r>
      <w:r w:rsidR="00434131">
        <w:t xml:space="preserve"> </w:t>
      </w:r>
      <w:r w:rsidR="00A840C2">
        <w:t>the lowest premium rate in th</w:t>
      </w:r>
      <w:r w:rsidR="00F9415A">
        <w:t>is</w:t>
      </w:r>
      <w:r w:rsidR="00A840C2">
        <w:t xml:space="preserve"> industry at </w:t>
      </w:r>
      <w:r w:rsidR="0093345A">
        <w:t>1.24</w:t>
      </w:r>
      <w:r w:rsidR="00A840C2">
        <w:t>% of payroll</w:t>
      </w:r>
      <w:r w:rsidR="002963D1">
        <w:t>.</w:t>
      </w:r>
      <w:r w:rsidR="002974C5">
        <w:t xml:space="preserve"> </w:t>
      </w:r>
    </w:p>
    <w:p w14:paraId="07E14E73" w14:textId="787AA693" w:rsidR="00FC398F" w:rsidRDefault="00FC398F" w:rsidP="00926E34">
      <w:pPr>
        <w:pStyle w:val="BodyJustified"/>
        <w:numPr>
          <w:ilvl w:val="0"/>
          <w:numId w:val="17"/>
        </w:numPr>
        <w:ind w:left="709" w:hanging="425"/>
      </w:pPr>
      <w:r>
        <w:t>Tasmania</w:t>
      </w:r>
      <w:r w:rsidR="00977F72">
        <w:t xml:space="preserve"> </w:t>
      </w:r>
      <w:r w:rsidR="002963D1">
        <w:t>reported</w:t>
      </w:r>
      <w:r w:rsidR="00977F72">
        <w:t xml:space="preserve"> a</w:t>
      </w:r>
      <w:r w:rsidR="002963D1">
        <w:t xml:space="preserve"> </w:t>
      </w:r>
      <w:r w:rsidR="002963D1" w:rsidRPr="001F7015">
        <w:rPr>
          <w:b/>
          <w:bCs/>
          <w:color w:val="B94F25"/>
        </w:rPr>
        <w:t xml:space="preserve">decrease </w:t>
      </w:r>
      <w:r w:rsidR="00157B32" w:rsidRPr="001F7015">
        <w:rPr>
          <w:b/>
          <w:bCs/>
          <w:color w:val="B94F25"/>
        </w:rPr>
        <w:t>of 8%</w:t>
      </w:r>
      <w:r w:rsidR="00157B32">
        <w:t xml:space="preserve"> </w:t>
      </w:r>
      <w:r w:rsidR="002963D1">
        <w:t>in average premium rates since the previous financial year.  All other jurisdictions reported variations of 3%</w:t>
      </w:r>
      <w:r w:rsidR="006859AC">
        <w:t xml:space="preserve"> or less</w:t>
      </w:r>
      <w:r w:rsidR="002D2132">
        <w:t>.</w:t>
      </w:r>
    </w:p>
    <w:p w14:paraId="5A6E877E" w14:textId="38654B75" w:rsidR="00A840C2" w:rsidRPr="00D07506" w:rsidRDefault="00A840C2" w:rsidP="0001354B">
      <w:pPr>
        <w:pStyle w:val="BodyJustified"/>
        <w:numPr>
          <w:ilvl w:val="0"/>
          <w:numId w:val="17"/>
        </w:numPr>
        <w:ind w:left="709" w:hanging="425"/>
      </w:pPr>
      <w:r w:rsidRPr="00A840C2">
        <w:t>The New Zealand premium rate for this industry in 2019-20</w:t>
      </w:r>
      <w:r>
        <w:t xml:space="preserve"> was 0.42% of payroll</w:t>
      </w:r>
      <w:r w:rsidR="0023389D">
        <w:t>.</w:t>
      </w:r>
    </w:p>
    <w:p w14:paraId="0363CC8F" w14:textId="0C87C851" w:rsidR="007B4BFE" w:rsidRPr="00376FAA" w:rsidRDefault="00535035" w:rsidP="007C5673">
      <w:pPr>
        <w:pStyle w:val="SWASectionnumberingheading"/>
        <w:numPr>
          <w:ilvl w:val="0"/>
          <w:numId w:val="0"/>
        </w:numPr>
        <w:spacing w:before="240"/>
        <w:rPr>
          <w:sz w:val="20"/>
          <w:szCs w:val="20"/>
        </w:rPr>
      </w:pPr>
      <w:bookmarkStart w:id="39" w:name="_Toc80972073"/>
      <w:bookmarkEnd w:id="38"/>
      <w:r w:rsidRPr="00376FAA">
        <w:rPr>
          <w:sz w:val="20"/>
          <w:szCs w:val="20"/>
        </w:rPr>
        <w:t>Indicator 14</w:t>
      </w:r>
      <w:r w:rsidR="007B4BFE" w:rsidRPr="00376FAA">
        <w:rPr>
          <w:sz w:val="20"/>
          <w:szCs w:val="20"/>
        </w:rPr>
        <w:t>g – Standardised premium rates for Retail trade by jurisdiction</w:t>
      </w:r>
      <w:bookmarkEnd w:id="39"/>
    </w:p>
    <w:p w14:paraId="3DDAFB68" w14:textId="179367A1" w:rsidR="006859AC" w:rsidRDefault="00977F72" w:rsidP="00CE7AB3">
      <w:pPr>
        <w:spacing w:before="0"/>
        <w:jc w:val="center"/>
        <w:rPr>
          <w:rFonts w:ascii="Arial Bold" w:eastAsiaTheme="majorEastAsia" w:hAnsi="Arial Bold" w:cs="Arial"/>
          <w:b/>
          <w:kern w:val="32"/>
          <w:sz w:val="28"/>
          <w:szCs w:val="22"/>
        </w:rPr>
      </w:pPr>
      <w:r>
        <w:rPr>
          <w:noProof/>
        </w:rPr>
        <mc:AlternateContent>
          <mc:Choice Requires="wps">
            <w:drawing>
              <wp:anchor distT="0" distB="0" distL="114300" distR="114300" simplePos="0" relativeHeight="251676672" behindDoc="0" locked="0" layoutInCell="1" allowOverlap="1" wp14:anchorId="008F94EC" wp14:editId="7E094A4D">
                <wp:simplePos x="0" y="0"/>
                <wp:positionH relativeFrom="column">
                  <wp:posOffset>1238250</wp:posOffset>
                </wp:positionH>
                <wp:positionV relativeFrom="paragraph">
                  <wp:posOffset>2599690</wp:posOffset>
                </wp:positionV>
                <wp:extent cx="4415342" cy="156882"/>
                <wp:effectExtent l="0" t="0" r="4445" b="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415342" cy="156882"/>
                        </a:xfrm>
                        <a:prstGeom prst="rect">
                          <a:avLst/>
                        </a:prstGeom>
                        <a:solidFill>
                          <a:srgbClr val="FFFFFF"/>
                        </a:solidFill>
                        <a:ln w="9525">
                          <a:noFill/>
                          <a:miter lim="800000"/>
                          <a:headEnd/>
                          <a:tailEnd/>
                        </a:ln>
                      </wps:spPr>
                      <wps:bodyPr wrap="square"/>
                    </wps:wsp>
                  </a:graphicData>
                </a:graphic>
              </wp:anchor>
            </w:drawing>
          </mc:Choice>
          <mc:Fallback>
            <w:pict>
              <v:rect w14:anchorId="546C2472" id="Rectangle 27" o:spid="_x0000_s1026" style="position:absolute;margin-left:97.5pt;margin-top:204.7pt;width:347.65pt;height:12.35pt;flip:y;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" stroked="f"/>
            </w:pict>
          </mc:Fallback>
        </mc:AlternateContent>
      </w:r>
      <w:bookmarkStart w:id="40" w:name="_Toc80289681"/>
      <w:r w:rsidR="007D4470">
        <w:rPr>
          <w:noProof/>
        </w:rPr>
        <w:drawing>
          <wp:inline distT="0" distB="0" distL="0" distR="0" wp14:anchorId="400C6405" wp14:editId="113A1074">
            <wp:extent cx="6146417" cy="2563495"/>
            <wp:effectExtent l="0" t="0" r="6985" b="8255"/>
            <wp:docPr id="6" name="Picture 6" descr="This bar graph shows standardised premium rates for the retail trade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bar graph shows standardised premium rates for the retail trade industry by jurisdiction, from 2015-16 to 2019-20, and a line indicating the Australian average for 2019-20. Please refer to body text for more informa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55264" cy="2567185"/>
                    </a:xfrm>
                    <a:prstGeom prst="rect">
                      <a:avLst/>
                    </a:prstGeom>
                    <a:noFill/>
                  </pic:spPr>
                </pic:pic>
              </a:graphicData>
            </a:graphic>
          </wp:inline>
        </w:drawing>
      </w:r>
      <w:r w:rsidR="006859AC">
        <w:br w:type="page"/>
      </w:r>
    </w:p>
    <w:p w14:paraId="13EA1E8E" w14:textId="38DAD2EF" w:rsidR="007B4BFE" w:rsidRPr="00285B6A" w:rsidRDefault="007B4BFE" w:rsidP="007C5673">
      <w:pPr>
        <w:pStyle w:val="Heading1"/>
        <w:spacing w:before="240"/>
      </w:pPr>
      <w:r w:rsidRPr="00285B6A">
        <w:lastRenderedPageBreak/>
        <w:t>Accommodation</w:t>
      </w:r>
      <w:r w:rsidR="00592E49">
        <w:t xml:space="preserve"> and food services</w:t>
      </w:r>
      <w:bookmarkEnd w:id="40"/>
      <w:r w:rsidRPr="00285B6A">
        <w:t xml:space="preserve"> </w:t>
      </w:r>
    </w:p>
    <w:p w14:paraId="1EAC3E0A" w14:textId="510C48AD" w:rsidR="000B343D" w:rsidRPr="000B343D" w:rsidRDefault="000B343D" w:rsidP="0001354B">
      <w:pPr>
        <w:pStyle w:val="BodyJustified"/>
        <w:numPr>
          <w:ilvl w:val="0"/>
          <w:numId w:val="18"/>
        </w:numPr>
        <w:ind w:left="709" w:hanging="425"/>
      </w:pPr>
      <w:bookmarkStart w:id="41" w:name="_Hlk80012101"/>
      <w:r w:rsidRPr="000B343D">
        <w:t xml:space="preserve">The Australian average premium rate in the </w:t>
      </w:r>
      <w:r w:rsidR="00050126" w:rsidRPr="00050126">
        <w:t xml:space="preserve">Accommodation and food services </w:t>
      </w:r>
      <w:r w:rsidRPr="000B343D">
        <w:t xml:space="preserve">industry </w:t>
      </w:r>
      <w:r w:rsidR="00E07FB0">
        <w:t xml:space="preserve">was </w:t>
      </w:r>
      <w:r w:rsidRPr="000B343D">
        <w:t>1.</w:t>
      </w:r>
      <w:r>
        <w:t>52</w:t>
      </w:r>
      <w:r w:rsidRPr="000B343D">
        <w:t>%</w:t>
      </w:r>
      <w:r w:rsidR="00362846">
        <w:t> </w:t>
      </w:r>
      <w:r w:rsidRPr="000B343D">
        <w:t>of payroll</w:t>
      </w:r>
      <w:r w:rsidR="00E07FB0">
        <w:t xml:space="preserve"> at 2019-20.</w:t>
      </w:r>
    </w:p>
    <w:p w14:paraId="695AD641" w14:textId="2833A7AB" w:rsidR="0023389D" w:rsidRDefault="00E07FB0" w:rsidP="0001354B">
      <w:pPr>
        <w:pStyle w:val="BodyJustified"/>
        <w:numPr>
          <w:ilvl w:val="0"/>
          <w:numId w:val="18"/>
        </w:numPr>
        <w:ind w:left="709" w:hanging="425"/>
      </w:pPr>
      <w:r>
        <w:t xml:space="preserve">Since 2016-17, </w:t>
      </w:r>
      <w:r w:rsidR="000B343D">
        <w:t xml:space="preserve">Comcare </w:t>
      </w:r>
      <w:r>
        <w:t>recorded a large decrease in average premium rates</w:t>
      </w:r>
      <w:r w:rsidR="000B343D">
        <w:t xml:space="preserve"> from a high of 5.63%</w:t>
      </w:r>
      <w:r w:rsidR="00362846">
        <w:t> </w:t>
      </w:r>
      <w:r w:rsidR="00EA242E">
        <w:t xml:space="preserve">of payroll </w:t>
      </w:r>
      <w:r w:rsidR="00050126">
        <w:t>to 1.4</w:t>
      </w:r>
      <w:r>
        <w:t>0</w:t>
      </w:r>
      <w:r w:rsidR="00050126">
        <w:t>%</w:t>
      </w:r>
      <w:r>
        <w:t xml:space="preserve"> in 2019-20</w:t>
      </w:r>
      <w:r w:rsidR="00050126">
        <w:t xml:space="preserve">. </w:t>
      </w:r>
      <w:bookmarkStart w:id="42" w:name="_Hlk80012441"/>
    </w:p>
    <w:p w14:paraId="50D4C851" w14:textId="44F6AB5D" w:rsidR="000B343D" w:rsidRPr="000B343D" w:rsidRDefault="00541554" w:rsidP="0001354B">
      <w:pPr>
        <w:pStyle w:val="BodyJustified"/>
        <w:numPr>
          <w:ilvl w:val="0"/>
          <w:numId w:val="18"/>
        </w:numPr>
        <w:ind w:left="709" w:hanging="425"/>
      </w:pPr>
      <w:r>
        <w:t>All other jurisdictions reported variations of less than 6%</w:t>
      </w:r>
      <w:bookmarkEnd w:id="42"/>
      <w:r w:rsidR="00645534">
        <w:t xml:space="preserve"> since 2018-19</w:t>
      </w:r>
      <w:r>
        <w:t>.</w:t>
      </w:r>
    </w:p>
    <w:p w14:paraId="733D87A9" w14:textId="2034FE2D" w:rsidR="000B343D" w:rsidRPr="000B343D" w:rsidRDefault="000B343D" w:rsidP="0001354B">
      <w:pPr>
        <w:pStyle w:val="BodyJustified"/>
        <w:numPr>
          <w:ilvl w:val="0"/>
          <w:numId w:val="18"/>
        </w:numPr>
        <w:ind w:left="709" w:hanging="425"/>
      </w:pPr>
      <w:r w:rsidRPr="000B343D">
        <w:t xml:space="preserve">The </w:t>
      </w:r>
      <w:r w:rsidR="00E07FB0">
        <w:t>Australian Capital Territory</w:t>
      </w:r>
      <w:r w:rsidR="00B101B1">
        <w:t xml:space="preserve"> (Private)</w:t>
      </w:r>
      <w:r w:rsidR="00E07FB0">
        <w:t xml:space="preserve"> recorded the </w:t>
      </w:r>
      <w:r w:rsidRPr="000B343D">
        <w:t xml:space="preserve">highest </w:t>
      </w:r>
      <w:r w:rsidR="00E07FB0">
        <w:t xml:space="preserve">average premium rate </w:t>
      </w:r>
      <w:r w:rsidRPr="000B343D">
        <w:t>of the jurisdictions at 2.</w:t>
      </w:r>
      <w:r w:rsidR="008B74D6">
        <w:t>1</w:t>
      </w:r>
      <w:r w:rsidRPr="000B343D">
        <w:t>6% of payroll</w:t>
      </w:r>
      <w:r w:rsidR="009C6290">
        <w:t xml:space="preserve"> </w:t>
      </w:r>
      <w:r w:rsidR="00F9415A">
        <w:t xml:space="preserve">and </w:t>
      </w:r>
      <w:r w:rsidR="00050126">
        <w:t>Victoria</w:t>
      </w:r>
      <w:r w:rsidRPr="000B343D">
        <w:t xml:space="preserve"> </w:t>
      </w:r>
      <w:r w:rsidR="00F9415A">
        <w:t xml:space="preserve">recorded the lowest rate </w:t>
      </w:r>
      <w:r w:rsidRPr="000B343D">
        <w:t xml:space="preserve">at </w:t>
      </w:r>
      <w:r w:rsidR="00050126">
        <w:t>1.21</w:t>
      </w:r>
      <w:r w:rsidRPr="000B343D">
        <w:t>% of payroll</w:t>
      </w:r>
      <w:r w:rsidR="009C6290">
        <w:t xml:space="preserve"> in 2019</w:t>
      </w:r>
      <w:r w:rsidR="00645534">
        <w:noBreakHyphen/>
      </w:r>
      <w:r w:rsidR="009C6290">
        <w:t>20</w:t>
      </w:r>
      <w:r w:rsidR="00050126">
        <w:t>.</w:t>
      </w:r>
    </w:p>
    <w:p w14:paraId="1A8A5250" w14:textId="16236FDE" w:rsidR="000B343D" w:rsidRPr="000B343D" w:rsidRDefault="000B343D" w:rsidP="0001354B">
      <w:pPr>
        <w:pStyle w:val="BodyJustified"/>
        <w:numPr>
          <w:ilvl w:val="0"/>
          <w:numId w:val="18"/>
        </w:numPr>
        <w:ind w:left="709" w:hanging="425"/>
      </w:pPr>
      <w:r w:rsidRPr="000B343D">
        <w:t>The New Zealand premium rate for this industry in 2019-20 was 0.4</w:t>
      </w:r>
      <w:r w:rsidR="00050126">
        <w:t>9</w:t>
      </w:r>
      <w:r w:rsidRPr="000B343D">
        <w:t>% of payroll</w:t>
      </w:r>
      <w:r w:rsidR="00E07FB0">
        <w:t>.</w:t>
      </w:r>
    </w:p>
    <w:p w14:paraId="400B913D" w14:textId="501C8917" w:rsidR="007B4BFE" w:rsidRPr="00376FAA" w:rsidRDefault="00535035" w:rsidP="007C5673">
      <w:pPr>
        <w:pStyle w:val="SWASectionnumberingheading"/>
        <w:numPr>
          <w:ilvl w:val="0"/>
          <w:numId w:val="0"/>
        </w:numPr>
        <w:spacing w:before="240"/>
        <w:rPr>
          <w:sz w:val="20"/>
          <w:szCs w:val="20"/>
        </w:rPr>
      </w:pPr>
      <w:bookmarkStart w:id="43" w:name="_Toc80972074"/>
      <w:bookmarkEnd w:id="41"/>
      <w:r w:rsidRPr="00376FAA">
        <w:rPr>
          <w:sz w:val="20"/>
          <w:szCs w:val="20"/>
        </w:rPr>
        <w:t>Indicator 14</w:t>
      </w:r>
      <w:r w:rsidR="007B4BFE" w:rsidRPr="00376FAA">
        <w:rPr>
          <w:sz w:val="20"/>
          <w:szCs w:val="20"/>
        </w:rPr>
        <w:t>h – Standardised premium rates for Accommodation</w:t>
      </w:r>
      <w:r w:rsidR="00047378" w:rsidRPr="00376FAA">
        <w:rPr>
          <w:sz w:val="20"/>
          <w:szCs w:val="20"/>
        </w:rPr>
        <w:t xml:space="preserve"> and food services</w:t>
      </w:r>
      <w:r w:rsidR="007B4BFE" w:rsidRPr="00376FAA">
        <w:rPr>
          <w:sz w:val="20"/>
          <w:szCs w:val="20"/>
        </w:rPr>
        <w:t xml:space="preserve"> by jurisdiction</w:t>
      </w:r>
      <w:bookmarkEnd w:id="43"/>
    </w:p>
    <w:p w14:paraId="16CFAD1A" w14:textId="0C119611" w:rsidR="007B4BFE" w:rsidRDefault="00BF789A" w:rsidP="00B62606">
      <w:pPr>
        <w:spacing w:before="0"/>
        <w:jc w:val="center"/>
        <w:rPr>
          <w:lang w:val="en-GB"/>
        </w:rPr>
      </w:pPr>
      <w:r>
        <w:rPr>
          <w:noProof/>
          <w:lang w:val="en-GB"/>
        </w:rPr>
        <w:drawing>
          <wp:inline distT="0" distB="0" distL="0" distR="0" wp14:anchorId="657B84FE" wp14:editId="74B14FEC">
            <wp:extent cx="6133761" cy="2937510"/>
            <wp:effectExtent l="0" t="0" r="635" b="0"/>
            <wp:docPr id="45" name="Picture 45" descr="This bar graph shows standardised premium rates for the accommodation and food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his bar graph shows standardised premium rates for the accommodation and food services industry by jurisdiction, from 2015-16 to 2019-20, and a line indicating the Australian average for 2019-20. Please refer to body text for more informa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60872" cy="2950494"/>
                    </a:xfrm>
                    <a:prstGeom prst="rect">
                      <a:avLst/>
                    </a:prstGeom>
                    <a:noFill/>
                  </pic:spPr>
                </pic:pic>
              </a:graphicData>
            </a:graphic>
          </wp:inline>
        </w:drawing>
      </w:r>
    </w:p>
    <w:p w14:paraId="0339AE17" w14:textId="77777777" w:rsidR="00BF789A" w:rsidRDefault="00BF789A">
      <w:pPr>
        <w:spacing w:before="0" w:after="200" w:line="276" w:lineRule="auto"/>
        <w:jc w:val="left"/>
        <w:rPr>
          <w:rFonts w:ascii="Arial Bold" w:eastAsiaTheme="majorEastAsia" w:hAnsi="Arial Bold" w:cs="Arial"/>
          <w:b/>
          <w:kern w:val="32"/>
          <w:sz w:val="28"/>
          <w:szCs w:val="22"/>
        </w:rPr>
      </w:pPr>
      <w:bookmarkStart w:id="44" w:name="_Toc80289682"/>
      <w:r>
        <w:br w:type="page"/>
      </w:r>
    </w:p>
    <w:p w14:paraId="38306D0D" w14:textId="658D927D" w:rsidR="007B4BFE" w:rsidRPr="00285B6A" w:rsidRDefault="007B4BFE" w:rsidP="007C5673">
      <w:pPr>
        <w:pStyle w:val="Heading1"/>
        <w:spacing w:before="240"/>
      </w:pPr>
      <w:r w:rsidRPr="00285B6A">
        <w:lastRenderedPageBreak/>
        <w:t>Transport</w:t>
      </w:r>
      <w:r w:rsidR="00592E49">
        <w:t>, postal and warehousing</w:t>
      </w:r>
      <w:bookmarkEnd w:id="44"/>
      <w:r w:rsidRPr="00285B6A">
        <w:t xml:space="preserve"> </w:t>
      </w:r>
    </w:p>
    <w:p w14:paraId="43730C79" w14:textId="2CAAA241" w:rsidR="00050126" w:rsidRPr="00E07FB0" w:rsidRDefault="00050126" w:rsidP="0001354B">
      <w:pPr>
        <w:pStyle w:val="BodyJustified"/>
        <w:numPr>
          <w:ilvl w:val="0"/>
          <w:numId w:val="18"/>
        </w:numPr>
        <w:ind w:left="709" w:hanging="425"/>
      </w:pPr>
      <w:bookmarkStart w:id="45" w:name="_Hlk80022595"/>
      <w:bookmarkStart w:id="46" w:name="_Hlk80012541"/>
      <w:r w:rsidRPr="00E07FB0">
        <w:t xml:space="preserve">The Australian average premium rate in the Transport, postal and warehousing industry </w:t>
      </w:r>
      <w:r w:rsidR="00E07FB0">
        <w:t>over the 5</w:t>
      </w:r>
      <w:r w:rsidR="004566D4">
        <w:t> </w:t>
      </w:r>
      <w:r w:rsidR="00E07FB0">
        <w:t xml:space="preserve">year period </w:t>
      </w:r>
      <w:r w:rsidR="0038388E" w:rsidRPr="00CE7AB3">
        <w:rPr>
          <w:b/>
          <w:bCs/>
          <w:color w:val="00518E"/>
        </w:rPr>
        <w:t xml:space="preserve">increased </w:t>
      </w:r>
      <w:r w:rsidR="00CE7AB3" w:rsidRPr="00CE7AB3">
        <w:rPr>
          <w:b/>
          <w:bCs/>
          <w:color w:val="00518E"/>
        </w:rPr>
        <w:t>by 2%</w:t>
      </w:r>
      <w:r w:rsidR="00CE7AB3">
        <w:t xml:space="preserve"> </w:t>
      </w:r>
      <w:r w:rsidR="0038388E">
        <w:t>from 2.2</w:t>
      </w:r>
      <w:r w:rsidR="008B74D6">
        <w:t>1%</w:t>
      </w:r>
      <w:r w:rsidR="002D2132">
        <w:t xml:space="preserve"> in 2015-16</w:t>
      </w:r>
      <w:r w:rsidRPr="00E07FB0">
        <w:t xml:space="preserve"> </w:t>
      </w:r>
      <w:r w:rsidR="0038388E">
        <w:t>to</w:t>
      </w:r>
      <w:r w:rsidR="0038388E" w:rsidRPr="00E07FB0">
        <w:t xml:space="preserve"> </w:t>
      </w:r>
      <w:r w:rsidR="0002278D" w:rsidRPr="00E07FB0">
        <w:t>2.</w:t>
      </w:r>
      <w:r w:rsidR="008B74D6" w:rsidRPr="00E07FB0">
        <w:t>2</w:t>
      </w:r>
      <w:r w:rsidR="008B74D6">
        <w:t>6</w:t>
      </w:r>
      <w:r w:rsidR="00E07FB0">
        <w:t>%</w:t>
      </w:r>
      <w:r w:rsidR="0038388E" w:rsidRPr="0038388E">
        <w:t xml:space="preserve"> </w:t>
      </w:r>
      <w:r w:rsidR="002D2132">
        <w:t xml:space="preserve">in </w:t>
      </w:r>
      <w:r w:rsidR="0038388E">
        <w:t>2019-20.</w:t>
      </w:r>
    </w:p>
    <w:p w14:paraId="662172D3" w14:textId="779A5537" w:rsidR="00050126" w:rsidRPr="00E07FB0" w:rsidRDefault="00050126" w:rsidP="0001354B">
      <w:pPr>
        <w:pStyle w:val="BodyJustified"/>
        <w:numPr>
          <w:ilvl w:val="0"/>
          <w:numId w:val="18"/>
        </w:numPr>
        <w:ind w:left="709" w:hanging="425"/>
      </w:pPr>
      <w:r w:rsidRPr="00E07FB0">
        <w:t xml:space="preserve">The </w:t>
      </w:r>
      <w:r w:rsidR="00E07FB0">
        <w:t>Australian Capital Territory</w:t>
      </w:r>
      <w:r w:rsidR="006D1B33">
        <w:t xml:space="preserve"> (Private)</w:t>
      </w:r>
      <w:r w:rsidRPr="00E07FB0">
        <w:t xml:space="preserve"> ha</w:t>
      </w:r>
      <w:r w:rsidR="00E07FB0">
        <w:t>d the</w:t>
      </w:r>
      <w:r w:rsidRPr="00E07FB0">
        <w:t xml:space="preserve"> highest </w:t>
      </w:r>
      <w:r w:rsidR="00E07FB0">
        <w:t xml:space="preserve">rate </w:t>
      </w:r>
      <w:r w:rsidRPr="00E07FB0">
        <w:t xml:space="preserve">of </w:t>
      </w:r>
      <w:r w:rsidR="00E07FB0">
        <w:t xml:space="preserve">the </w:t>
      </w:r>
      <w:r w:rsidRPr="00E07FB0">
        <w:t xml:space="preserve">jurisdictions at </w:t>
      </w:r>
      <w:r w:rsidR="0002278D" w:rsidRPr="00E07FB0">
        <w:t>4.85</w:t>
      </w:r>
      <w:r w:rsidRPr="00E07FB0">
        <w:t>% of payroll</w:t>
      </w:r>
      <w:r w:rsidR="00E07FB0">
        <w:t xml:space="preserve"> in 2019</w:t>
      </w:r>
      <w:r w:rsidR="004566D4">
        <w:noBreakHyphen/>
      </w:r>
      <w:r w:rsidR="00E07FB0">
        <w:t>20</w:t>
      </w:r>
      <w:r w:rsidR="0002278D" w:rsidRPr="00E07FB0">
        <w:t>, followed by</w:t>
      </w:r>
      <w:r w:rsidR="00274846" w:rsidRPr="00E07FB0">
        <w:t xml:space="preserve"> South Australia </w:t>
      </w:r>
      <w:r w:rsidR="0002278D" w:rsidRPr="00E07FB0">
        <w:t>with 3.</w:t>
      </w:r>
      <w:r w:rsidR="00637C0D">
        <w:t>33</w:t>
      </w:r>
      <w:r w:rsidR="0002278D" w:rsidRPr="00E07FB0">
        <w:t>%</w:t>
      </w:r>
      <w:r w:rsidR="00E07FB0">
        <w:t>.</w:t>
      </w:r>
    </w:p>
    <w:bookmarkEnd w:id="45"/>
    <w:p w14:paraId="7A162FF1" w14:textId="4103683B" w:rsidR="0002278D" w:rsidRPr="00E07FB0" w:rsidRDefault="0002278D" w:rsidP="0001354B">
      <w:pPr>
        <w:pStyle w:val="BodyJustified"/>
        <w:numPr>
          <w:ilvl w:val="0"/>
          <w:numId w:val="18"/>
        </w:numPr>
        <w:ind w:left="709" w:hanging="425"/>
      </w:pPr>
      <w:r w:rsidRPr="00E07FB0">
        <w:t xml:space="preserve">Comcare and Tasmania saw premium rates </w:t>
      </w:r>
      <w:r w:rsidRPr="00BD6F74">
        <w:rPr>
          <w:b/>
          <w:bCs/>
          <w:color w:val="B94F25"/>
        </w:rPr>
        <w:t>reduced by 9% and 8%</w:t>
      </w:r>
      <w:r w:rsidRPr="00BD6F74">
        <w:rPr>
          <w:color w:val="B94F25"/>
        </w:rPr>
        <w:t xml:space="preserve"> </w:t>
      </w:r>
      <w:r w:rsidRPr="00E07FB0">
        <w:t>respectfully</w:t>
      </w:r>
      <w:r w:rsidR="00957AB0">
        <w:t xml:space="preserve"> since the previous financial year</w:t>
      </w:r>
      <w:r w:rsidRPr="00E07FB0">
        <w:t xml:space="preserve">. </w:t>
      </w:r>
      <w:r w:rsidR="00E613D2">
        <w:t xml:space="preserve">All other Australian jurisdictions reported variations of less than 2%. </w:t>
      </w:r>
    </w:p>
    <w:p w14:paraId="072FC329" w14:textId="24BC6097" w:rsidR="00050126" w:rsidRPr="00E07FB0" w:rsidRDefault="00050126" w:rsidP="0001354B">
      <w:pPr>
        <w:pStyle w:val="BodyJustified"/>
        <w:numPr>
          <w:ilvl w:val="0"/>
          <w:numId w:val="18"/>
        </w:numPr>
        <w:ind w:left="709" w:hanging="425"/>
      </w:pPr>
      <w:r w:rsidRPr="00E07FB0">
        <w:t xml:space="preserve">The New Zealand premium rate for this industry in 2019-20 was </w:t>
      </w:r>
      <w:r w:rsidR="0002278D" w:rsidRPr="00E07FB0">
        <w:t>1.03</w:t>
      </w:r>
      <w:r w:rsidRPr="00E07FB0">
        <w:t>% of payroll</w:t>
      </w:r>
      <w:r w:rsidR="0002278D" w:rsidRPr="00E07FB0">
        <w:t>.</w:t>
      </w:r>
    </w:p>
    <w:p w14:paraId="67437807" w14:textId="5EF29458" w:rsidR="007B4BFE" w:rsidRPr="00376FAA" w:rsidRDefault="00535035" w:rsidP="007C5673">
      <w:pPr>
        <w:pStyle w:val="SWASectionnumberingheading"/>
        <w:numPr>
          <w:ilvl w:val="0"/>
          <w:numId w:val="0"/>
        </w:numPr>
        <w:spacing w:before="240"/>
        <w:rPr>
          <w:sz w:val="20"/>
          <w:szCs w:val="20"/>
        </w:rPr>
      </w:pPr>
      <w:bookmarkStart w:id="47" w:name="_Toc80972075"/>
      <w:bookmarkEnd w:id="46"/>
      <w:r w:rsidRPr="00376FAA">
        <w:rPr>
          <w:sz w:val="20"/>
          <w:szCs w:val="20"/>
        </w:rPr>
        <w:t>Indicator 14</w:t>
      </w:r>
      <w:r w:rsidR="007B4BFE" w:rsidRPr="00376FAA">
        <w:rPr>
          <w:sz w:val="20"/>
          <w:szCs w:val="20"/>
        </w:rPr>
        <w:t>i – Standardised premium rates for Transport</w:t>
      </w:r>
      <w:r w:rsidR="00047378" w:rsidRPr="00376FAA">
        <w:rPr>
          <w:sz w:val="20"/>
          <w:szCs w:val="20"/>
        </w:rPr>
        <w:t>, postal</w:t>
      </w:r>
      <w:r w:rsidR="007B4BFE" w:rsidRPr="00376FAA">
        <w:rPr>
          <w:sz w:val="20"/>
          <w:szCs w:val="20"/>
        </w:rPr>
        <w:t xml:space="preserve"> and </w:t>
      </w:r>
      <w:r w:rsidR="00047378" w:rsidRPr="00376FAA">
        <w:rPr>
          <w:sz w:val="20"/>
          <w:szCs w:val="20"/>
        </w:rPr>
        <w:t xml:space="preserve">warehousing </w:t>
      </w:r>
      <w:r w:rsidR="007B4BFE" w:rsidRPr="00376FAA">
        <w:rPr>
          <w:sz w:val="20"/>
          <w:szCs w:val="20"/>
        </w:rPr>
        <w:t>by jurisdiction</w:t>
      </w:r>
      <w:bookmarkEnd w:id="47"/>
    </w:p>
    <w:p w14:paraId="22609563" w14:textId="755401B0" w:rsidR="007B4BFE" w:rsidRDefault="00637C0D" w:rsidP="00B62606">
      <w:pPr>
        <w:spacing w:before="0"/>
        <w:jc w:val="center"/>
        <w:rPr>
          <w:lang w:val="en-GB"/>
        </w:rPr>
      </w:pPr>
      <w:r>
        <w:rPr>
          <w:noProof/>
          <w:lang w:val="en-GB"/>
        </w:rPr>
        <w:drawing>
          <wp:inline distT="0" distB="0" distL="0" distR="0" wp14:anchorId="63AC78A9" wp14:editId="3ED577AE">
            <wp:extent cx="6151213" cy="2910205"/>
            <wp:effectExtent l="0" t="0" r="2540" b="4445"/>
            <wp:docPr id="46" name="Picture 46" descr="This bar graph shows standardised premium rates for the transport, postal and warehousing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his bar graph shows standardised premium rates for the transport, postal and warehousing industry by jurisdiction, from 2015-16 to 2019-20, and a line indicating the Australian average for 2019-20. Please refer to body text for more informatio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56298" cy="2912611"/>
                    </a:xfrm>
                    <a:prstGeom prst="rect">
                      <a:avLst/>
                    </a:prstGeom>
                    <a:noFill/>
                  </pic:spPr>
                </pic:pic>
              </a:graphicData>
            </a:graphic>
          </wp:inline>
        </w:drawing>
      </w:r>
    </w:p>
    <w:p w14:paraId="5AC28A4A" w14:textId="03AE9B90" w:rsidR="00FD4140" w:rsidRDefault="00FD4140">
      <w:pPr>
        <w:spacing w:before="0" w:after="200" w:line="276" w:lineRule="auto"/>
        <w:jc w:val="left"/>
        <w:rPr>
          <w:rFonts w:ascii="Arial Bold" w:eastAsiaTheme="majorEastAsia" w:hAnsi="Arial Bold" w:cs="Arial"/>
          <w:b/>
          <w:kern w:val="32"/>
          <w:sz w:val="28"/>
          <w:szCs w:val="22"/>
        </w:rPr>
      </w:pPr>
      <w:bookmarkStart w:id="48" w:name="_Toc80289683"/>
      <w:r>
        <w:br w:type="page"/>
      </w:r>
    </w:p>
    <w:p w14:paraId="04751E42" w14:textId="74E39B1C" w:rsidR="007B4BFE" w:rsidRPr="00285B6A" w:rsidRDefault="00592E49" w:rsidP="007C5673">
      <w:pPr>
        <w:pStyle w:val="Heading1"/>
        <w:spacing w:before="240"/>
      </w:pPr>
      <w:r>
        <w:lastRenderedPageBreak/>
        <w:t>Information, media and telecommunications</w:t>
      </w:r>
      <w:bookmarkEnd w:id="48"/>
      <w:r w:rsidR="007B4BFE" w:rsidRPr="00285B6A">
        <w:t xml:space="preserve"> </w:t>
      </w:r>
    </w:p>
    <w:p w14:paraId="6A32A38A" w14:textId="3965A9BE" w:rsidR="0002278D" w:rsidRPr="0002278D" w:rsidRDefault="0002278D" w:rsidP="0001354B">
      <w:pPr>
        <w:pStyle w:val="BodyJustified"/>
        <w:numPr>
          <w:ilvl w:val="0"/>
          <w:numId w:val="20"/>
        </w:numPr>
        <w:ind w:left="709" w:hanging="425"/>
      </w:pPr>
      <w:r w:rsidRPr="0002278D">
        <w:t xml:space="preserve">The Australian average premium rate in the </w:t>
      </w:r>
      <w:r w:rsidR="00672903" w:rsidRPr="00672903">
        <w:t xml:space="preserve">Information, media and telecommunications </w:t>
      </w:r>
      <w:r w:rsidRPr="0002278D">
        <w:t xml:space="preserve">industry </w:t>
      </w:r>
      <w:r w:rsidR="008B74D6" w:rsidRPr="00CE7AB3">
        <w:rPr>
          <w:b/>
          <w:bCs/>
          <w:color w:val="B94F25"/>
        </w:rPr>
        <w:t xml:space="preserve">decreased </w:t>
      </w:r>
      <w:r w:rsidR="00CE7AB3" w:rsidRPr="00CE7AB3">
        <w:rPr>
          <w:b/>
          <w:bCs/>
          <w:color w:val="B94F25"/>
        </w:rPr>
        <w:t xml:space="preserve">by 2% </w:t>
      </w:r>
      <w:r w:rsidR="00E07FB0">
        <w:t xml:space="preserve">over the 5 year period </w:t>
      </w:r>
      <w:r w:rsidR="008B74D6">
        <w:t xml:space="preserve">to </w:t>
      </w:r>
      <w:r w:rsidR="008621FA">
        <w:t>0.33</w:t>
      </w:r>
      <w:r w:rsidRPr="0002278D">
        <w:t xml:space="preserve">% </w:t>
      </w:r>
      <w:r w:rsidR="008B74D6">
        <w:t>in 2019-20</w:t>
      </w:r>
      <w:r w:rsidR="00E07FB0">
        <w:t>.</w:t>
      </w:r>
    </w:p>
    <w:p w14:paraId="33B8C6FE" w14:textId="1E3C0F0C" w:rsidR="0002278D" w:rsidRPr="0002278D" w:rsidRDefault="0002278D" w:rsidP="0001354B">
      <w:pPr>
        <w:pStyle w:val="BodyJustified"/>
        <w:numPr>
          <w:ilvl w:val="0"/>
          <w:numId w:val="20"/>
        </w:numPr>
        <w:ind w:left="709" w:hanging="425"/>
      </w:pPr>
      <w:r w:rsidRPr="0002278D">
        <w:t xml:space="preserve">The </w:t>
      </w:r>
      <w:r w:rsidR="008621FA">
        <w:t xml:space="preserve">Northern Territory </w:t>
      </w:r>
      <w:r w:rsidR="00E07FB0">
        <w:t xml:space="preserve">had the </w:t>
      </w:r>
      <w:r w:rsidRPr="0002278D">
        <w:t xml:space="preserve">highest </w:t>
      </w:r>
      <w:r w:rsidR="008621FA" w:rsidRPr="008621FA">
        <w:t>premium rate</w:t>
      </w:r>
      <w:r w:rsidR="008621FA">
        <w:t xml:space="preserve"> </w:t>
      </w:r>
      <w:r w:rsidRPr="0002278D">
        <w:t xml:space="preserve">of the jurisdictions at </w:t>
      </w:r>
      <w:r w:rsidR="008621FA">
        <w:t>1.76</w:t>
      </w:r>
      <w:r w:rsidRPr="0002278D">
        <w:t>% of payroll</w:t>
      </w:r>
      <w:r w:rsidR="008621FA">
        <w:t xml:space="preserve">, more than </w:t>
      </w:r>
      <w:r w:rsidR="008621FA" w:rsidRPr="00415B90">
        <w:rPr>
          <w:b/>
          <w:bCs/>
          <w:color w:val="00518E"/>
        </w:rPr>
        <w:t>5 times the national average</w:t>
      </w:r>
      <w:r w:rsidR="008621FA">
        <w:t xml:space="preserve">. </w:t>
      </w:r>
    </w:p>
    <w:p w14:paraId="52B6BA4A" w14:textId="526A940D" w:rsidR="0002278D" w:rsidRDefault="0002278D" w:rsidP="0001354B">
      <w:pPr>
        <w:pStyle w:val="BodyJustified"/>
        <w:numPr>
          <w:ilvl w:val="0"/>
          <w:numId w:val="20"/>
        </w:numPr>
        <w:ind w:left="709" w:hanging="425"/>
      </w:pPr>
      <w:r w:rsidRPr="0002278D">
        <w:t xml:space="preserve">Tasmania </w:t>
      </w:r>
      <w:r w:rsidR="00E07FB0">
        <w:t xml:space="preserve">recorded a </w:t>
      </w:r>
      <w:r w:rsidR="00E07FB0" w:rsidRPr="004D7B32">
        <w:rPr>
          <w:b/>
          <w:bCs/>
          <w:color w:val="B94F25"/>
        </w:rPr>
        <w:t>14% decrease</w:t>
      </w:r>
      <w:r w:rsidR="00E07FB0">
        <w:t xml:space="preserve"> in average </w:t>
      </w:r>
      <w:r w:rsidRPr="0002278D">
        <w:t xml:space="preserve">premium rates </w:t>
      </w:r>
      <w:r w:rsidR="008621FA">
        <w:t>to a rate of 0.9</w:t>
      </w:r>
      <w:r w:rsidR="008B74D6">
        <w:t>0</w:t>
      </w:r>
      <w:r w:rsidR="008621FA" w:rsidRPr="0002278D">
        <w:t>% of payroll</w:t>
      </w:r>
      <w:r w:rsidR="00E07FB0">
        <w:t xml:space="preserve"> since the previous financial year</w:t>
      </w:r>
      <w:r w:rsidR="008621FA">
        <w:t xml:space="preserve">. </w:t>
      </w:r>
    </w:p>
    <w:p w14:paraId="514FF375" w14:textId="06E6E34C" w:rsidR="00D118D7" w:rsidRPr="00144CE7" w:rsidRDefault="00E07FB0" w:rsidP="0001354B">
      <w:pPr>
        <w:pStyle w:val="BodyJustified"/>
        <w:numPr>
          <w:ilvl w:val="0"/>
          <w:numId w:val="20"/>
        </w:numPr>
        <w:ind w:left="709" w:hanging="425"/>
      </w:pPr>
      <w:r>
        <w:t>There were r</w:t>
      </w:r>
      <w:r w:rsidR="00144CE7">
        <w:t>elatively high i</w:t>
      </w:r>
      <w:r w:rsidR="00D118D7">
        <w:t xml:space="preserve">ncreases </w:t>
      </w:r>
      <w:r w:rsidR="00144CE7">
        <w:t xml:space="preserve">in </w:t>
      </w:r>
      <w:r w:rsidR="00C16155">
        <w:t xml:space="preserve">Comcare, </w:t>
      </w:r>
      <w:r w:rsidR="00144CE7">
        <w:t xml:space="preserve">Queensland and the </w:t>
      </w:r>
      <w:r>
        <w:t>Australian Capital Territory</w:t>
      </w:r>
      <w:r w:rsidR="006D1B33">
        <w:t xml:space="preserve"> (Private)</w:t>
      </w:r>
      <w:r>
        <w:t xml:space="preserve"> </w:t>
      </w:r>
      <w:r w:rsidR="00144CE7">
        <w:t>(</w:t>
      </w:r>
      <w:r w:rsidR="00195E82" w:rsidRPr="00195E82">
        <w:rPr>
          <w:rFonts w:ascii="Wingdings 3" w:eastAsia="Times New Roman" w:hAnsi="Wingdings 3" w:cs="Times New Roman"/>
          <w:b/>
          <w:bCs/>
          <w:color w:val="00518E"/>
          <w:sz w:val="22"/>
          <w:lang w:val="en-AU"/>
        </w:rPr>
        <w:t>h</w:t>
      </w:r>
      <w:r w:rsidR="00195E82" w:rsidRPr="00195E82">
        <w:rPr>
          <w:rFonts w:ascii="Calibri" w:eastAsia="Times New Roman" w:hAnsi="Calibri" w:cs="Times New Roman"/>
          <w:b/>
          <w:bCs/>
          <w:color w:val="00518E"/>
          <w:sz w:val="22"/>
          <w:lang w:val="en-AU"/>
        </w:rPr>
        <w:t xml:space="preserve"> </w:t>
      </w:r>
      <w:r w:rsidR="00C16155" w:rsidRPr="00195E82">
        <w:rPr>
          <w:b/>
          <w:bCs/>
          <w:color w:val="00518E"/>
        </w:rPr>
        <w:t xml:space="preserve">up 24%, </w:t>
      </w:r>
      <w:r w:rsidR="00144CE7" w:rsidRPr="00195E82">
        <w:rPr>
          <w:b/>
          <w:bCs/>
          <w:color w:val="00518E"/>
        </w:rPr>
        <w:t>15% and 13%</w:t>
      </w:r>
      <w:r w:rsidR="00C16155" w:rsidRPr="00195E82">
        <w:rPr>
          <w:color w:val="00518E"/>
        </w:rPr>
        <w:t xml:space="preserve"> </w:t>
      </w:r>
      <w:r w:rsidR="00C16155">
        <w:t>respectively</w:t>
      </w:r>
      <w:r w:rsidR="00144CE7">
        <w:t>)</w:t>
      </w:r>
      <w:r w:rsidR="001E2807">
        <w:t xml:space="preserve"> since the previous financial year</w:t>
      </w:r>
      <w:r w:rsidR="00C16155">
        <w:t>.</w:t>
      </w:r>
      <w:r w:rsidR="001E2807">
        <w:t xml:space="preserve"> However, </w:t>
      </w:r>
      <w:r w:rsidR="008E6D90">
        <w:t xml:space="preserve">the 2019-20 rates recorded </w:t>
      </w:r>
      <w:r w:rsidR="001E2807">
        <w:t>Comcare and the Australian Capital Territory</w:t>
      </w:r>
      <w:r w:rsidR="006D1B33">
        <w:t xml:space="preserve"> (Private)</w:t>
      </w:r>
      <w:r w:rsidR="001E2807">
        <w:t xml:space="preserve"> </w:t>
      </w:r>
      <w:r w:rsidR="00CA7F56">
        <w:t>remained</w:t>
      </w:r>
      <w:r w:rsidR="0001125E">
        <w:t xml:space="preserve"> </w:t>
      </w:r>
      <w:r w:rsidR="005E7288">
        <w:t xml:space="preserve">less than </w:t>
      </w:r>
      <w:r w:rsidR="0001125E">
        <w:t xml:space="preserve">their </w:t>
      </w:r>
      <w:r w:rsidR="005E7288">
        <w:t>average premium rate</w:t>
      </w:r>
      <w:r w:rsidR="0001125E">
        <w:t>s</w:t>
      </w:r>
      <w:r w:rsidR="005E7288">
        <w:t xml:space="preserve"> in 2015</w:t>
      </w:r>
      <w:r w:rsidR="00381710">
        <w:noBreakHyphen/>
      </w:r>
      <w:r w:rsidR="005E7288">
        <w:t>16.</w:t>
      </w:r>
    </w:p>
    <w:p w14:paraId="471595AE" w14:textId="4CD44301" w:rsidR="0002278D" w:rsidRPr="0002278D" w:rsidRDefault="0002278D" w:rsidP="0001354B">
      <w:pPr>
        <w:pStyle w:val="BodyJustified"/>
        <w:numPr>
          <w:ilvl w:val="0"/>
          <w:numId w:val="20"/>
        </w:numPr>
        <w:ind w:left="709" w:hanging="425"/>
        <w:rPr>
          <w:lang w:val="en-AU"/>
        </w:rPr>
      </w:pPr>
      <w:r w:rsidRPr="0002278D">
        <w:t xml:space="preserve">The New Zealand premium rate for this industry in 2019-20 was </w:t>
      </w:r>
      <w:r w:rsidR="00D118D7">
        <w:t>0.16</w:t>
      </w:r>
      <w:r w:rsidRPr="0002278D">
        <w:t>% of payroll.</w:t>
      </w:r>
    </w:p>
    <w:p w14:paraId="28BF2A03" w14:textId="065941CF" w:rsidR="007B4BFE" w:rsidRPr="00376FAA" w:rsidRDefault="00535035" w:rsidP="007C5673">
      <w:pPr>
        <w:pStyle w:val="SWASectionnumberingheading"/>
        <w:numPr>
          <w:ilvl w:val="0"/>
          <w:numId w:val="0"/>
        </w:numPr>
        <w:spacing w:before="240"/>
        <w:rPr>
          <w:sz w:val="20"/>
          <w:szCs w:val="20"/>
        </w:rPr>
      </w:pPr>
      <w:bookmarkStart w:id="49" w:name="_Toc80972076"/>
      <w:r w:rsidRPr="00376FAA">
        <w:rPr>
          <w:sz w:val="20"/>
          <w:szCs w:val="20"/>
        </w:rPr>
        <w:t>Indicator 14</w:t>
      </w:r>
      <w:r w:rsidR="007B4BFE" w:rsidRPr="00376FAA">
        <w:rPr>
          <w:sz w:val="20"/>
          <w:szCs w:val="20"/>
        </w:rPr>
        <w:t xml:space="preserve">j – Standardised premium rates for </w:t>
      </w:r>
      <w:r w:rsidR="00047378" w:rsidRPr="00376FAA">
        <w:rPr>
          <w:sz w:val="20"/>
          <w:szCs w:val="20"/>
        </w:rPr>
        <w:t>Information, media and telecom</w:t>
      </w:r>
      <w:r w:rsidR="007B4BFE" w:rsidRPr="00376FAA">
        <w:rPr>
          <w:sz w:val="20"/>
          <w:szCs w:val="20"/>
        </w:rPr>
        <w:t>munication</w:t>
      </w:r>
      <w:r w:rsidR="00047378" w:rsidRPr="00376FAA">
        <w:rPr>
          <w:sz w:val="20"/>
          <w:szCs w:val="20"/>
        </w:rPr>
        <w:t>s</w:t>
      </w:r>
      <w:r w:rsidR="007B4BFE" w:rsidRPr="00376FAA">
        <w:rPr>
          <w:sz w:val="20"/>
          <w:szCs w:val="20"/>
        </w:rPr>
        <w:t xml:space="preserve"> by jurisdiction</w:t>
      </w:r>
      <w:bookmarkEnd w:id="49"/>
    </w:p>
    <w:p w14:paraId="48BB6F3C" w14:textId="58E05836" w:rsidR="007B4BFE" w:rsidRDefault="00230072" w:rsidP="00B62606">
      <w:pPr>
        <w:spacing w:before="0"/>
        <w:jc w:val="center"/>
      </w:pPr>
      <w:r>
        <w:rPr>
          <w:noProof/>
        </w:rPr>
        <w:drawing>
          <wp:inline distT="0" distB="0" distL="0" distR="0" wp14:anchorId="1EAFC3B4" wp14:editId="10CA646A">
            <wp:extent cx="6078769" cy="2835910"/>
            <wp:effectExtent l="0" t="0" r="0" b="2540"/>
            <wp:docPr id="47" name="Picture 47" descr="This bar graph shows standardised premium rates for the information, media and telecommunication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his bar graph shows standardised premium rates for the information, media and telecommunications industry by jurisdiction, from 2015-16 to 2019-20, and a line indicating the Australian average for 2019-20. Please refer to body text for more informati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93757" cy="2842902"/>
                    </a:xfrm>
                    <a:prstGeom prst="rect">
                      <a:avLst/>
                    </a:prstGeom>
                    <a:noFill/>
                  </pic:spPr>
                </pic:pic>
              </a:graphicData>
            </a:graphic>
          </wp:inline>
        </w:drawing>
      </w:r>
    </w:p>
    <w:p w14:paraId="1C916F0A" w14:textId="77777777" w:rsidR="002F51ED" w:rsidRDefault="002F51ED">
      <w:pPr>
        <w:spacing w:before="0" w:after="200" w:line="276" w:lineRule="auto"/>
        <w:jc w:val="left"/>
        <w:rPr>
          <w:rFonts w:ascii="Arial Bold" w:eastAsiaTheme="majorEastAsia" w:hAnsi="Arial Bold" w:cs="Arial"/>
          <w:b/>
          <w:kern w:val="32"/>
          <w:sz w:val="28"/>
          <w:szCs w:val="22"/>
        </w:rPr>
      </w:pPr>
      <w:bookmarkStart w:id="50" w:name="_Toc80289684"/>
      <w:r>
        <w:br w:type="page"/>
      </w:r>
    </w:p>
    <w:p w14:paraId="59A728D6" w14:textId="7D00A39B" w:rsidR="007B4BFE" w:rsidRPr="00285B6A" w:rsidRDefault="007B4BFE" w:rsidP="007C5673">
      <w:pPr>
        <w:pStyle w:val="Heading1"/>
        <w:spacing w:before="240"/>
      </w:pPr>
      <w:r w:rsidRPr="00285B6A">
        <w:lastRenderedPageBreak/>
        <w:t>Financ</w:t>
      </w:r>
      <w:r w:rsidR="00254859">
        <w:t>ial</w:t>
      </w:r>
      <w:r w:rsidRPr="00285B6A">
        <w:t xml:space="preserve"> and insurance </w:t>
      </w:r>
      <w:r w:rsidR="00592E49">
        <w:t>services</w:t>
      </w:r>
      <w:bookmarkEnd w:id="50"/>
      <w:r w:rsidR="00E2320E">
        <w:t xml:space="preserve"> </w:t>
      </w:r>
    </w:p>
    <w:p w14:paraId="0FE63684" w14:textId="08816FBF" w:rsidR="00144CE7" w:rsidRPr="0002278D" w:rsidRDefault="008B74D6" w:rsidP="0001354B">
      <w:pPr>
        <w:pStyle w:val="BodyJustified"/>
        <w:numPr>
          <w:ilvl w:val="0"/>
          <w:numId w:val="21"/>
        </w:numPr>
        <w:ind w:left="709" w:hanging="425"/>
      </w:pPr>
      <w:r>
        <w:t xml:space="preserve">The </w:t>
      </w:r>
      <w:r w:rsidR="00144CE7">
        <w:t xml:space="preserve">average adjusted </w:t>
      </w:r>
      <w:r w:rsidR="00144CE7" w:rsidRPr="0002278D">
        <w:t xml:space="preserve">Australian premium rate in the </w:t>
      </w:r>
      <w:r w:rsidR="00144CE7" w:rsidRPr="00144CE7">
        <w:t xml:space="preserve">Financial and insurance services </w:t>
      </w:r>
      <w:r w:rsidR="00144CE7" w:rsidRPr="00672903">
        <w:t>industry</w:t>
      </w:r>
      <w:r w:rsidR="00144CE7" w:rsidRPr="0002278D">
        <w:t xml:space="preserve"> </w:t>
      </w:r>
      <w:r w:rsidRPr="00682E5E">
        <w:rPr>
          <w:b/>
          <w:bCs/>
          <w:color w:val="B94F25"/>
        </w:rPr>
        <w:t>decreased</w:t>
      </w:r>
      <w:r w:rsidR="00682E5E" w:rsidRPr="00682E5E">
        <w:rPr>
          <w:b/>
          <w:bCs/>
          <w:color w:val="B94F25"/>
        </w:rPr>
        <w:t xml:space="preserve"> by</w:t>
      </w:r>
      <w:r w:rsidRPr="00682E5E">
        <w:rPr>
          <w:b/>
          <w:bCs/>
          <w:color w:val="B94F25"/>
        </w:rPr>
        <w:t xml:space="preserve"> </w:t>
      </w:r>
      <w:r w:rsidR="00682E5E" w:rsidRPr="00682E5E">
        <w:rPr>
          <w:b/>
          <w:bCs/>
          <w:color w:val="B94F25"/>
        </w:rPr>
        <w:t>6%</w:t>
      </w:r>
      <w:r w:rsidR="00682E5E">
        <w:t xml:space="preserve"> </w:t>
      </w:r>
      <w:r>
        <w:t xml:space="preserve">over the 5 year period from 0.25% of payroll in 2015-16 to </w:t>
      </w:r>
      <w:r w:rsidR="00144CE7">
        <w:t>0.23</w:t>
      </w:r>
      <w:r w:rsidR="00144CE7" w:rsidRPr="0002278D">
        <w:t>%</w:t>
      </w:r>
      <w:r>
        <w:t xml:space="preserve"> in 2019-20</w:t>
      </w:r>
      <w:r w:rsidR="00144CE7">
        <w:t>.</w:t>
      </w:r>
    </w:p>
    <w:p w14:paraId="7DA6E953" w14:textId="46625B38" w:rsidR="0019749B" w:rsidRDefault="00144CE7" w:rsidP="0001354B">
      <w:pPr>
        <w:pStyle w:val="BodyJustified"/>
        <w:numPr>
          <w:ilvl w:val="0"/>
          <w:numId w:val="21"/>
        </w:numPr>
        <w:ind w:left="709" w:hanging="425"/>
      </w:pPr>
      <w:r w:rsidRPr="0002278D">
        <w:t xml:space="preserve">The </w:t>
      </w:r>
      <w:r>
        <w:t xml:space="preserve">Northern Territory </w:t>
      </w:r>
      <w:r w:rsidR="00C16155">
        <w:t xml:space="preserve">recorded </w:t>
      </w:r>
      <w:r>
        <w:t>the</w:t>
      </w:r>
      <w:r w:rsidRPr="0002278D">
        <w:t xml:space="preserve"> highest </w:t>
      </w:r>
      <w:r w:rsidRPr="008621FA">
        <w:t>premium rate</w:t>
      </w:r>
      <w:r>
        <w:t xml:space="preserve"> </w:t>
      </w:r>
      <w:r w:rsidRPr="0002278D">
        <w:t xml:space="preserve">at </w:t>
      </w:r>
      <w:bookmarkStart w:id="51" w:name="_Hlk80016362"/>
      <w:r w:rsidR="001D3053">
        <w:t>0.95% of payroll</w:t>
      </w:r>
      <w:bookmarkEnd w:id="51"/>
      <w:r w:rsidR="001D3053">
        <w:t xml:space="preserve">, </w:t>
      </w:r>
      <w:r w:rsidR="00541844">
        <w:t>an</w:t>
      </w:r>
      <w:r w:rsidR="001D3053">
        <w:t xml:space="preserve"> </w:t>
      </w:r>
      <w:r w:rsidR="001D3053" w:rsidRPr="00D318AB">
        <w:rPr>
          <w:b/>
          <w:bCs/>
          <w:color w:val="00518E"/>
        </w:rPr>
        <w:t>increase of 47%</w:t>
      </w:r>
      <w:r w:rsidR="001D3053">
        <w:t xml:space="preserve"> from the previous </w:t>
      </w:r>
      <w:r w:rsidR="0019749B">
        <w:t xml:space="preserve">financial </w:t>
      </w:r>
      <w:r w:rsidR="001D3053">
        <w:t>year.</w:t>
      </w:r>
      <w:r w:rsidR="006E127B">
        <w:t xml:space="preserve"> </w:t>
      </w:r>
    </w:p>
    <w:p w14:paraId="4C98D8EC" w14:textId="3121010C" w:rsidR="00C16155" w:rsidRDefault="006E127B" w:rsidP="0001354B">
      <w:pPr>
        <w:pStyle w:val="BodyJustified"/>
        <w:numPr>
          <w:ilvl w:val="0"/>
          <w:numId w:val="21"/>
        </w:numPr>
        <w:ind w:left="709" w:hanging="425"/>
      </w:pPr>
      <w:r>
        <w:t xml:space="preserve">The </w:t>
      </w:r>
      <w:r w:rsidR="00C16155">
        <w:t xml:space="preserve">Australian Capital Territory </w:t>
      </w:r>
      <w:r w:rsidR="006D1B33">
        <w:t xml:space="preserve">(Private) </w:t>
      </w:r>
      <w:r w:rsidR="00C16155">
        <w:t>reco</w:t>
      </w:r>
      <w:r w:rsidR="0019749B">
        <w:t>r</w:t>
      </w:r>
      <w:r w:rsidR="00C16155">
        <w:t xml:space="preserve">ded </w:t>
      </w:r>
      <w:r>
        <w:t xml:space="preserve">a </w:t>
      </w:r>
      <w:r w:rsidR="00C16155" w:rsidRPr="00D318AB">
        <w:rPr>
          <w:b/>
          <w:bCs/>
          <w:color w:val="B94F25"/>
        </w:rPr>
        <w:t>28% decrease</w:t>
      </w:r>
      <w:r w:rsidR="00C16155">
        <w:t xml:space="preserve"> </w:t>
      </w:r>
      <w:r>
        <w:t xml:space="preserve">in premium rates to </w:t>
      </w:r>
      <w:bookmarkStart w:id="52" w:name="_Hlk80019203"/>
      <w:r w:rsidRPr="006E127B">
        <w:rPr>
          <w:lang w:val="en-AU"/>
        </w:rPr>
        <w:t>0.</w:t>
      </w:r>
      <w:r>
        <w:rPr>
          <w:lang w:val="en-AU"/>
        </w:rPr>
        <w:t>67</w:t>
      </w:r>
      <w:r w:rsidRPr="006E127B">
        <w:rPr>
          <w:lang w:val="en-AU"/>
        </w:rPr>
        <w:t>% of payroll</w:t>
      </w:r>
      <w:bookmarkEnd w:id="52"/>
      <w:r w:rsidR="00B11B5B">
        <w:rPr>
          <w:lang w:val="en-AU"/>
        </w:rPr>
        <w:t xml:space="preserve">; </w:t>
      </w:r>
      <w:r w:rsidR="00623CF3">
        <w:rPr>
          <w:lang w:val="en-AU"/>
        </w:rPr>
        <w:t xml:space="preserve">the lowest it </w:t>
      </w:r>
      <w:r w:rsidR="00541844">
        <w:rPr>
          <w:lang w:val="en-AU"/>
        </w:rPr>
        <w:t>has been</w:t>
      </w:r>
      <w:r w:rsidR="00623CF3">
        <w:rPr>
          <w:lang w:val="en-AU"/>
        </w:rPr>
        <w:t xml:space="preserve"> in recent </w:t>
      </w:r>
      <w:r w:rsidR="00541844">
        <w:rPr>
          <w:lang w:val="en-AU"/>
        </w:rPr>
        <w:t>years.</w:t>
      </w:r>
    </w:p>
    <w:p w14:paraId="22F553ED" w14:textId="21B4FBC7" w:rsidR="00C16155" w:rsidRDefault="003038CC" w:rsidP="0001354B">
      <w:pPr>
        <w:pStyle w:val="BodyJustified"/>
        <w:numPr>
          <w:ilvl w:val="0"/>
          <w:numId w:val="21"/>
        </w:numPr>
        <w:ind w:left="709" w:hanging="425"/>
      </w:pPr>
      <w:r>
        <w:t xml:space="preserve">The lowest premium </w:t>
      </w:r>
      <w:r w:rsidRPr="003038CC">
        <w:t>rate for</w:t>
      </w:r>
      <w:r w:rsidR="00F9415A">
        <w:t xml:space="preserve"> this industry</w:t>
      </w:r>
      <w:r w:rsidRPr="001E4393">
        <w:t xml:space="preserve"> was that of C</w:t>
      </w:r>
      <w:r>
        <w:t>omcare</w:t>
      </w:r>
      <w:r w:rsidR="001E4393">
        <w:t xml:space="preserve"> at </w:t>
      </w:r>
      <w:r w:rsidR="001E4393" w:rsidRPr="006E127B">
        <w:t>0.</w:t>
      </w:r>
      <w:r w:rsidR="001E4393">
        <w:t>17</w:t>
      </w:r>
      <w:r w:rsidR="001E4393" w:rsidRPr="006E127B">
        <w:t>% of payroll</w:t>
      </w:r>
      <w:r w:rsidR="001E4393">
        <w:t>, a</w:t>
      </w:r>
      <w:r w:rsidR="00362846">
        <w:t> </w:t>
      </w:r>
      <w:r w:rsidR="001E4393" w:rsidRPr="00D318AB">
        <w:rPr>
          <w:b/>
          <w:bCs/>
          <w:color w:val="B94F25"/>
        </w:rPr>
        <w:t>reduction</w:t>
      </w:r>
      <w:r w:rsidR="00362846">
        <w:rPr>
          <w:b/>
          <w:bCs/>
          <w:color w:val="B94F25"/>
        </w:rPr>
        <w:t> </w:t>
      </w:r>
      <w:r w:rsidR="001E4393" w:rsidRPr="00D318AB">
        <w:rPr>
          <w:b/>
          <w:bCs/>
          <w:color w:val="B94F25"/>
        </w:rPr>
        <w:t>of</w:t>
      </w:r>
      <w:r w:rsidR="00362846">
        <w:rPr>
          <w:b/>
          <w:bCs/>
          <w:color w:val="B94F25"/>
        </w:rPr>
        <w:t> </w:t>
      </w:r>
      <w:r w:rsidR="001E4393" w:rsidRPr="00D318AB">
        <w:rPr>
          <w:b/>
          <w:bCs/>
          <w:color w:val="B94F25"/>
        </w:rPr>
        <w:t>13%</w:t>
      </w:r>
      <w:r w:rsidR="001E4393">
        <w:t xml:space="preserve"> from the previous </w:t>
      </w:r>
      <w:r w:rsidR="0019749B">
        <w:t xml:space="preserve">financial </w:t>
      </w:r>
      <w:r w:rsidR="001E4393">
        <w:t>year.</w:t>
      </w:r>
    </w:p>
    <w:p w14:paraId="119DFBC9" w14:textId="14A898A9" w:rsidR="00144CE7" w:rsidRPr="00C16155" w:rsidRDefault="00144CE7" w:rsidP="0001354B">
      <w:pPr>
        <w:pStyle w:val="BodyJustified"/>
        <w:numPr>
          <w:ilvl w:val="0"/>
          <w:numId w:val="21"/>
        </w:numPr>
        <w:ind w:left="709" w:hanging="425"/>
      </w:pPr>
      <w:r w:rsidRPr="0002278D">
        <w:t xml:space="preserve">The New Zealand premium rate for this industry in 2019-20 was </w:t>
      </w:r>
      <w:r>
        <w:t>0.1</w:t>
      </w:r>
      <w:r w:rsidR="001E4393">
        <w:t>1</w:t>
      </w:r>
      <w:r w:rsidRPr="0002278D">
        <w:t>% of payroll.</w:t>
      </w:r>
    </w:p>
    <w:p w14:paraId="28F1E3FE" w14:textId="71C42400" w:rsidR="007B4BFE" w:rsidRPr="00E53AC3" w:rsidRDefault="00535035" w:rsidP="007C5673">
      <w:pPr>
        <w:pStyle w:val="SWASectionnumberingheading"/>
        <w:numPr>
          <w:ilvl w:val="0"/>
          <w:numId w:val="0"/>
        </w:numPr>
        <w:spacing w:before="240"/>
        <w:rPr>
          <w:sz w:val="19"/>
          <w:szCs w:val="19"/>
        </w:rPr>
      </w:pPr>
      <w:bookmarkStart w:id="53" w:name="_Toc80972077"/>
      <w:r w:rsidRPr="00E53AC3">
        <w:rPr>
          <w:sz w:val="19"/>
          <w:szCs w:val="19"/>
        </w:rPr>
        <w:t>Indicator 14</w:t>
      </w:r>
      <w:r w:rsidR="007B4BFE" w:rsidRPr="00E53AC3">
        <w:rPr>
          <w:sz w:val="19"/>
          <w:szCs w:val="19"/>
        </w:rPr>
        <w:t>k – Standardised premium rates for Financ</w:t>
      </w:r>
      <w:r w:rsidR="00254859" w:rsidRPr="00E53AC3">
        <w:rPr>
          <w:sz w:val="19"/>
          <w:szCs w:val="19"/>
        </w:rPr>
        <w:t>ial</w:t>
      </w:r>
      <w:r w:rsidR="007B4BFE" w:rsidRPr="00E53AC3">
        <w:rPr>
          <w:sz w:val="19"/>
          <w:szCs w:val="19"/>
        </w:rPr>
        <w:t xml:space="preserve"> and insurance </w:t>
      </w:r>
      <w:r w:rsidR="00047378" w:rsidRPr="00E53AC3">
        <w:rPr>
          <w:sz w:val="19"/>
          <w:szCs w:val="19"/>
        </w:rPr>
        <w:t xml:space="preserve">services </w:t>
      </w:r>
      <w:r w:rsidR="007B4BFE" w:rsidRPr="00E53AC3">
        <w:rPr>
          <w:sz w:val="19"/>
          <w:szCs w:val="19"/>
        </w:rPr>
        <w:t>by jurisdiction</w:t>
      </w:r>
      <w:bookmarkEnd w:id="53"/>
    </w:p>
    <w:p w14:paraId="62C461C9" w14:textId="0BEDE345" w:rsidR="007B4BFE" w:rsidRDefault="002F51ED" w:rsidP="00B62606">
      <w:pPr>
        <w:spacing w:before="0"/>
        <w:jc w:val="center"/>
        <w:rPr>
          <w:lang w:val="en-GB"/>
        </w:rPr>
      </w:pPr>
      <w:r>
        <w:rPr>
          <w:noProof/>
          <w:lang w:val="en-GB"/>
        </w:rPr>
        <w:drawing>
          <wp:inline distT="0" distB="0" distL="0" distR="0" wp14:anchorId="47E7143E" wp14:editId="77AD36AB">
            <wp:extent cx="5946627" cy="2790825"/>
            <wp:effectExtent l="0" t="0" r="0" b="0"/>
            <wp:docPr id="48" name="Picture 48" descr="This bar graph shows standardised premium rates for the financial and insurance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is bar graph shows standardised premium rates for the financial and insurance services industry by jurisdiction, from 2015-16 to 2019-20, and a line indicating the Australian average for 2019-20. Please refer to body text for more informatio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8024" cy="2800867"/>
                    </a:xfrm>
                    <a:prstGeom prst="rect">
                      <a:avLst/>
                    </a:prstGeom>
                    <a:noFill/>
                  </pic:spPr>
                </pic:pic>
              </a:graphicData>
            </a:graphic>
          </wp:inline>
        </w:drawing>
      </w:r>
    </w:p>
    <w:p w14:paraId="2D837D15" w14:textId="77777777" w:rsidR="002F51ED" w:rsidRDefault="002F51ED">
      <w:pPr>
        <w:spacing w:before="0" w:after="200" w:line="276" w:lineRule="auto"/>
        <w:jc w:val="left"/>
        <w:rPr>
          <w:rFonts w:ascii="Arial Bold" w:eastAsiaTheme="majorEastAsia" w:hAnsi="Arial Bold" w:cs="Arial"/>
          <w:b/>
          <w:kern w:val="32"/>
          <w:sz w:val="28"/>
          <w:szCs w:val="22"/>
        </w:rPr>
      </w:pPr>
      <w:bookmarkStart w:id="54" w:name="_Toc80289685"/>
      <w:r>
        <w:br w:type="page"/>
      </w:r>
    </w:p>
    <w:p w14:paraId="22E8460C" w14:textId="125DA4AF" w:rsidR="007B4BFE" w:rsidRPr="00285B6A" w:rsidRDefault="00592E49" w:rsidP="007C5673">
      <w:pPr>
        <w:pStyle w:val="Heading1"/>
        <w:keepLines/>
        <w:spacing w:before="240"/>
      </w:pPr>
      <w:r>
        <w:lastRenderedPageBreak/>
        <w:t>Rental, hiring and real estate services</w:t>
      </w:r>
      <w:bookmarkEnd w:id="54"/>
      <w:r w:rsidR="001472A2">
        <w:t xml:space="preserve"> </w:t>
      </w:r>
    </w:p>
    <w:p w14:paraId="7E91CB43" w14:textId="68A8B67F" w:rsidR="005B00C5" w:rsidRPr="000B016A" w:rsidRDefault="005B00C5" w:rsidP="0001354B">
      <w:pPr>
        <w:pStyle w:val="BodyJustified"/>
        <w:numPr>
          <w:ilvl w:val="0"/>
          <w:numId w:val="22"/>
        </w:numPr>
        <w:ind w:left="709" w:hanging="425"/>
      </w:pPr>
      <w:bookmarkStart w:id="55" w:name="_Hlk80023692"/>
      <w:r w:rsidRPr="000B016A">
        <w:t xml:space="preserve">The Australian average premium rate in the Rental, hiring and real estate services industry </w:t>
      </w:r>
      <w:r w:rsidR="00D318AB" w:rsidRPr="00D318AB">
        <w:rPr>
          <w:b/>
          <w:bCs/>
          <w:color w:val="00518E"/>
        </w:rPr>
        <w:t>increased by</w:t>
      </w:r>
      <w:r w:rsidR="00623CF3" w:rsidRPr="00D318AB">
        <w:rPr>
          <w:b/>
          <w:bCs/>
          <w:color w:val="00518E"/>
        </w:rPr>
        <w:t xml:space="preserve"> </w:t>
      </w:r>
      <w:r w:rsidR="003E43D5">
        <w:rPr>
          <w:b/>
          <w:bCs/>
          <w:color w:val="00518E"/>
        </w:rPr>
        <w:t>4</w:t>
      </w:r>
      <w:r w:rsidR="00C16155" w:rsidRPr="00D318AB">
        <w:rPr>
          <w:b/>
          <w:bCs/>
          <w:color w:val="00518E"/>
        </w:rPr>
        <w:t>%</w:t>
      </w:r>
      <w:r w:rsidR="00C16155" w:rsidRPr="00D318AB">
        <w:rPr>
          <w:color w:val="00518E"/>
        </w:rPr>
        <w:t xml:space="preserve"> </w:t>
      </w:r>
      <w:r w:rsidR="00D318AB">
        <w:t>over</w:t>
      </w:r>
      <w:r w:rsidR="00C16155">
        <w:t xml:space="preserve"> the previous financial year, </w:t>
      </w:r>
      <w:r w:rsidR="00623CF3">
        <w:t>to</w:t>
      </w:r>
      <w:r w:rsidRPr="000B016A">
        <w:t xml:space="preserve"> 0.7</w:t>
      </w:r>
      <w:r w:rsidR="002F51ED">
        <w:t>2</w:t>
      </w:r>
      <w:r w:rsidRPr="000B016A">
        <w:t>% of payroll</w:t>
      </w:r>
      <w:r w:rsidR="00623CF3">
        <w:t xml:space="preserve"> in 2019-20.</w:t>
      </w:r>
    </w:p>
    <w:bookmarkEnd w:id="55"/>
    <w:p w14:paraId="3A2FCC8B" w14:textId="69391F98" w:rsidR="005B00C5" w:rsidRPr="005B00C5" w:rsidRDefault="005B00C5" w:rsidP="0001354B">
      <w:pPr>
        <w:pStyle w:val="BodyJustified"/>
        <w:numPr>
          <w:ilvl w:val="0"/>
          <w:numId w:val="22"/>
        </w:numPr>
        <w:ind w:left="709" w:hanging="425"/>
      </w:pPr>
      <w:r w:rsidRPr="000B016A">
        <w:t xml:space="preserve">The </w:t>
      </w:r>
      <w:r w:rsidR="00C16155">
        <w:t>Australian Capital Territory</w:t>
      </w:r>
      <w:r w:rsidR="006D1B33">
        <w:t xml:space="preserve"> (Private)</w:t>
      </w:r>
      <w:r w:rsidRPr="000B016A">
        <w:t xml:space="preserve"> </w:t>
      </w:r>
      <w:r w:rsidR="00623CF3">
        <w:t>recorded the</w:t>
      </w:r>
      <w:r w:rsidRPr="000B016A">
        <w:t xml:space="preserve"> highest </w:t>
      </w:r>
      <w:r w:rsidR="00623CF3">
        <w:t xml:space="preserve">rate </w:t>
      </w:r>
      <w:r w:rsidRPr="000B016A">
        <w:t xml:space="preserve">at </w:t>
      </w:r>
      <w:r>
        <w:t>1.08</w:t>
      </w:r>
      <w:r w:rsidRPr="005B00C5">
        <w:t>% of payroll</w:t>
      </w:r>
      <w:r w:rsidR="0019749B">
        <w:t xml:space="preserve"> in 2019</w:t>
      </w:r>
      <w:r w:rsidR="0019749B">
        <w:noBreakHyphen/>
        <w:t>20</w:t>
      </w:r>
      <w:r>
        <w:t xml:space="preserve">. The Northern Territory </w:t>
      </w:r>
      <w:r w:rsidR="00623CF3">
        <w:t>saw</w:t>
      </w:r>
      <w:r>
        <w:t xml:space="preserve"> a sharp </w:t>
      </w:r>
      <w:r w:rsidRPr="00D318AB">
        <w:rPr>
          <w:b/>
          <w:bCs/>
          <w:color w:val="00518E"/>
        </w:rPr>
        <w:t>increase of 29%</w:t>
      </w:r>
      <w:r>
        <w:t xml:space="preserve"> since the last financial year with rates </w:t>
      </w:r>
      <w:r w:rsidR="0019749B">
        <w:t>at</w:t>
      </w:r>
      <w:r>
        <w:t xml:space="preserve"> </w:t>
      </w:r>
      <w:r w:rsidRPr="005B00C5">
        <w:t>1.05%</w:t>
      </w:r>
      <w:r>
        <w:t xml:space="preserve"> of payroll.</w:t>
      </w:r>
    </w:p>
    <w:p w14:paraId="13FF3885" w14:textId="1D324280" w:rsidR="001E4393" w:rsidRDefault="004E07FF" w:rsidP="0001354B">
      <w:pPr>
        <w:pStyle w:val="BodyJustified"/>
        <w:numPr>
          <w:ilvl w:val="0"/>
          <w:numId w:val="22"/>
        </w:numPr>
        <w:ind w:left="709" w:hanging="425"/>
      </w:pPr>
      <w:r>
        <w:t xml:space="preserve">The premium rate for Comcare </w:t>
      </w:r>
      <w:r w:rsidRPr="00D318AB">
        <w:rPr>
          <w:b/>
          <w:bCs/>
          <w:color w:val="B94F25"/>
        </w:rPr>
        <w:t>decreased by 16%</w:t>
      </w:r>
      <w:r>
        <w:t xml:space="preserve"> </w:t>
      </w:r>
      <w:r w:rsidR="00C16155">
        <w:t xml:space="preserve">from the previous financial year </w:t>
      </w:r>
      <w:r>
        <w:t xml:space="preserve">to 0.66% of </w:t>
      </w:r>
      <w:r w:rsidR="008F172B">
        <w:t xml:space="preserve">payroll </w:t>
      </w:r>
      <w:r w:rsidR="00C16155">
        <w:t>in 2019-20 (</w:t>
      </w:r>
      <w:r w:rsidR="00623CF3">
        <w:t>a rate</w:t>
      </w:r>
      <w:r>
        <w:t xml:space="preserve"> below the Australian average</w:t>
      </w:r>
      <w:r w:rsidR="00C16155">
        <w:t>)</w:t>
      </w:r>
      <w:r>
        <w:t>.</w:t>
      </w:r>
    </w:p>
    <w:p w14:paraId="34779AFE" w14:textId="38208B8F" w:rsidR="007B4BFE" w:rsidRPr="00B94407" w:rsidRDefault="00CA18B9" w:rsidP="0001354B">
      <w:pPr>
        <w:pStyle w:val="BodyJustified"/>
        <w:numPr>
          <w:ilvl w:val="0"/>
          <w:numId w:val="22"/>
        </w:numPr>
        <w:ind w:left="709" w:hanging="425"/>
      </w:pPr>
      <w:r>
        <w:t xml:space="preserve">The </w:t>
      </w:r>
      <w:r w:rsidR="007B4BFE">
        <w:t xml:space="preserve">New Zealand premium rate </w:t>
      </w:r>
      <w:r w:rsidR="007870A2">
        <w:t>in 201</w:t>
      </w:r>
      <w:r w:rsidR="001E4393">
        <w:t>9</w:t>
      </w:r>
      <w:r w:rsidR="007870A2">
        <w:t>–</w:t>
      </w:r>
      <w:r w:rsidR="001E4393">
        <w:t>20</w:t>
      </w:r>
      <w:r w:rsidR="007870A2">
        <w:t xml:space="preserve"> </w:t>
      </w:r>
      <w:r w:rsidR="00D318AB" w:rsidRPr="00D318AB">
        <w:rPr>
          <w:b/>
          <w:bCs/>
          <w:color w:val="B94F25"/>
        </w:rPr>
        <w:t>lowered</w:t>
      </w:r>
      <w:r w:rsidR="005B00C5" w:rsidRPr="00D318AB">
        <w:rPr>
          <w:b/>
          <w:bCs/>
          <w:color w:val="B94F25"/>
        </w:rPr>
        <w:t xml:space="preserve"> by 7%</w:t>
      </w:r>
      <w:r w:rsidR="001E4393">
        <w:t xml:space="preserve"> </w:t>
      </w:r>
      <w:r w:rsidR="00C16155">
        <w:t xml:space="preserve">since the previous financial year, </w:t>
      </w:r>
      <w:r w:rsidR="005B00C5">
        <w:t>to 0.41</w:t>
      </w:r>
      <w:r w:rsidR="000B150E">
        <w:t>%</w:t>
      </w:r>
      <w:r w:rsidR="007870A2">
        <w:t xml:space="preserve"> of payroll</w:t>
      </w:r>
      <w:r w:rsidR="007B4BFE">
        <w:t>.</w:t>
      </w:r>
    </w:p>
    <w:p w14:paraId="6B81D4B1" w14:textId="6ABDC556" w:rsidR="007B4BFE" w:rsidRPr="00376FAA" w:rsidRDefault="00535035" w:rsidP="007C5673">
      <w:pPr>
        <w:pStyle w:val="SWASectionnumberingheading"/>
        <w:numPr>
          <w:ilvl w:val="0"/>
          <w:numId w:val="0"/>
        </w:numPr>
        <w:spacing w:before="240"/>
        <w:rPr>
          <w:sz w:val="20"/>
          <w:szCs w:val="20"/>
        </w:rPr>
      </w:pPr>
      <w:bookmarkStart w:id="56" w:name="_Toc80972078"/>
      <w:r w:rsidRPr="00376FAA">
        <w:rPr>
          <w:sz w:val="20"/>
          <w:szCs w:val="20"/>
        </w:rPr>
        <w:t>Indicator 14</w:t>
      </w:r>
      <w:r w:rsidR="00474952" w:rsidRPr="00376FAA">
        <w:rPr>
          <w:sz w:val="20"/>
          <w:szCs w:val="20"/>
        </w:rPr>
        <w:t>l</w:t>
      </w:r>
      <w:r w:rsidR="007B4BFE" w:rsidRPr="00376FAA">
        <w:rPr>
          <w:sz w:val="20"/>
          <w:szCs w:val="20"/>
        </w:rPr>
        <w:t xml:space="preserve"> – Standardised premium rates for </w:t>
      </w:r>
      <w:r w:rsidR="001472A2" w:rsidRPr="00376FAA">
        <w:rPr>
          <w:sz w:val="20"/>
          <w:szCs w:val="20"/>
        </w:rPr>
        <w:t>Rental, hiring and real estate</w:t>
      </w:r>
      <w:r w:rsidR="007B4BFE" w:rsidRPr="00376FAA">
        <w:rPr>
          <w:sz w:val="20"/>
          <w:szCs w:val="20"/>
        </w:rPr>
        <w:t xml:space="preserve"> services by jurisdiction</w:t>
      </w:r>
      <w:bookmarkEnd w:id="56"/>
    </w:p>
    <w:p w14:paraId="6EC98302" w14:textId="0B7E3435" w:rsidR="007B4BFE" w:rsidRDefault="00774F84" w:rsidP="007B4BFE">
      <w:pPr>
        <w:jc w:val="center"/>
        <w:rPr>
          <w:lang w:val="en-GB"/>
        </w:rPr>
      </w:pPr>
      <w:r>
        <w:rPr>
          <w:lang w:val="en-GB"/>
        </w:rPr>
        <w:t xml:space="preserve"> </w:t>
      </w:r>
      <w:r w:rsidR="002F51ED">
        <w:rPr>
          <w:noProof/>
          <w:lang w:val="en-GB"/>
        </w:rPr>
        <w:drawing>
          <wp:inline distT="0" distB="0" distL="0" distR="0" wp14:anchorId="690066DF" wp14:editId="6581D139">
            <wp:extent cx="6136645" cy="2867660"/>
            <wp:effectExtent l="0" t="0" r="0" b="8890"/>
            <wp:docPr id="49" name="Picture 49" descr="This bar graph shows standardised premium rates for the rental, hiring and real estate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bar graph shows standardised premium rates for the rental, hiring and real estate services industry by jurisdiction, from 2015-16 to 2019-20, and a line indicating the Australian average for 2019-20. Please refer to body text for more informa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40049" cy="2869251"/>
                    </a:xfrm>
                    <a:prstGeom prst="rect">
                      <a:avLst/>
                    </a:prstGeom>
                    <a:noFill/>
                  </pic:spPr>
                </pic:pic>
              </a:graphicData>
            </a:graphic>
          </wp:inline>
        </w:drawing>
      </w:r>
    </w:p>
    <w:p w14:paraId="26B407C9" w14:textId="77777777" w:rsidR="002F51ED" w:rsidRDefault="002F51ED">
      <w:pPr>
        <w:spacing w:before="0" w:after="200" w:line="276" w:lineRule="auto"/>
        <w:jc w:val="left"/>
        <w:rPr>
          <w:rFonts w:ascii="Arial Bold" w:eastAsiaTheme="majorEastAsia" w:hAnsi="Arial Bold" w:cs="Arial"/>
          <w:b/>
          <w:kern w:val="32"/>
          <w:sz w:val="28"/>
          <w:szCs w:val="22"/>
        </w:rPr>
      </w:pPr>
      <w:bookmarkStart w:id="57" w:name="_Toc80289686"/>
      <w:bookmarkStart w:id="58" w:name="_Hlk80096705"/>
      <w:r>
        <w:br w:type="page"/>
      </w:r>
    </w:p>
    <w:p w14:paraId="4D1EAD9B" w14:textId="4FFFE2FE" w:rsidR="007B4BFE" w:rsidRPr="00285B6A" w:rsidRDefault="00047378" w:rsidP="007C5673">
      <w:pPr>
        <w:pStyle w:val="Heading1"/>
        <w:spacing w:before="240"/>
      </w:pPr>
      <w:r>
        <w:lastRenderedPageBreak/>
        <w:t xml:space="preserve">Professional, </w:t>
      </w:r>
      <w:r w:rsidR="007E0179">
        <w:t>scientific,</w:t>
      </w:r>
      <w:r>
        <w:t xml:space="preserve"> and technical services</w:t>
      </w:r>
      <w:bookmarkEnd w:id="57"/>
      <w:r w:rsidR="007B4BFE" w:rsidRPr="00285B6A">
        <w:t xml:space="preserve"> </w:t>
      </w:r>
    </w:p>
    <w:bookmarkEnd w:id="58"/>
    <w:p w14:paraId="22D31EA9" w14:textId="23F53F7D" w:rsidR="004E07FF" w:rsidRDefault="004E07FF" w:rsidP="0001354B">
      <w:pPr>
        <w:pStyle w:val="BodyJustified"/>
        <w:numPr>
          <w:ilvl w:val="0"/>
          <w:numId w:val="23"/>
        </w:numPr>
        <w:ind w:left="709" w:hanging="425"/>
      </w:pPr>
      <w:r w:rsidRPr="004E07FF">
        <w:t xml:space="preserve">The Australian average premium rate in the Professional, </w:t>
      </w:r>
      <w:r w:rsidR="00E76FA3" w:rsidRPr="004E07FF">
        <w:t>scientific,</w:t>
      </w:r>
      <w:r w:rsidRPr="004E07FF">
        <w:t xml:space="preserve"> and technical services industry </w:t>
      </w:r>
      <w:r w:rsidR="00623CF3">
        <w:t xml:space="preserve">remained </w:t>
      </w:r>
      <w:r w:rsidRPr="004E07FF">
        <w:t xml:space="preserve">steady at </w:t>
      </w:r>
      <w:bookmarkStart w:id="59" w:name="_Hlk80085267"/>
      <w:r w:rsidRPr="004E07FF">
        <w:t>0.</w:t>
      </w:r>
      <w:r w:rsidR="00C2331A">
        <w:t>28</w:t>
      </w:r>
      <w:r w:rsidRPr="004E07FF">
        <w:t>% of payroll</w:t>
      </w:r>
      <w:bookmarkEnd w:id="59"/>
      <w:r w:rsidR="00C16155">
        <w:t xml:space="preserve"> in 2019-20</w:t>
      </w:r>
      <w:r w:rsidR="006709CB">
        <w:t>.</w:t>
      </w:r>
    </w:p>
    <w:p w14:paraId="086C8D9F" w14:textId="6129C49A" w:rsidR="00C2331A" w:rsidRDefault="00040488" w:rsidP="0001354B">
      <w:pPr>
        <w:pStyle w:val="BodyJustified"/>
        <w:numPr>
          <w:ilvl w:val="0"/>
          <w:numId w:val="23"/>
        </w:numPr>
        <w:ind w:left="709" w:hanging="425"/>
      </w:pPr>
      <w:r>
        <w:t>Rates in t</w:t>
      </w:r>
      <w:r w:rsidRPr="00040488">
        <w:t>he Northern Territory</w:t>
      </w:r>
      <w:r>
        <w:t xml:space="preserve"> </w:t>
      </w:r>
      <w:r w:rsidR="00623CF3">
        <w:t>were</w:t>
      </w:r>
      <w:r>
        <w:t xml:space="preserve"> sig</w:t>
      </w:r>
      <w:r w:rsidR="00F02782">
        <w:t xml:space="preserve">nificantly higher </w:t>
      </w:r>
      <w:r w:rsidR="00623CF3">
        <w:t xml:space="preserve">than </w:t>
      </w:r>
      <w:r w:rsidR="009C50DD">
        <w:t xml:space="preserve">that those of other </w:t>
      </w:r>
      <w:r w:rsidR="00623CF3">
        <w:t xml:space="preserve">Australian </w:t>
      </w:r>
      <w:r w:rsidR="009C50DD">
        <w:t>jurisdictions</w:t>
      </w:r>
      <w:r w:rsidR="00262EA8">
        <w:t xml:space="preserve">. The </w:t>
      </w:r>
      <w:r w:rsidR="00623CF3">
        <w:t>recorded</w:t>
      </w:r>
      <w:r w:rsidR="00262EA8">
        <w:t xml:space="preserve"> rate </w:t>
      </w:r>
      <w:r w:rsidR="0053710E">
        <w:t>of 1.51</w:t>
      </w:r>
      <w:r w:rsidR="0053710E" w:rsidRPr="004E07FF">
        <w:t>% of payroll</w:t>
      </w:r>
      <w:r w:rsidR="0053710E">
        <w:t xml:space="preserve"> </w:t>
      </w:r>
      <w:r w:rsidR="00623CF3">
        <w:t>was</w:t>
      </w:r>
      <w:r w:rsidR="0053710E">
        <w:t xml:space="preserve"> </w:t>
      </w:r>
      <w:r w:rsidR="00DE3C48">
        <w:rPr>
          <w:b/>
          <w:bCs/>
          <w:color w:val="00518E"/>
        </w:rPr>
        <w:t>540%</w:t>
      </w:r>
      <w:r w:rsidR="0053710E" w:rsidRPr="00D85DC6">
        <w:rPr>
          <w:color w:val="00518E"/>
        </w:rPr>
        <w:t xml:space="preserve"> </w:t>
      </w:r>
      <w:r w:rsidR="00071DBA" w:rsidRPr="00071DBA">
        <w:t>than</w:t>
      </w:r>
      <w:r w:rsidR="00071DBA">
        <w:rPr>
          <w:color w:val="00518E"/>
        </w:rPr>
        <w:t xml:space="preserve"> </w:t>
      </w:r>
      <w:r w:rsidR="008B5F49">
        <w:t xml:space="preserve">that of the national average. </w:t>
      </w:r>
      <w:r w:rsidR="002917C6">
        <w:t xml:space="preserve">Tasmania </w:t>
      </w:r>
      <w:r w:rsidR="00623CF3">
        <w:t>recorded</w:t>
      </w:r>
      <w:r w:rsidR="00317283">
        <w:t xml:space="preserve"> the second highest </w:t>
      </w:r>
      <w:r w:rsidR="002A595F">
        <w:t>premium rate of 0.63</w:t>
      </w:r>
      <w:r w:rsidR="002A595F" w:rsidRPr="004E07FF">
        <w:t>% of payroll</w:t>
      </w:r>
      <w:r w:rsidR="000E2D3E">
        <w:t>.</w:t>
      </w:r>
    </w:p>
    <w:p w14:paraId="184754EC" w14:textId="2BCFE652" w:rsidR="000E2D3E" w:rsidRPr="000E2D3E" w:rsidRDefault="00743D8C" w:rsidP="0001354B">
      <w:pPr>
        <w:pStyle w:val="BodyJustified"/>
        <w:numPr>
          <w:ilvl w:val="0"/>
          <w:numId w:val="23"/>
        </w:numPr>
        <w:ind w:left="709" w:hanging="425"/>
      </w:pPr>
      <w:r>
        <w:t>From a high of 0.91%</w:t>
      </w:r>
      <w:r w:rsidR="00C16155">
        <w:t xml:space="preserve"> in 2015-16, </w:t>
      </w:r>
      <w:r>
        <w:t xml:space="preserve">Comcare </w:t>
      </w:r>
      <w:r w:rsidR="00F9415A">
        <w:t xml:space="preserve">recorded </w:t>
      </w:r>
      <w:r>
        <w:t xml:space="preserve">reduced premium rates for </w:t>
      </w:r>
      <w:r w:rsidR="00F9415A">
        <w:t>this</w:t>
      </w:r>
      <w:r>
        <w:t xml:space="preserve"> industry to 0.37% of payroll in 2019-20 </w:t>
      </w:r>
      <w:r w:rsidR="00F9415A">
        <w:t>(</w:t>
      </w:r>
      <w:r w:rsidR="004A52A7">
        <w:rPr>
          <w:rFonts w:ascii="Wingdings 3" w:eastAsia="Times New Roman" w:hAnsi="Wingdings 3"/>
          <w:b/>
          <w:bCs/>
          <w:color w:val="B94F25"/>
        </w:rPr>
        <w:t>i</w:t>
      </w:r>
      <w:r w:rsidR="004A52A7">
        <w:rPr>
          <w:rFonts w:eastAsia="Times New Roman"/>
          <w:b/>
          <w:bCs/>
          <w:color w:val="B94F25"/>
        </w:rPr>
        <w:t xml:space="preserve"> </w:t>
      </w:r>
      <w:r w:rsidRPr="00D85DC6">
        <w:rPr>
          <w:b/>
          <w:bCs/>
          <w:color w:val="B94F25"/>
        </w:rPr>
        <w:t xml:space="preserve">decrease of </w:t>
      </w:r>
      <w:r w:rsidR="004613F8">
        <w:rPr>
          <w:b/>
          <w:bCs/>
          <w:color w:val="B94F25"/>
        </w:rPr>
        <w:t>60</w:t>
      </w:r>
      <w:r w:rsidR="004B6AF9" w:rsidRPr="00D85DC6">
        <w:rPr>
          <w:b/>
          <w:bCs/>
          <w:color w:val="B94F25"/>
        </w:rPr>
        <w:t>%</w:t>
      </w:r>
      <w:r w:rsidR="00F9415A">
        <w:t>)</w:t>
      </w:r>
      <w:r w:rsidR="004B6AF9">
        <w:t>.</w:t>
      </w:r>
    </w:p>
    <w:p w14:paraId="39FB69AC" w14:textId="5C87790D" w:rsidR="007B4BFE" w:rsidRPr="00B94407" w:rsidRDefault="007B4BFE" w:rsidP="0001354B">
      <w:pPr>
        <w:pStyle w:val="BodyJustified"/>
        <w:numPr>
          <w:ilvl w:val="0"/>
          <w:numId w:val="23"/>
        </w:numPr>
        <w:ind w:left="709" w:hanging="425"/>
      </w:pPr>
      <w:r>
        <w:t xml:space="preserve">The New Zealand average premium rate </w:t>
      </w:r>
      <w:r w:rsidR="00C2331A" w:rsidRPr="00C2331A">
        <w:t>in th</w:t>
      </w:r>
      <w:r w:rsidR="00F9415A">
        <w:t>is</w:t>
      </w:r>
      <w:r w:rsidR="00C2331A" w:rsidRPr="00C2331A">
        <w:t xml:space="preserve"> industry </w:t>
      </w:r>
      <w:r>
        <w:t xml:space="preserve">was </w:t>
      </w:r>
      <w:r w:rsidR="00A71AD9">
        <w:t>0.</w:t>
      </w:r>
      <w:r w:rsidR="00936917">
        <w:t>1</w:t>
      </w:r>
      <w:r w:rsidR="00C2331A">
        <w:t>5</w:t>
      </w:r>
      <w:r w:rsidR="000B150E">
        <w:t>%</w:t>
      </w:r>
      <w:r>
        <w:t xml:space="preserve"> of payroll</w:t>
      </w:r>
      <w:r w:rsidR="00C2331A">
        <w:t>.</w:t>
      </w:r>
    </w:p>
    <w:p w14:paraId="7D11CFBC" w14:textId="2948B73D" w:rsidR="007B4BFE" w:rsidRPr="00376FAA" w:rsidRDefault="00535035" w:rsidP="007C5673">
      <w:pPr>
        <w:pStyle w:val="SWASectionnumberingheading"/>
        <w:numPr>
          <w:ilvl w:val="0"/>
          <w:numId w:val="0"/>
        </w:numPr>
        <w:spacing w:before="240"/>
        <w:rPr>
          <w:sz w:val="20"/>
          <w:szCs w:val="20"/>
        </w:rPr>
      </w:pPr>
      <w:bookmarkStart w:id="60" w:name="_Toc80972079"/>
      <w:r w:rsidRPr="00376FAA">
        <w:rPr>
          <w:sz w:val="20"/>
          <w:szCs w:val="20"/>
        </w:rPr>
        <w:t>Indicator 14</w:t>
      </w:r>
      <w:r w:rsidR="007B4BFE" w:rsidRPr="00376FAA">
        <w:rPr>
          <w:sz w:val="20"/>
          <w:szCs w:val="20"/>
        </w:rPr>
        <w:t xml:space="preserve">m – Standardised premium rates for </w:t>
      </w:r>
      <w:r w:rsidR="001F36F3" w:rsidRPr="00376FAA">
        <w:rPr>
          <w:sz w:val="20"/>
          <w:szCs w:val="20"/>
        </w:rPr>
        <w:t>P</w:t>
      </w:r>
      <w:r w:rsidR="00047378" w:rsidRPr="00376FAA">
        <w:rPr>
          <w:sz w:val="20"/>
          <w:szCs w:val="20"/>
        </w:rPr>
        <w:t xml:space="preserve">rofessional, </w:t>
      </w:r>
      <w:r w:rsidR="00E76FA3" w:rsidRPr="00376FAA">
        <w:rPr>
          <w:sz w:val="20"/>
          <w:szCs w:val="20"/>
        </w:rPr>
        <w:t>scientific</w:t>
      </w:r>
      <w:r w:rsidR="00047378" w:rsidRPr="00376FAA">
        <w:rPr>
          <w:sz w:val="20"/>
          <w:szCs w:val="20"/>
        </w:rPr>
        <w:t xml:space="preserve"> and technical services</w:t>
      </w:r>
      <w:r w:rsidR="007B4BFE" w:rsidRPr="00376FAA">
        <w:rPr>
          <w:sz w:val="20"/>
          <w:szCs w:val="20"/>
        </w:rPr>
        <w:t xml:space="preserve"> by jurisdiction</w:t>
      </w:r>
      <w:bookmarkEnd w:id="60"/>
    </w:p>
    <w:p w14:paraId="2F5B60D9" w14:textId="4D9833D1" w:rsidR="007B4BFE" w:rsidRDefault="00A06667" w:rsidP="007B4BFE">
      <w:pPr>
        <w:jc w:val="center"/>
        <w:rPr>
          <w:lang w:val="en-GB"/>
        </w:rPr>
      </w:pPr>
      <w:r>
        <w:rPr>
          <w:noProof/>
          <w:lang w:val="en-GB"/>
        </w:rPr>
        <w:drawing>
          <wp:inline distT="0" distB="0" distL="0" distR="0" wp14:anchorId="4FE3D810" wp14:editId="110E824B">
            <wp:extent cx="6115345" cy="2846070"/>
            <wp:effectExtent l="0" t="0" r="0" b="0"/>
            <wp:docPr id="51" name="Picture 51" descr="This bar graph shows standardised premium rates for the professional, scientific and technical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This bar graph shows standardised premium rates for the professional, scientific and technical services industry by jurisdiction, from 2015-16 to 2019-20, and a line indicating the Australian average for 2019-20. Please refer to body text for more informati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5309" cy="2850707"/>
                    </a:xfrm>
                    <a:prstGeom prst="rect">
                      <a:avLst/>
                    </a:prstGeom>
                    <a:noFill/>
                  </pic:spPr>
                </pic:pic>
              </a:graphicData>
            </a:graphic>
          </wp:inline>
        </w:drawing>
      </w:r>
    </w:p>
    <w:p w14:paraId="23ACFA84" w14:textId="77777777" w:rsidR="00A06667" w:rsidRDefault="00A06667">
      <w:pPr>
        <w:spacing w:before="0" w:after="200" w:line="276" w:lineRule="auto"/>
        <w:jc w:val="left"/>
        <w:rPr>
          <w:rFonts w:ascii="Arial Bold" w:eastAsiaTheme="majorEastAsia" w:hAnsi="Arial Bold" w:cs="Arial"/>
          <w:b/>
          <w:kern w:val="32"/>
          <w:sz w:val="28"/>
          <w:szCs w:val="22"/>
        </w:rPr>
      </w:pPr>
      <w:bookmarkStart w:id="61" w:name="_Toc80289687"/>
      <w:r>
        <w:br w:type="page"/>
      </w:r>
    </w:p>
    <w:p w14:paraId="5F9F40EB" w14:textId="414C357E" w:rsidR="00E76026" w:rsidRDefault="003E3B20" w:rsidP="007C5673">
      <w:pPr>
        <w:pStyle w:val="Heading1"/>
        <w:spacing w:before="240"/>
      </w:pPr>
      <w:r>
        <w:lastRenderedPageBreak/>
        <w:t>Administrative and Support services</w:t>
      </w:r>
      <w:bookmarkEnd w:id="61"/>
    </w:p>
    <w:p w14:paraId="77952EDC" w14:textId="3287558D" w:rsidR="003E3B20" w:rsidRPr="00E043A2" w:rsidRDefault="00FA14E3" w:rsidP="00E043A2">
      <w:pPr>
        <w:rPr>
          <w:rFonts w:ascii="Calibri" w:hAnsi="Calibri"/>
          <w:b/>
          <w:bCs/>
          <w:color w:val="00518E"/>
          <w:sz w:val="22"/>
          <w:szCs w:val="22"/>
          <w:lang w:eastAsia="en-US"/>
        </w:rPr>
      </w:pPr>
      <w:r>
        <w:t xml:space="preserve">The Australian average premium rate for this industry </w:t>
      </w:r>
      <w:r w:rsidR="005F7828">
        <w:t xml:space="preserve">increased slightly </w:t>
      </w:r>
      <w:r w:rsidR="001921CF">
        <w:t>(</w:t>
      </w:r>
      <w:r w:rsidR="00E043A2" w:rsidRPr="00E043A2">
        <w:rPr>
          <w:rFonts w:ascii="Wingdings 3" w:hAnsi="Wingdings 3"/>
          <w:b/>
          <w:bCs/>
          <w:color w:val="00518E"/>
          <w:sz w:val="22"/>
          <w:szCs w:val="22"/>
          <w:lang w:eastAsia="en-US"/>
        </w:rPr>
        <w:t>h</w:t>
      </w:r>
      <w:r w:rsidR="00E043A2" w:rsidRPr="00E043A2">
        <w:rPr>
          <w:rFonts w:ascii="Calibri" w:hAnsi="Calibri"/>
          <w:b/>
          <w:bCs/>
          <w:color w:val="00518E"/>
          <w:sz w:val="22"/>
          <w:szCs w:val="22"/>
          <w:lang w:eastAsia="en-US"/>
        </w:rPr>
        <w:t xml:space="preserve"> up </w:t>
      </w:r>
      <w:r w:rsidR="00E043A2">
        <w:rPr>
          <w:rFonts w:ascii="Calibri" w:hAnsi="Calibri"/>
          <w:b/>
          <w:bCs/>
          <w:color w:val="00518E"/>
          <w:sz w:val="22"/>
          <w:szCs w:val="22"/>
          <w:lang w:eastAsia="en-US"/>
        </w:rPr>
        <w:t>3</w:t>
      </w:r>
      <w:r w:rsidR="00E043A2" w:rsidRPr="00E043A2">
        <w:rPr>
          <w:rFonts w:ascii="Calibri" w:hAnsi="Calibri"/>
          <w:b/>
          <w:bCs/>
          <w:color w:val="00518E"/>
          <w:sz w:val="22"/>
          <w:szCs w:val="22"/>
          <w:lang w:eastAsia="en-US"/>
        </w:rPr>
        <w:t>%</w:t>
      </w:r>
      <w:r w:rsidR="007D3396">
        <w:t xml:space="preserve">) </w:t>
      </w:r>
      <w:r w:rsidR="005F7828" w:rsidRPr="005F7828">
        <w:t>in 20</w:t>
      </w:r>
      <w:r w:rsidR="004B6AF9">
        <w:t>19-20</w:t>
      </w:r>
      <w:r w:rsidR="005F7828">
        <w:t xml:space="preserve"> to </w:t>
      </w:r>
      <w:r>
        <w:t>1.</w:t>
      </w:r>
      <w:r w:rsidR="004B6AF9">
        <w:t>6</w:t>
      </w:r>
      <w:r w:rsidR="003E43D5">
        <w:t>0</w:t>
      </w:r>
      <w:r w:rsidR="004B6AF9">
        <w:t>%</w:t>
      </w:r>
      <w:r w:rsidR="00CD5B97">
        <w:t xml:space="preserve"> of payroll.</w:t>
      </w:r>
      <w:r w:rsidR="00137A05">
        <w:t xml:space="preserve"> </w:t>
      </w:r>
    </w:p>
    <w:p w14:paraId="0FA826FF" w14:textId="0D9EDB59" w:rsidR="00E353BC" w:rsidRPr="00E353BC" w:rsidRDefault="00E353BC" w:rsidP="0001354B">
      <w:pPr>
        <w:pStyle w:val="BodyJustified"/>
        <w:numPr>
          <w:ilvl w:val="0"/>
          <w:numId w:val="24"/>
        </w:numPr>
        <w:ind w:left="709" w:hanging="425"/>
      </w:pPr>
      <w:r w:rsidRPr="00E353BC">
        <w:t>T</w:t>
      </w:r>
      <w:r>
        <w:t>asmania</w:t>
      </w:r>
      <w:r w:rsidRPr="00E353BC">
        <w:t xml:space="preserve"> </w:t>
      </w:r>
      <w:r w:rsidR="002A3A1C">
        <w:t xml:space="preserve">recorded </w:t>
      </w:r>
      <w:r w:rsidR="00C17272">
        <w:t>the</w:t>
      </w:r>
      <w:r w:rsidRPr="00E353BC">
        <w:t xml:space="preserve"> highest </w:t>
      </w:r>
      <w:r w:rsidR="00C17272">
        <w:t xml:space="preserve">premium rates </w:t>
      </w:r>
      <w:r w:rsidRPr="00E353BC">
        <w:t xml:space="preserve">of the jurisdictions at </w:t>
      </w:r>
      <w:r>
        <w:t>2.11</w:t>
      </w:r>
      <w:r w:rsidRPr="00E353BC">
        <w:t>% of payroll</w:t>
      </w:r>
      <w:r w:rsidR="0019749B">
        <w:t xml:space="preserve"> in 2019-20</w:t>
      </w:r>
      <w:r w:rsidR="005A57DE">
        <w:t xml:space="preserve">. This </w:t>
      </w:r>
      <w:r w:rsidR="002A3A1C">
        <w:t xml:space="preserve">was </w:t>
      </w:r>
      <w:r w:rsidR="005A57DE">
        <w:t xml:space="preserve">a </w:t>
      </w:r>
      <w:r w:rsidR="005A57DE" w:rsidRPr="004A52A7">
        <w:rPr>
          <w:b/>
          <w:bCs/>
          <w:color w:val="B94F25"/>
        </w:rPr>
        <w:t xml:space="preserve">decrease </w:t>
      </w:r>
      <w:r w:rsidR="002A3A1C" w:rsidRPr="004A52A7">
        <w:rPr>
          <w:b/>
          <w:bCs/>
          <w:color w:val="B94F25"/>
        </w:rPr>
        <w:t>of 18%</w:t>
      </w:r>
      <w:r w:rsidR="002A3A1C">
        <w:t xml:space="preserve"> </w:t>
      </w:r>
      <w:r w:rsidR="005A57DE">
        <w:t xml:space="preserve">from </w:t>
      </w:r>
      <w:r w:rsidR="002A3A1C">
        <w:t xml:space="preserve">the </w:t>
      </w:r>
      <w:r w:rsidR="005A57DE">
        <w:t xml:space="preserve">previous </w:t>
      </w:r>
      <w:r w:rsidR="002A3A1C">
        <w:t xml:space="preserve">financial </w:t>
      </w:r>
      <w:r w:rsidR="005A57DE">
        <w:t>year</w:t>
      </w:r>
      <w:r w:rsidR="00C558BB">
        <w:t xml:space="preserve">. Tasmania is </w:t>
      </w:r>
      <w:r w:rsidRPr="00E353BC">
        <w:t xml:space="preserve">followed by </w:t>
      </w:r>
      <w:r>
        <w:t xml:space="preserve">the </w:t>
      </w:r>
      <w:r w:rsidR="00C16155">
        <w:t xml:space="preserve">Australian Capital Territory </w:t>
      </w:r>
      <w:r w:rsidR="006D1B33">
        <w:t xml:space="preserve">(Private) </w:t>
      </w:r>
      <w:r w:rsidRPr="00E353BC">
        <w:t xml:space="preserve">with </w:t>
      </w:r>
      <w:r w:rsidR="00C558BB">
        <w:t xml:space="preserve">rates of </w:t>
      </w:r>
      <w:r w:rsidR="00471935">
        <w:t>2.04</w:t>
      </w:r>
      <w:r w:rsidRPr="00E353BC">
        <w:t>%</w:t>
      </w:r>
      <w:r w:rsidR="00C558BB">
        <w:t xml:space="preserve">. </w:t>
      </w:r>
    </w:p>
    <w:p w14:paraId="1B293B87" w14:textId="6AD297D8" w:rsidR="004B6AF9" w:rsidRDefault="00C558BB" w:rsidP="0001354B">
      <w:pPr>
        <w:pStyle w:val="BodyJustified"/>
        <w:numPr>
          <w:ilvl w:val="0"/>
          <w:numId w:val="24"/>
        </w:numPr>
        <w:ind w:left="709" w:hanging="425"/>
      </w:pPr>
      <w:r>
        <w:t>NSW rates increased to 1.71% of payroll</w:t>
      </w:r>
      <w:r w:rsidR="001C47A9">
        <w:t xml:space="preserve"> (an </w:t>
      </w:r>
      <w:r w:rsidR="001C47A9" w:rsidRPr="00E043A2">
        <w:rPr>
          <w:b/>
          <w:bCs/>
          <w:color w:val="00518E"/>
        </w:rPr>
        <w:t xml:space="preserve">increase of </w:t>
      </w:r>
      <w:r w:rsidR="000A7F5B">
        <w:rPr>
          <w:b/>
          <w:bCs/>
          <w:color w:val="00518E"/>
        </w:rPr>
        <w:t>9</w:t>
      </w:r>
      <w:r w:rsidR="00344791" w:rsidRPr="00E043A2">
        <w:rPr>
          <w:b/>
          <w:bCs/>
          <w:color w:val="00518E"/>
        </w:rPr>
        <w:t>%</w:t>
      </w:r>
      <w:r w:rsidR="00344791">
        <w:t xml:space="preserve"> since the previous financial year)</w:t>
      </w:r>
      <w:r>
        <w:t xml:space="preserve"> </w:t>
      </w:r>
      <w:r w:rsidR="002A3A1C">
        <w:t>in 2019-20</w:t>
      </w:r>
      <w:r w:rsidR="00344791">
        <w:t>.</w:t>
      </w:r>
      <w:r w:rsidR="002A3A1C">
        <w:t xml:space="preserve"> </w:t>
      </w:r>
    </w:p>
    <w:p w14:paraId="199654E8" w14:textId="6494E5A8" w:rsidR="007D15B8" w:rsidRDefault="00EA19E9" w:rsidP="007D15B8">
      <w:pPr>
        <w:pStyle w:val="BodyJustified"/>
        <w:numPr>
          <w:ilvl w:val="0"/>
          <w:numId w:val="24"/>
        </w:numPr>
        <w:ind w:left="709" w:hanging="425"/>
      </w:pPr>
      <w:r>
        <w:t xml:space="preserve">Comcare </w:t>
      </w:r>
      <w:r w:rsidR="002A3A1C">
        <w:t xml:space="preserve">recorded a decrease in rates </w:t>
      </w:r>
      <w:r w:rsidR="009E0154">
        <w:t xml:space="preserve">for the third consecutive year </w:t>
      </w:r>
      <w:r w:rsidR="002A3A1C">
        <w:t>(</w:t>
      </w:r>
      <w:r w:rsidR="002A3A1C" w:rsidRPr="004A52A7">
        <w:rPr>
          <w:b/>
          <w:bCs/>
          <w:color w:val="B94F25"/>
        </w:rPr>
        <w:t xml:space="preserve">decreasing </w:t>
      </w:r>
      <w:r w:rsidRPr="004A52A7">
        <w:rPr>
          <w:b/>
          <w:bCs/>
          <w:color w:val="B94F25"/>
        </w:rPr>
        <w:t>23%</w:t>
      </w:r>
      <w:r w:rsidR="002A3A1C">
        <w:t xml:space="preserve"> since the previous financial year)</w:t>
      </w:r>
      <w:r>
        <w:t>, to a rate of 0.17</w:t>
      </w:r>
      <w:r w:rsidRPr="00EA19E9">
        <w:t>% of payroll</w:t>
      </w:r>
      <w:r>
        <w:t xml:space="preserve">, </w:t>
      </w:r>
      <w:r w:rsidR="00AE2993" w:rsidRPr="0021590C">
        <w:rPr>
          <w:b/>
          <w:bCs/>
          <w:color w:val="B94F25"/>
        </w:rPr>
        <w:t>90% less</w:t>
      </w:r>
      <w:r w:rsidR="0021590C">
        <w:t xml:space="preserve"> than</w:t>
      </w:r>
      <w:r>
        <w:t xml:space="preserve"> the Australian average.</w:t>
      </w:r>
    </w:p>
    <w:p w14:paraId="4C3E69D6" w14:textId="2C183A46" w:rsidR="003E3B20" w:rsidRPr="007D15B8" w:rsidRDefault="003E3B20" w:rsidP="007D15B8">
      <w:pPr>
        <w:pStyle w:val="BodyJustified"/>
        <w:numPr>
          <w:ilvl w:val="0"/>
          <w:numId w:val="24"/>
        </w:numPr>
        <w:ind w:left="709" w:hanging="425"/>
      </w:pPr>
      <w:r>
        <w:t>The New Zealand average premium rate was 0.</w:t>
      </w:r>
      <w:r w:rsidR="00FA14E3">
        <w:t>6</w:t>
      </w:r>
      <w:r w:rsidR="00EA19E9">
        <w:t>5</w:t>
      </w:r>
      <w:r w:rsidR="000B150E">
        <w:t>%</w:t>
      </w:r>
      <w:r>
        <w:t xml:space="preserve"> of payroll in 201</w:t>
      </w:r>
      <w:r w:rsidR="00EA19E9">
        <w:t>9-20</w:t>
      </w:r>
      <w:r>
        <w:t xml:space="preserve">, a </w:t>
      </w:r>
      <w:r w:rsidR="00EA19E9">
        <w:t>slight decrease</w:t>
      </w:r>
      <w:r w:rsidR="00946774">
        <w:t xml:space="preserve"> </w:t>
      </w:r>
      <w:r w:rsidR="00030D32">
        <w:t>(</w:t>
      </w:r>
      <w:r w:rsidR="007D15B8" w:rsidRPr="007D15B8">
        <w:rPr>
          <w:rFonts w:ascii="Wingdings 3" w:eastAsia="Times New Roman" w:hAnsi="Wingdings 3"/>
          <w:b/>
          <w:bCs/>
          <w:color w:val="B94F25"/>
        </w:rPr>
        <w:t>i</w:t>
      </w:r>
      <w:r w:rsidR="0000542B">
        <w:rPr>
          <w:rFonts w:eastAsia="Times New Roman"/>
          <w:b/>
          <w:bCs/>
          <w:color w:val="B94F25"/>
        </w:rPr>
        <w:t> </w:t>
      </w:r>
      <w:r w:rsidR="007D15B8" w:rsidRPr="007D15B8">
        <w:rPr>
          <w:rFonts w:eastAsia="Times New Roman"/>
          <w:b/>
          <w:bCs/>
          <w:color w:val="B94F25"/>
        </w:rPr>
        <w:t xml:space="preserve">down </w:t>
      </w:r>
      <w:r w:rsidR="007D15B8" w:rsidRPr="007D15B8">
        <w:rPr>
          <w:b/>
          <w:bCs/>
          <w:color w:val="B94F25"/>
        </w:rPr>
        <w:t>4</w:t>
      </w:r>
      <w:r w:rsidR="007D15B8" w:rsidRPr="007D15B8">
        <w:rPr>
          <w:rFonts w:eastAsia="Times New Roman"/>
          <w:b/>
          <w:bCs/>
          <w:color w:val="B94F25"/>
        </w:rPr>
        <w:t>%</w:t>
      </w:r>
      <w:r w:rsidR="00B5093D">
        <w:t xml:space="preserve">) </w:t>
      </w:r>
      <w:r>
        <w:t xml:space="preserve">from the previous </w:t>
      </w:r>
      <w:r w:rsidR="001F36F3">
        <w:t xml:space="preserve">financial </w:t>
      </w:r>
      <w:r>
        <w:t>year.</w:t>
      </w:r>
    </w:p>
    <w:p w14:paraId="106C131F" w14:textId="7C874A1B" w:rsidR="003E3B20" w:rsidRPr="00376FAA" w:rsidRDefault="006D5FC9" w:rsidP="007C5673">
      <w:pPr>
        <w:pStyle w:val="SWASectionnumberingheading"/>
        <w:numPr>
          <w:ilvl w:val="0"/>
          <w:numId w:val="0"/>
        </w:numPr>
        <w:spacing w:before="240" w:after="0"/>
        <w:rPr>
          <w:sz w:val="20"/>
          <w:szCs w:val="20"/>
        </w:rPr>
      </w:pPr>
      <w:bookmarkStart w:id="62" w:name="_Toc80972080"/>
      <w:r w:rsidRPr="00376FAA">
        <w:rPr>
          <w:sz w:val="20"/>
          <w:szCs w:val="20"/>
        </w:rPr>
        <w:t>Indicator 14n –</w:t>
      </w:r>
      <w:r w:rsidR="00376FAA">
        <w:rPr>
          <w:sz w:val="20"/>
          <w:szCs w:val="20"/>
        </w:rPr>
        <w:t xml:space="preserve"> </w:t>
      </w:r>
      <w:r w:rsidRPr="00376FAA">
        <w:rPr>
          <w:sz w:val="20"/>
          <w:szCs w:val="20"/>
        </w:rPr>
        <w:t>Standardised premium rates for Administrative and support services by jurisdiction</w:t>
      </w:r>
      <w:bookmarkEnd w:id="62"/>
    </w:p>
    <w:p w14:paraId="40DC767F" w14:textId="4593EE21" w:rsidR="005F7828" w:rsidRDefault="00A06667" w:rsidP="007C5673">
      <w:pPr>
        <w:spacing w:before="0"/>
        <w:jc w:val="center"/>
      </w:pPr>
      <w:r>
        <w:rPr>
          <w:noProof/>
        </w:rPr>
        <w:drawing>
          <wp:inline distT="0" distB="0" distL="0" distR="0" wp14:anchorId="06BE6E09" wp14:editId="2E0C52F6">
            <wp:extent cx="6145752" cy="2830830"/>
            <wp:effectExtent l="0" t="0" r="7620" b="7620"/>
            <wp:docPr id="53" name="Picture 53" descr="This bar graph shows standardised premium rates for the administrative and support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is bar graph shows standardised premium rates for the administrative and support services industry by jurisdiction, from 2015-16 to 2019-20, and a line indicating the Australian average for 2019-20. Please refer to body text for more informa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51968" cy="2833693"/>
                    </a:xfrm>
                    <a:prstGeom prst="rect">
                      <a:avLst/>
                    </a:prstGeom>
                    <a:noFill/>
                  </pic:spPr>
                </pic:pic>
              </a:graphicData>
            </a:graphic>
          </wp:inline>
        </w:drawing>
      </w:r>
    </w:p>
    <w:p w14:paraId="7A27100F" w14:textId="77777777" w:rsidR="00A06667" w:rsidRDefault="00A06667">
      <w:pPr>
        <w:spacing w:before="0" w:after="200" w:line="276" w:lineRule="auto"/>
        <w:jc w:val="left"/>
        <w:rPr>
          <w:rFonts w:ascii="Arial Bold" w:eastAsiaTheme="majorEastAsia" w:hAnsi="Arial Bold" w:cs="Arial"/>
          <w:b/>
          <w:bCs/>
          <w:kern w:val="32"/>
          <w:sz w:val="28"/>
          <w:szCs w:val="28"/>
        </w:rPr>
      </w:pPr>
      <w:bookmarkStart w:id="63" w:name="_Toc80289688"/>
      <w:bookmarkStart w:id="64" w:name="_Hlk80108466"/>
      <w:bookmarkStart w:id="65" w:name="_Hlk55396878"/>
      <w:r>
        <w:rPr>
          <w:bCs/>
          <w:szCs w:val="28"/>
        </w:rPr>
        <w:br w:type="page"/>
      </w:r>
    </w:p>
    <w:p w14:paraId="503C16B1" w14:textId="374556FE" w:rsidR="005F58C5" w:rsidRDefault="00476E2C" w:rsidP="007C5673">
      <w:pPr>
        <w:pStyle w:val="Heading1"/>
        <w:spacing w:before="240" w:after="200"/>
        <w:rPr>
          <w:rFonts w:ascii="Arial" w:eastAsia="Times New Roman" w:hAnsi="Arial"/>
          <w:bCs/>
          <w:kern w:val="0"/>
          <w:szCs w:val="28"/>
        </w:rPr>
      </w:pPr>
      <w:bookmarkStart w:id="66" w:name="_Hlk88659040"/>
      <w:r w:rsidRPr="00C569D9">
        <w:rPr>
          <w:bCs/>
          <w:szCs w:val="28"/>
        </w:rPr>
        <w:lastRenderedPageBreak/>
        <w:t>Public administration and safety</w:t>
      </w:r>
      <w:bookmarkEnd w:id="63"/>
    </w:p>
    <w:bookmarkEnd w:id="64"/>
    <w:bookmarkEnd w:id="66"/>
    <w:p w14:paraId="6D84907B" w14:textId="7EE5C1CD" w:rsidR="009E0154" w:rsidRPr="009E0154" w:rsidRDefault="009E0154" w:rsidP="0001354B">
      <w:pPr>
        <w:pStyle w:val="BodyJustified"/>
        <w:numPr>
          <w:ilvl w:val="0"/>
          <w:numId w:val="25"/>
        </w:numPr>
        <w:ind w:left="709" w:hanging="425"/>
      </w:pPr>
      <w:r w:rsidRPr="009E0154">
        <w:t xml:space="preserve">The Australian average premium rate for this industry </w:t>
      </w:r>
      <w:r>
        <w:t>decreased</w:t>
      </w:r>
      <w:r w:rsidRPr="009E0154">
        <w:t xml:space="preserve"> in 2019-20 to 1.</w:t>
      </w:r>
      <w:r w:rsidR="003E43D5">
        <w:t>52</w:t>
      </w:r>
      <w:r w:rsidRPr="009E0154">
        <w:t xml:space="preserve">% of payroll. </w:t>
      </w:r>
    </w:p>
    <w:p w14:paraId="7F5CAFC5" w14:textId="7225A399" w:rsidR="009E0154" w:rsidRDefault="00B35254" w:rsidP="0001354B">
      <w:pPr>
        <w:pStyle w:val="BodyJustified"/>
        <w:numPr>
          <w:ilvl w:val="0"/>
          <w:numId w:val="25"/>
        </w:numPr>
        <w:ind w:left="709" w:hanging="425"/>
      </w:pPr>
      <w:r>
        <w:t xml:space="preserve">Notable increases </w:t>
      </w:r>
      <w:r w:rsidR="00BA319A">
        <w:t xml:space="preserve">were seen </w:t>
      </w:r>
      <w:r>
        <w:t>in Tasmania and</w:t>
      </w:r>
      <w:r w:rsidR="00274846">
        <w:t xml:space="preserve"> Western Australia </w:t>
      </w:r>
      <w:r>
        <w:t xml:space="preserve">(both </w:t>
      </w:r>
      <w:r w:rsidR="00154624">
        <w:rPr>
          <w:rFonts w:ascii="Wingdings 3" w:eastAsia="Times New Roman" w:hAnsi="Wingdings 3"/>
          <w:b/>
          <w:bCs/>
          <w:color w:val="00518E"/>
        </w:rPr>
        <w:t>h</w:t>
      </w:r>
      <w:r w:rsidR="00154624" w:rsidRPr="00254010">
        <w:rPr>
          <w:b/>
          <w:bCs/>
          <w:color w:val="00518E"/>
        </w:rPr>
        <w:t xml:space="preserve"> </w:t>
      </w:r>
      <w:r w:rsidRPr="00254010">
        <w:rPr>
          <w:b/>
          <w:bCs/>
          <w:color w:val="00518E"/>
        </w:rPr>
        <w:t>up 12%</w:t>
      </w:r>
      <w:r>
        <w:t xml:space="preserve"> from the previous year</w:t>
      </w:r>
      <w:r w:rsidR="009A758A">
        <w:t>) and</w:t>
      </w:r>
      <w:r>
        <w:t xml:space="preserve"> decreases </w:t>
      </w:r>
      <w:r w:rsidR="0029167A">
        <w:t>for Comcare (</w:t>
      </w:r>
      <w:r w:rsidR="006023C8">
        <w:rPr>
          <w:rFonts w:ascii="Wingdings 3" w:eastAsia="Times New Roman" w:hAnsi="Wingdings 3"/>
          <w:b/>
          <w:bCs/>
          <w:color w:val="B94F25"/>
        </w:rPr>
        <w:t>i</w:t>
      </w:r>
      <w:r w:rsidR="006023C8" w:rsidRPr="00254010">
        <w:rPr>
          <w:b/>
          <w:bCs/>
          <w:color w:val="B94F25"/>
        </w:rPr>
        <w:t xml:space="preserve"> </w:t>
      </w:r>
      <w:r w:rsidR="0029167A" w:rsidRPr="00254010">
        <w:rPr>
          <w:b/>
          <w:bCs/>
          <w:color w:val="B94F25"/>
        </w:rPr>
        <w:t>down 19%</w:t>
      </w:r>
      <w:r w:rsidR="0029167A">
        <w:t>).</w:t>
      </w:r>
    </w:p>
    <w:p w14:paraId="5DD346F6" w14:textId="4F618630" w:rsidR="0029167A" w:rsidRDefault="0029167A" w:rsidP="0001354B">
      <w:pPr>
        <w:pStyle w:val="BodyJustified"/>
        <w:numPr>
          <w:ilvl w:val="0"/>
          <w:numId w:val="25"/>
        </w:numPr>
        <w:ind w:left="709" w:hanging="425"/>
      </w:pPr>
      <w:r>
        <w:t xml:space="preserve">The </w:t>
      </w:r>
      <w:r w:rsidR="006C3B95">
        <w:t>Australian Capital Territory</w:t>
      </w:r>
      <w:r>
        <w:t xml:space="preserve"> </w:t>
      </w:r>
      <w:r w:rsidR="006D1B33">
        <w:t xml:space="preserve">(Private) </w:t>
      </w:r>
      <w:r>
        <w:t>ha</w:t>
      </w:r>
      <w:r w:rsidR="00BA319A">
        <w:t>d</w:t>
      </w:r>
      <w:r>
        <w:t xml:space="preserve"> the highest premium rates for </w:t>
      </w:r>
      <w:r w:rsidR="00F9415A">
        <w:t xml:space="preserve">this </w:t>
      </w:r>
      <w:r w:rsidR="009A758A">
        <w:t>industry at 2.95% of payroll, while</w:t>
      </w:r>
      <w:r w:rsidR="00274846">
        <w:t xml:space="preserve"> </w:t>
      </w:r>
      <w:r w:rsidR="003E43D5">
        <w:t xml:space="preserve">Comcare </w:t>
      </w:r>
      <w:r w:rsidR="009A758A">
        <w:t>ha</w:t>
      </w:r>
      <w:r w:rsidR="00BA319A">
        <w:t>d</w:t>
      </w:r>
      <w:r w:rsidR="009A758A">
        <w:t xml:space="preserve"> the lowest at 0.</w:t>
      </w:r>
      <w:r w:rsidR="003E43D5">
        <w:t>80</w:t>
      </w:r>
      <w:r w:rsidR="009A758A">
        <w:t>%.</w:t>
      </w:r>
    </w:p>
    <w:bookmarkEnd w:id="65"/>
    <w:p w14:paraId="2086EBF7" w14:textId="0F9A4AD3" w:rsidR="0032110B" w:rsidRPr="00C569D9" w:rsidRDefault="0032110B" w:rsidP="0001354B">
      <w:pPr>
        <w:pStyle w:val="BodyJustified"/>
        <w:numPr>
          <w:ilvl w:val="0"/>
          <w:numId w:val="25"/>
        </w:numPr>
        <w:ind w:left="709" w:hanging="425"/>
      </w:pPr>
      <w:r>
        <w:t xml:space="preserve">The scheme covering the Australian Defence Force personnel is excluded from this industry division as they are covered by the </w:t>
      </w:r>
      <w:r w:rsidRPr="00401B6C">
        <w:rPr>
          <w:i/>
          <w:iCs/>
        </w:rPr>
        <w:t xml:space="preserve">Military Rehabilitation and Compensation </w:t>
      </w:r>
      <w:r w:rsidR="00460F90">
        <w:rPr>
          <w:i/>
          <w:iCs/>
        </w:rPr>
        <w:t xml:space="preserve">2004 </w:t>
      </w:r>
      <w:r w:rsidRPr="00401B6C">
        <w:rPr>
          <w:i/>
          <w:iCs/>
        </w:rPr>
        <w:t xml:space="preserve">Act </w:t>
      </w:r>
      <w:r>
        <w:t>administered by the Department of Veterans’ Affairs.</w:t>
      </w:r>
    </w:p>
    <w:p w14:paraId="07AAAEB8" w14:textId="6E990C87" w:rsidR="008A6296" w:rsidRPr="00B94407" w:rsidRDefault="008A6296" w:rsidP="0001354B">
      <w:pPr>
        <w:pStyle w:val="BodyJustified"/>
        <w:numPr>
          <w:ilvl w:val="0"/>
          <w:numId w:val="25"/>
        </w:numPr>
        <w:ind w:left="709" w:hanging="425"/>
      </w:pPr>
      <w:r>
        <w:t xml:space="preserve">New Zealand </w:t>
      </w:r>
      <w:r w:rsidR="008E0C65">
        <w:t xml:space="preserve">has </w:t>
      </w:r>
      <w:r>
        <w:t>show</w:t>
      </w:r>
      <w:r w:rsidR="008E0C65">
        <w:t>n</w:t>
      </w:r>
      <w:r>
        <w:t xml:space="preserve"> a </w:t>
      </w:r>
      <w:r w:rsidR="008E0C65">
        <w:t>steady</w:t>
      </w:r>
      <w:r w:rsidR="00331B99">
        <w:t xml:space="preserve"> </w:t>
      </w:r>
      <w:r>
        <w:t>decrease</w:t>
      </w:r>
      <w:r w:rsidR="008E0C65">
        <w:t xml:space="preserve"> over the recent </w:t>
      </w:r>
      <w:r w:rsidR="00B35254">
        <w:t>5</w:t>
      </w:r>
      <w:r w:rsidR="006C3B95">
        <w:t xml:space="preserve"> </w:t>
      </w:r>
      <w:r w:rsidR="00B35254">
        <w:t>year</w:t>
      </w:r>
      <w:r w:rsidR="00331B99">
        <w:t xml:space="preserve"> period</w:t>
      </w:r>
      <w:r w:rsidR="008E0C65">
        <w:t xml:space="preserve"> </w:t>
      </w:r>
      <w:r w:rsidR="00331B99">
        <w:t xml:space="preserve">to a low of 0.17% of </w:t>
      </w:r>
      <w:r>
        <w:t>payroll in 201</w:t>
      </w:r>
      <w:r w:rsidR="008E0C65">
        <w:t>9-20</w:t>
      </w:r>
      <w:r>
        <w:t>.</w:t>
      </w:r>
    </w:p>
    <w:p w14:paraId="7E3ABBD9" w14:textId="2921D3BD" w:rsidR="00476E2C" w:rsidRPr="00376FAA" w:rsidRDefault="005F58C5" w:rsidP="007C5673">
      <w:pPr>
        <w:pStyle w:val="SWASectionnumberingheading"/>
        <w:numPr>
          <w:ilvl w:val="0"/>
          <w:numId w:val="0"/>
        </w:numPr>
        <w:spacing w:before="240" w:after="0"/>
        <w:rPr>
          <w:sz w:val="20"/>
          <w:szCs w:val="20"/>
        </w:rPr>
      </w:pPr>
      <w:bookmarkStart w:id="67" w:name="_Toc80972081"/>
      <w:r w:rsidRPr="00376FAA">
        <w:rPr>
          <w:sz w:val="20"/>
          <w:szCs w:val="20"/>
        </w:rPr>
        <w:t>Indicator 14</w:t>
      </w:r>
      <w:r w:rsidR="001A4A19" w:rsidRPr="00376FAA">
        <w:rPr>
          <w:sz w:val="20"/>
          <w:szCs w:val="20"/>
        </w:rPr>
        <w:t>o</w:t>
      </w:r>
      <w:r w:rsidRPr="00376FAA">
        <w:rPr>
          <w:sz w:val="20"/>
          <w:szCs w:val="20"/>
        </w:rPr>
        <w:t xml:space="preserve"> – Standardised premium rates for </w:t>
      </w:r>
      <w:r w:rsidR="008A6296" w:rsidRPr="00376FAA">
        <w:rPr>
          <w:sz w:val="20"/>
          <w:szCs w:val="20"/>
        </w:rPr>
        <w:t>Public administration and safety by jurisdiction</w:t>
      </w:r>
      <w:bookmarkEnd w:id="67"/>
    </w:p>
    <w:p w14:paraId="38703B3A" w14:textId="23AA43D2" w:rsidR="00476E2C" w:rsidRDefault="00C9025F" w:rsidP="00C569D9">
      <w:pPr>
        <w:jc w:val="center"/>
      </w:pPr>
      <w:r>
        <w:rPr>
          <w:noProof/>
        </w:rPr>
        <w:drawing>
          <wp:inline distT="0" distB="0" distL="0" distR="0" wp14:anchorId="7D5541D6" wp14:editId="0D3DFA39">
            <wp:extent cx="6096000" cy="2778457"/>
            <wp:effectExtent l="0" t="0" r="0" b="3175"/>
            <wp:docPr id="55" name="Picture 55" descr="This bar graph shows standardised premium rates for the public administration and safety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his bar graph shows standardised premium rates for the public administration and safety industry by jurisdiction, from 2015-16 to 2019-20, and a line indicating the Australian average for 2019-20. Please refer to body text for more informati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7796" cy="2788391"/>
                    </a:xfrm>
                    <a:prstGeom prst="rect">
                      <a:avLst/>
                    </a:prstGeom>
                    <a:noFill/>
                  </pic:spPr>
                </pic:pic>
              </a:graphicData>
            </a:graphic>
          </wp:inline>
        </w:drawing>
      </w:r>
    </w:p>
    <w:p w14:paraId="79AD28E7" w14:textId="77777777" w:rsidR="00285C88" w:rsidRDefault="00285C88">
      <w:pPr>
        <w:spacing w:before="0" w:after="200" w:line="276" w:lineRule="auto"/>
        <w:jc w:val="left"/>
        <w:rPr>
          <w:rFonts w:ascii="Arial Bold" w:eastAsiaTheme="majorEastAsia" w:hAnsi="Arial Bold" w:cs="Arial"/>
          <w:b/>
          <w:kern w:val="32"/>
          <w:sz w:val="28"/>
          <w:szCs w:val="22"/>
        </w:rPr>
      </w:pPr>
      <w:bookmarkStart w:id="68" w:name="_Toc80289689"/>
      <w:r>
        <w:br w:type="page"/>
      </w:r>
    </w:p>
    <w:p w14:paraId="7B8A5A46" w14:textId="125C4AC5" w:rsidR="007B4BFE" w:rsidRPr="00285B6A" w:rsidRDefault="007B4BFE" w:rsidP="007C5673">
      <w:pPr>
        <w:pStyle w:val="Heading1"/>
        <w:spacing w:before="240"/>
      </w:pPr>
      <w:r w:rsidRPr="00285B6A">
        <w:lastRenderedPageBreak/>
        <w:t>Education</w:t>
      </w:r>
      <w:r w:rsidR="00D703DE">
        <w:t xml:space="preserve"> and training</w:t>
      </w:r>
      <w:bookmarkEnd w:id="68"/>
    </w:p>
    <w:p w14:paraId="445F9DB2" w14:textId="65C06A7A" w:rsidR="009A758A" w:rsidRDefault="009A758A" w:rsidP="0001354B">
      <w:pPr>
        <w:pStyle w:val="BodyJustified"/>
        <w:numPr>
          <w:ilvl w:val="0"/>
          <w:numId w:val="26"/>
        </w:numPr>
        <w:ind w:left="709" w:hanging="425"/>
      </w:pPr>
      <w:bookmarkStart w:id="69" w:name="_Hlk80170510"/>
      <w:r>
        <w:t xml:space="preserve">The Australian average premium rate in the </w:t>
      </w:r>
      <w:bookmarkStart w:id="70" w:name="_Hlk80109548"/>
      <w:r w:rsidRPr="009A758A">
        <w:t>Education and training</w:t>
      </w:r>
      <w:r>
        <w:t xml:space="preserve"> industry </w:t>
      </w:r>
      <w:bookmarkEnd w:id="70"/>
      <w:r w:rsidR="00BA319A">
        <w:t>was</w:t>
      </w:r>
      <w:r>
        <w:t xml:space="preserve"> steady at 0.6</w:t>
      </w:r>
      <w:r w:rsidR="00AD30E5">
        <w:t>9</w:t>
      </w:r>
      <w:r>
        <w:t>% of payroll</w:t>
      </w:r>
      <w:r w:rsidR="00BA319A">
        <w:t xml:space="preserve">, </w:t>
      </w:r>
      <w:r w:rsidR="005A3821">
        <w:t xml:space="preserve">a </w:t>
      </w:r>
      <w:bookmarkStart w:id="71" w:name="_Hlk88662040"/>
      <w:r w:rsidR="00BA319A" w:rsidRPr="00BA331F">
        <w:rPr>
          <w:b/>
          <w:bCs/>
          <w:color w:val="B94F25"/>
        </w:rPr>
        <w:t>redu</w:t>
      </w:r>
      <w:bookmarkEnd w:id="71"/>
      <w:r w:rsidR="00BA319A" w:rsidRPr="00BA331F">
        <w:rPr>
          <w:b/>
          <w:bCs/>
          <w:color w:val="B94F25"/>
        </w:rPr>
        <w:t>c</w:t>
      </w:r>
      <w:r w:rsidR="005A3821">
        <w:rPr>
          <w:b/>
          <w:bCs/>
          <w:color w:val="B94F25"/>
        </w:rPr>
        <w:t>tion</w:t>
      </w:r>
      <w:r w:rsidR="00BA319A" w:rsidRPr="00BA331F">
        <w:rPr>
          <w:b/>
          <w:bCs/>
          <w:color w:val="B94F25"/>
        </w:rPr>
        <w:t xml:space="preserve"> </w:t>
      </w:r>
      <w:r w:rsidR="005A3821">
        <w:rPr>
          <w:b/>
          <w:bCs/>
          <w:color w:val="B94F25"/>
        </w:rPr>
        <w:t>of</w:t>
      </w:r>
      <w:r w:rsidR="00E5750C" w:rsidRPr="00BA331F">
        <w:rPr>
          <w:b/>
          <w:bCs/>
          <w:color w:val="B94F25"/>
        </w:rPr>
        <w:t xml:space="preserve"> </w:t>
      </w:r>
      <w:r w:rsidR="00AD30E5">
        <w:rPr>
          <w:b/>
          <w:bCs/>
          <w:color w:val="B94F25"/>
        </w:rPr>
        <w:t>8</w:t>
      </w:r>
      <w:r w:rsidR="00C0025F" w:rsidRPr="00BA331F">
        <w:rPr>
          <w:b/>
          <w:bCs/>
          <w:color w:val="B94F25"/>
        </w:rPr>
        <w:t>%</w:t>
      </w:r>
      <w:r w:rsidR="00BA319A">
        <w:t xml:space="preserve"> over the last 5 years.</w:t>
      </w:r>
    </w:p>
    <w:p w14:paraId="2331920D" w14:textId="7C92AEB2" w:rsidR="009A758A" w:rsidRDefault="009A758A" w:rsidP="0001354B">
      <w:pPr>
        <w:pStyle w:val="BodyJustified"/>
        <w:numPr>
          <w:ilvl w:val="0"/>
          <w:numId w:val="26"/>
        </w:numPr>
        <w:ind w:left="709" w:hanging="425"/>
      </w:pPr>
      <w:r>
        <w:t xml:space="preserve">Comcare </w:t>
      </w:r>
      <w:r w:rsidR="006C3B95">
        <w:t xml:space="preserve">recorded </w:t>
      </w:r>
      <w:r w:rsidR="00275A59">
        <w:t xml:space="preserve">decreases in </w:t>
      </w:r>
      <w:r>
        <w:t>rates for this industry from a high of 1.37% of payroll in the 2016</w:t>
      </w:r>
      <w:r w:rsidR="00D527BF">
        <w:noBreakHyphen/>
      </w:r>
      <w:r>
        <w:t xml:space="preserve">17 to </w:t>
      </w:r>
      <w:r w:rsidR="00D92854">
        <w:t>0.08%</w:t>
      </w:r>
      <w:r w:rsidR="006C3B95">
        <w:t xml:space="preserve"> in 2019-20</w:t>
      </w:r>
      <w:r w:rsidR="00D92854">
        <w:t>, the lowest rate of the Australian jurisdictions and</w:t>
      </w:r>
      <w:r>
        <w:t xml:space="preserve"> </w:t>
      </w:r>
      <w:r w:rsidR="004F391B" w:rsidRPr="00285C53">
        <w:rPr>
          <w:b/>
          <w:bCs/>
          <w:color w:val="B94F25"/>
        </w:rPr>
        <w:t>8</w:t>
      </w:r>
      <w:r w:rsidR="00AD30E5">
        <w:rPr>
          <w:b/>
          <w:bCs/>
          <w:color w:val="B94F25"/>
        </w:rPr>
        <w:t>8</w:t>
      </w:r>
      <w:r w:rsidR="004F391B" w:rsidRPr="00285C53">
        <w:rPr>
          <w:b/>
          <w:bCs/>
          <w:color w:val="B94F25"/>
        </w:rPr>
        <w:t xml:space="preserve">% </w:t>
      </w:r>
      <w:r w:rsidR="00285C53" w:rsidRPr="00285C53">
        <w:rPr>
          <w:b/>
          <w:bCs/>
          <w:color w:val="B94F25"/>
        </w:rPr>
        <w:t>lower</w:t>
      </w:r>
      <w:r w:rsidR="00285C53" w:rsidRPr="00285C53">
        <w:rPr>
          <w:color w:val="B94F25"/>
        </w:rPr>
        <w:t xml:space="preserve"> </w:t>
      </w:r>
      <w:r w:rsidR="00285C53">
        <w:t xml:space="preserve">than the </w:t>
      </w:r>
      <w:r>
        <w:t>national average.</w:t>
      </w:r>
    </w:p>
    <w:p w14:paraId="14FD972D" w14:textId="77777777" w:rsidR="005677E4" w:rsidRDefault="009A758A" w:rsidP="005677E4">
      <w:pPr>
        <w:pStyle w:val="BodyJustified"/>
        <w:numPr>
          <w:ilvl w:val="0"/>
          <w:numId w:val="26"/>
        </w:numPr>
        <w:ind w:left="709" w:hanging="425"/>
      </w:pPr>
      <w:r>
        <w:t xml:space="preserve">The </w:t>
      </w:r>
      <w:r w:rsidR="006C3B95">
        <w:t>Australian Capital Territory</w:t>
      </w:r>
      <w:r w:rsidR="006D1B33">
        <w:t xml:space="preserve"> (Private)</w:t>
      </w:r>
      <w:r>
        <w:t xml:space="preserve"> </w:t>
      </w:r>
      <w:r w:rsidR="00BA319A">
        <w:t>recorded the</w:t>
      </w:r>
      <w:r>
        <w:t xml:space="preserve"> highest </w:t>
      </w:r>
      <w:r w:rsidR="00D92854">
        <w:t xml:space="preserve">premium rates </w:t>
      </w:r>
      <w:r>
        <w:t>of the jurisdictions at 1.47% of payroll.</w:t>
      </w:r>
      <w:bookmarkEnd w:id="69"/>
      <w:r w:rsidR="005677E4" w:rsidRPr="005677E4">
        <w:t xml:space="preserve"> </w:t>
      </w:r>
    </w:p>
    <w:p w14:paraId="430A6B2B" w14:textId="6C5F0988" w:rsidR="005677E4" w:rsidRPr="00B94407" w:rsidRDefault="005677E4" w:rsidP="005677E4">
      <w:pPr>
        <w:pStyle w:val="BodyJustified"/>
        <w:numPr>
          <w:ilvl w:val="0"/>
          <w:numId w:val="26"/>
        </w:numPr>
        <w:ind w:left="709" w:hanging="425"/>
      </w:pPr>
      <w:r>
        <w:t>The New Zealand premium rate remained steady at 0.26% of payroll in 2019-20.</w:t>
      </w:r>
    </w:p>
    <w:p w14:paraId="55E9CA0F" w14:textId="0CA5FC61" w:rsidR="007B4BFE" w:rsidRPr="00376FAA" w:rsidRDefault="00535035" w:rsidP="007C5673">
      <w:pPr>
        <w:pStyle w:val="SWASectionnumberingheading"/>
        <w:numPr>
          <w:ilvl w:val="0"/>
          <w:numId w:val="0"/>
        </w:numPr>
        <w:spacing w:before="240"/>
        <w:rPr>
          <w:sz w:val="20"/>
          <w:szCs w:val="20"/>
        </w:rPr>
      </w:pPr>
      <w:bookmarkStart w:id="72" w:name="_Toc80972082"/>
      <w:r w:rsidRPr="00376FAA">
        <w:rPr>
          <w:sz w:val="20"/>
          <w:szCs w:val="20"/>
        </w:rPr>
        <w:t>Indicator 14</w:t>
      </w:r>
      <w:r w:rsidR="001A4A19" w:rsidRPr="00376FAA">
        <w:rPr>
          <w:sz w:val="20"/>
          <w:szCs w:val="20"/>
        </w:rPr>
        <w:t>p</w:t>
      </w:r>
      <w:r w:rsidR="007B4BFE" w:rsidRPr="00376FAA">
        <w:rPr>
          <w:sz w:val="20"/>
          <w:szCs w:val="20"/>
        </w:rPr>
        <w:t xml:space="preserve"> – Standardised premium rates for Education </w:t>
      </w:r>
      <w:r w:rsidR="005F03C1" w:rsidRPr="00376FAA">
        <w:rPr>
          <w:sz w:val="20"/>
          <w:szCs w:val="20"/>
        </w:rPr>
        <w:t xml:space="preserve">and training </w:t>
      </w:r>
      <w:r w:rsidR="007B4BFE" w:rsidRPr="00376FAA">
        <w:rPr>
          <w:sz w:val="20"/>
          <w:szCs w:val="20"/>
        </w:rPr>
        <w:t>by jurisdiction</w:t>
      </w:r>
      <w:bookmarkEnd w:id="72"/>
    </w:p>
    <w:p w14:paraId="04F98B54" w14:textId="58C0CF44" w:rsidR="007B4BFE" w:rsidRDefault="00285C88" w:rsidP="00B62606">
      <w:pPr>
        <w:spacing w:before="0"/>
        <w:jc w:val="center"/>
        <w:rPr>
          <w:lang w:val="en-GB"/>
        </w:rPr>
      </w:pPr>
      <w:r>
        <w:rPr>
          <w:noProof/>
          <w:lang w:val="en-GB"/>
        </w:rPr>
        <w:drawing>
          <wp:inline distT="0" distB="0" distL="0" distR="0" wp14:anchorId="033F80D7" wp14:editId="39072424">
            <wp:extent cx="6099363" cy="2824480"/>
            <wp:effectExtent l="0" t="0" r="0" b="0"/>
            <wp:docPr id="56" name="Picture 56" descr="This bar graph shows standardised premium rates for the education and training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This bar graph shows standardised premium rates for the education and training industry by jurisdiction, from 2015-16 to 2019-20, and a line indicating the Australian average for 2019-20. Please refer to body text for more informatio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07864" cy="2828417"/>
                    </a:xfrm>
                    <a:prstGeom prst="rect">
                      <a:avLst/>
                    </a:prstGeom>
                    <a:noFill/>
                  </pic:spPr>
                </pic:pic>
              </a:graphicData>
            </a:graphic>
          </wp:inline>
        </w:drawing>
      </w:r>
      <w:r w:rsidR="007B4BFE">
        <w:rPr>
          <w:lang w:val="en-GB"/>
        </w:rPr>
        <w:br w:type="textWrapping" w:clear="all"/>
      </w:r>
    </w:p>
    <w:p w14:paraId="3CFB5E45" w14:textId="77777777" w:rsidR="00285C88" w:rsidRDefault="00285C88">
      <w:pPr>
        <w:spacing w:before="0" w:after="200" w:line="276" w:lineRule="auto"/>
        <w:jc w:val="left"/>
        <w:rPr>
          <w:rFonts w:ascii="Arial Bold" w:eastAsiaTheme="majorEastAsia" w:hAnsi="Arial Bold" w:cs="Arial"/>
          <w:b/>
          <w:kern w:val="32"/>
          <w:sz w:val="28"/>
          <w:szCs w:val="22"/>
        </w:rPr>
      </w:pPr>
      <w:bookmarkStart w:id="73" w:name="_Toc80289690"/>
      <w:r>
        <w:br w:type="page"/>
      </w:r>
    </w:p>
    <w:p w14:paraId="7462BBE0" w14:textId="2896D1CD" w:rsidR="007B4BFE" w:rsidRPr="00285B6A" w:rsidRDefault="007B4BFE" w:rsidP="007C5673">
      <w:pPr>
        <w:pStyle w:val="Heading1"/>
        <w:keepLines/>
        <w:spacing w:before="240"/>
      </w:pPr>
      <w:r w:rsidRPr="00285B6A">
        <w:lastRenderedPageBreak/>
        <w:t>Health</w:t>
      </w:r>
      <w:r w:rsidR="006E1D65">
        <w:t>care</w:t>
      </w:r>
      <w:r w:rsidRPr="00285B6A">
        <w:t xml:space="preserve"> and </w:t>
      </w:r>
      <w:r w:rsidR="00AD0B69">
        <w:t>social assistance</w:t>
      </w:r>
      <w:bookmarkEnd w:id="73"/>
      <w:r w:rsidRPr="00285B6A">
        <w:t xml:space="preserve"> </w:t>
      </w:r>
    </w:p>
    <w:p w14:paraId="1026CF6A" w14:textId="2244DADA" w:rsidR="004356E4" w:rsidRDefault="004356E4" w:rsidP="0001354B">
      <w:pPr>
        <w:pStyle w:val="BodyJustified"/>
        <w:numPr>
          <w:ilvl w:val="0"/>
          <w:numId w:val="27"/>
        </w:numPr>
        <w:ind w:left="709" w:hanging="425"/>
      </w:pPr>
      <w:r>
        <w:t xml:space="preserve">The Australian average premium rate in the </w:t>
      </w:r>
      <w:bookmarkStart w:id="74" w:name="_Hlk88661639"/>
      <w:r w:rsidRPr="004356E4">
        <w:t>Healthcare and social assistance</w:t>
      </w:r>
      <w:r>
        <w:t xml:space="preserve"> industry</w:t>
      </w:r>
      <w:bookmarkEnd w:id="74"/>
      <w:r>
        <w:t xml:space="preserve"> </w:t>
      </w:r>
      <w:r w:rsidR="00BA319A">
        <w:t>wa</w:t>
      </w:r>
      <w:r>
        <w:t xml:space="preserve">s steady at </w:t>
      </w:r>
      <w:r w:rsidR="00D773F7">
        <w:t>1.</w:t>
      </w:r>
      <w:r w:rsidR="00AD30E5">
        <w:t>44</w:t>
      </w:r>
      <w:r>
        <w:t>% of payroll</w:t>
      </w:r>
      <w:r w:rsidR="006C3B95">
        <w:t xml:space="preserve"> in 2019-20</w:t>
      </w:r>
      <w:r w:rsidR="00470E06">
        <w:t>.</w:t>
      </w:r>
    </w:p>
    <w:p w14:paraId="3BEFDBA4" w14:textId="468C9E28" w:rsidR="004356E4" w:rsidRDefault="004356E4" w:rsidP="0001354B">
      <w:pPr>
        <w:pStyle w:val="BodyJustified"/>
        <w:numPr>
          <w:ilvl w:val="0"/>
          <w:numId w:val="27"/>
        </w:numPr>
        <w:ind w:left="709" w:hanging="425"/>
      </w:pPr>
      <w:r>
        <w:t xml:space="preserve">Comcare </w:t>
      </w:r>
      <w:r w:rsidR="006C3B95">
        <w:t>recorded</w:t>
      </w:r>
      <w:r>
        <w:t xml:space="preserve"> </w:t>
      </w:r>
      <w:r w:rsidR="008C00A3">
        <w:t xml:space="preserve">decreases in </w:t>
      </w:r>
      <w:r>
        <w:t xml:space="preserve">rates for this industry from a high of </w:t>
      </w:r>
      <w:r w:rsidR="00D773F7">
        <w:t>2.75</w:t>
      </w:r>
      <w:r>
        <w:t>% of payroll in the 2016</w:t>
      </w:r>
      <w:r w:rsidR="00315DC9">
        <w:noBreakHyphen/>
      </w:r>
      <w:r>
        <w:t xml:space="preserve">17 financial year to </w:t>
      </w:r>
      <w:r w:rsidR="00D773F7">
        <w:t>1.0</w:t>
      </w:r>
      <w:r w:rsidR="006C3B95">
        <w:t>0</w:t>
      </w:r>
      <w:r>
        <w:t>%, the lowest rate of all the Australian jurisdictions</w:t>
      </w:r>
      <w:r w:rsidR="008C00A3">
        <w:t xml:space="preserve"> in 2019-20</w:t>
      </w:r>
      <w:r>
        <w:t>.</w:t>
      </w:r>
      <w:r w:rsidR="00EA7080">
        <w:t xml:space="preserve"> </w:t>
      </w:r>
    </w:p>
    <w:p w14:paraId="3B02CC97" w14:textId="405AD45B" w:rsidR="00B24C21" w:rsidRDefault="004356E4" w:rsidP="00B24C21">
      <w:pPr>
        <w:pStyle w:val="BodyJustified"/>
        <w:numPr>
          <w:ilvl w:val="0"/>
          <w:numId w:val="27"/>
        </w:numPr>
        <w:ind w:left="709" w:hanging="425"/>
      </w:pPr>
      <w:r>
        <w:t>The A</w:t>
      </w:r>
      <w:r w:rsidR="006C3B95">
        <w:t xml:space="preserve">ustralian </w:t>
      </w:r>
      <w:r>
        <w:t>C</w:t>
      </w:r>
      <w:r w:rsidR="006C3B95">
        <w:t xml:space="preserve">apital </w:t>
      </w:r>
      <w:r>
        <w:t>T</w:t>
      </w:r>
      <w:r w:rsidR="006C3B95">
        <w:t>erritory</w:t>
      </w:r>
      <w:r w:rsidR="006D1B33">
        <w:t xml:space="preserve"> (Private)</w:t>
      </w:r>
      <w:r>
        <w:t xml:space="preserve"> ha</w:t>
      </w:r>
      <w:r w:rsidR="00A01463">
        <w:t>d the</w:t>
      </w:r>
      <w:r>
        <w:t xml:space="preserve"> highest premium rates of the jurisdictions at </w:t>
      </w:r>
      <w:r w:rsidR="00D773F7">
        <w:t>2.37</w:t>
      </w:r>
      <w:r>
        <w:t>% of payroll</w:t>
      </w:r>
      <w:r w:rsidR="00CF1C25">
        <w:t xml:space="preserve"> or </w:t>
      </w:r>
      <w:r w:rsidR="00AD30E5">
        <w:rPr>
          <w:b/>
          <w:bCs/>
          <w:color w:val="00518E"/>
        </w:rPr>
        <w:t>65</w:t>
      </w:r>
      <w:r w:rsidR="00DA2C16" w:rsidRPr="00AD30E5">
        <w:rPr>
          <w:b/>
          <w:bCs/>
          <w:color w:val="00518E"/>
        </w:rPr>
        <w:t>% above</w:t>
      </w:r>
      <w:r w:rsidR="00DA2C16">
        <w:t xml:space="preserve"> the Australian average.</w:t>
      </w:r>
    </w:p>
    <w:p w14:paraId="1F9453D1" w14:textId="0C25BD0F" w:rsidR="001A3892" w:rsidRPr="00B24C21" w:rsidRDefault="00F50D5B" w:rsidP="00B24C21">
      <w:pPr>
        <w:pStyle w:val="BodyJustified"/>
        <w:numPr>
          <w:ilvl w:val="0"/>
          <w:numId w:val="27"/>
        </w:numPr>
        <w:ind w:left="709" w:hanging="425"/>
      </w:pPr>
      <w:r>
        <w:t xml:space="preserve">The Northern Territory </w:t>
      </w:r>
      <w:r w:rsidR="001D0CAE">
        <w:t xml:space="preserve">premium rate </w:t>
      </w:r>
      <w:r>
        <w:t xml:space="preserve">had </w:t>
      </w:r>
      <w:r w:rsidR="001D0CAE">
        <w:t>b</w:t>
      </w:r>
      <w:r>
        <w:t xml:space="preserve">een </w:t>
      </w:r>
      <w:r w:rsidR="001D0CAE">
        <w:t xml:space="preserve">reducing in recent years, however rates have </w:t>
      </w:r>
      <w:r w:rsidR="00470E06">
        <w:t xml:space="preserve">sharply </w:t>
      </w:r>
      <w:r w:rsidR="001D0CAE">
        <w:t xml:space="preserve">increased </w:t>
      </w:r>
      <w:r w:rsidR="00CE6B8D">
        <w:t xml:space="preserve">this </w:t>
      </w:r>
      <w:r w:rsidR="00CE6B8D" w:rsidRPr="0009505E">
        <w:rPr>
          <w:szCs w:val="20"/>
        </w:rPr>
        <w:t xml:space="preserve">financial year </w:t>
      </w:r>
      <w:r w:rsidR="00470E06" w:rsidRPr="0009505E">
        <w:rPr>
          <w:szCs w:val="20"/>
        </w:rPr>
        <w:t>(</w:t>
      </w:r>
      <w:r w:rsidR="00843303">
        <w:rPr>
          <w:rFonts w:ascii="Wingdings 3" w:eastAsia="Times New Roman" w:hAnsi="Wingdings 3"/>
          <w:b/>
          <w:bCs/>
          <w:color w:val="00518E"/>
        </w:rPr>
        <w:t>h</w:t>
      </w:r>
      <w:r w:rsidR="00B24C21" w:rsidRPr="0009505E">
        <w:rPr>
          <w:b/>
          <w:bCs/>
          <w:color w:val="00518E"/>
          <w:szCs w:val="20"/>
        </w:rPr>
        <w:t xml:space="preserve"> up 24%</w:t>
      </w:r>
      <w:r w:rsidR="00470E06" w:rsidRPr="0009505E">
        <w:rPr>
          <w:szCs w:val="20"/>
        </w:rPr>
        <w:t xml:space="preserve">) </w:t>
      </w:r>
      <w:r w:rsidR="00CE6B8D" w:rsidRPr="0009505E">
        <w:rPr>
          <w:szCs w:val="20"/>
        </w:rPr>
        <w:t>compared</w:t>
      </w:r>
      <w:r w:rsidR="00CE6B8D">
        <w:t xml:space="preserve"> to the previous financial year</w:t>
      </w:r>
      <w:r w:rsidR="001D0CAE">
        <w:t xml:space="preserve"> to 1.34%</w:t>
      </w:r>
      <w:r w:rsidR="0025003D">
        <w:t> </w:t>
      </w:r>
      <w:r w:rsidR="001D0CAE">
        <w:t>of payroll</w:t>
      </w:r>
      <w:r w:rsidR="00CE6B8D">
        <w:t>. This is</w:t>
      </w:r>
      <w:r w:rsidR="001D0CAE">
        <w:t xml:space="preserve"> the first time it has risen higher than the Australian average since </w:t>
      </w:r>
      <w:r w:rsidR="006C3B95">
        <w:t>2015-</w:t>
      </w:r>
      <w:r w:rsidR="001D0CAE">
        <w:t>16.</w:t>
      </w:r>
    </w:p>
    <w:p w14:paraId="2F277F84" w14:textId="2A24FE5F" w:rsidR="007B4BFE" w:rsidRPr="00B94407" w:rsidRDefault="00166732" w:rsidP="0001354B">
      <w:pPr>
        <w:pStyle w:val="BodyJustified"/>
        <w:numPr>
          <w:ilvl w:val="0"/>
          <w:numId w:val="27"/>
        </w:numPr>
        <w:ind w:left="709" w:hanging="425"/>
      </w:pPr>
      <w:r>
        <w:t>New Zealand</w:t>
      </w:r>
      <w:r w:rsidR="00D773F7">
        <w:t>’s</w:t>
      </w:r>
      <w:r>
        <w:t xml:space="preserve"> </w:t>
      </w:r>
      <w:r w:rsidR="00D773F7">
        <w:t xml:space="preserve">average </w:t>
      </w:r>
      <w:r>
        <w:t>premium rate</w:t>
      </w:r>
      <w:r w:rsidR="00D773F7">
        <w:t xml:space="preserve"> for th</w:t>
      </w:r>
      <w:r w:rsidR="00F9415A">
        <w:t>is</w:t>
      </w:r>
      <w:r w:rsidR="00D773F7" w:rsidRPr="00D773F7">
        <w:t xml:space="preserve"> </w:t>
      </w:r>
      <w:r w:rsidR="00D773F7">
        <w:t>industry has remained unchanged at 0.33% of payroll since the 2016-17 financial year</w:t>
      </w:r>
      <w:r>
        <w:t xml:space="preserve">. </w:t>
      </w:r>
    </w:p>
    <w:p w14:paraId="1953A4F3" w14:textId="7802DD7A" w:rsidR="007B4BFE" w:rsidRPr="00376FAA" w:rsidRDefault="00535035" w:rsidP="007C5673">
      <w:pPr>
        <w:pStyle w:val="SWASectionnumberingheading"/>
        <w:numPr>
          <w:ilvl w:val="0"/>
          <w:numId w:val="0"/>
        </w:numPr>
        <w:spacing w:before="240"/>
        <w:rPr>
          <w:sz w:val="20"/>
          <w:szCs w:val="20"/>
        </w:rPr>
      </w:pPr>
      <w:bookmarkStart w:id="75" w:name="_Toc80972083"/>
      <w:r w:rsidRPr="00376FAA">
        <w:rPr>
          <w:sz w:val="20"/>
          <w:szCs w:val="20"/>
        </w:rPr>
        <w:t>Indicator 14</w:t>
      </w:r>
      <w:r w:rsidR="001A4A19" w:rsidRPr="00376FAA">
        <w:rPr>
          <w:sz w:val="20"/>
          <w:szCs w:val="20"/>
        </w:rPr>
        <w:t>q</w:t>
      </w:r>
      <w:r w:rsidR="007B4BFE" w:rsidRPr="00376FAA">
        <w:rPr>
          <w:sz w:val="20"/>
          <w:szCs w:val="20"/>
        </w:rPr>
        <w:t xml:space="preserve"> – Standardised premium rates for Health</w:t>
      </w:r>
      <w:r w:rsidR="006E1D65" w:rsidRPr="00376FAA">
        <w:rPr>
          <w:sz w:val="20"/>
          <w:szCs w:val="20"/>
        </w:rPr>
        <w:t>care</w:t>
      </w:r>
      <w:r w:rsidR="007B4BFE" w:rsidRPr="00376FAA">
        <w:rPr>
          <w:sz w:val="20"/>
          <w:szCs w:val="20"/>
        </w:rPr>
        <w:t xml:space="preserve"> and </w:t>
      </w:r>
      <w:r w:rsidR="00AD0B69" w:rsidRPr="00376FAA">
        <w:rPr>
          <w:sz w:val="20"/>
          <w:szCs w:val="20"/>
        </w:rPr>
        <w:t>social assistance</w:t>
      </w:r>
      <w:r w:rsidR="007B4BFE" w:rsidRPr="00376FAA">
        <w:rPr>
          <w:sz w:val="20"/>
          <w:szCs w:val="20"/>
        </w:rPr>
        <w:t xml:space="preserve"> by jurisdiction</w:t>
      </w:r>
      <w:bookmarkEnd w:id="75"/>
    </w:p>
    <w:p w14:paraId="53B82E26" w14:textId="28B20D37" w:rsidR="00C31D4C" w:rsidRDefault="00285C88" w:rsidP="00B62606">
      <w:pPr>
        <w:spacing w:before="0"/>
        <w:jc w:val="center"/>
        <w:rPr>
          <w:lang w:val="en-GB"/>
        </w:rPr>
      </w:pPr>
      <w:r>
        <w:rPr>
          <w:noProof/>
          <w:lang w:val="en-GB"/>
        </w:rPr>
        <w:drawing>
          <wp:inline distT="0" distB="0" distL="0" distR="0" wp14:anchorId="0AD7EE50" wp14:editId="61BCE317">
            <wp:extent cx="6161827" cy="2865120"/>
            <wp:effectExtent l="0" t="0" r="0" b="0"/>
            <wp:docPr id="57" name="Picture 57" descr="This bar graph shows standardised premium rates for the healthcare and social assistance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This bar graph shows standardised premium rates for the healthcare and social assistance industry by jurisdiction, from 2015-16 to 2019-20, and a line indicating the Australian average for 2019-20. Please refer to body text for more informati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70919" cy="2869347"/>
                    </a:xfrm>
                    <a:prstGeom prst="rect">
                      <a:avLst/>
                    </a:prstGeom>
                    <a:noFill/>
                  </pic:spPr>
                </pic:pic>
              </a:graphicData>
            </a:graphic>
          </wp:inline>
        </w:drawing>
      </w:r>
    </w:p>
    <w:p w14:paraId="22F01D3D" w14:textId="77777777" w:rsidR="00285C88" w:rsidRDefault="00285C88">
      <w:pPr>
        <w:spacing w:before="0" w:after="200" w:line="276" w:lineRule="auto"/>
        <w:jc w:val="left"/>
        <w:rPr>
          <w:rFonts w:ascii="Arial Bold" w:eastAsiaTheme="majorEastAsia" w:hAnsi="Arial Bold" w:cs="Arial"/>
          <w:b/>
          <w:kern w:val="32"/>
          <w:sz w:val="28"/>
          <w:szCs w:val="22"/>
        </w:rPr>
      </w:pPr>
      <w:bookmarkStart w:id="76" w:name="_Toc80289691"/>
      <w:r>
        <w:br w:type="page"/>
      </w:r>
    </w:p>
    <w:p w14:paraId="487323BB" w14:textId="399EFA2B" w:rsidR="007B4BFE" w:rsidRPr="00285B6A" w:rsidRDefault="00974847" w:rsidP="007C5673">
      <w:pPr>
        <w:pStyle w:val="Heading1"/>
        <w:spacing w:before="240"/>
      </w:pPr>
      <w:r>
        <w:lastRenderedPageBreak/>
        <w:t>Arts</w:t>
      </w:r>
      <w:r w:rsidRPr="00285B6A">
        <w:t xml:space="preserve"> </w:t>
      </w:r>
      <w:r w:rsidR="007B4BFE" w:rsidRPr="00285B6A">
        <w:t>and recreation services</w:t>
      </w:r>
      <w:bookmarkEnd w:id="76"/>
      <w:r w:rsidR="007B4BFE" w:rsidRPr="00285B6A">
        <w:t xml:space="preserve"> </w:t>
      </w:r>
    </w:p>
    <w:p w14:paraId="3533DFA2" w14:textId="539C9BB2" w:rsidR="00701A72" w:rsidRDefault="00701A72" w:rsidP="0001354B">
      <w:pPr>
        <w:pStyle w:val="BodyJustified"/>
        <w:numPr>
          <w:ilvl w:val="0"/>
          <w:numId w:val="28"/>
        </w:numPr>
      </w:pPr>
      <w:r>
        <w:t xml:space="preserve">The Australian average premium rate in the </w:t>
      </w:r>
      <w:r w:rsidRPr="00701A72">
        <w:t xml:space="preserve">Arts and recreation services </w:t>
      </w:r>
      <w:r>
        <w:t xml:space="preserve">industry </w:t>
      </w:r>
      <w:r w:rsidR="00A01463">
        <w:t>was</w:t>
      </w:r>
      <w:r w:rsidR="006C3B95">
        <w:t xml:space="preserve"> 1</w:t>
      </w:r>
      <w:r>
        <w:t>.4</w:t>
      </w:r>
      <w:r w:rsidR="00B0424A">
        <w:t>6</w:t>
      </w:r>
      <w:r>
        <w:t>% of payroll</w:t>
      </w:r>
      <w:r w:rsidR="00A01463">
        <w:t xml:space="preserve"> in the 2019-20 financial year.</w:t>
      </w:r>
    </w:p>
    <w:p w14:paraId="35E896DD" w14:textId="5DFDF6F6" w:rsidR="00A27058" w:rsidRPr="00A27058" w:rsidRDefault="00A27058" w:rsidP="0001354B">
      <w:pPr>
        <w:pStyle w:val="BodyJustified"/>
        <w:numPr>
          <w:ilvl w:val="0"/>
          <w:numId w:val="28"/>
        </w:numPr>
      </w:pPr>
      <w:r w:rsidRPr="00A27058">
        <w:t xml:space="preserve">Comcare </w:t>
      </w:r>
      <w:r w:rsidR="0003484B">
        <w:t xml:space="preserve">recorded </w:t>
      </w:r>
      <w:r w:rsidR="00CC66DC">
        <w:t>decreased</w:t>
      </w:r>
      <w:r w:rsidR="00CC66DC" w:rsidRPr="00A27058">
        <w:t xml:space="preserve"> </w:t>
      </w:r>
      <w:r w:rsidRPr="00A27058">
        <w:t xml:space="preserve">rates for this industry from a high of </w:t>
      </w:r>
      <w:r>
        <w:t>1.93</w:t>
      </w:r>
      <w:r w:rsidRPr="00A27058">
        <w:t>% of payroll in 201</w:t>
      </w:r>
      <w:r>
        <w:t>5</w:t>
      </w:r>
      <w:r w:rsidR="0003484B">
        <w:noBreakHyphen/>
      </w:r>
      <w:r w:rsidRPr="00A27058">
        <w:t>1</w:t>
      </w:r>
      <w:r>
        <w:t>6</w:t>
      </w:r>
      <w:r w:rsidRPr="00A27058">
        <w:t xml:space="preserve"> to </w:t>
      </w:r>
      <w:r>
        <w:t>0.83</w:t>
      </w:r>
      <w:r w:rsidRPr="00A27058">
        <w:t>%</w:t>
      </w:r>
      <w:r w:rsidR="0003484B">
        <w:t xml:space="preserve"> in 2019-20</w:t>
      </w:r>
      <w:r w:rsidRPr="00A27058">
        <w:t>, the lowest rate of the Australian jurisdictions</w:t>
      </w:r>
      <w:r w:rsidR="00FD7633">
        <w:t xml:space="preserve"> </w:t>
      </w:r>
      <w:r w:rsidR="00083F58">
        <w:t xml:space="preserve">at </w:t>
      </w:r>
      <w:r w:rsidR="00083F58" w:rsidRPr="00083F58">
        <w:rPr>
          <w:b/>
          <w:bCs/>
          <w:color w:val="B94F25"/>
        </w:rPr>
        <w:t>43% less</w:t>
      </w:r>
      <w:r w:rsidR="00083F58">
        <w:t xml:space="preserve"> than the Australian average</w:t>
      </w:r>
      <w:r w:rsidRPr="00A27058">
        <w:t xml:space="preserve">. </w:t>
      </w:r>
    </w:p>
    <w:p w14:paraId="5AB14C69" w14:textId="60F6623A" w:rsidR="0003484B" w:rsidRDefault="0003357D" w:rsidP="0001354B">
      <w:pPr>
        <w:pStyle w:val="BodyJustified"/>
        <w:numPr>
          <w:ilvl w:val="0"/>
          <w:numId w:val="28"/>
        </w:numPr>
      </w:pPr>
      <w:r>
        <w:t xml:space="preserve">The </w:t>
      </w:r>
      <w:r w:rsidR="0003484B">
        <w:t>Australian Capital Territory</w:t>
      </w:r>
      <w:r w:rsidR="006D1B33">
        <w:t xml:space="preserve"> (Private)</w:t>
      </w:r>
      <w:r w:rsidR="0003484B">
        <w:t xml:space="preserve"> </w:t>
      </w:r>
      <w:r>
        <w:t xml:space="preserve">and </w:t>
      </w:r>
      <w:r w:rsidR="00B0424A">
        <w:t>South Australia</w:t>
      </w:r>
      <w:r>
        <w:t xml:space="preserve"> have relatively higher premium rates for this industry, at 2.33</w:t>
      </w:r>
      <w:r w:rsidRPr="0003357D">
        <w:t>% and 1.</w:t>
      </w:r>
      <w:r w:rsidR="00B0424A">
        <w:t>90</w:t>
      </w:r>
      <w:r w:rsidRPr="0003357D">
        <w:t>% of payroll</w:t>
      </w:r>
      <w:r>
        <w:t xml:space="preserve">. </w:t>
      </w:r>
    </w:p>
    <w:p w14:paraId="7F5AEBEC" w14:textId="1F8F620D" w:rsidR="00A27058" w:rsidRPr="00A27058" w:rsidRDefault="0003357D" w:rsidP="0001354B">
      <w:pPr>
        <w:pStyle w:val="BodyJustified"/>
        <w:numPr>
          <w:ilvl w:val="0"/>
          <w:numId w:val="28"/>
        </w:numPr>
      </w:pPr>
      <w:r>
        <w:t>Premium rates in</w:t>
      </w:r>
      <w:r w:rsidR="00274846">
        <w:t xml:space="preserve"> Western Australia </w:t>
      </w:r>
      <w:r>
        <w:t>have risen to 1.53% of payroll, the first time it has exceeded the national average in 5 years.</w:t>
      </w:r>
    </w:p>
    <w:p w14:paraId="07C0199C" w14:textId="70791D10" w:rsidR="007B4BFE" w:rsidRPr="00B94407" w:rsidRDefault="00460F90" w:rsidP="0001354B">
      <w:pPr>
        <w:pStyle w:val="BodyJustified"/>
        <w:numPr>
          <w:ilvl w:val="0"/>
          <w:numId w:val="28"/>
        </w:numPr>
      </w:pPr>
      <w:r>
        <w:t xml:space="preserve">The </w:t>
      </w:r>
      <w:r w:rsidR="007B4BFE">
        <w:t xml:space="preserve">New Zealand </w:t>
      </w:r>
      <w:r w:rsidR="00797A1D">
        <w:t xml:space="preserve">average </w:t>
      </w:r>
      <w:r w:rsidR="007B4BFE">
        <w:t xml:space="preserve">premium rate </w:t>
      </w:r>
      <w:r w:rsidR="00797A1D">
        <w:t xml:space="preserve">for </w:t>
      </w:r>
      <w:r w:rsidR="00F9415A">
        <w:t xml:space="preserve">this </w:t>
      </w:r>
      <w:r w:rsidR="00797A1D">
        <w:t xml:space="preserve">industry was recorded </w:t>
      </w:r>
      <w:r w:rsidR="00C11C81">
        <w:t xml:space="preserve">at </w:t>
      </w:r>
      <w:r w:rsidR="00166732">
        <w:t>0.</w:t>
      </w:r>
      <w:r w:rsidR="00797A1D">
        <w:t>73</w:t>
      </w:r>
      <w:r w:rsidR="000B150E">
        <w:t>%</w:t>
      </w:r>
      <w:r w:rsidR="007B4BFE">
        <w:t xml:space="preserve"> of payroll in </w:t>
      </w:r>
      <w:r w:rsidR="00166732">
        <w:t>201</w:t>
      </w:r>
      <w:r w:rsidR="00797A1D">
        <w:t>9</w:t>
      </w:r>
      <w:r w:rsidR="00D527BF">
        <w:noBreakHyphen/>
      </w:r>
      <w:r w:rsidR="00797A1D">
        <w:t>20</w:t>
      </w:r>
      <w:r w:rsidR="00C11C81">
        <w:t>.</w:t>
      </w:r>
      <w:r w:rsidR="00797A1D">
        <w:t xml:space="preserve"> It has fluctuated around the 0.75% level </w:t>
      </w:r>
      <w:r w:rsidR="00A56731">
        <w:t xml:space="preserve">over </w:t>
      </w:r>
      <w:r w:rsidR="00A46808">
        <w:t xml:space="preserve">the </w:t>
      </w:r>
      <w:r w:rsidR="00797A1D">
        <w:t>5</w:t>
      </w:r>
      <w:r w:rsidR="0003484B">
        <w:t xml:space="preserve"> </w:t>
      </w:r>
      <w:r w:rsidR="00797A1D">
        <w:t xml:space="preserve">year period. </w:t>
      </w:r>
    </w:p>
    <w:p w14:paraId="6FA325B3" w14:textId="5DF8095C" w:rsidR="007B4BFE" w:rsidRPr="00376FAA" w:rsidRDefault="00535035" w:rsidP="007C5673">
      <w:pPr>
        <w:pStyle w:val="SWASectionnumberingheading"/>
        <w:numPr>
          <w:ilvl w:val="0"/>
          <w:numId w:val="0"/>
        </w:numPr>
        <w:spacing w:before="240"/>
        <w:rPr>
          <w:sz w:val="20"/>
          <w:szCs w:val="20"/>
        </w:rPr>
      </w:pPr>
      <w:bookmarkStart w:id="77" w:name="_Toc80972084"/>
      <w:r w:rsidRPr="00376FAA">
        <w:rPr>
          <w:sz w:val="20"/>
          <w:szCs w:val="20"/>
        </w:rPr>
        <w:t>Indicator 14</w:t>
      </w:r>
      <w:r w:rsidR="001A4A19" w:rsidRPr="00376FAA">
        <w:rPr>
          <w:sz w:val="20"/>
          <w:szCs w:val="20"/>
        </w:rPr>
        <w:t>r</w:t>
      </w:r>
      <w:r w:rsidR="007B4BFE" w:rsidRPr="00376FAA">
        <w:rPr>
          <w:sz w:val="20"/>
          <w:szCs w:val="20"/>
        </w:rPr>
        <w:t xml:space="preserve"> –</w:t>
      </w:r>
      <w:r w:rsidR="00E53AC3">
        <w:rPr>
          <w:sz w:val="20"/>
          <w:szCs w:val="20"/>
        </w:rPr>
        <w:t xml:space="preserve"> </w:t>
      </w:r>
      <w:r w:rsidR="007B4BFE" w:rsidRPr="00376FAA">
        <w:rPr>
          <w:sz w:val="20"/>
          <w:szCs w:val="20"/>
        </w:rPr>
        <w:t xml:space="preserve">Standardised premium rates for </w:t>
      </w:r>
      <w:r w:rsidR="00974847" w:rsidRPr="00376FAA">
        <w:rPr>
          <w:sz w:val="20"/>
          <w:szCs w:val="20"/>
        </w:rPr>
        <w:t xml:space="preserve">Arts </w:t>
      </w:r>
      <w:r w:rsidR="007B4BFE" w:rsidRPr="00376FAA">
        <w:rPr>
          <w:sz w:val="20"/>
          <w:szCs w:val="20"/>
        </w:rPr>
        <w:t>and recreation services by jurisdiction</w:t>
      </w:r>
      <w:bookmarkEnd w:id="77"/>
    </w:p>
    <w:p w14:paraId="515F5201" w14:textId="7F580CBC" w:rsidR="00C31D4C" w:rsidRDefault="00B0424A" w:rsidP="00B62606">
      <w:pPr>
        <w:spacing w:before="0"/>
        <w:jc w:val="center"/>
        <w:rPr>
          <w:lang w:val="en-GB"/>
        </w:rPr>
      </w:pPr>
      <w:r>
        <w:rPr>
          <w:noProof/>
          <w:lang w:val="en-GB"/>
        </w:rPr>
        <w:drawing>
          <wp:inline distT="0" distB="0" distL="0" distR="0" wp14:anchorId="678FE5FA" wp14:editId="1E7AA32A">
            <wp:extent cx="6006991" cy="2798445"/>
            <wp:effectExtent l="0" t="0" r="0" b="1905"/>
            <wp:docPr id="59" name="Picture 59" descr="This bar graph shows standardised premium rates for the arts and recreation services industry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his bar graph shows standardised premium rates for the arts and recreation services industry by jurisdiction, from 2015-16 to 2019-20, and a line indicating the Australian average for 2019-20. Please refer to body text for more informatio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21402" cy="2805159"/>
                    </a:xfrm>
                    <a:prstGeom prst="rect">
                      <a:avLst/>
                    </a:prstGeom>
                    <a:noFill/>
                  </pic:spPr>
                </pic:pic>
              </a:graphicData>
            </a:graphic>
          </wp:inline>
        </w:drawing>
      </w:r>
    </w:p>
    <w:p w14:paraId="5C9DDD9B" w14:textId="77777777" w:rsidR="00B0424A" w:rsidRDefault="00B0424A">
      <w:pPr>
        <w:spacing w:before="0" w:after="200" w:line="276" w:lineRule="auto"/>
        <w:jc w:val="left"/>
        <w:rPr>
          <w:rFonts w:ascii="Arial Bold" w:eastAsiaTheme="majorEastAsia" w:hAnsi="Arial Bold" w:cs="Arial"/>
          <w:b/>
          <w:kern w:val="32"/>
          <w:sz w:val="28"/>
          <w:szCs w:val="22"/>
        </w:rPr>
      </w:pPr>
      <w:bookmarkStart w:id="78" w:name="_Toc80289692"/>
      <w:r>
        <w:br w:type="page"/>
      </w:r>
    </w:p>
    <w:p w14:paraId="1303E2BE" w14:textId="58DACAAB" w:rsidR="007B4BFE" w:rsidRPr="00285B6A" w:rsidRDefault="001A4A19" w:rsidP="007C5673">
      <w:pPr>
        <w:pStyle w:val="Heading1"/>
        <w:spacing w:before="240"/>
      </w:pPr>
      <w:r>
        <w:lastRenderedPageBreak/>
        <w:t>O</w:t>
      </w:r>
      <w:r w:rsidR="007B4BFE" w:rsidRPr="00285B6A">
        <w:t>ther services</w:t>
      </w:r>
      <w:bookmarkEnd w:id="78"/>
    </w:p>
    <w:p w14:paraId="462E6BA9" w14:textId="11DAEEE9" w:rsidR="0003357D" w:rsidRDefault="0003357D" w:rsidP="00DE33BC">
      <w:pPr>
        <w:pStyle w:val="BodyJustified"/>
        <w:numPr>
          <w:ilvl w:val="0"/>
          <w:numId w:val="30"/>
        </w:numPr>
      </w:pPr>
      <w:r w:rsidRPr="0003357D">
        <w:t xml:space="preserve">The Australian average premium rate in the </w:t>
      </w:r>
      <w:r>
        <w:t>Other</w:t>
      </w:r>
      <w:r w:rsidRPr="0003357D">
        <w:t xml:space="preserve"> services industry </w:t>
      </w:r>
      <w:r>
        <w:t xml:space="preserve">has been </w:t>
      </w:r>
      <w:r w:rsidR="00AF7B36">
        <w:t xml:space="preserve">relatively </w:t>
      </w:r>
      <w:r>
        <w:t>steady at</w:t>
      </w:r>
      <w:r w:rsidRPr="0003357D">
        <w:t xml:space="preserve"> 1.</w:t>
      </w:r>
      <w:r>
        <w:t>28</w:t>
      </w:r>
      <w:r w:rsidRPr="0003357D">
        <w:t>% of payroll</w:t>
      </w:r>
      <w:r w:rsidR="0003484B">
        <w:t xml:space="preserve"> in 2019-20</w:t>
      </w:r>
      <w:r>
        <w:t>.</w:t>
      </w:r>
    </w:p>
    <w:p w14:paraId="084414A3" w14:textId="4830E008" w:rsidR="0003357D" w:rsidRPr="0003357D" w:rsidRDefault="0003484B" w:rsidP="00DE33BC">
      <w:pPr>
        <w:pStyle w:val="BodyJustified"/>
        <w:numPr>
          <w:ilvl w:val="0"/>
          <w:numId w:val="30"/>
        </w:numPr>
      </w:pPr>
      <w:r>
        <w:t>Queensland</w:t>
      </w:r>
      <w:r w:rsidR="0003357D">
        <w:t xml:space="preserve"> </w:t>
      </w:r>
      <w:r>
        <w:t xml:space="preserve">was </w:t>
      </w:r>
      <w:r w:rsidR="0003357D">
        <w:t>the only jurisdiction to have rates lower than the national average</w:t>
      </w:r>
      <w:r>
        <w:t xml:space="preserve"> at 0.96% of payroll</w:t>
      </w:r>
      <w:r w:rsidR="008D5650">
        <w:t xml:space="preserve"> or </w:t>
      </w:r>
      <w:r w:rsidR="008D5650" w:rsidRPr="008D5650">
        <w:rPr>
          <w:b/>
          <w:bCs/>
          <w:color w:val="B94F25"/>
        </w:rPr>
        <w:t>25% less</w:t>
      </w:r>
      <w:r w:rsidR="008D5650">
        <w:t xml:space="preserve"> than the Australian average.</w:t>
      </w:r>
    </w:p>
    <w:p w14:paraId="00F07DC0" w14:textId="28AA7A9A" w:rsidR="007B4BFE" w:rsidRPr="00B94407" w:rsidRDefault="007B4BFE" w:rsidP="00DE33BC">
      <w:pPr>
        <w:pStyle w:val="BodyJustified"/>
        <w:numPr>
          <w:ilvl w:val="0"/>
          <w:numId w:val="30"/>
        </w:numPr>
      </w:pPr>
      <w:r>
        <w:t xml:space="preserve">New Zealand recorded </w:t>
      </w:r>
      <w:r w:rsidR="001B0AE7">
        <w:t>a premium rate of 0.</w:t>
      </w:r>
      <w:r w:rsidR="0048561A">
        <w:t>5</w:t>
      </w:r>
      <w:r w:rsidR="0003357D">
        <w:t>0</w:t>
      </w:r>
      <w:r w:rsidR="000B150E">
        <w:t>%</w:t>
      </w:r>
      <w:r>
        <w:t xml:space="preserve"> of payroll in </w:t>
      </w:r>
      <w:r w:rsidR="001B0AE7">
        <w:t>201</w:t>
      </w:r>
      <w:r w:rsidR="0003357D">
        <w:t>9-20</w:t>
      </w:r>
      <w:r w:rsidR="00FD64FE">
        <w:t>.</w:t>
      </w:r>
    </w:p>
    <w:p w14:paraId="2514EF7D" w14:textId="7C7C2457" w:rsidR="007B4BFE" w:rsidRPr="00376FAA" w:rsidRDefault="00535035" w:rsidP="007C5673">
      <w:pPr>
        <w:pStyle w:val="SWASectionnumberingheading"/>
        <w:numPr>
          <w:ilvl w:val="0"/>
          <w:numId w:val="0"/>
        </w:numPr>
        <w:spacing w:before="240"/>
        <w:rPr>
          <w:sz w:val="20"/>
          <w:szCs w:val="20"/>
        </w:rPr>
      </w:pPr>
      <w:bookmarkStart w:id="79" w:name="_Toc80972085"/>
      <w:r w:rsidRPr="00376FAA">
        <w:rPr>
          <w:sz w:val="20"/>
          <w:szCs w:val="20"/>
        </w:rPr>
        <w:t>Indicator 14</w:t>
      </w:r>
      <w:r w:rsidR="001A4A19" w:rsidRPr="00376FAA">
        <w:rPr>
          <w:sz w:val="20"/>
          <w:szCs w:val="20"/>
        </w:rPr>
        <w:t>s</w:t>
      </w:r>
      <w:r w:rsidR="007B4BFE" w:rsidRPr="00376FAA">
        <w:rPr>
          <w:sz w:val="20"/>
          <w:szCs w:val="20"/>
        </w:rPr>
        <w:t xml:space="preserve"> – Standardised premium rates for </w:t>
      </w:r>
      <w:r w:rsidR="006A0C67" w:rsidRPr="00376FAA">
        <w:rPr>
          <w:sz w:val="20"/>
          <w:szCs w:val="20"/>
        </w:rPr>
        <w:t>O</w:t>
      </w:r>
      <w:r w:rsidR="007B4BFE" w:rsidRPr="00376FAA">
        <w:rPr>
          <w:sz w:val="20"/>
          <w:szCs w:val="20"/>
        </w:rPr>
        <w:t>ther services by jurisdiction</w:t>
      </w:r>
      <w:bookmarkEnd w:id="79"/>
    </w:p>
    <w:p w14:paraId="2F3465DB" w14:textId="5BC3C87E" w:rsidR="0047156B" w:rsidRDefault="009C31CC" w:rsidP="00B62606">
      <w:pPr>
        <w:spacing w:before="0"/>
        <w:jc w:val="center"/>
        <w:rPr>
          <w:rFonts w:ascii="Arial Bold" w:eastAsiaTheme="majorEastAsia" w:hAnsi="Arial Bold" w:cstheme="majorBidi"/>
          <w:b/>
          <w:sz w:val="24"/>
          <w:szCs w:val="28"/>
        </w:rPr>
      </w:pPr>
      <w:r>
        <w:rPr>
          <w:noProof/>
        </w:rPr>
        <w:drawing>
          <wp:inline distT="0" distB="0" distL="0" distR="0" wp14:anchorId="779D0A27" wp14:editId="696C9E12">
            <wp:extent cx="6032514" cy="2816860"/>
            <wp:effectExtent l="0" t="0" r="6350" b="2540"/>
            <wp:docPr id="7" name="Picture 7" descr="This bar graph shows standardised premium rates for the industry ‘other services’ by jurisdiction, from 2015-16 to 2019-20, and a line indicating the Australian average for 2019-20. Please refer to body text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bar graph shows standardised premium rates for the industry ‘other services’ by jurisdiction, from 2015-16 to 2019-20, and a line indicating the Australian average for 2019-20. Please refer to body text for more informatio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37084" cy="2818994"/>
                    </a:xfrm>
                    <a:prstGeom prst="rect">
                      <a:avLst/>
                    </a:prstGeom>
                    <a:noFill/>
                  </pic:spPr>
                </pic:pic>
              </a:graphicData>
            </a:graphic>
          </wp:inline>
        </w:drawing>
      </w:r>
      <w:r w:rsidR="0047156B">
        <w:br w:type="page"/>
      </w:r>
    </w:p>
    <w:p w14:paraId="054DE092" w14:textId="4F0A44AE" w:rsidR="00B747C9" w:rsidRPr="00863BDF" w:rsidRDefault="00B747C9" w:rsidP="004B6C24">
      <w:pPr>
        <w:pStyle w:val="SWASectionnumberingheading"/>
        <w:numPr>
          <w:ilvl w:val="0"/>
          <w:numId w:val="0"/>
        </w:numPr>
      </w:pPr>
      <w:bookmarkStart w:id="80" w:name="_Toc80289693"/>
      <w:bookmarkStart w:id="81" w:name="_Toc80972086"/>
      <w:bookmarkEnd w:id="13"/>
      <w:bookmarkEnd w:id="20"/>
      <w:r w:rsidRPr="00863BDF">
        <w:lastRenderedPageBreak/>
        <w:t>Appendix 1 — Explanatory notes</w:t>
      </w:r>
      <w:bookmarkEnd w:id="80"/>
      <w:bookmarkEnd w:id="81"/>
      <w:r w:rsidRPr="00863BDF">
        <w:t xml:space="preserve"> </w:t>
      </w:r>
    </w:p>
    <w:p w14:paraId="17ACF75D" w14:textId="77777777" w:rsidR="00CE00EC" w:rsidRDefault="00CE00EC" w:rsidP="004B6C24">
      <w:pPr>
        <w:pStyle w:val="SWASectionnum2"/>
        <w:numPr>
          <w:ilvl w:val="0"/>
          <w:numId w:val="0"/>
        </w:numPr>
      </w:pPr>
      <w:bookmarkStart w:id="82" w:name="_Toc476564198"/>
      <w:bookmarkStart w:id="83" w:name="_Toc80289694"/>
      <w:bookmarkStart w:id="84" w:name="_Toc80972087"/>
      <w:r>
        <w:t>Premium rates and entitlements</w:t>
      </w:r>
      <w:bookmarkEnd w:id="82"/>
      <w:bookmarkEnd w:id="83"/>
      <w:bookmarkEnd w:id="84"/>
    </w:p>
    <w:p w14:paraId="619A78B5" w14:textId="77777777" w:rsidR="00CE00EC" w:rsidRDefault="00CE00EC" w:rsidP="00CE00EC">
      <w:r>
        <w:t>Issues affecting the comparability of premium rates across the schemes include:</w:t>
      </w:r>
    </w:p>
    <w:p w14:paraId="7E15B45B" w14:textId="77777777" w:rsidR="00CE00EC" w:rsidRDefault="00CE00EC" w:rsidP="00F9415A">
      <w:pPr>
        <w:pStyle w:val="BodyJustified"/>
        <w:numPr>
          <w:ilvl w:val="0"/>
          <w:numId w:val="6"/>
        </w:numPr>
      </w:pPr>
      <w:r>
        <w:t>differences in benefits and coverage for certain types of injuries, in particular the coverage of the journey to and from work</w:t>
      </w:r>
    </w:p>
    <w:p w14:paraId="21B509E3" w14:textId="77777777" w:rsidR="00CE00EC" w:rsidRDefault="00CE00EC" w:rsidP="00F9415A">
      <w:pPr>
        <w:pStyle w:val="BodyJustified"/>
        <w:numPr>
          <w:ilvl w:val="0"/>
          <w:numId w:val="6"/>
        </w:numPr>
      </w:pPr>
      <w:r>
        <w:t>differences in claims management arrangements</w:t>
      </w:r>
    </w:p>
    <w:p w14:paraId="394902A3" w14:textId="77777777" w:rsidR="00CE00EC" w:rsidRDefault="00CE00EC" w:rsidP="00F9415A">
      <w:pPr>
        <w:pStyle w:val="BodyJustified"/>
        <w:numPr>
          <w:ilvl w:val="0"/>
          <w:numId w:val="6"/>
        </w:numPr>
      </w:pPr>
      <w:r>
        <w:t>variations in the funding arrangements for delivery of work health and safety services, with some jurisdictions providing degrees of cross-subsidisation</w:t>
      </w:r>
    </w:p>
    <w:p w14:paraId="40F6F165" w14:textId="77777777" w:rsidR="00CE00EC" w:rsidRDefault="00CE00EC" w:rsidP="00F9415A">
      <w:pPr>
        <w:pStyle w:val="BodyJustified"/>
        <w:numPr>
          <w:ilvl w:val="0"/>
          <w:numId w:val="6"/>
        </w:numPr>
      </w:pPr>
      <w:r>
        <w:t>differences in the definitions of wages for premium setting purposes, including whether superannuation contribution is part of wages</w:t>
      </w:r>
    </w:p>
    <w:p w14:paraId="5C9782C9" w14:textId="77777777" w:rsidR="00CE00EC" w:rsidRDefault="00CE00EC" w:rsidP="00F9415A">
      <w:pPr>
        <w:pStyle w:val="BodyJustified"/>
        <w:numPr>
          <w:ilvl w:val="0"/>
          <w:numId w:val="6"/>
        </w:numPr>
      </w:pPr>
      <w:r>
        <w:t>different scheme excess deductibles (note that wage under-declaration has not been accounted for as it is considered to have a similar prevalence in each jurisdiction)</w:t>
      </w:r>
    </w:p>
    <w:p w14:paraId="3B8143B8" w14:textId="77777777" w:rsidR="00CE00EC" w:rsidRDefault="00CE00EC" w:rsidP="00F9415A">
      <w:pPr>
        <w:pStyle w:val="BodyJustified"/>
        <w:numPr>
          <w:ilvl w:val="0"/>
          <w:numId w:val="6"/>
        </w:numPr>
      </w:pPr>
      <w:r>
        <w:t>different levels of self-insurance</w:t>
      </w:r>
    </w:p>
    <w:p w14:paraId="690FB67E" w14:textId="77777777" w:rsidR="00CE00EC" w:rsidRDefault="00CE00EC" w:rsidP="00F9415A">
      <w:pPr>
        <w:pStyle w:val="BodyJustified"/>
        <w:numPr>
          <w:ilvl w:val="0"/>
          <w:numId w:val="6"/>
        </w:numPr>
      </w:pPr>
      <w:r>
        <w:t>different industry mixes</w:t>
      </w:r>
    </w:p>
    <w:p w14:paraId="1AD8F903" w14:textId="77777777" w:rsidR="00CE00EC" w:rsidRDefault="00CE00EC" w:rsidP="00F9415A">
      <w:pPr>
        <w:pStyle w:val="BodyJustified"/>
        <w:numPr>
          <w:ilvl w:val="0"/>
          <w:numId w:val="6"/>
        </w:numPr>
      </w:pPr>
      <w:r>
        <w:t>differences in premium calculation methodology, and</w:t>
      </w:r>
    </w:p>
    <w:p w14:paraId="10D59786" w14:textId="77777777" w:rsidR="00CE00EC" w:rsidRDefault="00CE00EC" w:rsidP="00F9415A">
      <w:pPr>
        <w:pStyle w:val="BodyJustified"/>
        <w:numPr>
          <w:ilvl w:val="0"/>
          <w:numId w:val="6"/>
        </w:numPr>
      </w:pPr>
      <w:r>
        <w:t>different actuarial assumptions used in the calculation of premium rates.</w:t>
      </w:r>
    </w:p>
    <w:p w14:paraId="6D22A254" w14:textId="5DFD68B0" w:rsidR="00CE00EC" w:rsidRDefault="00CE00EC" w:rsidP="00F9415A">
      <w:pPr>
        <w:pStyle w:val="Heading2"/>
      </w:pPr>
      <w:bookmarkStart w:id="85" w:name="_Toc80289695"/>
      <w:r>
        <w:t>Premiums in the self-insured sector</w:t>
      </w:r>
      <w:bookmarkEnd w:id="85"/>
    </w:p>
    <w:p w14:paraId="64BA68A0" w14:textId="77777777" w:rsidR="00CE00EC" w:rsidRDefault="00CE00EC" w:rsidP="00F9415A">
      <w:pPr>
        <w:pStyle w:val="BodyJustified"/>
      </w:pPr>
      <w:r>
        <w:t xml:space="preserve">Most jurisdictions allow large employers to self-insure their workers’ compensation if they prove that they can manage the associated financial and other risks. Jurisdictions with a large proportion of employees under self-insurance arrangements include New South Wales, South Australia, Tasmania and </w:t>
      </w:r>
      <w:r w:rsidR="007F642E">
        <w:t>Comcare</w:t>
      </w:r>
      <w:r>
        <w:t xml:space="preserve">. Significantly fewer self-insurers operate in Victoria, Queensland, Western Australia and the Australian Capital Territory Private Scheme. A number of methodologies are employed in this report to obtain an estimate of the amount of premium that self-insurers would pay. </w:t>
      </w:r>
    </w:p>
    <w:p w14:paraId="5E4CA28E" w14:textId="0D53920B" w:rsidR="00CE00EC" w:rsidRDefault="00CE00EC" w:rsidP="00F9415A">
      <w:pPr>
        <w:pStyle w:val="Heading2"/>
      </w:pPr>
      <w:bookmarkStart w:id="86" w:name="_Toc80289696"/>
      <w:r>
        <w:t>Employer excess factors</w:t>
      </w:r>
      <w:bookmarkEnd w:id="86"/>
    </w:p>
    <w:p w14:paraId="3D051906" w14:textId="7E2479FE" w:rsidR="00CE00EC" w:rsidRDefault="00CE00EC" w:rsidP="00F9415A">
      <w:pPr>
        <w:pStyle w:val="BodyJustified"/>
      </w:pPr>
      <w:r>
        <w:t>Some schemes have non-compensable excesses where the employer pays the first five or 10 days compensation and/or meets medical expenses to a maximum amount. To improve comparability of premium rates a common deductible for the first five days of compensation with no medical costs has been applied. The factors applied to the insured sector data in each jurisdiction are shown in Appendix</w:t>
      </w:r>
      <w:r w:rsidR="00D527BF">
        <w:t> </w:t>
      </w:r>
      <w:r>
        <w:t>1</w:t>
      </w:r>
      <w:r w:rsidR="00D527BF">
        <w:t> </w:t>
      </w:r>
      <w:r>
        <w:t>–</w:t>
      </w:r>
      <w:r w:rsidR="00D527BF">
        <w:t> </w:t>
      </w:r>
      <w:r>
        <w:t>Table</w:t>
      </w:r>
      <w:r w:rsidR="00DA5A0A">
        <w:t> 1</w:t>
      </w:r>
      <w:r>
        <w:t>. Adjustment factors have also been applied to the self-insured sector to make the data consistent with the common deductible of the first five days compensation with no medical costs.</w:t>
      </w:r>
    </w:p>
    <w:p w14:paraId="079DC331" w14:textId="4C9809E8" w:rsidR="00CE00EC" w:rsidRDefault="00CE00EC" w:rsidP="00F9415A">
      <w:pPr>
        <w:pStyle w:val="Heading2"/>
      </w:pPr>
      <w:bookmarkStart w:id="87" w:name="_Toc80289697"/>
      <w:r>
        <w:t>Journey factors</w:t>
      </w:r>
      <w:bookmarkEnd w:id="87"/>
    </w:p>
    <w:p w14:paraId="4A55D144" w14:textId="77777777" w:rsidR="000B5B63" w:rsidRDefault="00CE00EC" w:rsidP="00F9415A">
      <w:pPr>
        <w:pStyle w:val="BodyJustified"/>
      </w:pPr>
      <w:r>
        <w:t xml:space="preserve">All jurisdictions except Victoria, Western Australia, Tasmania, </w:t>
      </w:r>
      <w:r w:rsidR="007F642E">
        <w:t>Comcare</w:t>
      </w:r>
      <w:r>
        <w:t xml:space="preserve"> and New Zealand provide some level of coverage for journey claims. Hence, an estimated amount equal to the cost of providing this coverage has been removed from the premium rates of the jurisdictions that provide this type of coverage. The factors applied a</w:t>
      </w:r>
      <w:r w:rsidR="009B71AF">
        <w:t>re shown in Appendix 1 – Table 1</w:t>
      </w:r>
      <w:r>
        <w:t>. In New Zealand, journey claims are covered by a different scheme.</w:t>
      </w:r>
    </w:p>
    <w:p w14:paraId="594A0CD2" w14:textId="77777777" w:rsidR="000B5B63" w:rsidRDefault="000B5B63">
      <w:pPr>
        <w:spacing w:before="0" w:after="200" w:line="276" w:lineRule="auto"/>
        <w:jc w:val="left"/>
        <w:rPr>
          <w:rFonts w:eastAsiaTheme="minorHAnsi" w:cs="Arial"/>
          <w:color w:val="000000" w:themeColor="text1"/>
          <w:szCs w:val="22"/>
          <w:lang w:val="en-US" w:eastAsia="en-US"/>
        </w:rPr>
      </w:pPr>
      <w:r>
        <w:br w:type="page"/>
      </w:r>
    </w:p>
    <w:p w14:paraId="08DABC71" w14:textId="4052FF70" w:rsidR="00CE00EC" w:rsidRPr="00C569D9" w:rsidRDefault="00CE00EC" w:rsidP="00CB108E">
      <w:pPr>
        <w:pStyle w:val="SWATableheader"/>
        <w:rPr>
          <w:color w:val="00B050"/>
          <w:lang w:val="en-GB"/>
        </w:rPr>
      </w:pPr>
      <w:r w:rsidRPr="00B263A1">
        <w:rPr>
          <w:lang w:val="en-GB"/>
        </w:rPr>
        <w:lastRenderedPageBreak/>
        <w:t xml:space="preserve">Appendix 1 – </w:t>
      </w:r>
      <w:r w:rsidR="009B71AF">
        <w:rPr>
          <w:lang w:val="en-GB"/>
        </w:rPr>
        <w:t>Table 1</w:t>
      </w:r>
      <w:r w:rsidRPr="00B263A1">
        <w:rPr>
          <w:lang w:val="en-GB"/>
        </w:rPr>
        <w:t>: Premium rate adjustment factors (</w:t>
      </w:r>
      <w:r w:rsidR="006B30A6">
        <w:rPr>
          <w:lang w:val="en-GB"/>
        </w:rPr>
        <w:t>%</w:t>
      </w:r>
      <w:r w:rsidRPr="00B263A1">
        <w:rPr>
          <w:lang w:val="en-GB"/>
        </w:rPr>
        <w:t xml:space="preserve">) </w:t>
      </w:r>
      <w:r w:rsidR="004046BE">
        <w:rPr>
          <w:lang w:val="en-GB"/>
        </w:rPr>
        <w:t xml:space="preserve"> </w:t>
      </w:r>
    </w:p>
    <w:tbl>
      <w:tblPr>
        <w:tblW w:w="9371" w:type="dxa"/>
        <w:tblInd w:w="93" w:type="dxa"/>
        <w:tblLayout w:type="fixed"/>
        <w:tblLook w:val="04A0" w:firstRow="1" w:lastRow="0" w:firstColumn="1" w:lastColumn="0" w:noHBand="0" w:noVBand="1"/>
        <w:tblCaption w:val="Appendix 1 – Table 1: Premium rate adjustment factors (%)  "/>
        <w:tblDescription w:val="This table contains per cent values of the insured and self-insured sectors premium rate adjustment factors by Australian jurisdictions and New Zealand."/>
      </w:tblPr>
      <w:tblGrid>
        <w:gridCol w:w="3134"/>
        <w:gridCol w:w="1701"/>
        <w:gridCol w:w="1701"/>
        <w:gridCol w:w="1701"/>
        <w:gridCol w:w="1134"/>
      </w:tblGrid>
      <w:tr w:rsidR="000071CC" w:rsidRPr="000071CC" w14:paraId="358C6E1E" w14:textId="77777777" w:rsidTr="0050228A">
        <w:trPr>
          <w:cantSplit/>
          <w:trHeight w:val="319"/>
          <w:tblHeader/>
        </w:trPr>
        <w:tc>
          <w:tcPr>
            <w:tcW w:w="3134" w:type="dxa"/>
            <w:vMerge w:val="restart"/>
            <w:tcBorders>
              <w:top w:val="nil"/>
              <w:left w:val="single" w:sz="8" w:space="0" w:color="FFFFFF"/>
              <w:bottom w:val="single" w:sz="8" w:space="0" w:color="FFFFFF"/>
              <w:right w:val="single" w:sz="8" w:space="0" w:color="FFFFFF"/>
            </w:tcBorders>
            <w:shd w:val="clear" w:color="000000" w:fill="AF1E2D"/>
            <w:vAlign w:val="center"/>
            <w:hideMark/>
          </w:tcPr>
          <w:p w14:paraId="4A7C00F5"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Jurisdiction</w:t>
            </w:r>
          </w:p>
        </w:tc>
        <w:tc>
          <w:tcPr>
            <w:tcW w:w="5103" w:type="dxa"/>
            <w:gridSpan w:val="3"/>
            <w:tcBorders>
              <w:top w:val="nil"/>
              <w:left w:val="nil"/>
              <w:bottom w:val="single" w:sz="8" w:space="0" w:color="FFFFFF"/>
              <w:right w:val="single" w:sz="8" w:space="0" w:color="FFFFFF"/>
            </w:tcBorders>
            <w:shd w:val="clear" w:color="000000" w:fill="AF1E2D"/>
            <w:vAlign w:val="center"/>
            <w:hideMark/>
          </w:tcPr>
          <w:p w14:paraId="123DA2E7"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Employer excess factors</w:t>
            </w:r>
          </w:p>
        </w:tc>
        <w:tc>
          <w:tcPr>
            <w:tcW w:w="1134" w:type="dxa"/>
            <w:vMerge w:val="restart"/>
            <w:tcBorders>
              <w:top w:val="nil"/>
              <w:left w:val="single" w:sz="8" w:space="0" w:color="FFFFFF"/>
              <w:bottom w:val="single" w:sz="8" w:space="0" w:color="FFFFFF"/>
              <w:right w:val="single" w:sz="8" w:space="0" w:color="FFFFFF"/>
            </w:tcBorders>
            <w:shd w:val="clear" w:color="000000" w:fill="AF1E2D"/>
            <w:vAlign w:val="center"/>
            <w:hideMark/>
          </w:tcPr>
          <w:p w14:paraId="619F40F9" w14:textId="77777777" w:rsidR="000071CC" w:rsidRPr="000071CC" w:rsidRDefault="000071CC" w:rsidP="00701028">
            <w:pPr>
              <w:spacing w:before="0"/>
              <w:jc w:val="center"/>
              <w:rPr>
                <w:rFonts w:cs="Arial"/>
                <w:b/>
                <w:bCs/>
                <w:color w:val="FFFFFF"/>
                <w:sz w:val="18"/>
                <w:szCs w:val="18"/>
              </w:rPr>
            </w:pPr>
            <w:r w:rsidRPr="000071CC">
              <w:rPr>
                <w:rFonts w:cs="Arial"/>
                <w:b/>
                <w:bCs/>
                <w:color w:val="FFFFFF"/>
                <w:sz w:val="18"/>
                <w:szCs w:val="18"/>
              </w:rPr>
              <w:t>Journey</w:t>
            </w:r>
          </w:p>
        </w:tc>
      </w:tr>
      <w:tr w:rsidR="000071CC" w:rsidRPr="000071CC" w14:paraId="06718199" w14:textId="77777777" w:rsidTr="0050228A">
        <w:trPr>
          <w:trHeight w:val="319"/>
          <w:tblHeader/>
        </w:trPr>
        <w:tc>
          <w:tcPr>
            <w:tcW w:w="3134" w:type="dxa"/>
            <w:vMerge/>
            <w:tcBorders>
              <w:top w:val="nil"/>
              <w:left w:val="single" w:sz="8" w:space="0" w:color="FFFFFF"/>
              <w:bottom w:val="single" w:sz="8" w:space="0" w:color="FFFFFF"/>
              <w:right w:val="single" w:sz="8" w:space="0" w:color="FFFFFF"/>
            </w:tcBorders>
            <w:vAlign w:val="center"/>
            <w:hideMark/>
          </w:tcPr>
          <w:p w14:paraId="676950AF" w14:textId="77777777" w:rsidR="000071CC" w:rsidRPr="000071CC" w:rsidRDefault="000071CC" w:rsidP="000071CC">
            <w:pPr>
              <w:spacing w:before="0"/>
              <w:jc w:val="left"/>
              <w:rPr>
                <w:rFonts w:cs="Arial"/>
                <w:b/>
                <w:bCs/>
                <w:color w:val="FFFFFF"/>
                <w:sz w:val="18"/>
                <w:szCs w:val="18"/>
              </w:rPr>
            </w:pPr>
          </w:p>
        </w:tc>
        <w:tc>
          <w:tcPr>
            <w:tcW w:w="3402" w:type="dxa"/>
            <w:gridSpan w:val="2"/>
            <w:tcBorders>
              <w:top w:val="single" w:sz="8" w:space="0" w:color="FFFFFF"/>
              <w:left w:val="nil"/>
              <w:bottom w:val="single" w:sz="8" w:space="0" w:color="FFFFFF"/>
              <w:right w:val="single" w:sz="8" w:space="0" w:color="FFFFFF"/>
            </w:tcBorders>
            <w:shd w:val="clear" w:color="000000" w:fill="AF1E2D"/>
            <w:vAlign w:val="center"/>
            <w:hideMark/>
          </w:tcPr>
          <w:p w14:paraId="4E4936F8"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Insured sector</w:t>
            </w:r>
          </w:p>
        </w:tc>
        <w:tc>
          <w:tcPr>
            <w:tcW w:w="1701" w:type="dxa"/>
            <w:tcBorders>
              <w:top w:val="nil"/>
              <w:left w:val="nil"/>
              <w:bottom w:val="single" w:sz="8" w:space="0" w:color="FFFFFF"/>
              <w:right w:val="single" w:sz="8" w:space="0" w:color="FFFFFF"/>
            </w:tcBorders>
            <w:shd w:val="clear" w:color="000000" w:fill="AF1E2D"/>
            <w:vAlign w:val="center"/>
            <w:hideMark/>
          </w:tcPr>
          <w:p w14:paraId="69CEA96C" w14:textId="77777777" w:rsidR="000071CC" w:rsidRPr="000071CC" w:rsidRDefault="00BF6788" w:rsidP="000071CC">
            <w:pPr>
              <w:spacing w:before="0"/>
              <w:jc w:val="center"/>
              <w:rPr>
                <w:rFonts w:cs="Arial"/>
                <w:b/>
                <w:bCs/>
                <w:color w:val="FFFFFF"/>
                <w:sz w:val="18"/>
                <w:szCs w:val="18"/>
              </w:rPr>
            </w:pPr>
            <w:r>
              <w:rPr>
                <w:rFonts w:cs="Arial"/>
                <w:b/>
                <w:bCs/>
                <w:color w:val="FFFFFF"/>
                <w:sz w:val="18"/>
                <w:szCs w:val="18"/>
              </w:rPr>
              <w:t>Self-</w:t>
            </w:r>
            <w:r w:rsidR="000071CC" w:rsidRPr="000071CC">
              <w:rPr>
                <w:rFonts w:cs="Arial"/>
                <w:b/>
                <w:bCs/>
                <w:color w:val="FFFFFF"/>
                <w:sz w:val="18"/>
                <w:szCs w:val="18"/>
              </w:rPr>
              <w:t>insured</w:t>
            </w:r>
          </w:p>
        </w:tc>
        <w:tc>
          <w:tcPr>
            <w:tcW w:w="1134" w:type="dxa"/>
            <w:vMerge/>
            <w:tcBorders>
              <w:top w:val="nil"/>
              <w:left w:val="single" w:sz="8" w:space="0" w:color="FFFFFF"/>
              <w:bottom w:val="single" w:sz="8" w:space="0" w:color="FFFFFF"/>
              <w:right w:val="single" w:sz="8" w:space="0" w:color="FFFFFF"/>
            </w:tcBorders>
            <w:vAlign w:val="center"/>
            <w:hideMark/>
          </w:tcPr>
          <w:p w14:paraId="38469290" w14:textId="77777777" w:rsidR="000071CC" w:rsidRPr="000071CC" w:rsidRDefault="000071CC" w:rsidP="000071CC">
            <w:pPr>
              <w:spacing w:before="0"/>
              <w:jc w:val="left"/>
              <w:rPr>
                <w:rFonts w:cs="Arial"/>
                <w:b/>
                <w:bCs/>
                <w:color w:val="FFFFFF"/>
                <w:sz w:val="18"/>
                <w:szCs w:val="18"/>
              </w:rPr>
            </w:pPr>
          </w:p>
        </w:tc>
      </w:tr>
      <w:tr w:rsidR="000071CC" w:rsidRPr="000071CC" w14:paraId="13010785" w14:textId="77777777" w:rsidTr="0050228A">
        <w:trPr>
          <w:trHeight w:val="319"/>
          <w:tblHeader/>
        </w:trPr>
        <w:tc>
          <w:tcPr>
            <w:tcW w:w="3134" w:type="dxa"/>
            <w:vMerge/>
            <w:tcBorders>
              <w:top w:val="nil"/>
              <w:left w:val="single" w:sz="8" w:space="0" w:color="FFFFFF"/>
              <w:bottom w:val="single" w:sz="8" w:space="0" w:color="FFFFFF"/>
              <w:right w:val="single" w:sz="8" w:space="0" w:color="FFFFFF"/>
            </w:tcBorders>
            <w:vAlign w:val="center"/>
            <w:hideMark/>
          </w:tcPr>
          <w:p w14:paraId="4B85718B" w14:textId="77777777" w:rsidR="000071CC" w:rsidRPr="000071CC" w:rsidRDefault="000071CC" w:rsidP="000071CC">
            <w:pPr>
              <w:spacing w:before="0"/>
              <w:jc w:val="left"/>
              <w:rPr>
                <w:rFonts w:cs="Arial"/>
                <w:b/>
                <w:bCs/>
                <w:color w:val="FFFFFF"/>
                <w:sz w:val="18"/>
                <w:szCs w:val="18"/>
              </w:rPr>
            </w:pPr>
          </w:p>
        </w:tc>
        <w:tc>
          <w:tcPr>
            <w:tcW w:w="1701" w:type="dxa"/>
            <w:tcBorders>
              <w:top w:val="nil"/>
              <w:left w:val="nil"/>
              <w:bottom w:val="single" w:sz="8" w:space="0" w:color="FFFFFF"/>
              <w:right w:val="single" w:sz="8" w:space="0" w:color="FFFFFF"/>
            </w:tcBorders>
            <w:shd w:val="clear" w:color="000000" w:fill="AF1E2D"/>
            <w:vAlign w:val="center"/>
            <w:hideMark/>
          </w:tcPr>
          <w:p w14:paraId="5961CCB8"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Time lost excess</w:t>
            </w:r>
          </w:p>
        </w:tc>
        <w:tc>
          <w:tcPr>
            <w:tcW w:w="1701" w:type="dxa"/>
            <w:tcBorders>
              <w:top w:val="nil"/>
              <w:left w:val="nil"/>
              <w:bottom w:val="single" w:sz="8" w:space="0" w:color="FFFFFF"/>
              <w:right w:val="single" w:sz="8" w:space="0" w:color="FFFFFF"/>
            </w:tcBorders>
            <w:shd w:val="clear" w:color="000000" w:fill="AF1E2D"/>
            <w:vAlign w:val="center"/>
            <w:hideMark/>
          </w:tcPr>
          <w:p w14:paraId="17F785EA"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Medical expenses</w:t>
            </w:r>
          </w:p>
        </w:tc>
        <w:tc>
          <w:tcPr>
            <w:tcW w:w="1701" w:type="dxa"/>
            <w:tcBorders>
              <w:top w:val="nil"/>
              <w:left w:val="nil"/>
              <w:bottom w:val="single" w:sz="8" w:space="0" w:color="FFFFFF"/>
              <w:right w:val="single" w:sz="8" w:space="0" w:color="FFFFFF"/>
            </w:tcBorders>
            <w:shd w:val="clear" w:color="000000" w:fill="AF1E2D"/>
            <w:vAlign w:val="center"/>
            <w:hideMark/>
          </w:tcPr>
          <w:p w14:paraId="0DD91809"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Time lost excess</w:t>
            </w:r>
          </w:p>
        </w:tc>
        <w:tc>
          <w:tcPr>
            <w:tcW w:w="1134" w:type="dxa"/>
            <w:vMerge/>
            <w:tcBorders>
              <w:top w:val="nil"/>
              <w:left w:val="single" w:sz="8" w:space="0" w:color="FFFFFF"/>
              <w:bottom w:val="single" w:sz="8" w:space="0" w:color="FFFFFF"/>
              <w:right w:val="single" w:sz="8" w:space="0" w:color="FFFFFF"/>
            </w:tcBorders>
            <w:vAlign w:val="center"/>
            <w:hideMark/>
          </w:tcPr>
          <w:p w14:paraId="5C7BC352" w14:textId="77777777" w:rsidR="000071CC" w:rsidRPr="000071CC" w:rsidRDefault="000071CC" w:rsidP="000071CC">
            <w:pPr>
              <w:spacing w:before="0"/>
              <w:jc w:val="left"/>
              <w:rPr>
                <w:rFonts w:cs="Arial"/>
                <w:b/>
                <w:bCs/>
                <w:color w:val="FFFFFF"/>
                <w:sz w:val="18"/>
                <w:szCs w:val="18"/>
              </w:rPr>
            </w:pPr>
          </w:p>
        </w:tc>
      </w:tr>
      <w:tr w:rsidR="000071CC" w:rsidRPr="000071CC" w14:paraId="06246C8A"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298A2DEB"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New South Wales</w:t>
            </w:r>
          </w:p>
        </w:tc>
        <w:tc>
          <w:tcPr>
            <w:tcW w:w="1701" w:type="dxa"/>
            <w:tcBorders>
              <w:top w:val="nil"/>
              <w:left w:val="nil"/>
              <w:bottom w:val="single" w:sz="8" w:space="0" w:color="FFFFFF"/>
              <w:right w:val="single" w:sz="8" w:space="0" w:color="FFFFFF"/>
            </w:tcBorders>
            <w:shd w:val="clear" w:color="000000" w:fill="EFD3D2"/>
            <w:noWrap/>
            <w:vAlign w:val="center"/>
            <w:hideMark/>
          </w:tcPr>
          <w:p w14:paraId="3510577B" w14:textId="12B1634D" w:rsidR="000071CC" w:rsidRPr="000071CC" w:rsidRDefault="008D4D84" w:rsidP="000071CC">
            <w:pPr>
              <w:spacing w:before="0"/>
              <w:jc w:val="right"/>
              <w:rPr>
                <w:rFonts w:cs="Arial"/>
                <w:color w:val="000000"/>
                <w:sz w:val="18"/>
                <w:szCs w:val="18"/>
              </w:rPr>
            </w:pPr>
            <w:r>
              <w:rPr>
                <w:rFonts w:cs="Arial"/>
                <w:color w:val="000000"/>
                <w:sz w:val="18"/>
                <w:szCs w:val="18"/>
              </w:rPr>
              <w:t>-2.1</w:t>
            </w:r>
          </w:p>
        </w:tc>
        <w:tc>
          <w:tcPr>
            <w:tcW w:w="1701" w:type="dxa"/>
            <w:tcBorders>
              <w:top w:val="nil"/>
              <w:left w:val="nil"/>
              <w:bottom w:val="single" w:sz="8" w:space="0" w:color="FFFFFF"/>
              <w:right w:val="single" w:sz="8" w:space="0" w:color="FFFFFF"/>
            </w:tcBorders>
            <w:shd w:val="clear" w:color="000000" w:fill="EFD3D2"/>
            <w:noWrap/>
            <w:vAlign w:val="center"/>
            <w:hideMark/>
          </w:tcPr>
          <w:p w14:paraId="4EF8CB9F"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39A8669B" w14:textId="3A3B4815"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3.5</w:t>
            </w:r>
          </w:p>
        </w:tc>
        <w:tc>
          <w:tcPr>
            <w:tcW w:w="1134" w:type="dxa"/>
            <w:tcBorders>
              <w:top w:val="nil"/>
              <w:left w:val="nil"/>
              <w:bottom w:val="single" w:sz="8" w:space="0" w:color="FFFFFF"/>
              <w:right w:val="single" w:sz="8" w:space="0" w:color="FFFFFF"/>
            </w:tcBorders>
            <w:shd w:val="clear" w:color="000000" w:fill="EFD3D2"/>
            <w:vAlign w:val="center"/>
            <w:hideMark/>
          </w:tcPr>
          <w:p w14:paraId="0C752BF7"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171B3174"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649A63"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Victoria</w:t>
            </w:r>
          </w:p>
        </w:tc>
        <w:tc>
          <w:tcPr>
            <w:tcW w:w="1701" w:type="dxa"/>
            <w:tcBorders>
              <w:top w:val="nil"/>
              <w:left w:val="nil"/>
              <w:bottom w:val="single" w:sz="8" w:space="0" w:color="FFFFFF"/>
              <w:right w:val="single" w:sz="8" w:space="0" w:color="FFFFFF"/>
            </w:tcBorders>
            <w:shd w:val="clear" w:color="auto" w:fill="auto"/>
            <w:noWrap/>
            <w:vAlign w:val="center"/>
            <w:hideMark/>
          </w:tcPr>
          <w:p w14:paraId="3483A0E8"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2.0</w:t>
            </w:r>
          </w:p>
        </w:tc>
        <w:tc>
          <w:tcPr>
            <w:tcW w:w="1701" w:type="dxa"/>
            <w:tcBorders>
              <w:top w:val="nil"/>
              <w:left w:val="nil"/>
              <w:bottom w:val="single" w:sz="8" w:space="0" w:color="FFFFFF"/>
              <w:right w:val="single" w:sz="8" w:space="0" w:color="FFFFFF"/>
            </w:tcBorders>
            <w:shd w:val="clear" w:color="auto" w:fill="auto"/>
            <w:noWrap/>
            <w:vAlign w:val="center"/>
            <w:hideMark/>
          </w:tcPr>
          <w:p w14:paraId="38C0AF0F" w14:textId="0F490F92" w:rsidR="000071CC" w:rsidRPr="000071CC" w:rsidRDefault="008D4D84" w:rsidP="000071CC">
            <w:pPr>
              <w:spacing w:before="0"/>
              <w:jc w:val="right"/>
              <w:rPr>
                <w:rFonts w:cs="Arial"/>
                <w:color w:val="000000"/>
                <w:sz w:val="18"/>
                <w:szCs w:val="18"/>
              </w:rPr>
            </w:pPr>
            <w:r>
              <w:rPr>
                <w:rFonts w:cs="Arial"/>
                <w:color w:val="000000"/>
                <w:sz w:val="18"/>
                <w:szCs w:val="18"/>
              </w:rPr>
              <w:t>0.8</w:t>
            </w:r>
          </w:p>
        </w:tc>
        <w:tc>
          <w:tcPr>
            <w:tcW w:w="1701" w:type="dxa"/>
            <w:tcBorders>
              <w:top w:val="nil"/>
              <w:left w:val="nil"/>
              <w:bottom w:val="single" w:sz="8" w:space="0" w:color="FFFFFF"/>
              <w:right w:val="single" w:sz="8" w:space="0" w:color="FFFFFF"/>
            </w:tcBorders>
            <w:shd w:val="clear" w:color="auto" w:fill="auto"/>
            <w:noWrap/>
            <w:vAlign w:val="center"/>
            <w:hideMark/>
          </w:tcPr>
          <w:p w14:paraId="5308B6ED" w14:textId="00E70186"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2.5</w:t>
            </w:r>
          </w:p>
        </w:tc>
        <w:tc>
          <w:tcPr>
            <w:tcW w:w="1134" w:type="dxa"/>
            <w:tcBorders>
              <w:top w:val="nil"/>
              <w:left w:val="nil"/>
              <w:bottom w:val="single" w:sz="8" w:space="0" w:color="FFFFFF"/>
              <w:right w:val="single" w:sz="8" w:space="0" w:color="FFFFFF"/>
            </w:tcBorders>
            <w:shd w:val="clear" w:color="auto" w:fill="auto"/>
            <w:vAlign w:val="center"/>
            <w:hideMark/>
          </w:tcPr>
          <w:p w14:paraId="105E9232"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571F0641"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0944E5D8"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Queensland</w:t>
            </w:r>
          </w:p>
        </w:tc>
        <w:tc>
          <w:tcPr>
            <w:tcW w:w="1701" w:type="dxa"/>
            <w:tcBorders>
              <w:top w:val="nil"/>
              <w:left w:val="nil"/>
              <w:bottom w:val="single" w:sz="8" w:space="0" w:color="FFFFFF"/>
              <w:right w:val="single" w:sz="8" w:space="0" w:color="FFFFFF"/>
            </w:tcBorders>
            <w:shd w:val="clear" w:color="000000" w:fill="EFD3D2"/>
            <w:noWrap/>
            <w:vAlign w:val="center"/>
            <w:hideMark/>
          </w:tcPr>
          <w:p w14:paraId="3332338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27EEEA3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139C9168"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000000" w:fill="EFD3D2"/>
            <w:vAlign w:val="center"/>
            <w:hideMark/>
          </w:tcPr>
          <w:p w14:paraId="7883108E" w14:textId="390F88D3" w:rsidR="000071CC" w:rsidRPr="000071CC" w:rsidRDefault="000071CC" w:rsidP="000071CC">
            <w:pPr>
              <w:spacing w:before="0"/>
              <w:jc w:val="right"/>
              <w:rPr>
                <w:rFonts w:cs="Arial"/>
                <w:color w:val="000000"/>
                <w:sz w:val="18"/>
                <w:szCs w:val="18"/>
              </w:rPr>
            </w:pPr>
            <w:r w:rsidRPr="000071CC">
              <w:rPr>
                <w:rFonts w:cs="Arial"/>
                <w:color w:val="000000"/>
                <w:sz w:val="18"/>
                <w:szCs w:val="18"/>
              </w:rPr>
              <w:t>-6.</w:t>
            </w:r>
            <w:r w:rsidR="00407A1B">
              <w:rPr>
                <w:rFonts w:cs="Arial"/>
                <w:color w:val="000000"/>
                <w:sz w:val="18"/>
                <w:szCs w:val="18"/>
              </w:rPr>
              <w:t>8</w:t>
            </w:r>
          </w:p>
        </w:tc>
      </w:tr>
      <w:tr w:rsidR="000071CC" w:rsidRPr="000071CC" w14:paraId="0C9119BD"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5C3FD064"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Western Australia</w:t>
            </w:r>
          </w:p>
        </w:tc>
        <w:tc>
          <w:tcPr>
            <w:tcW w:w="1701" w:type="dxa"/>
            <w:tcBorders>
              <w:top w:val="nil"/>
              <w:left w:val="nil"/>
              <w:bottom w:val="single" w:sz="8" w:space="0" w:color="FFFFFF"/>
              <w:right w:val="single" w:sz="8" w:space="0" w:color="FFFFFF"/>
            </w:tcBorders>
            <w:shd w:val="clear" w:color="auto" w:fill="auto"/>
            <w:noWrap/>
            <w:vAlign w:val="center"/>
            <w:hideMark/>
          </w:tcPr>
          <w:p w14:paraId="172A71EF" w14:textId="07CD33A1"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3.</w:t>
            </w:r>
            <w:r w:rsidR="005A70B1">
              <w:rPr>
                <w:rFonts w:cs="Arial"/>
                <w:color w:val="000000"/>
                <w:sz w:val="18"/>
                <w:szCs w:val="18"/>
              </w:rPr>
              <w:t>3</w:t>
            </w:r>
          </w:p>
        </w:tc>
        <w:tc>
          <w:tcPr>
            <w:tcW w:w="1701" w:type="dxa"/>
            <w:tcBorders>
              <w:top w:val="nil"/>
              <w:left w:val="nil"/>
              <w:bottom w:val="single" w:sz="8" w:space="0" w:color="FFFFFF"/>
              <w:right w:val="single" w:sz="8" w:space="0" w:color="FFFFFF"/>
            </w:tcBorders>
            <w:shd w:val="clear" w:color="auto" w:fill="auto"/>
            <w:noWrap/>
            <w:vAlign w:val="center"/>
            <w:hideMark/>
          </w:tcPr>
          <w:p w14:paraId="52619CFD"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05D07479"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auto" w:fill="auto"/>
            <w:vAlign w:val="center"/>
            <w:hideMark/>
          </w:tcPr>
          <w:p w14:paraId="29110247"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0D079984"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35952720"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South Australia</w:t>
            </w:r>
          </w:p>
        </w:tc>
        <w:tc>
          <w:tcPr>
            <w:tcW w:w="1701" w:type="dxa"/>
            <w:tcBorders>
              <w:top w:val="nil"/>
              <w:left w:val="nil"/>
              <w:bottom w:val="single" w:sz="8" w:space="0" w:color="FFFFFF"/>
              <w:right w:val="single" w:sz="8" w:space="0" w:color="FFFFFF"/>
            </w:tcBorders>
            <w:shd w:val="clear" w:color="000000" w:fill="EFD3D2"/>
            <w:noWrap/>
            <w:vAlign w:val="center"/>
            <w:hideMark/>
          </w:tcPr>
          <w:p w14:paraId="360ACAB2" w14:textId="32827C6C" w:rsidR="000071CC" w:rsidRPr="000071CC" w:rsidRDefault="008D4D84" w:rsidP="000071CC">
            <w:pPr>
              <w:spacing w:before="0"/>
              <w:jc w:val="right"/>
              <w:rPr>
                <w:rFonts w:cs="Arial"/>
                <w:color w:val="000000"/>
                <w:sz w:val="18"/>
                <w:szCs w:val="18"/>
              </w:rPr>
            </w:pPr>
            <w:r>
              <w:rPr>
                <w:rFonts w:cs="Arial"/>
                <w:color w:val="000000"/>
                <w:sz w:val="18"/>
                <w:szCs w:val="18"/>
              </w:rPr>
              <w:t>-2.5</w:t>
            </w:r>
          </w:p>
        </w:tc>
        <w:tc>
          <w:tcPr>
            <w:tcW w:w="1701" w:type="dxa"/>
            <w:tcBorders>
              <w:top w:val="nil"/>
              <w:left w:val="nil"/>
              <w:bottom w:val="single" w:sz="8" w:space="0" w:color="FFFFFF"/>
              <w:right w:val="single" w:sz="8" w:space="0" w:color="FFFFFF"/>
            </w:tcBorders>
            <w:shd w:val="clear" w:color="000000" w:fill="EFD3D2"/>
            <w:noWrap/>
            <w:vAlign w:val="center"/>
            <w:hideMark/>
          </w:tcPr>
          <w:p w14:paraId="570EE0DC"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70D53BB9" w14:textId="01A3A5D0" w:rsidR="000071CC" w:rsidRPr="000071CC" w:rsidRDefault="000071CC" w:rsidP="000071CC">
            <w:pPr>
              <w:spacing w:before="0"/>
              <w:jc w:val="right"/>
              <w:rPr>
                <w:rFonts w:cs="Arial"/>
                <w:color w:val="000000"/>
                <w:sz w:val="18"/>
                <w:szCs w:val="18"/>
              </w:rPr>
            </w:pPr>
            <w:r w:rsidRPr="000071CC">
              <w:rPr>
                <w:rFonts w:cs="Arial"/>
                <w:color w:val="000000"/>
                <w:sz w:val="18"/>
                <w:szCs w:val="18"/>
              </w:rPr>
              <w:t>-3.</w:t>
            </w:r>
            <w:r w:rsidR="00F5236B">
              <w:rPr>
                <w:rFonts w:cs="Arial"/>
                <w:color w:val="000000"/>
                <w:sz w:val="18"/>
                <w:szCs w:val="18"/>
              </w:rPr>
              <w:t>8</w:t>
            </w:r>
          </w:p>
        </w:tc>
        <w:tc>
          <w:tcPr>
            <w:tcW w:w="1134" w:type="dxa"/>
            <w:tcBorders>
              <w:top w:val="nil"/>
              <w:left w:val="nil"/>
              <w:bottom w:val="single" w:sz="8" w:space="0" w:color="FFFFFF"/>
              <w:right w:val="single" w:sz="8" w:space="0" w:color="FFFFFF"/>
            </w:tcBorders>
            <w:shd w:val="clear" w:color="000000" w:fill="EFD3D2"/>
            <w:vAlign w:val="center"/>
            <w:hideMark/>
          </w:tcPr>
          <w:p w14:paraId="3F612650"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568B0B87"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7799173F"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Tasmania</w:t>
            </w:r>
          </w:p>
        </w:tc>
        <w:tc>
          <w:tcPr>
            <w:tcW w:w="1701" w:type="dxa"/>
            <w:tcBorders>
              <w:top w:val="nil"/>
              <w:left w:val="nil"/>
              <w:bottom w:val="single" w:sz="8" w:space="0" w:color="FFFFFF"/>
              <w:right w:val="single" w:sz="8" w:space="0" w:color="FFFFFF"/>
            </w:tcBorders>
            <w:shd w:val="clear" w:color="auto" w:fill="auto"/>
            <w:noWrap/>
            <w:vAlign w:val="center"/>
            <w:hideMark/>
          </w:tcPr>
          <w:p w14:paraId="471DB1DD" w14:textId="449B3AF7" w:rsidR="000071CC" w:rsidRPr="000071CC" w:rsidRDefault="008D4D84" w:rsidP="000071CC">
            <w:pPr>
              <w:spacing w:before="0"/>
              <w:jc w:val="right"/>
              <w:rPr>
                <w:rFonts w:cs="Arial"/>
                <w:color w:val="000000"/>
                <w:sz w:val="18"/>
                <w:szCs w:val="18"/>
              </w:rPr>
            </w:pPr>
            <w:r>
              <w:rPr>
                <w:rFonts w:cs="Arial"/>
                <w:color w:val="000000"/>
                <w:sz w:val="18"/>
                <w:szCs w:val="18"/>
              </w:rPr>
              <w:t>-2.8</w:t>
            </w:r>
          </w:p>
        </w:tc>
        <w:tc>
          <w:tcPr>
            <w:tcW w:w="1701" w:type="dxa"/>
            <w:tcBorders>
              <w:top w:val="nil"/>
              <w:left w:val="nil"/>
              <w:bottom w:val="single" w:sz="8" w:space="0" w:color="FFFFFF"/>
              <w:right w:val="single" w:sz="8" w:space="0" w:color="FFFFFF"/>
            </w:tcBorders>
            <w:shd w:val="clear" w:color="auto" w:fill="auto"/>
            <w:noWrap/>
            <w:vAlign w:val="center"/>
            <w:hideMark/>
          </w:tcPr>
          <w:p w14:paraId="593D4D5D" w14:textId="5D2CA432" w:rsidR="000071CC" w:rsidRPr="000071CC" w:rsidRDefault="005C64D3" w:rsidP="000071CC">
            <w:pPr>
              <w:spacing w:before="0"/>
              <w:jc w:val="right"/>
              <w:rPr>
                <w:rFonts w:cs="Arial"/>
                <w:color w:val="000000"/>
                <w:sz w:val="18"/>
                <w:szCs w:val="18"/>
              </w:rPr>
            </w:pPr>
            <w:r>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1FCDE01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-2.5</w:t>
            </w:r>
          </w:p>
        </w:tc>
        <w:tc>
          <w:tcPr>
            <w:tcW w:w="1134" w:type="dxa"/>
            <w:tcBorders>
              <w:top w:val="nil"/>
              <w:left w:val="nil"/>
              <w:bottom w:val="single" w:sz="8" w:space="0" w:color="FFFFFF"/>
              <w:right w:val="single" w:sz="8" w:space="0" w:color="FFFFFF"/>
            </w:tcBorders>
            <w:shd w:val="clear" w:color="auto" w:fill="auto"/>
            <w:vAlign w:val="center"/>
            <w:hideMark/>
          </w:tcPr>
          <w:p w14:paraId="3819F2F9"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7AEBB156"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2F46286A"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Northern Territory</w:t>
            </w:r>
          </w:p>
        </w:tc>
        <w:tc>
          <w:tcPr>
            <w:tcW w:w="1701" w:type="dxa"/>
            <w:tcBorders>
              <w:top w:val="nil"/>
              <w:left w:val="nil"/>
              <w:bottom w:val="single" w:sz="8" w:space="0" w:color="FFFFFF"/>
              <w:right w:val="single" w:sz="8" w:space="0" w:color="FFFFFF"/>
            </w:tcBorders>
            <w:shd w:val="clear" w:color="000000" w:fill="EFD3D2"/>
            <w:noWrap/>
            <w:vAlign w:val="center"/>
            <w:hideMark/>
          </w:tcPr>
          <w:p w14:paraId="31893357" w14:textId="1F7034D8"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1.8</w:t>
            </w:r>
          </w:p>
        </w:tc>
        <w:tc>
          <w:tcPr>
            <w:tcW w:w="1701" w:type="dxa"/>
            <w:tcBorders>
              <w:top w:val="nil"/>
              <w:left w:val="nil"/>
              <w:bottom w:val="single" w:sz="8" w:space="0" w:color="FFFFFF"/>
              <w:right w:val="single" w:sz="8" w:space="0" w:color="FFFFFF"/>
            </w:tcBorders>
            <w:shd w:val="clear" w:color="000000" w:fill="EFD3D2"/>
            <w:noWrap/>
            <w:vAlign w:val="center"/>
            <w:hideMark/>
          </w:tcPr>
          <w:p w14:paraId="7783595C"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0508069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000000" w:fill="EFD3D2"/>
            <w:vAlign w:val="center"/>
            <w:hideMark/>
          </w:tcPr>
          <w:p w14:paraId="1FF0FB76" w14:textId="44412636" w:rsidR="000071CC" w:rsidRPr="000071CC" w:rsidRDefault="00774F12" w:rsidP="000071CC">
            <w:pPr>
              <w:spacing w:before="0"/>
              <w:jc w:val="right"/>
              <w:rPr>
                <w:rFonts w:cs="Arial"/>
                <w:color w:val="000000"/>
                <w:sz w:val="18"/>
                <w:szCs w:val="18"/>
              </w:rPr>
            </w:pPr>
            <w:r>
              <w:rPr>
                <w:rFonts w:cs="Arial"/>
                <w:color w:val="000000"/>
                <w:sz w:val="18"/>
                <w:szCs w:val="18"/>
              </w:rPr>
              <w:t>n/a</w:t>
            </w:r>
          </w:p>
        </w:tc>
      </w:tr>
      <w:tr w:rsidR="000071CC" w:rsidRPr="000071CC" w14:paraId="07E1132A"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FF176B" w14:textId="7B30A8EE" w:rsidR="000071CC" w:rsidRPr="000071CC" w:rsidRDefault="000071CC" w:rsidP="000071CC">
            <w:pPr>
              <w:spacing w:before="0"/>
              <w:jc w:val="left"/>
              <w:rPr>
                <w:rFonts w:cs="Arial"/>
                <w:color w:val="000000"/>
                <w:sz w:val="18"/>
                <w:szCs w:val="18"/>
              </w:rPr>
            </w:pPr>
            <w:r w:rsidRPr="000071CC">
              <w:rPr>
                <w:rFonts w:cs="Arial"/>
                <w:color w:val="000000"/>
                <w:sz w:val="18"/>
                <w:szCs w:val="16"/>
              </w:rPr>
              <w:t xml:space="preserve">Australian Capital Territory </w:t>
            </w:r>
            <w:r w:rsidR="00051D24">
              <w:rPr>
                <w:rFonts w:cs="Arial"/>
                <w:color w:val="000000"/>
                <w:sz w:val="18"/>
                <w:szCs w:val="16"/>
              </w:rPr>
              <w:t>(</w:t>
            </w:r>
            <w:r w:rsidRPr="000071CC">
              <w:rPr>
                <w:rFonts w:cs="Arial"/>
                <w:color w:val="000000"/>
                <w:sz w:val="18"/>
                <w:szCs w:val="16"/>
              </w:rPr>
              <w:t>Private</w:t>
            </w:r>
            <w:r w:rsidR="00051D24">
              <w:rPr>
                <w:rFonts w:cs="Arial"/>
                <w:color w:val="000000"/>
                <w:sz w:val="18"/>
                <w:szCs w:val="16"/>
              </w:rPr>
              <w:t>)</w:t>
            </w:r>
          </w:p>
        </w:tc>
        <w:tc>
          <w:tcPr>
            <w:tcW w:w="1701" w:type="dxa"/>
            <w:tcBorders>
              <w:top w:val="nil"/>
              <w:left w:val="nil"/>
              <w:bottom w:val="single" w:sz="8" w:space="0" w:color="FFFFFF"/>
              <w:right w:val="single" w:sz="8" w:space="0" w:color="FFFFFF"/>
            </w:tcBorders>
            <w:shd w:val="clear" w:color="auto" w:fill="auto"/>
            <w:noWrap/>
            <w:vAlign w:val="center"/>
            <w:hideMark/>
          </w:tcPr>
          <w:p w14:paraId="5B32425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-1.8</w:t>
            </w:r>
          </w:p>
        </w:tc>
        <w:tc>
          <w:tcPr>
            <w:tcW w:w="1701" w:type="dxa"/>
            <w:tcBorders>
              <w:top w:val="nil"/>
              <w:left w:val="nil"/>
              <w:bottom w:val="single" w:sz="8" w:space="0" w:color="FFFFFF"/>
              <w:right w:val="single" w:sz="8" w:space="0" w:color="FFFFFF"/>
            </w:tcBorders>
            <w:shd w:val="clear" w:color="auto" w:fill="auto"/>
            <w:noWrap/>
            <w:vAlign w:val="center"/>
            <w:hideMark/>
          </w:tcPr>
          <w:p w14:paraId="322878C6"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55AE03FE"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auto" w:fill="auto"/>
            <w:vAlign w:val="center"/>
            <w:hideMark/>
          </w:tcPr>
          <w:p w14:paraId="0FDC0CBB" w14:textId="217C41BA"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6.</w:t>
            </w:r>
            <w:r w:rsidR="00774F12">
              <w:rPr>
                <w:rFonts w:cs="Arial"/>
                <w:color w:val="000000"/>
                <w:sz w:val="18"/>
                <w:szCs w:val="18"/>
              </w:rPr>
              <w:t>8</w:t>
            </w:r>
          </w:p>
        </w:tc>
      </w:tr>
      <w:tr w:rsidR="000071CC" w:rsidRPr="000071CC" w14:paraId="3151EADE"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60A8F2B2" w14:textId="77777777" w:rsidR="000071CC" w:rsidRPr="000071CC" w:rsidRDefault="007F642E" w:rsidP="000071CC">
            <w:pPr>
              <w:spacing w:before="0"/>
              <w:jc w:val="left"/>
              <w:rPr>
                <w:rFonts w:cs="Arial"/>
                <w:color w:val="000000"/>
                <w:sz w:val="18"/>
                <w:szCs w:val="18"/>
              </w:rPr>
            </w:pPr>
            <w:r>
              <w:rPr>
                <w:rFonts w:cs="Arial"/>
                <w:color w:val="000000"/>
                <w:sz w:val="18"/>
                <w:szCs w:val="16"/>
              </w:rPr>
              <w:t>Comcare</w:t>
            </w:r>
          </w:p>
        </w:tc>
        <w:tc>
          <w:tcPr>
            <w:tcW w:w="1701" w:type="dxa"/>
            <w:tcBorders>
              <w:top w:val="nil"/>
              <w:left w:val="nil"/>
              <w:bottom w:val="single" w:sz="8" w:space="0" w:color="FFFFFF"/>
              <w:right w:val="single" w:sz="8" w:space="0" w:color="FFFFFF"/>
            </w:tcBorders>
            <w:shd w:val="clear" w:color="000000" w:fill="EFD3D2"/>
            <w:noWrap/>
            <w:vAlign w:val="center"/>
            <w:hideMark/>
          </w:tcPr>
          <w:p w14:paraId="4C737898" w14:textId="7FC651B9"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2.0</w:t>
            </w:r>
          </w:p>
        </w:tc>
        <w:tc>
          <w:tcPr>
            <w:tcW w:w="1701" w:type="dxa"/>
            <w:tcBorders>
              <w:top w:val="nil"/>
              <w:left w:val="nil"/>
              <w:bottom w:val="single" w:sz="8" w:space="0" w:color="FFFFFF"/>
              <w:right w:val="single" w:sz="8" w:space="0" w:color="FFFFFF"/>
            </w:tcBorders>
            <w:shd w:val="clear" w:color="000000" w:fill="EFD3D2"/>
            <w:noWrap/>
            <w:vAlign w:val="center"/>
            <w:hideMark/>
          </w:tcPr>
          <w:p w14:paraId="04E64892"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117ACB5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-4.5</w:t>
            </w:r>
          </w:p>
        </w:tc>
        <w:tc>
          <w:tcPr>
            <w:tcW w:w="1134" w:type="dxa"/>
            <w:tcBorders>
              <w:top w:val="nil"/>
              <w:left w:val="nil"/>
              <w:bottom w:val="single" w:sz="8" w:space="0" w:color="FFFFFF"/>
              <w:right w:val="single" w:sz="8" w:space="0" w:color="FFFFFF"/>
            </w:tcBorders>
            <w:shd w:val="clear" w:color="000000" w:fill="EFD3D2"/>
            <w:vAlign w:val="center"/>
            <w:hideMark/>
          </w:tcPr>
          <w:p w14:paraId="2ED80C05"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6C9B4FB7"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2EAC1254"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Seacare</w:t>
            </w:r>
          </w:p>
        </w:tc>
        <w:tc>
          <w:tcPr>
            <w:tcW w:w="5103" w:type="dxa"/>
            <w:gridSpan w:val="3"/>
            <w:tcBorders>
              <w:top w:val="single" w:sz="8" w:space="0" w:color="FFFFFF"/>
              <w:left w:val="nil"/>
              <w:bottom w:val="single" w:sz="8" w:space="0" w:color="FFFFFF"/>
              <w:right w:val="single" w:sz="8" w:space="0" w:color="FFFFFF"/>
            </w:tcBorders>
            <w:shd w:val="clear" w:color="auto" w:fill="auto"/>
            <w:noWrap/>
            <w:vAlign w:val="center"/>
            <w:hideMark/>
          </w:tcPr>
          <w:p w14:paraId="1A47E587" w14:textId="77777777" w:rsidR="000071CC" w:rsidRPr="000071CC" w:rsidRDefault="000071CC" w:rsidP="000071CC">
            <w:pPr>
              <w:spacing w:before="0"/>
              <w:jc w:val="center"/>
              <w:rPr>
                <w:rFonts w:cs="Arial"/>
                <w:color w:val="000000"/>
                <w:sz w:val="18"/>
                <w:szCs w:val="18"/>
              </w:rPr>
            </w:pPr>
            <w:r w:rsidRPr="000071CC">
              <w:rPr>
                <w:rFonts w:cs="Arial"/>
                <w:color w:val="000000"/>
                <w:sz w:val="18"/>
                <w:szCs w:val="18"/>
              </w:rPr>
              <w:t>Excess adjustment factors reviewed annually</w:t>
            </w:r>
          </w:p>
        </w:tc>
        <w:tc>
          <w:tcPr>
            <w:tcW w:w="1134" w:type="dxa"/>
            <w:tcBorders>
              <w:top w:val="nil"/>
              <w:left w:val="nil"/>
              <w:bottom w:val="single" w:sz="8" w:space="0" w:color="FFFFFF"/>
              <w:right w:val="single" w:sz="8" w:space="0" w:color="FFFFFF"/>
            </w:tcBorders>
            <w:shd w:val="clear" w:color="auto" w:fill="auto"/>
            <w:vAlign w:val="center"/>
            <w:hideMark/>
          </w:tcPr>
          <w:p w14:paraId="533D2AAF"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-6.0</w:t>
            </w:r>
          </w:p>
        </w:tc>
      </w:tr>
      <w:tr w:rsidR="000071CC" w:rsidRPr="000071CC" w14:paraId="578F2299"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1D4E1F03"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New Zealand</w:t>
            </w:r>
          </w:p>
        </w:tc>
        <w:tc>
          <w:tcPr>
            <w:tcW w:w="1701" w:type="dxa"/>
            <w:tcBorders>
              <w:top w:val="nil"/>
              <w:left w:val="nil"/>
              <w:bottom w:val="single" w:sz="8" w:space="0" w:color="FFFFFF"/>
              <w:right w:val="single" w:sz="8" w:space="0" w:color="FFFFFF"/>
            </w:tcBorders>
            <w:shd w:val="clear" w:color="000000" w:fill="EFD3D2"/>
            <w:noWrap/>
            <w:vAlign w:val="center"/>
            <w:hideMark/>
          </w:tcPr>
          <w:p w14:paraId="59086F8F"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33ACA701"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018F93F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000000" w:fill="EFD3D2"/>
            <w:vAlign w:val="center"/>
            <w:hideMark/>
          </w:tcPr>
          <w:p w14:paraId="7C2CA3A6" w14:textId="04211D2B"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6.</w:t>
            </w:r>
            <w:r w:rsidR="0012779C">
              <w:rPr>
                <w:rFonts w:cs="Arial"/>
                <w:color w:val="000000"/>
                <w:sz w:val="18"/>
                <w:szCs w:val="18"/>
              </w:rPr>
              <w:t>8</w:t>
            </w:r>
          </w:p>
        </w:tc>
      </w:tr>
    </w:tbl>
    <w:p w14:paraId="292F2060" w14:textId="77777777" w:rsidR="00CE00EC" w:rsidRDefault="00CE00EC" w:rsidP="000F6210">
      <w:pPr>
        <w:pStyle w:val="Heading2"/>
        <w:rPr>
          <w:color w:val="D27B08"/>
        </w:rPr>
      </w:pPr>
      <w:bookmarkStart w:id="88" w:name="_Toc80289698"/>
      <w:r>
        <w:t>Seacare scheme</w:t>
      </w:r>
      <w:bookmarkEnd w:id="88"/>
    </w:p>
    <w:p w14:paraId="0FF9BFB8" w14:textId="77777777" w:rsidR="00CE00EC" w:rsidRDefault="00CE00EC" w:rsidP="00F9415A">
      <w:pPr>
        <w:pStyle w:val="BodyJustified"/>
      </w:pPr>
      <w:r>
        <w:t>Seacare scheme policies often include large excesses, ranging from $5</w:t>
      </w:r>
      <w:r w:rsidR="00701028">
        <w:t>,000 to $100,</w:t>
      </w:r>
      <w:r>
        <w:t xml:space="preserve">000, representing approximately three weeks to more than 12 months </w:t>
      </w:r>
      <w:r w:rsidRPr="00F81FA0">
        <w:t>compensation</w:t>
      </w:r>
      <w:r>
        <w:t>, with the majority of policies containing excesses in the $5</w:t>
      </w:r>
      <w:r w:rsidR="00701028">
        <w:t>,000 to $25,</w:t>
      </w:r>
      <w:r>
        <w:t xml:space="preserve">000 range. An adjustment factor has been developed to take into account the large and variable deductible. </w:t>
      </w:r>
    </w:p>
    <w:p w14:paraId="7B3CBC33" w14:textId="1796C1CF" w:rsidR="00CE00EC" w:rsidRDefault="00CE00EC" w:rsidP="000F6210">
      <w:pPr>
        <w:pStyle w:val="Heading2"/>
      </w:pPr>
      <w:bookmarkStart w:id="89" w:name="_Toc80289699"/>
      <w:r>
        <w:t>Effect of adjustment factors on premium rates</w:t>
      </w:r>
      <w:bookmarkEnd w:id="89"/>
    </w:p>
    <w:p w14:paraId="640CDFDE" w14:textId="77777777" w:rsidR="00CE00EC" w:rsidRDefault="00CE00EC" w:rsidP="00F9415A">
      <w:pPr>
        <w:pStyle w:val="BodyJustified"/>
      </w:pPr>
      <w:r>
        <w:t xml:space="preserve">Appendix 1 – Table </w:t>
      </w:r>
      <w:r w:rsidR="009B71AF">
        <w:t>2</w:t>
      </w:r>
      <w:r>
        <w:t xml:space="preserve"> presents average premium rates with various adjustments to assist comparability. Each column in this table represents progressively adjusted premium rates as follows:</w:t>
      </w:r>
    </w:p>
    <w:p w14:paraId="5CF544DA" w14:textId="77777777" w:rsidR="00CE00EC" w:rsidRDefault="00CE00EC" w:rsidP="00CE00EC">
      <w:pPr>
        <w:pStyle w:val="BodyTextindented"/>
      </w:pPr>
      <w:r>
        <w:t xml:space="preserve">Column 1 – These data are average premium rates for insured employers only, calculated using the definition of remuneration as used by that jurisdiction, i.e. superannuation included where applicable. GST was excluded in all cases. Rates are applicable to the employer and medical excesses that apply in each jurisdiction and should not be compared. </w:t>
      </w:r>
    </w:p>
    <w:p w14:paraId="485F4D0A" w14:textId="77777777" w:rsidR="00CE00EC" w:rsidRDefault="00CE00EC" w:rsidP="00CE00EC">
      <w:pPr>
        <w:pStyle w:val="BodyTextindented"/>
      </w:pPr>
      <w:r>
        <w:t>Column 2 – These rates are average premium rates for the insured sector adjusted to include superannuation in the definition of remuneration. Estimates of superannuation were applied to Western Australia, Tasmania and the Northern Territory. All other jurisdictions were able to provide appropriate data. Data for New Zealand were also adjusted to include superannuation.</w:t>
      </w:r>
    </w:p>
    <w:p w14:paraId="0B1B5D6A" w14:textId="77777777" w:rsidR="00CE00EC" w:rsidRDefault="00CE00EC" w:rsidP="00CE00EC">
      <w:pPr>
        <w:pStyle w:val="BodyTextindented"/>
      </w:pPr>
      <w:r>
        <w:t xml:space="preserve">Column 3 – These rates are the average premium rates for each jurisdiction including both the insured and self-insured sectors before any adjustment factors are applied. </w:t>
      </w:r>
    </w:p>
    <w:p w14:paraId="33DB6AC0" w14:textId="77777777" w:rsidR="00CE00EC" w:rsidRDefault="00CE00EC" w:rsidP="00CE00EC">
      <w:pPr>
        <w:pStyle w:val="BodyTextindented"/>
      </w:pPr>
      <w:r>
        <w:t xml:space="preserve">Column 4 – These rates adjust the rates in column 3 to account for the different employer excesses that apply in each jurisdiction. The adjustment made to the data from the self-insured sector may be different to the adjustment applied to the premium paying sector due to the assumption that a nil employer excess applies to the self-insured sector. </w:t>
      </w:r>
    </w:p>
    <w:p w14:paraId="039B06EB" w14:textId="77777777" w:rsidR="00CE00EC" w:rsidRDefault="00CE00EC" w:rsidP="00CE00EC">
      <w:pPr>
        <w:pStyle w:val="BodyTextindented"/>
      </w:pPr>
      <w:r>
        <w:t>Column 5 – These rates further adjust the rates in column 4 to remove a component comparable to the cost of providing workers’ compensation coverage for journeys to and from work. These adjustments apply to all jurisdictions except Victoria, Western Australia, Tasmania and New Zealand where the coverage for these types of claims is outside the workers’ compensation system.</w:t>
      </w:r>
    </w:p>
    <w:p w14:paraId="6D651D91" w14:textId="42243B59" w:rsidR="00CE00EC" w:rsidRPr="00C569D9" w:rsidRDefault="00CE00EC" w:rsidP="00CB108E">
      <w:pPr>
        <w:pStyle w:val="SWATableheader"/>
        <w:rPr>
          <w:color w:val="00B050"/>
          <w:lang w:val="en-GB"/>
        </w:rPr>
      </w:pPr>
      <w:r w:rsidRPr="00EF0A14">
        <w:rPr>
          <w:lang w:val="en-GB"/>
        </w:rPr>
        <w:lastRenderedPageBreak/>
        <w:t xml:space="preserve">Appendix 1 – Table </w:t>
      </w:r>
      <w:r w:rsidR="009B71AF">
        <w:rPr>
          <w:lang w:val="en-GB"/>
        </w:rPr>
        <w:t>2</w:t>
      </w:r>
      <w:r w:rsidRPr="00EF0A14">
        <w:rPr>
          <w:sz w:val="18"/>
          <w:szCs w:val="18"/>
          <w:lang w:val="en-GB"/>
        </w:rPr>
        <w:t xml:space="preserve">: </w:t>
      </w:r>
      <w:r w:rsidRPr="00EF0A14">
        <w:rPr>
          <w:lang w:val="en-GB"/>
        </w:rPr>
        <w:t xml:space="preserve">Effect of adjustment factors on premium rates in </w:t>
      </w:r>
      <w:r w:rsidR="001576DC" w:rsidRPr="00EF0A14">
        <w:rPr>
          <w:lang w:val="en-GB"/>
        </w:rPr>
        <w:t>201</w:t>
      </w:r>
      <w:r w:rsidR="009125A7">
        <w:rPr>
          <w:lang w:val="en-GB"/>
        </w:rPr>
        <w:t>9</w:t>
      </w:r>
      <w:r w:rsidRPr="00EF0A14">
        <w:rPr>
          <w:lang w:val="en-GB"/>
        </w:rPr>
        <w:t>–</w:t>
      </w:r>
      <w:r w:rsidR="009125A7">
        <w:rPr>
          <w:lang w:val="en-GB"/>
        </w:rPr>
        <w:t>20</w:t>
      </w:r>
      <w:r w:rsidR="00B70AB8">
        <w:rPr>
          <w:lang w:val="en-GB"/>
        </w:rPr>
        <w:t xml:space="preserve"> </w:t>
      </w:r>
    </w:p>
    <w:tbl>
      <w:tblPr>
        <w:tblW w:w="9513" w:type="dxa"/>
        <w:tblInd w:w="93" w:type="dxa"/>
        <w:tblBorders>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Caption w:val="Appendix 1 – Table 2: Effect of adjustment factors on premium rates in 2019–20 "/>
        <w:tblDescription w:val="This table contains effects of adjustment factors on premium rate values by Australian Jurisdictions and New Zealand."/>
      </w:tblPr>
      <w:tblGrid>
        <w:gridCol w:w="1598"/>
        <w:gridCol w:w="1607"/>
        <w:gridCol w:w="1630"/>
        <w:gridCol w:w="1559"/>
        <w:gridCol w:w="1559"/>
        <w:gridCol w:w="1560"/>
      </w:tblGrid>
      <w:tr w:rsidR="00FC3DB4" w:rsidRPr="007913A4" w14:paraId="6F451A84" w14:textId="77777777" w:rsidTr="002B39E4">
        <w:trPr>
          <w:cantSplit/>
          <w:trHeight w:val="680"/>
          <w:tblHeader/>
        </w:trPr>
        <w:tc>
          <w:tcPr>
            <w:tcW w:w="1598" w:type="dxa"/>
            <w:tcBorders>
              <w:top w:val="nil"/>
              <w:bottom w:val="nil"/>
            </w:tcBorders>
            <w:shd w:val="clear" w:color="000000" w:fill="AF1E2D"/>
            <w:vAlign w:val="center"/>
            <w:hideMark/>
          </w:tcPr>
          <w:p w14:paraId="5B2C265B"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Jurisdiction</w:t>
            </w:r>
          </w:p>
        </w:tc>
        <w:tc>
          <w:tcPr>
            <w:tcW w:w="3237" w:type="dxa"/>
            <w:gridSpan w:val="2"/>
            <w:shd w:val="clear" w:color="000000" w:fill="AF1E2D"/>
            <w:vAlign w:val="center"/>
            <w:hideMark/>
          </w:tcPr>
          <w:p w14:paraId="47C85370"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Average premium rates for premium paying sector</w:t>
            </w:r>
            <w:r w:rsidR="00E40EE4">
              <w:rPr>
                <w:rFonts w:cs="Arial"/>
                <w:b/>
                <w:bCs/>
                <w:color w:val="FFFFFF"/>
                <w:sz w:val="18"/>
                <w:szCs w:val="18"/>
              </w:rPr>
              <w:t xml:space="preserve"> (%)</w:t>
            </w:r>
          </w:p>
        </w:tc>
        <w:tc>
          <w:tcPr>
            <w:tcW w:w="1559" w:type="dxa"/>
            <w:vMerge w:val="restart"/>
            <w:shd w:val="clear" w:color="000000" w:fill="AF1E2D"/>
            <w:vAlign w:val="center"/>
            <w:hideMark/>
          </w:tcPr>
          <w:p w14:paraId="6B35DC7B" w14:textId="77777777" w:rsidR="007913A4" w:rsidRDefault="007913A4" w:rsidP="00FC3DB4">
            <w:pPr>
              <w:spacing w:before="0"/>
              <w:jc w:val="center"/>
              <w:rPr>
                <w:rFonts w:cs="Arial"/>
                <w:b/>
                <w:bCs/>
                <w:color w:val="FFFFFF"/>
                <w:sz w:val="18"/>
                <w:szCs w:val="18"/>
              </w:rPr>
            </w:pPr>
            <w:r w:rsidRPr="007913A4">
              <w:rPr>
                <w:rFonts w:cs="Arial"/>
                <w:b/>
                <w:bCs/>
                <w:color w:val="FFFFFF"/>
                <w:sz w:val="18"/>
                <w:szCs w:val="18"/>
              </w:rPr>
              <w:t>Total</w:t>
            </w:r>
            <w:r w:rsidR="00FC3DB4" w:rsidRPr="00FC3DB4">
              <w:rPr>
                <w:rFonts w:cs="Arial"/>
                <w:b/>
                <w:bCs/>
                <w:color w:val="FFFFFF"/>
                <w:sz w:val="18"/>
                <w:szCs w:val="18"/>
                <w:vertAlign w:val="superscript"/>
              </w:rPr>
              <w:t>(a)</w:t>
            </w:r>
            <w:r w:rsidRPr="007913A4">
              <w:rPr>
                <w:rFonts w:cs="Arial"/>
                <w:b/>
                <w:bCs/>
                <w:color w:val="FFFFFF"/>
                <w:sz w:val="18"/>
                <w:szCs w:val="18"/>
              </w:rPr>
              <w:t xml:space="preserve"> average premium rate</w:t>
            </w:r>
          </w:p>
          <w:p w14:paraId="0C585100" w14:textId="77777777" w:rsidR="00E40EE4" w:rsidRPr="007913A4" w:rsidRDefault="00E40EE4" w:rsidP="00FC3DB4">
            <w:pPr>
              <w:spacing w:before="0"/>
              <w:jc w:val="center"/>
              <w:rPr>
                <w:rFonts w:cs="Arial"/>
                <w:b/>
                <w:bCs/>
                <w:color w:val="FFFFFF"/>
                <w:sz w:val="18"/>
                <w:szCs w:val="18"/>
              </w:rPr>
            </w:pPr>
            <w:r>
              <w:rPr>
                <w:rFonts w:cs="Arial"/>
                <w:b/>
                <w:bCs/>
                <w:color w:val="FFFFFF"/>
                <w:sz w:val="18"/>
                <w:szCs w:val="18"/>
              </w:rPr>
              <w:t>(%)</w:t>
            </w:r>
          </w:p>
        </w:tc>
        <w:tc>
          <w:tcPr>
            <w:tcW w:w="1559" w:type="dxa"/>
            <w:vMerge w:val="restart"/>
            <w:shd w:val="clear" w:color="000000" w:fill="AF1E2D"/>
            <w:vAlign w:val="center"/>
            <w:hideMark/>
          </w:tcPr>
          <w:p w14:paraId="33281949"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Total</w:t>
            </w:r>
            <w:r w:rsidR="00FC3DB4">
              <w:rPr>
                <w:rFonts w:cs="Arial"/>
                <w:b/>
                <w:bCs/>
                <w:color w:val="FFFFFF"/>
                <w:sz w:val="18"/>
                <w:szCs w:val="18"/>
                <w:vertAlign w:val="superscript"/>
              </w:rPr>
              <w:t>(a)</w:t>
            </w:r>
            <w:r w:rsidRPr="007913A4">
              <w:rPr>
                <w:rFonts w:cs="Arial"/>
                <w:b/>
                <w:bCs/>
                <w:color w:val="FFFFFF"/>
                <w:sz w:val="18"/>
                <w:szCs w:val="18"/>
              </w:rPr>
              <w:t xml:space="preserve"> average premium rate adjusted for employer excess</w:t>
            </w:r>
            <w:r w:rsidR="00E40EE4">
              <w:rPr>
                <w:rFonts w:cs="Arial"/>
                <w:b/>
                <w:bCs/>
                <w:color w:val="FFFFFF"/>
                <w:sz w:val="18"/>
                <w:szCs w:val="18"/>
              </w:rPr>
              <w:t xml:space="preserve"> (%)</w:t>
            </w:r>
          </w:p>
        </w:tc>
        <w:tc>
          <w:tcPr>
            <w:tcW w:w="1560" w:type="dxa"/>
            <w:vMerge w:val="restart"/>
            <w:shd w:val="clear" w:color="000000" w:fill="AF1E2D"/>
            <w:vAlign w:val="center"/>
            <w:hideMark/>
          </w:tcPr>
          <w:p w14:paraId="245EC669" w14:textId="77777777" w:rsidR="007913A4" w:rsidRDefault="00FC3DB4" w:rsidP="00FC3DB4">
            <w:pPr>
              <w:spacing w:before="0"/>
              <w:jc w:val="center"/>
              <w:rPr>
                <w:rFonts w:cs="Arial"/>
                <w:b/>
                <w:bCs/>
                <w:color w:val="FFFFFF"/>
                <w:sz w:val="18"/>
                <w:szCs w:val="18"/>
              </w:rPr>
            </w:pPr>
            <w:r>
              <w:rPr>
                <w:rFonts w:cs="Arial"/>
                <w:b/>
                <w:bCs/>
                <w:color w:val="FFFFFF"/>
                <w:sz w:val="18"/>
                <w:szCs w:val="18"/>
              </w:rPr>
              <w:t>T</w:t>
            </w:r>
            <w:r w:rsidR="007913A4" w:rsidRPr="007913A4">
              <w:rPr>
                <w:rFonts w:cs="Arial"/>
                <w:b/>
                <w:bCs/>
                <w:color w:val="FFFFFF"/>
                <w:sz w:val="18"/>
                <w:szCs w:val="18"/>
              </w:rPr>
              <w:t>otal</w:t>
            </w:r>
            <w:r>
              <w:rPr>
                <w:rFonts w:cs="Arial"/>
                <w:b/>
                <w:bCs/>
                <w:color w:val="FFFFFF"/>
                <w:sz w:val="18"/>
                <w:szCs w:val="18"/>
                <w:vertAlign w:val="superscript"/>
              </w:rPr>
              <w:t>(a)</w:t>
            </w:r>
            <w:r w:rsidR="007913A4" w:rsidRPr="007913A4">
              <w:rPr>
                <w:rFonts w:cs="Arial"/>
                <w:b/>
                <w:bCs/>
                <w:color w:val="FFFFFF"/>
                <w:sz w:val="18"/>
                <w:szCs w:val="18"/>
              </w:rPr>
              <w:t xml:space="preserve"> average premium rate adjusted for employer excess and journey claims</w:t>
            </w:r>
          </w:p>
          <w:p w14:paraId="62EE6928" w14:textId="77777777" w:rsidR="00E40EE4" w:rsidRPr="007913A4" w:rsidRDefault="00E40EE4" w:rsidP="00FC3DB4">
            <w:pPr>
              <w:spacing w:before="0"/>
              <w:jc w:val="center"/>
              <w:rPr>
                <w:rFonts w:cs="Arial"/>
                <w:b/>
                <w:bCs/>
                <w:color w:val="FFFFFF"/>
                <w:sz w:val="18"/>
                <w:szCs w:val="18"/>
              </w:rPr>
            </w:pPr>
            <w:r>
              <w:rPr>
                <w:rFonts w:cs="Arial"/>
                <w:b/>
                <w:bCs/>
                <w:color w:val="FFFFFF"/>
                <w:sz w:val="18"/>
                <w:szCs w:val="18"/>
              </w:rPr>
              <w:t>(%)</w:t>
            </w:r>
          </w:p>
        </w:tc>
      </w:tr>
      <w:tr w:rsidR="00FC3DB4" w:rsidRPr="007913A4" w14:paraId="02814D32" w14:textId="77777777" w:rsidTr="002B39E4">
        <w:trPr>
          <w:trHeight w:val="737"/>
          <w:tblHeader/>
        </w:trPr>
        <w:tc>
          <w:tcPr>
            <w:tcW w:w="1598" w:type="dxa"/>
            <w:tcBorders>
              <w:top w:val="nil"/>
            </w:tcBorders>
            <w:shd w:val="clear" w:color="000000" w:fill="AF1E2D"/>
            <w:vAlign w:val="center"/>
            <w:hideMark/>
          </w:tcPr>
          <w:p w14:paraId="491724E0" w14:textId="77777777" w:rsidR="007913A4" w:rsidRPr="007913A4" w:rsidRDefault="007913A4" w:rsidP="00FC3DB4">
            <w:pPr>
              <w:spacing w:before="0"/>
              <w:jc w:val="center"/>
              <w:rPr>
                <w:rFonts w:cs="Arial"/>
                <w:b/>
                <w:bCs/>
                <w:color w:val="FFFFFF"/>
                <w:sz w:val="18"/>
                <w:szCs w:val="18"/>
              </w:rPr>
            </w:pPr>
          </w:p>
        </w:tc>
        <w:tc>
          <w:tcPr>
            <w:tcW w:w="1607" w:type="dxa"/>
            <w:shd w:val="clear" w:color="000000" w:fill="AF1E2D"/>
            <w:vAlign w:val="center"/>
            <w:hideMark/>
          </w:tcPr>
          <w:p w14:paraId="17EE8702"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Unadjusted</w:t>
            </w:r>
          </w:p>
        </w:tc>
        <w:tc>
          <w:tcPr>
            <w:tcW w:w="1630" w:type="dxa"/>
            <w:shd w:val="clear" w:color="000000" w:fill="AF1E2D"/>
            <w:vAlign w:val="center"/>
            <w:hideMark/>
          </w:tcPr>
          <w:p w14:paraId="34BE2534"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Adjusted to include superannuation</w:t>
            </w:r>
          </w:p>
        </w:tc>
        <w:tc>
          <w:tcPr>
            <w:tcW w:w="1559" w:type="dxa"/>
            <w:vMerge/>
            <w:vAlign w:val="center"/>
            <w:hideMark/>
          </w:tcPr>
          <w:p w14:paraId="7DA60EAF" w14:textId="77777777" w:rsidR="007913A4" w:rsidRPr="007913A4" w:rsidRDefault="007913A4" w:rsidP="00FC3DB4">
            <w:pPr>
              <w:spacing w:before="0"/>
              <w:jc w:val="center"/>
              <w:rPr>
                <w:rFonts w:cs="Arial"/>
                <w:b/>
                <w:bCs/>
                <w:color w:val="FFFFFF"/>
                <w:sz w:val="18"/>
                <w:szCs w:val="18"/>
              </w:rPr>
            </w:pPr>
          </w:p>
        </w:tc>
        <w:tc>
          <w:tcPr>
            <w:tcW w:w="1559" w:type="dxa"/>
            <w:vMerge/>
            <w:vAlign w:val="center"/>
            <w:hideMark/>
          </w:tcPr>
          <w:p w14:paraId="668E44C3" w14:textId="77777777" w:rsidR="007913A4" w:rsidRPr="007913A4" w:rsidRDefault="007913A4" w:rsidP="00FC3DB4">
            <w:pPr>
              <w:spacing w:before="0"/>
              <w:jc w:val="center"/>
              <w:rPr>
                <w:rFonts w:cs="Arial"/>
                <w:b/>
                <w:bCs/>
                <w:color w:val="FFFFFF"/>
                <w:sz w:val="18"/>
                <w:szCs w:val="18"/>
              </w:rPr>
            </w:pPr>
          </w:p>
        </w:tc>
        <w:tc>
          <w:tcPr>
            <w:tcW w:w="1560" w:type="dxa"/>
            <w:vMerge/>
            <w:vAlign w:val="center"/>
            <w:hideMark/>
          </w:tcPr>
          <w:p w14:paraId="7AF0C9F9" w14:textId="77777777" w:rsidR="007913A4" w:rsidRPr="007913A4" w:rsidRDefault="007913A4" w:rsidP="00FC3DB4">
            <w:pPr>
              <w:spacing w:before="0"/>
              <w:jc w:val="center"/>
              <w:rPr>
                <w:rFonts w:cs="Arial"/>
                <w:b/>
                <w:bCs/>
                <w:color w:val="FFFFFF"/>
                <w:sz w:val="18"/>
                <w:szCs w:val="18"/>
              </w:rPr>
            </w:pPr>
          </w:p>
        </w:tc>
      </w:tr>
      <w:tr w:rsidR="00DF7579" w:rsidRPr="00DF7579" w14:paraId="249BCD8D" w14:textId="77777777" w:rsidTr="002B39E4">
        <w:trPr>
          <w:trHeight w:val="439"/>
        </w:trPr>
        <w:tc>
          <w:tcPr>
            <w:tcW w:w="1598" w:type="dxa"/>
            <w:shd w:val="clear" w:color="auto" w:fill="808080" w:themeFill="background1" w:themeFillShade="80"/>
            <w:noWrap/>
            <w:vAlign w:val="center"/>
            <w:hideMark/>
          </w:tcPr>
          <w:p w14:paraId="357B34D5" w14:textId="77777777" w:rsidR="007913A4" w:rsidRPr="007913A4" w:rsidRDefault="007913A4" w:rsidP="00FC3DB4">
            <w:pPr>
              <w:spacing w:before="0"/>
              <w:jc w:val="center"/>
              <w:rPr>
                <w:rFonts w:cs="Arial"/>
                <w:b/>
                <w:color w:val="FFFFFF" w:themeColor="background1"/>
                <w:sz w:val="18"/>
                <w:szCs w:val="18"/>
              </w:rPr>
            </w:pPr>
          </w:p>
        </w:tc>
        <w:tc>
          <w:tcPr>
            <w:tcW w:w="1607" w:type="dxa"/>
            <w:shd w:val="clear" w:color="auto" w:fill="808080" w:themeFill="background1" w:themeFillShade="80"/>
            <w:noWrap/>
            <w:vAlign w:val="center"/>
            <w:hideMark/>
          </w:tcPr>
          <w:p w14:paraId="52A695AA"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1</w:t>
            </w:r>
          </w:p>
        </w:tc>
        <w:tc>
          <w:tcPr>
            <w:tcW w:w="1630" w:type="dxa"/>
            <w:shd w:val="clear" w:color="auto" w:fill="808080" w:themeFill="background1" w:themeFillShade="80"/>
            <w:noWrap/>
            <w:vAlign w:val="center"/>
            <w:hideMark/>
          </w:tcPr>
          <w:p w14:paraId="5BC873C5"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2</w:t>
            </w:r>
          </w:p>
        </w:tc>
        <w:tc>
          <w:tcPr>
            <w:tcW w:w="1559" w:type="dxa"/>
            <w:shd w:val="clear" w:color="auto" w:fill="808080" w:themeFill="background1" w:themeFillShade="80"/>
            <w:noWrap/>
            <w:vAlign w:val="center"/>
            <w:hideMark/>
          </w:tcPr>
          <w:p w14:paraId="340E44AD"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3</w:t>
            </w:r>
          </w:p>
        </w:tc>
        <w:tc>
          <w:tcPr>
            <w:tcW w:w="1559" w:type="dxa"/>
            <w:shd w:val="clear" w:color="auto" w:fill="808080" w:themeFill="background1" w:themeFillShade="80"/>
            <w:noWrap/>
            <w:vAlign w:val="center"/>
            <w:hideMark/>
          </w:tcPr>
          <w:p w14:paraId="226D8135"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4</w:t>
            </w:r>
          </w:p>
        </w:tc>
        <w:tc>
          <w:tcPr>
            <w:tcW w:w="1560" w:type="dxa"/>
            <w:shd w:val="clear" w:color="auto" w:fill="808080" w:themeFill="background1" w:themeFillShade="80"/>
            <w:noWrap/>
            <w:vAlign w:val="center"/>
            <w:hideMark/>
          </w:tcPr>
          <w:p w14:paraId="5E02985B"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5</w:t>
            </w:r>
          </w:p>
        </w:tc>
      </w:tr>
      <w:tr w:rsidR="008E6A0D" w:rsidRPr="007913A4" w14:paraId="27AE39FA" w14:textId="77777777" w:rsidTr="007D624E">
        <w:trPr>
          <w:trHeight w:val="439"/>
        </w:trPr>
        <w:tc>
          <w:tcPr>
            <w:tcW w:w="1598" w:type="dxa"/>
            <w:shd w:val="clear" w:color="auto" w:fill="auto"/>
            <w:noWrap/>
            <w:vAlign w:val="center"/>
            <w:hideMark/>
          </w:tcPr>
          <w:p w14:paraId="082962AF" w14:textId="77777777" w:rsidR="008E6A0D" w:rsidRPr="007913A4" w:rsidRDefault="008E6A0D" w:rsidP="008E6A0D">
            <w:pPr>
              <w:spacing w:before="0"/>
              <w:jc w:val="left"/>
              <w:rPr>
                <w:rFonts w:cs="Arial"/>
                <w:color w:val="000000"/>
                <w:sz w:val="18"/>
                <w:szCs w:val="18"/>
                <w:vertAlign w:val="superscript"/>
              </w:rPr>
            </w:pPr>
            <w:r w:rsidRPr="007913A4">
              <w:rPr>
                <w:rFonts w:cs="Arial"/>
                <w:color w:val="000000"/>
                <w:sz w:val="18"/>
                <w:szCs w:val="18"/>
              </w:rPr>
              <w:t>NSW</w:t>
            </w:r>
            <w:r>
              <w:rPr>
                <w:rFonts w:cs="Arial"/>
                <w:color w:val="000000"/>
                <w:sz w:val="18"/>
                <w:szCs w:val="18"/>
                <w:vertAlign w:val="superscript"/>
              </w:rPr>
              <w:t>(b)</w:t>
            </w:r>
          </w:p>
        </w:tc>
        <w:tc>
          <w:tcPr>
            <w:tcW w:w="1607" w:type="dxa"/>
            <w:shd w:val="clear" w:color="auto" w:fill="auto"/>
            <w:noWrap/>
            <w:vAlign w:val="center"/>
          </w:tcPr>
          <w:p w14:paraId="36BB797D" w14:textId="68792E71" w:rsidR="008E6A0D" w:rsidRPr="007913A4" w:rsidRDefault="008E6A0D" w:rsidP="008E6A0D">
            <w:pPr>
              <w:spacing w:before="0"/>
              <w:jc w:val="right"/>
              <w:rPr>
                <w:rFonts w:cs="Arial"/>
                <w:color w:val="000000"/>
                <w:sz w:val="18"/>
                <w:szCs w:val="18"/>
              </w:rPr>
            </w:pPr>
            <w:r w:rsidRPr="007D624E">
              <w:rPr>
                <w:rFonts w:cs="Arial"/>
                <w:color w:val="000000"/>
                <w:sz w:val="18"/>
                <w:szCs w:val="18"/>
              </w:rPr>
              <w:t>1.27</w:t>
            </w:r>
          </w:p>
        </w:tc>
        <w:tc>
          <w:tcPr>
            <w:tcW w:w="1630" w:type="dxa"/>
            <w:shd w:val="clear" w:color="auto" w:fill="auto"/>
            <w:noWrap/>
            <w:vAlign w:val="center"/>
          </w:tcPr>
          <w:p w14:paraId="513086CD" w14:textId="560BB47B" w:rsidR="008E6A0D" w:rsidRPr="007913A4" w:rsidRDefault="008E6A0D" w:rsidP="008E6A0D">
            <w:pPr>
              <w:spacing w:before="0"/>
              <w:jc w:val="right"/>
              <w:rPr>
                <w:rFonts w:cs="Arial"/>
                <w:color w:val="000000"/>
                <w:sz w:val="18"/>
                <w:szCs w:val="18"/>
              </w:rPr>
            </w:pPr>
            <w:r w:rsidRPr="007D624E">
              <w:rPr>
                <w:rFonts w:cs="Arial"/>
                <w:color w:val="000000"/>
                <w:sz w:val="18"/>
                <w:szCs w:val="18"/>
              </w:rPr>
              <w:t>1.27</w:t>
            </w:r>
          </w:p>
        </w:tc>
        <w:tc>
          <w:tcPr>
            <w:tcW w:w="1559" w:type="dxa"/>
            <w:shd w:val="clear" w:color="auto" w:fill="auto"/>
            <w:noWrap/>
            <w:vAlign w:val="center"/>
          </w:tcPr>
          <w:p w14:paraId="4DB050DF" w14:textId="1A17C5C7" w:rsidR="008E6A0D" w:rsidRPr="007913A4" w:rsidRDefault="008E6A0D" w:rsidP="008E6A0D">
            <w:pPr>
              <w:spacing w:before="0"/>
              <w:jc w:val="right"/>
              <w:rPr>
                <w:rFonts w:cs="Arial"/>
                <w:color w:val="000000"/>
                <w:sz w:val="18"/>
                <w:szCs w:val="18"/>
              </w:rPr>
            </w:pPr>
            <w:r w:rsidRPr="007D624E">
              <w:rPr>
                <w:rFonts w:cs="Arial"/>
                <w:color w:val="000000"/>
                <w:sz w:val="18"/>
                <w:szCs w:val="18"/>
              </w:rPr>
              <w:t>1.39</w:t>
            </w:r>
          </w:p>
        </w:tc>
        <w:tc>
          <w:tcPr>
            <w:tcW w:w="1559" w:type="dxa"/>
            <w:shd w:val="clear" w:color="auto" w:fill="auto"/>
            <w:noWrap/>
            <w:vAlign w:val="center"/>
          </w:tcPr>
          <w:p w14:paraId="001B5228" w14:textId="1D0B16C5" w:rsidR="008E6A0D" w:rsidRPr="007913A4" w:rsidRDefault="008E6A0D" w:rsidP="008E6A0D">
            <w:pPr>
              <w:spacing w:before="0"/>
              <w:jc w:val="right"/>
              <w:rPr>
                <w:rFonts w:cs="Arial"/>
                <w:color w:val="000000"/>
                <w:sz w:val="18"/>
                <w:szCs w:val="18"/>
              </w:rPr>
            </w:pPr>
            <w:r w:rsidRPr="007D624E">
              <w:rPr>
                <w:rFonts w:cs="Arial"/>
                <w:color w:val="000000"/>
                <w:sz w:val="18"/>
                <w:szCs w:val="18"/>
              </w:rPr>
              <w:t>1.35</w:t>
            </w:r>
          </w:p>
        </w:tc>
        <w:tc>
          <w:tcPr>
            <w:tcW w:w="1560" w:type="dxa"/>
            <w:shd w:val="clear" w:color="auto" w:fill="auto"/>
            <w:noWrap/>
            <w:vAlign w:val="center"/>
            <w:hideMark/>
          </w:tcPr>
          <w:p w14:paraId="332B8586" w14:textId="2953DE8D" w:rsidR="008E6A0D" w:rsidRPr="007913A4" w:rsidRDefault="008E6A0D" w:rsidP="008E6A0D">
            <w:pPr>
              <w:spacing w:before="0"/>
              <w:jc w:val="right"/>
              <w:rPr>
                <w:rFonts w:cs="Arial"/>
                <w:color w:val="000000"/>
                <w:sz w:val="18"/>
                <w:szCs w:val="18"/>
              </w:rPr>
            </w:pPr>
            <w:r w:rsidRPr="007D624E">
              <w:rPr>
                <w:rFonts w:cs="Arial"/>
                <w:color w:val="000000"/>
                <w:sz w:val="18"/>
                <w:szCs w:val="18"/>
              </w:rPr>
              <w:t>1.35</w:t>
            </w:r>
          </w:p>
        </w:tc>
      </w:tr>
      <w:tr w:rsidR="008E6A0D" w:rsidRPr="007913A4" w14:paraId="0D5D8FAA" w14:textId="77777777" w:rsidTr="007D624E">
        <w:trPr>
          <w:trHeight w:val="439"/>
        </w:trPr>
        <w:tc>
          <w:tcPr>
            <w:tcW w:w="1598" w:type="dxa"/>
            <w:shd w:val="clear" w:color="000000" w:fill="EFD3D2"/>
            <w:noWrap/>
            <w:vAlign w:val="center"/>
            <w:hideMark/>
          </w:tcPr>
          <w:p w14:paraId="61F2FAF1" w14:textId="77777777" w:rsidR="008E6A0D" w:rsidRPr="007913A4" w:rsidRDefault="008E6A0D" w:rsidP="008E6A0D">
            <w:pPr>
              <w:spacing w:before="0"/>
              <w:jc w:val="left"/>
              <w:rPr>
                <w:rFonts w:cs="Arial"/>
                <w:color w:val="000000"/>
                <w:sz w:val="18"/>
                <w:szCs w:val="18"/>
              </w:rPr>
            </w:pPr>
            <w:r>
              <w:rPr>
                <w:rFonts w:cs="Arial"/>
                <w:color w:val="000000"/>
                <w:sz w:val="18"/>
                <w:szCs w:val="18"/>
              </w:rPr>
              <w:t>Vic</w:t>
            </w:r>
          </w:p>
        </w:tc>
        <w:tc>
          <w:tcPr>
            <w:tcW w:w="1607" w:type="dxa"/>
            <w:shd w:val="clear" w:color="000000" w:fill="EFD3D2"/>
            <w:noWrap/>
            <w:vAlign w:val="center"/>
          </w:tcPr>
          <w:p w14:paraId="4191E88F" w14:textId="0BF782B7" w:rsidR="008E6A0D" w:rsidRPr="007913A4" w:rsidRDefault="008E6A0D" w:rsidP="008E6A0D">
            <w:pPr>
              <w:spacing w:before="0"/>
              <w:jc w:val="right"/>
              <w:rPr>
                <w:rFonts w:cs="Arial"/>
                <w:color w:val="000000"/>
                <w:sz w:val="18"/>
                <w:szCs w:val="18"/>
              </w:rPr>
            </w:pPr>
            <w:r w:rsidRPr="007D624E">
              <w:rPr>
                <w:rFonts w:cs="Arial"/>
                <w:color w:val="000000"/>
                <w:sz w:val="18"/>
                <w:szCs w:val="18"/>
              </w:rPr>
              <w:t>1.32</w:t>
            </w:r>
          </w:p>
        </w:tc>
        <w:tc>
          <w:tcPr>
            <w:tcW w:w="1630" w:type="dxa"/>
            <w:shd w:val="clear" w:color="000000" w:fill="EFD3D2"/>
            <w:noWrap/>
            <w:vAlign w:val="center"/>
          </w:tcPr>
          <w:p w14:paraId="15939D34" w14:textId="118D9573" w:rsidR="008E6A0D" w:rsidRPr="007913A4" w:rsidRDefault="008E6A0D" w:rsidP="008E6A0D">
            <w:pPr>
              <w:spacing w:before="0"/>
              <w:jc w:val="right"/>
              <w:rPr>
                <w:rFonts w:cs="Arial"/>
                <w:color w:val="000000"/>
                <w:sz w:val="18"/>
                <w:szCs w:val="18"/>
              </w:rPr>
            </w:pPr>
            <w:r w:rsidRPr="007D624E">
              <w:rPr>
                <w:rFonts w:cs="Arial"/>
                <w:color w:val="000000"/>
                <w:sz w:val="18"/>
                <w:szCs w:val="18"/>
              </w:rPr>
              <w:t>1.32</w:t>
            </w:r>
          </w:p>
        </w:tc>
        <w:tc>
          <w:tcPr>
            <w:tcW w:w="1559" w:type="dxa"/>
            <w:shd w:val="clear" w:color="000000" w:fill="EFD3D2"/>
            <w:noWrap/>
            <w:vAlign w:val="center"/>
          </w:tcPr>
          <w:p w14:paraId="5B0292E7" w14:textId="7FAB2887" w:rsidR="008E6A0D" w:rsidRPr="007913A4" w:rsidRDefault="008E6A0D" w:rsidP="008E6A0D">
            <w:pPr>
              <w:spacing w:before="0"/>
              <w:jc w:val="right"/>
              <w:rPr>
                <w:rFonts w:cs="Arial"/>
                <w:color w:val="000000"/>
                <w:sz w:val="18"/>
                <w:szCs w:val="18"/>
              </w:rPr>
            </w:pPr>
            <w:r w:rsidRPr="007D624E">
              <w:rPr>
                <w:rFonts w:cs="Arial"/>
                <w:color w:val="000000"/>
                <w:sz w:val="18"/>
                <w:szCs w:val="18"/>
              </w:rPr>
              <w:t>1.28</w:t>
            </w:r>
          </w:p>
        </w:tc>
        <w:tc>
          <w:tcPr>
            <w:tcW w:w="1559" w:type="dxa"/>
            <w:shd w:val="clear" w:color="000000" w:fill="EFD3D2"/>
            <w:noWrap/>
            <w:vAlign w:val="center"/>
          </w:tcPr>
          <w:p w14:paraId="0CCA9EE8" w14:textId="643EB562" w:rsidR="008E6A0D" w:rsidRPr="007913A4" w:rsidRDefault="008E6A0D" w:rsidP="008E6A0D">
            <w:pPr>
              <w:spacing w:before="0"/>
              <w:jc w:val="right"/>
              <w:rPr>
                <w:rFonts w:cs="Arial"/>
                <w:color w:val="000000"/>
                <w:sz w:val="18"/>
                <w:szCs w:val="18"/>
              </w:rPr>
            </w:pPr>
            <w:r w:rsidRPr="007D624E">
              <w:rPr>
                <w:rFonts w:cs="Arial"/>
                <w:color w:val="000000"/>
                <w:sz w:val="18"/>
                <w:szCs w:val="18"/>
              </w:rPr>
              <w:t>1.31</w:t>
            </w:r>
          </w:p>
        </w:tc>
        <w:tc>
          <w:tcPr>
            <w:tcW w:w="1560" w:type="dxa"/>
            <w:shd w:val="clear" w:color="000000" w:fill="EFD3D2"/>
            <w:noWrap/>
            <w:vAlign w:val="center"/>
            <w:hideMark/>
          </w:tcPr>
          <w:p w14:paraId="543EEED7" w14:textId="1765964F" w:rsidR="008E6A0D" w:rsidRPr="007913A4" w:rsidRDefault="008E6A0D" w:rsidP="008E6A0D">
            <w:pPr>
              <w:spacing w:before="0"/>
              <w:jc w:val="right"/>
              <w:rPr>
                <w:rFonts w:cs="Arial"/>
                <w:color w:val="000000"/>
                <w:sz w:val="18"/>
                <w:szCs w:val="18"/>
              </w:rPr>
            </w:pPr>
            <w:r w:rsidRPr="007D624E">
              <w:rPr>
                <w:rFonts w:cs="Arial"/>
                <w:color w:val="000000"/>
                <w:sz w:val="18"/>
                <w:szCs w:val="18"/>
              </w:rPr>
              <w:t>1.31</w:t>
            </w:r>
          </w:p>
        </w:tc>
      </w:tr>
      <w:tr w:rsidR="008E6A0D" w:rsidRPr="007913A4" w14:paraId="3DE17535" w14:textId="77777777" w:rsidTr="007D624E">
        <w:trPr>
          <w:trHeight w:val="439"/>
        </w:trPr>
        <w:tc>
          <w:tcPr>
            <w:tcW w:w="1598" w:type="dxa"/>
            <w:shd w:val="clear" w:color="auto" w:fill="auto"/>
            <w:noWrap/>
            <w:vAlign w:val="center"/>
            <w:hideMark/>
          </w:tcPr>
          <w:p w14:paraId="595D3344" w14:textId="77777777" w:rsidR="008E6A0D" w:rsidRPr="007913A4" w:rsidRDefault="008E6A0D" w:rsidP="008E6A0D">
            <w:pPr>
              <w:spacing w:before="0"/>
              <w:jc w:val="left"/>
              <w:rPr>
                <w:rFonts w:cs="Arial"/>
                <w:color w:val="000000"/>
                <w:sz w:val="18"/>
                <w:szCs w:val="18"/>
                <w:vertAlign w:val="superscript"/>
              </w:rPr>
            </w:pPr>
            <w:r w:rsidRPr="007913A4">
              <w:rPr>
                <w:rFonts w:cs="Arial"/>
                <w:color w:val="000000"/>
                <w:sz w:val="18"/>
                <w:szCs w:val="18"/>
              </w:rPr>
              <w:t>Q</w:t>
            </w:r>
            <w:r>
              <w:rPr>
                <w:rFonts w:cs="Arial"/>
                <w:color w:val="000000"/>
                <w:sz w:val="18"/>
                <w:szCs w:val="18"/>
              </w:rPr>
              <w:t>ld</w:t>
            </w:r>
            <w:r>
              <w:rPr>
                <w:rFonts w:cs="Arial"/>
                <w:color w:val="000000"/>
                <w:sz w:val="18"/>
                <w:szCs w:val="18"/>
                <w:vertAlign w:val="superscript"/>
              </w:rPr>
              <w:t xml:space="preserve">(c) </w:t>
            </w:r>
          </w:p>
        </w:tc>
        <w:tc>
          <w:tcPr>
            <w:tcW w:w="1607" w:type="dxa"/>
            <w:shd w:val="clear" w:color="auto" w:fill="auto"/>
            <w:noWrap/>
            <w:vAlign w:val="center"/>
          </w:tcPr>
          <w:p w14:paraId="67848E9E" w14:textId="315E5BE8" w:rsidR="008E6A0D" w:rsidRPr="007913A4" w:rsidRDefault="008E6A0D" w:rsidP="008E6A0D">
            <w:pPr>
              <w:spacing w:before="0"/>
              <w:jc w:val="right"/>
              <w:rPr>
                <w:rFonts w:cs="Arial"/>
                <w:color w:val="000000"/>
                <w:sz w:val="18"/>
                <w:szCs w:val="18"/>
              </w:rPr>
            </w:pPr>
            <w:r w:rsidRPr="007D624E">
              <w:rPr>
                <w:rFonts w:cs="Arial"/>
                <w:color w:val="000000"/>
                <w:sz w:val="18"/>
                <w:szCs w:val="18"/>
              </w:rPr>
              <w:t>1.17</w:t>
            </w:r>
          </w:p>
        </w:tc>
        <w:tc>
          <w:tcPr>
            <w:tcW w:w="1630" w:type="dxa"/>
            <w:shd w:val="clear" w:color="auto" w:fill="auto"/>
            <w:noWrap/>
            <w:vAlign w:val="center"/>
          </w:tcPr>
          <w:p w14:paraId="63603836" w14:textId="2F44221A" w:rsidR="008E6A0D" w:rsidRPr="007913A4" w:rsidRDefault="008E6A0D" w:rsidP="008E6A0D">
            <w:pPr>
              <w:spacing w:before="0"/>
              <w:jc w:val="right"/>
              <w:rPr>
                <w:rFonts w:cs="Arial"/>
                <w:color w:val="000000"/>
                <w:sz w:val="18"/>
                <w:szCs w:val="18"/>
              </w:rPr>
            </w:pPr>
            <w:r w:rsidRPr="007D624E">
              <w:rPr>
                <w:rFonts w:cs="Arial"/>
                <w:color w:val="000000"/>
                <w:sz w:val="18"/>
                <w:szCs w:val="18"/>
              </w:rPr>
              <w:t>1.17</w:t>
            </w:r>
          </w:p>
        </w:tc>
        <w:tc>
          <w:tcPr>
            <w:tcW w:w="1559" w:type="dxa"/>
            <w:shd w:val="clear" w:color="auto" w:fill="auto"/>
            <w:noWrap/>
            <w:vAlign w:val="center"/>
          </w:tcPr>
          <w:p w14:paraId="7D595045" w14:textId="63DD0B45" w:rsidR="008E6A0D" w:rsidRPr="007913A4" w:rsidRDefault="008E6A0D" w:rsidP="008E6A0D">
            <w:pPr>
              <w:spacing w:before="0"/>
              <w:jc w:val="right"/>
              <w:rPr>
                <w:rFonts w:cs="Arial"/>
                <w:color w:val="000000"/>
                <w:sz w:val="18"/>
                <w:szCs w:val="18"/>
              </w:rPr>
            </w:pPr>
            <w:r w:rsidRPr="007D624E">
              <w:rPr>
                <w:rFonts w:cs="Arial"/>
                <w:color w:val="000000"/>
                <w:sz w:val="18"/>
                <w:szCs w:val="18"/>
              </w:rPr>
              <w:t>1.23</w:t>
            </w:r>
          </w:p>
        </w:tc>
        <w:tc>
          <w:tcPr>
            <w:tcW w:w="1559" w:type="dxa"/>
            <w:shd w:val="clear" w:color="auto" w:fill="auto"/>
            <w:noWrap/>
            <w:vAlign w:val="center"/>
          </w:tcPr>
          <w:p w14:paraId="66697368" w14:textId="32064F60" w:rsidR="008E6A0D" w:rsidRPr="007913A4" w:rsidRDefault="008E6A0D" w:rsidP="008E6A0D">
            <w:pPr>
              <w:spacing w:before="0"/>
              <w:jc w:val="right"/>
              <w:rPr>
                <w:rFonts w:cs="Arial"/>
                <w:color w:val="000000"/>
                <w:sz w:val="18"/>
                <w:szCs w:val="18"/>
              </w:rPr>
            </w:pPr>
            <w:r w:rsidRPr="007D624E">
              <w:rPr>
                <w:rFonts w:cs="Arial"/>
                <w:color w:val="000000"/>
                <w:sz w:val="18"/>
                <w:szCs w:val="18"/>
              </w:rPr>
              <w:t>1.23</w:t>
            </w:r>
          </w:p>
        </w:tc>
        <w:tc>
          <w:tcPr>
            <w:tcW w:w="1560" w:type="dxa"/>
            <w:shd w:val="clear" w:color="auto" w:fill="auto"/>
            <w:noWrap/>
            <w:vAlign w:val="center"/>
            <w:hideMark/>
          </w:tcPr>
          <w:p w14:paraId="767D3EDC" w14:textId="5FAC2C1B" w:rsidR="008E6A0D" w:rsidRPr="007913A4" w:rsidRDefault="008E6A0D" w:rsidP="008E6A0D">
            <w:pPr>
              <w:spacing w:before="0"/>
              <w:jc w:val="right"/>
              <w:rPr>
                <w:rFonts w:cs="Arial"/>
                <w:color w:val="000000"/>
                <w:sz w:val="18"/>
                <w:szCs w:val="18"/>
              </w:rPr>
            </w:pPr>
            <w:r w:rsidRPr="007D624E">
              <w:rPr>
                <w:rFonts w:cs="Arial"/>
                <w:color w:val="000000"/>
                <w:sz w:val="18"/>
                <w:szCs w:val="18"/>
              </w:rPr>
              <w:t>1.15</w:t>
            </w:r>
          </w:p>
        </w:tc>
      </w:tr>
      <w:tr w:rsidR="008E6A0D" w:rsidRPr="007913A4" w14:paraId="4F120455" w14:textId="77777777" w:rsidTr="007D624E">
        <w:trPr>
          <w:trHeight w:val="439"/>
        </w:trPr>
        <w:tc>
          <w:tcPr>
            <w:tcW w:w="1598" w:type="dxa"/>
            <w:shd w:val="clear" w:color="000000" w:fill="EFD3D2"/>
            <w:noWrap/>
            <w:vAlign w:val="center"/>
            <w:hideMark/>
          </w:tcPr>
          <w:p w14:paraId="0D5A52B1" w14:textId="77777777" w:rsidR="008E6A0D" w:rsidRPr="007913A4" w:rsidRDefault="008E6A0D" w:rsidP="008E6A0D">
            <w:pPr>
              <w:spacing w:before="0"/>
              <w:jc w:val="left"/>
              <w:rPr>
                <w:rFonts w:cs="Arial"/>
                <w:color w:val="000000"/>
                <w:sz w:val="18"/>
                <w:szCs w:val="18"/>
              </w:rPr>
            </w:pPr>
            <w:r>
              <w:rPr>
                <w:rFonts w:cs="Arial"/>
                <w:color w:val="000000"/>
                <w:sz w:val="18"/>
                <w:szCs w:val="18"/>
              </w:rPr>
              <w:t>WA</w:t>
            </w:r>
          </w:p>
        </w:tc>
        <w:tc>
          <w:tcPr>
            <w:tcW w:w="1607" w:type="dxa"/>
            <w:shd w:val="clear" w:color="000000" w:fill="EFD3D2"/>
            <w:noWrap/>
            <w:vAlign w:val="center"/>
          </w:tcPr>
          <w:p w14:paraId="5D22FB02" w14:textId="122E46FC" w:rsidR="008E6A0D" w:rsidRPr="007913A4" w:rsidRDefault="008E6A0D" w:rsidP="008E6A0D">
            <w:pPr>
              <w:spacing w:before="0"/>
              <w:jc w:val="right"/>
              <w:rPr>
                <w:rFonts w:cs="Arial"/>
                <w:color w:val="000000"/>
                <w:sz w:val="18"/>
                <w:szCs w:val="18"/>
              </w:rPr>
            </w:pPr>
            <w:r w:rsidRPr="007D624E">
              <w:rPr>
                <w:rFonts w:cs="Arial"/>
                <w:color w:val="000000"/>
                <w:sz w:val="18"/>
                <w:szCs w:val="18"/>
              </w:rPr>
              <w:t>1.</w:t>
            </w:r>
            <w:r>
              <w:rPr>
                <w:rFonts w:cs="Arial"/>
                <w:color w:val="000000"/>
                <w:sz w:val="18"/>
                <w:szCs w:val="18"/>
              </w:rPr>
              <w:t>47</w:t>
            </w:r>
          </w:p>
        </w:tc>
        <w:tc>
          <w:tcPr>
            <w:tcW w:w="1630" w:type="dxa"/>
            <w:shd w:val="clear" w:color="000000" w:fill="EFD3D2"/>
            <w:noWrap/>
            <w:vAlign w:val="center"/>
          </w:tcPr>
          <w:p w14:paraId="22046A19" w14:textId="6B25004A" w:rsidR="008E6A0D" w:rsidRPr="007913A4" w:rsidRDefault="008E6A0D" w:rsidP="008E6A0D">
            <w:pPr>
              <w:spacing w:before="0"/>
              <w:jc w:val="right"/>
              <w:rPr>
                <w:rFonts w:cs="Arial"/>
                <w:color w:val="000000"/>
                <w:sz w:val="18"/>
                <w:szCs w:val="18"/>
              </w:rPr>
            </w:pPr>
            <w:r w:rsidRPr="007D624E">
              <w:rPr>
                <w:rFonts w:cs="Arial"/>
                <w:color w:val="000000"/>
                <w:sz w:val="18"/>
                <w:szCs w:val="18"/>
              </w:rPr>
              <w:t>1.33</w:t>
            </w:r>
          </w:p>
        </w:tc>
        <w:tc>
          <w:tcPr>
            <w:tcW w:w="1559" w:type="dxa"/>
            <w:shd w:val="clear" w:color="000000" w:fill="EFD3D2"/>
            <w:noWrap/>
            <w:vAlign w:val="center"/>
          </w:tcPr>
          <w:p w14:paraId="1E6709EA" w14:textId="05891A16" w:rsidR="008E6A0D" w:rsidRPr="007913A4" w:rsidRDefault="008E6A0D" w:rsidP="008E6A0D">
            <w:pPr>
              <w:spacing w:before="0"/>
              <w:jc w:val="right"/>
              <w:rPr>
                <w:rFonts w:cs="Arial"/>
                <w:color w:val="000000"/>
                <w:sz w:val="18"/>
                <w:szCs w:val="18"/>
              </w:rPr>
            </w:pPr>
            <w:r w:rsidRPr="007D624E">
              <w:rPr>
                <w:rFonts w:cs="Arial"/>
                <w:color w:val="000000"/>
                <w:sz w:val="18"/>
                <w:szCs w:val="18"/>
              </w:rPr>
              <w:t>1.33</w:t>
            </w:r>
          </w:p>
        </w:tc>
        <w:tc>
          <w:tcPr>
            <w:tcW w:w="1559" w:type="dxa"/>
            <w:shd w:val="clear" w:color="000000" w:fill="EFD3D2"/>
            <w:noWrap/>
            <w:vAlign w:val="center"/>
          </w:tcPr>
          <w:p w14:paraId="71F41EC3" w14:textId="77BA7390" w:rsidR="008E6A0D" w:rsidRPr="007913A4" w:rsidRDefault="008E6A0D" w:rsidP="008E6A0D">
            <w:pPr>
              <w:spacing w:before="0"/>
              <w:jc w:val="right"/>
              <w:rPr>
                <w:rFonts w:cs="Arial"/>
                <w:color w:val="000000"/>
                <w:sz w:val="18"/>
                <w:szCs w:val="18"/>
              </w:rPr>
            </w:pPr>
            <w:r w:rsidRPr="007D624E">
              <w:rPr>
                <w:rFonts w:cs="Arial"/>
                <w:color w:val="000000"/>
                <w:sz w:val="18"/>
                <w:szCs w:val="18"/>
              </w:rPr>
              <w:t>1.29</w:t>
            </w:r>
          </w:p>
        </w:tc>
        <w:tc>
          <w:tcPr>
            <w:tcW w:w="1560" w:type="dxa"/>
            <w:shd w:val="clear" w:color="000000" w:fill="EFD3D2"/>
            <w:noWrap/>
            <w:vAlign w:val="center"/>
            <w:hideMark/>
          </w:tcPr>
          <w:p w14:paraId="3D4D06FE" w14:textId="0D38D12F" w:rsidR="008E6A0D" w:rsidRPr="007913A4" w:rsidRDefault="008E6A0D" w:rsidP="008E6A0D">
            <w:pPr>
              <w:spacing w:before="0"/>
              <w:jc w:val="right"/>
              <w:rPr>
                <w:rFonts w:cs="Arial"/>
                <w:color w:val="000000"/>
                <w:sz w:val="18"/>
                <w:szCs w:val="18"/>
              </w:rPr>
            </w:pPr>
            <w:r w:rsidRPr="007D624E">
              <w:rPr>
                <w:rFonts w:cs="Arial"/>
                <w:color w:val="000000"/>
                <w:sz w:val="18"/>
                <w:szCs w:val="18"/>
              </w:rPr>
              <w:t>1.29</w:t>
            </w:r>
          </w:p>
        </w:tc>
      </w:tr>
      <w:tr w:rsidR="008E6A0D" w:rsidRPr="007913A4" w14:paraId="2898133B" w14:textId="77777777" w:rsidTr="007D624E">
        <w:trPr>
          <w:trHeight w:val="439"/>
        </w:trPr>
        <w:tc>
          <w:tcPr>
            <w:tcW w:w="1598" w:type="dxa"/>
            <w:shd w:val="clear" w:color="auto" w:fill="auto"/>
            <w:noWrap/>
            <w:vAlign w:val="center"/>
            <w:hideMark/>
          </w:tcPr>
          <w:p w14:paraId="013D045A" w14:textId="77777777" w:rsidR="008E6A0D" w:rsidRPr="007913A4" w:rsidRDefault="008E6A0D" w:rsidP="008E6A0D">
            <w:pPr>
              <w:spacing w:before="0"/>
              <w:jc w:val="left"/>
              <w:rPr>
                <w:rFonts w:cs="Arial"/>
                <w:color w:val="000000"/>
                <w:sz w:val="18"/>
                <w:szCs w:val="18"/>
              </w:rPr>
            </w:pPr>
            <w:r>
              <w:rPr>
                <w:rFonts w:cs="Arial"/>
                <w:color w:val="000000"/>
                <w:sz w:val="18"/>
                <w:szCs w:val="18"/>
              </w:rPr>
              <w:t>SA</w:t>
            </w:r>
          </w:p>
        </w:tc>
        <w:tc>
          <w:tcPr>
            <w:tcW w:w="1607" w:type="dxa"/>
            <w:shd w:val="clear" w:color="auto" w:fill="auto"/>
            <w:noWrap/>
            <w:vAlign w:val="center"/>
          </w:tcPr>
          <w:p w14:paraId="1CDCB183" w14:textId="5B44D065" w:rsidR="008E6A0D" w:rsidRPr="007913A4" w:rsidRDefault="008E6A0D" w:rsidP="008E6A0D">
            <w:pPr>
              <w:spacing w:before="0"/>
              <w:jc w:val="right"/>
              <w:rPr>
                <w:rFonts w:cs="Arial"/>
                <w:color w:val="000000"/>
                <w:sz w:val="18"/>
                <w:szCs w:val="18"/>
              </w:rPr>
            </w:pPr>
            <w:r w:rsidRPr="007D624E">
              <w:rPr>
                <w:rFonts w:cs="Arial"/>
                <w:color w:val="000000"/>
                <w:sz w:val="18"/>
                <w:szCs w:val="18"/>
              </w:rPr>
              <w:t>1.67</w:t>
            </w:r>
          </w:p>
        </w:tc>
        <w:tc>
          <w:tcPr>
            <w:tcW w:w="1630" w:type="dxa"/>
            <w:shd w:val="clear" w:color="auto" w:fill="auto"/>
            <w:noWrap/>
            <w:vAlign w:val="center"/>
          </w:tcPr>
          <w:p w14:paraId="5992A6A3" w14:textId="57BDB85D" w:rsidR="008E6A0D" w:rsidRPr="007913A4" w:rsidRDefault="008E6A0D" w:rsidP="008E6A0D">
            <w:pPr>
              <w:spacing w:before="0"/>
              <w:jc w:val="right"/>
              <w:rPr>
                <w:rFonts w:cs="Arial"/>
                <w:color w:val="000000"/>
                <w:sz w:val="18"/>
                <w:szCs w:val="18"/>
              </w:rPr>
            </w:pPr>
            <w:r w:rsidRPr="007D624E">
              <w:rPr>
                <w:rFonts w:cs="Arial"/>
                <w:color w:val="000000"/>
                <w:sz w:val="18"/>
                <w:szCs w:val="18"/>
              </w:rPr>
              <w:t>1.67</w:t>
            </w:r>
          </w:p>
        </w:tc>
        <w:tc>
          <w:tcPr>
            <w:tcW w:w="1559" w:type="dxa"/>
            <w:shd w:val="clear" w:color="auto" w:fill="auto"/>
            <w:noWrap/>
            <w:vAlign w:val="center"/>
          </w:tcPr>
          <w:p w14:paraId="6A0F9B75" w14:textId="6EB3446D" w:rsidR="008E6A0D" w:rsidRPr="007913A4" w:rsidRDefault="008E6A0D" w:rsidP="008E6A0D">
            <w:pPr>
              <w:spacing w:before="0"/>
              <w:jc w:val="right"/>
              <w:rPr>
                <w:rFonts w:cs="Arial"/>
                <w:color w:val="000000"/>
                <w:sz w:val="18"/>
                <w:szCs w:val="18"/>
              </w:rPr>
            </w:pPr>
            <w:r w:rsidRPr="007D624E">
              <w:rPr>
                <w:rFonts w:cs="Arial"/>
                <w:color w:val="000000"/>
                <w:sz w:val="18"/>
                <w:szCs w:val="18"/>
              </w:rPr>
              <w:t>1.</w:t>
            </w:r>
            <w:r w:rsidR="00AE56F9">
              <w:rPr>
                <w:rFonts w:cs="Arial"/>
                <w:color w:val="000000"/>
                <w:sz w:val="18"/>
                <w:szCs w:val="18"/>
              </w:rPr>
              <w:t>68</w:t>
            </w:r>
          </w:p>
        </w:tc>
        <w:tc>
          <w:tcPr>
            <w:tcW w:w="1559" w:type="dxa"/>
            <w:shd w:val="clear" w:color="auto" w:fill="auto"/>
            <w:noWrap/>
            <w:vAlign w:val="center"/>
          </w:tcPr>
          <w:p w14:paraId="73CBD0BC" w14:textId="13EE5FEB" w:rsidR="008E6A0D" w:rsidRPr="007913A4" w:rsidRDefault="008E6A0D" w:rsidP="008E6A0D">
            <w:pPr>
              <w:spacing w:before="0"/>
              <w:jc w:val="right"/>
              <w:rPr>
                <w:rFonts w:cs="Arial"/>
                <w:color w:val="000000"/>
                <w:sz w:val="18"/>
                <w:szCs w:val="18"/>
              </w:rPr>
            </w:pPr>
            <w:r w:rsidRPr="007D624E">
              <w:rPr>
                <w:rFonts w:cs="Arial"/>
                <w:color w:val="000000"/>
                <w:sz w:val="18"/>
                <w:szCs w:val="18"/>
              </w:rPr>
              <w:t>1.</w:t>
            </w:r>
            <w:r w:rsidR="00AE56F9">
              <w:rPr>
                <w:rFonts w:cs="Arial"/>
                <w:color w:val="000000"/>
                <w:sz w:val="18"/>
                <w:szCs w:val="18"/>
              </w:rPr>
              <w:t>64</w:t>
            </w:r>
          </w:p>
        </w:tc>
        <w:tc>
          <w:tcPr>
            <w:tcW w:w="1560" w:type="dxa"/>
            <w:shd w:val="clear" w:color="auto" w:fill="auto"/>
            <w:noWrap/>
            <w:vAlign w:val="center"/>
            <w:hideMark/>
          </w:tcPr>
          <w:p w14:paraId="6D13B873" w14:textId="550F34F7" w:rsidR="008E6A0D" w:rsidRPr="007913A4" w:rsidRDefault="008E6A0D" w:rsidP="008E6A0D">
            <w:pPr>
              <w:spacing w:before="0"/>
              <w:jc w:val="right"/>
              <w:rPr>
                <w:rFonts w:cs="Arial"/>
                <w:color w:val="000000"/>
                <w:sz w:val="18"/>
                <w:szCs w:val="18"/>
              </w:rPr>
            </w:pPr>
            <w:r w:rsidRPr="007D624E">
              <w:rPr>
                <w:rFonts w:cs="Arial"/>
                <w:color w:val="000000"/>
                <w:sz w:val="18"/>
                <w:szCs w:val="18"/>
              </w:rPr>
              <w:t>1.</w:t>
            </w:r>
            <w:r w:rsidR="00AE56F9">
              <w:rPr>
                <w:rFonts w:cs="Arial"/>
                <w:color w:val="000000"/>
                <w:sz w:val="18"/>
                <w:szCs w:val="18"/>
              </w:rPr>
              <w:t>64</w:t>
            </w:r>
          </w:p>
        </w:tc>
      </w:tr>
      <w:tr w:rsidR="008E6A0D" w:rsidRPr="007913A4" w14:paraId="4B1EFF03" w14:textId="77777777" w:rsidTr="007D624E">
        <w:trPr>
          <w:trHeight w:val="439"/>
        </w:trPr>
        <w:tc>
          <w:tcPr>
            <w:tcW w:w="1598" w:type="dxa"/>
            <w:shd w:val="clear" w:color="000000" w:fill="EFD3D2"/>
            <w:noWrap/>
            <w:vAlign w:val="center"/>
            <w:hideMark/>
          </w:tcPr>
          <w:p w14:paraId="6D269739" w14:textId="77777777" w:rsidR="008E6A0D" w:rsidRPr="007913A4" w:rsidRDefault="008E6A0D" w:rsidP="008E6A0D">
            <w:pPr>
              <w:spacing w:before="0"/>
              <w:jc w:val="left"/>
              <w:rPr>
                <w:rFonts w:cs="Arial"/>
                <w:color w:val="000000"/>
                <w:sz w:val="18"/>
                <w:szCs w:val="18"/>
              </w:rPr>
            </w:pPr>
            <w:r w:rsidRPr="007913A4">
              <w:rPr>
                <w:rFonts w:cs="Arial"/>
                <w:color w:val="000000"/>
                <w:sz w:val="18"/>
                <w:szCs w:val="18"/>
              </w:rPr>
              <w:t>Ta</w:t>
            </w:r>
            <w:r>
              <w:rPr>
                <w:rFonts w:cs="Arial"/>
                <w:color w:val="000000"/>
                <w:sz w:val="18"/>
                <w:szCs w:val="18"/>
              </w:rPr>
              <w:t>s</w:t>
            </w:r>
          </w:p>
        </w:tc>
        <w:tc>
          <w:tcPr>
            <w:tcW w:w="1607" w:type="dxa"/>
            <w:shd w:val="clear" w:color="000000" w:fill="EFD3D2"/>
            <w:noWrap/>
            <w:vAlign w:val="center"/>
          </w:tcPr>
          <w:p w14:paraId="7C8448E9" w14:textId="7B9C0DC6" w:rsidR="008E6A0D" w:rsidRPr="007913A4" w:rsidRDefault="008E6A0D" w:rsidP="008E6A0D">
            <w:pPr>
              <w:spacing w:before="0"/>
              <w:jc w:val="right"/>
              <w:rPr>
                <w:rFonts w:cs="Arial"/>
                <w:color w:val="000000"/>
                <w:sz w:val="18"/>
                <w:szCs w:val="18"/>
              </w:rPr>
            </w:pPr>
            <w:r w:rsidRPr="007D624E">
              <w:rPr>
                <w:rFonts w:cs="Arial"/>
                <w:color w:val="000000"/>
                <w:sz w:val="18"/>
                <w:szCs w:val="18"/>
              </w:rPr>
              <w:t>1.</w:t>
            </w:r>
            <w:r>
              <w:rPr>
                <w:rFonts w:cs="Arial"/>
                <w:color w:val="000000"/>
                <w:sz w:val="18"/>
                <w:szCs w:val="18"/>
              </w:rPr>
              <w:t>85</w:t>
            </w:r>
          </w:p>
        </w:tc>
        <w:tc>
          <w:tcPr>
            <w:tcW w:w="1630" w:type="dxa"/>
            <w:shd w:val="clear" w:color="000000" w:fill="EFD3D2"/>
            <w:noWrap/>
            <w:vAlign w:val="center"/>
          </w:tcPr>
          <w:p w14:paraId="79EDFF5D" w14:textId="251403B1" w:rsidR="008E6A0D" w:rsidRPr="007913A4" w:rsidRDefault="008E6A0D" w:rsidP="008E6A0D">
            <w:pPr>
              <w:spacing w:before="0"/>
              <w:jc w:val="right"/>
              <w:rPr>
                <w:rFonts w:cs="Arial"/>
                <w:color w:val="000000"/>
                <w:sz w:val="18"/>
                <w:szCs w:val="18"/>
              </w:rPr>
            </w:pPr>
            <w:r w:rsidRPr="007D624E">
              <w:rPr>
                <w:rFonts w:cs="Arial"/>
                <w:color w:val="000000"/>
                <w:sz w:val="18"/>
                <w:szCs w:val="18"/>
              </w:rPr>
              <w:t>1.68</w:t>
            </w:r>
          </w:p>
        </w:tc>
        <w:tc>
          <w:tcPr>
            <w:tcW w:w="1559" w:type="dxa"/>
            <w:shd w:val="clear" w:color="000000" w:fill="EFD3D2"/>
            <w:noWrap/>
            <w:vAlign w:val="center"/>
          </w:tcPr>
          <w:p w14:paraId="3A6A8234" w14:textId="0BDE733F" w:rsidR="008E6A0D" w:rsidRPr="007913A4" w:rsidRDefault="008E6A0D" w:rsidP="008E6A0D">
            <w:pPr>
              <w:spacing w:before="0"/>
              <w:jc w:val="right"/>
              <w:rPr>
                <w:rFonts w:cs="Arial"/>
                <w:color w:val="000000"/>
                <w:sz w:val="18"/>
                <w:szCs w:val="18"/>
              </w:rPr>
            </w:pPr>
            <w:r w:rsidRPr="007D624E">
              <w:rPr>
                <w:rFonts w:cs="Arial"/>
                <w:color w:val="000000"/>
                <w:sz w:val="18"/>
                <w:szCs w:val="18"/>
              </w:rPr>
              <w:t>1.72</w:t>
            </w:r>
          </w:p>
        </w:tc>
        <w:tc>
          <w:tcPr>
            <w:tcW w:w="1559" w:type="dxa"/>
            <w:shd w:val="clear" w:color="000000" w:fill="EFD3D2"/>
            <w:noWrap/>
            <w:vAlign w:val="center"/>
          </w:tcPr>
          <w:p w14:paraId="2311E2A1" w14:textId="6FF7F879" w:rsidR="008E6A0D" w:rsidRPr="007913A4" w:rsidRDefault="008E6A0D" w:rsidP="008E6A0D">
            <w:pPr>
              <w:spacing w:before="0"/>
              <w:jc w:val="right"/>
              <w:rPr>
                <w:rFonts w:cs="Arial"/>
                <w:color w:val="000000"/>
                <w:sz w:val="18"/>
                <w:szCs w:val="18"/>
              </w:rPr>
            </w:pPr>
            <w:r w:rsidRPr="007D624E">
              <w:rPr>
                <w:rFonts w:cs="Arial"/>
                <w:color w:val="000000"/>
                <w:sz w:val="18"/>
                <w:szCs w:val="18"/>
              </w:rPr>
              <w:t>1.67</w:t>
            </w:r>
          </w:p>
        </w:tc>
        <w:tc>
          <w:tcPr>
            <w:tcW w:w="1560" w:type="dxa"/>
            <w:shd w:val="clear" w:color="000000" w:fill="EFD3D2"/>
            <w:noWrap/>
            <w:vAlign w:val="center"/>
            <w:hideMark/>
          </w:tcPr>
          <w:p w14:paraId="002FF6E2" w14:textId="15C564D6" w:rsidR="008E6A0D" w:rsidRPr="007913A4" w:rsidRDefault="008E6A0D" w:rsidP="008E6A0D">
            <w:pPr>
              <w:spacing w:before="0"/>
              <w:jc w:val="right"/>
              <w:rPr>
                <w:rFonts w:cs="Arial"/>
                <w:color w:val="000000"/>
                <w:sz w:val="18"/>
                <w:szCs w:val="18"/>
              </w:rPr>
            </w:pPr>
            <w:r w:rsidRPr="007D624E">
              <w:rPr>
                <w:rFonts w:cs="Arial"/>
                <w:color w:val="000000"/>
                <w:sz w:val="18"/>
                <w:szCs w:val="18"/>
              </w:rPr>
              <w:t>1.67</w:t>
            </w:r>
          </w:p>
        </w:tc>
      </w:tr>
      <w:tr w:rsidR="008E6A0D" w:rsidRPr="007913A4" w14:paraId="4758AC1C" w14:textId="77777777" w:rsidTr="007D624E">
        <w:trPr>
          <w:trHeight w:val="439"/>
        </w:trPr>
        <w:tc>
          <w:tcPr>
            <w:tcW w:w="1598" w:type="dxa"/>
            <w:shd w:val="clear" w:color="auto" w:fill="auto"/>
            <w:noWrap/>
            <w:vAlign w:val="center"/>
            <w:hideMark/>
          </w:tcPr>
          <w:p w14:paraId="7F29F7CB" w14:textId="77777777" w:rsidR="008E6A0D" w:rsidRPr="007913A4" w:rsidRDefault="008E6A0D" w:rsidP="008E6A0D">
            <w:pPr>
              <w:spacing w:before="0"/>
              <w:jc w:val="left"/>
              <w:rPr>
                <w:rFonts w:cs="Arial"/>
                <w:color w:val="000000"/>
                <w:sz w:val="18"/>
                <w:szCs w:val="18"/>
              </w:rPr>
            </w:pPr>
            <w:r>
              <w:rPr>
                <w:rFonts w:cs="Arial"/>
                <w:color w:val="000000"/>
                <w:sz w:val="18"/>
                <w:szCs w:val="18"/>
              </w:rPr>
              <w:t>NT</w:t>
            </w:r>
          </w:p>
        </w:tc>
        <w:tc>
          <w:tcPr>
            <w:tcW w:w="1607" w:type="dxa"/>
            <w:shd w:val="clear" w:color="auto" w:fill="auto"/>
            <w:noWrap/>
            <w:vAlign w:val="center"/>
          </w:tcPr>
          <w:p w14:paraId="08142FF2" w14:textId="3A81361F" w:rsidR="008E6A0D" w:rsidRPr="007913A4" w:rsidRDefault="008E6A0D" w:rsidP="008E6A0D">
            <w:pPr>
              <w:spacing w:before="0"/>
              <w:jc w:val="right"/>
              <w:rPr>
                <w:rFonts w:cs="Arial"/>
                <w:color w:val="000000"/>
                <w:sz w:val="18"/>
                <w:szCs w:val="18"/>
              </w:rPr>
            </w:pPr>
            <w:r>
              <w:rPr>
                <w:rFonts w:cs="Arial"/>
                <w:color w:val="000000"/>
                <w:sz w:val="18"/>
                <w:szCs w:val="18"/>
              </w:rPr>
              <w:t>2.14</w:t>
            </w:r>
          </w:p>
        </w:tc>
        <w:tc>
          <w:tcPr>
            <w:tcW w:w="1630" w:type="dxa"/>
            <w:shd w:val="clear" w:color="auto" w:fill="auto"/>
            <w:noWrap/>
            <w:vAlign w:val="center"/>
          </w:tcPr>
          <w:p w14:paraId="097FFA82" w14:textId="50BA2FC5" w:rsidR="008E6A0D" w:rsidRPr="007913A4" w:rsidRDefault="008E6A0D" w:rsidP="008E6A0D">
            <w:pPr>
              <w:spacing w:before="0"/>
              <w:jc w:val="right"/>
              <w:rPr>
                <w:rFonts w:cs="Arial"/>
                <w:color w:val="000000"/>
                <w:sz w:val="18"/>
                <w:szCs w:val="18"/>
              </w:rPr>
            </w:pPr>
            <w:r w:rsidRPr="007D624E">
              <w:rPr>
                <w:rFonts w:cs="Arial"/>
                <w:color w:val="000000"/>
                <w:sz w:val="18"/>
                <w:szCs w:val="18"/>
              </w:rPr>
              <w:t>1.94</w:t>
            </w:r>
          </w:p>
        </w:tc>
        <w:tc>
          <w:tcPr>
            <w:tcW w:w="1559" w:type="dxa"/>
            <w:shd w:val="clear" w:color="auto" w:fill="auto"/>
            <w:noWrap/>
            <w:vAlign w:val="center"/>
          </w:tcPr>
          <w:p w14:paraId="0DBA0B6C" w14:textId="11C78417" w:rsidR="008E6A0D" w:rsidRPr="007913A4" w:rsidRDefault="008E6A0D" w:rsidP="008E6A0D">
            <w:pPr>
              <w:spacing w:before="0"/>
              <w:jc w:val="right"/>
              <w:rPr>
                <w:rFonts w:cs="Arial"/>
                <w:color w:val="000000"/>
                <w:sz w:val="18"/>
                <w:szCs w:val="18"/>
              </w:rPr>
            </w:pPr>
            <w:r w:rsidRPr="007D624E">
              <w:rPr>
                <w:rFonts w:cs="Arial"/>
                <w:color w:val="000000"/>
                <w:sz w:val="18"/>
                <w:szCs w:val="18"/>
              </w:rPr>
              <w:t>1.55</w:t>
            </w:r>
          </w:p>
        </w:tc>
        <w:tc>
          <w:tcPr>
            <w:tcW w:w="1559" w:type="dxa"/>
            <w:shd w:val="clear" w:color="auto" w:fill="auto"/>
            <w:noWrap/>
            <w:vAlign w:val="center"/>
          </w:tcPr>
          <w:p w14:paraId="3554D892" w14:textId="2E2332EF" w:rsidR="008E6A0D" w:rsidRPr="007913A4" w:rsidRDefault="008E6A0D" w:rsidP="008E6A0D">
            <w:pPr>
              <w:spacing w:before="0"/>
              <w:jc w:val="right"/>
              <w:rPr>
                <w:rFonts w:cs="Arial"/>
                <w:color w:val="000000"/>
                <w:sz w:val="18"/>
                <w:szCs w:val="18"/>
              </w:rPr>
            </w:pPr>
            <w:r w:rsidRPr="007D624E">
              <w:rPr>
                <w:rFonts w:cs="Arial"/>
                <w:color w:val="000000"/>
                <w:sz w:val="18"/>
                <w:szCs w:val="18"/>
              </w:rPr>
              <w:t>1.52</w:t>
            </w:r>
          </w:p>
        </w:tc>
        <w:tc>
          <w:tcPr>
            <w:tcW w:w="1560" w:type="dxa"/>
            <w:shd w:val="clear" w:color="auto" w:fill="auto"/>
            <w:noWrap/>
            <w:vAlign w:val="center"/>
            <w:hideMark/>
          </w:tcPr>
          <w:p w14:paraId="13052492" w14:textId="3685A77C" w:rsidR="008E6A0D" w:rsidRPr="007913A4" w:rsidRDefault="008E6A0D" w:rsidP="008E6A0D">
            <w:pPr>
              <w:spacing w:before="0"/>
              <w:jc w:val="right"/>
              <w:rPr>
                <w:rFonts w:cs="Arial"/>
                <w:color w:val="000000"/>
                <w:sz w:val="18"/>
                <w:szCs w:val="18"/>
              </w:rPr>
            </w:pPr>
            <w:r w:rsidRPr="007D624E">
              <w:rPr>
                <w:rFonts w:cs="Arial"/>
                <w:color w:val="000000"/>
                <w:sz w:val="18"/>
                <w:szCs w:val="18"/>
              </w:rPr>
              <w:t>1.52</w:t>
            </w:r>
          </w:p>
        </w:tc>
      </w:tr>
      <w:tr w:rsidR="008E6A0D" w:rsidRPr="007913A4" w14:paraId="092CE84A" w14:textId="77777777" w:rsidTr="007D624E">
        <w:trPr>
          <w:trHeight w:val="439"/>
        </w:trPr>
        <w:tc>
          <w:tcPr>
            <w:tcW w:w="1598" w:type="dxa"/>
            <w:shd w:val="clear" w:color="000000" w:fill="EFD3D2"/>
            <w:noWrap/>
            <w:vAlign w:val="center"/>
            <w:hideMark/>
          </w:tcPr>
          <w:p w14:paraId="2FCF9B6B" w14:textId="77777777" w:rsidR="008E6A0D" w:rsidRPr="007913A4" w:rsidRDefault="008E6A0D" w:rsidP="008E6A0D">
            <w:pPr>
              <w:spacing w:before="0"/>
              <w:jc w:val="left"/>
              <w:rPr>
                <w:rFonts w:cs="Arial"/>
                <w:color w:val="000000"/>
                <w:sz w:val="18"/>
                <w:szCs w:val="18"/>
              </w:rPr>
            </w:pPr>
            <w:r>
              <w:rPr>
                <w:rFonts w:cs="Arial"/>
                <w:color w:val="000000"/>
                <w:sz w:val="18"/>
                <w:szCs w:val="18"/>
              </w:rPr>
              <w:t>ACT</w:t>
            </w:r>
            <w:r w:rsidRPr="007913A4">
              <w:rPr>
                <w:rFonts w:cs="Arial"/>
                <w:color w:val="000000"/>
                <w:sz w:val="18"/>
                <w:szCs w:val="18"/>
              </w:rPr>
              <w:t xml:space="preserve"> Private</w:t>
            </w:r>
          </w:p>
        </w:tc>
        <w:tc>
          <w:tcPr>
            <w:tcW w:w="1607" w:type="dxa"/>
            <w:shd w:val="clear" w:color="000000" w:fill="EFD3D2"/>
            <w:noWrap/>
            <w:vAlign w:val="center"/>
          </w:tcPr>
          <w:p w14:paraId="4A8A2B44" w14:textId="0FADF477" w:rsidR="008E6A0D" w:rsidRPr="007913A4" w:rsidRDefault="008E6A0D" w:rsidP="008E6A0D">
            <w:pPr>
              <w:spacing w:before="0"/>
              <w:jc w:val="right"/>
              <w:rPr>
                <w:rFonts w:cs="Arial"/>
                <w:color w:val="000000"/>
                <w:sz w:val="18"/>
                <w:szCs w:val="18"/>
              </w:rPr>
            </w:pPr>
            <w:r w:rsidRPr="007D624E">
              <w:rPr>
                <w:rFonts w:cs="Arial"/>
                <w:color w:val="000000"/>
                <w:sz w:val="18"/>
                <w:szCs w:val="18"/>
              </w:rPr>
              <w:t>1.91</w:t>
            </w:r>
          </w:p>
        </w:tc>
        <w:tc>
          <w:tcPr>
            <w:tcW w:w="1630" w:type="dxa"/>
            <w:shd w:val="clear" w:color="000000" w:fill="EFD3D2"/>
            <w:noWrap/>
            <w:vAlign w:val="center"/>
          </w:tcPr>
          <w:p w14:paraId="31AAAFEA" w14:textId="407718B0" w:rsidR="008E6A0D" w:rsidRPr="007913A4" w:rsidRDefault="008E6A0D" w:rsidP="008E6A0D">
            <w:pPr>
              <w:spacing w:before="0"/>
              <w:jc w:val="right"/>
              <w:rPr>
                <w:rFonts w:cs="Arial"/>
                <w:color w:val="000000"/>
                <w:sz w:val="18"/>
                <w:szCs w:val="18"/>
              </w:rPr>
            </w:pPr>
            <w:r w:rsidRPr="007D624E">
              <w:rPr>
                <w:rFonts w:cs="Arial"/>
                <w:color w:val="000000"/>
                <w:sz w:val="18"/>
                <w:szCs w:val="18"/>
              </w:rPr>
              <w:t>1.91</w:t>
            </w:r>
          </w:p>
        </w:tc>
        <w:tc>
          <w:tcPr>
            <w:tcW w:w="1559" w:type="dxa"/>
            <w:shd w:val="clear" w:color="000000" w:fill="EFD3D2"/>
            <w:noWrap/>
            <w:vAlign w:val="center"/>
          </w:tcPr>
          <w:p w14:paraId="7C2B602C" w14:textId="33FAED35" w:rsidR="008E6A0D" w:rsidRPr="007913A4" w:rsidRDefault="008E6A0D" w:rsidP="008E6A0D">
            <w:pPr>
              <w:spacing w:before="0"/>
              <w:jc w:val="right"/>
              <w:rPr>
                <w:rFonts w:cs="Arial"/>
                <w:color w:val="000000"/>
                <w:sz w:val="18"/>
                <w:szCs w:val="18"/>
              </w:rPr>
            </w:pPr>
            <w:r w:rsidRPr="007D624E">
              <w:rPr>
                <w:rFonts w:cs="Arial"/>
                <w:color w:val="000000"/>
                <w:sz w:val="18"/>
                <w:szCs w:val="18"/>
              </w:rPr>
              <w:t>1.92</w:t>
            </w:r>
          </w:p>
        </w:tc>
        <w:tc>
          <w:tcPr>
            <w:tcW w:w="1559" w:type="dxa"/>
            <w:shd w:val="clear" w:color="000000" w:fill="EFD3D2"/>
            <w:noWrap/>
            <w:vAlign w:val="center"/>
          </w:tcPr>
          <w:p w14:paraId="271572B8" w14:textId="3C6AD8DB" w:rsidR="008E6A0D" w:rsidRPr="007913A4" w:rsidRDefault="008E6A0D" w:rsidP="008E6A0D">
            <w:pPr>
              <w:spacing w:before="0"/>
              <w:jc w:val="right"/>
              <w:rPr>
                <w:rFonts w:cs="Arial"/>
                <w:color w:val="000000"/>
                <w:sz w:val="18"/>
                <w:szCs w:val="18"/>
              </w:rPr>
            </w:pPr>
            <w:r w:rsidRPr="007D624E">
              <w:rPr>
                <w:rFonts w:cs="Arial"/>
                <w:color w:val="000000"/>
                <w:sz w:val="18"/>
                <w:szCs w:val="18"/>
              </w:rPr>
              <w:t>1.88</w:t>
            </w:r>
          </w:p>
        </w:tc>
        <w:tc>
          <w:tcPr>
            <w:tcW w:w="1560" w:type="dxa"/>
            <w:shd w:val="clear" w:color="000000" w:fill="EFD3D2"/>
            <w:noWrap/>
            <w:vAlign w:val="center"/>
            <w:hideMark/>
          </w:tcPr>
          <w:p w14:paraId="7CDEC4B2" w14:textId="38CD501E" w:rsidR="008E6A0D" w:rsidRPr="007913A4" w:rsidRDefault="008E6A0D" w:rsidP="008E6A0D">
            <w:pPr>
              <w:spacing w:before="0"/>
              <w:jc w:val="right"/>
              <w:rPr>
                <w:rFonts w:cs="Arial"/>
                <w:color w:val="000000"/>
                <w:sz w:val="18"/>
                <w:szCs w:val="18"/>
              </w:rPr>
            </w:pPr>
            <w:r w:rsidRPr="007D624E">
              <w:rPr>
                <w:rFonts w:cs="Arial"/>
                <w:color w:val="000000"/>
                <w:sz w:val="18"/>
                <w:szCs w:val="18"/>
              </w:rPr>
              <w:t>1.75</w:t>
            </w:r>
          </w:p>
        </w:tc>
      </w:tr>
      <w:tr w:rsidR="008E6A0D" w:rsidRPr="007913A4" w14:paraId="5FCF3B68" w14:textId="77777777" w:rsidTr="007D624E">
        <w:trPr>
          <w:trHeight w:val="439"/>
        </w:trPr>
        <w:tc>
          <w:tcPr>
            <w:tcW w:w="1598" w:type="dxa"/>
            <w:shd w:val="clear" w:color="auto" w:fill="auto"/>
            <w:noWrap/>
            <w:vAlign w:val="center"/>
            <w:hideMark/>
          </w:tcPr>
          <w:p w14:paraId="1AD809AB" w14:textId="77777777" w:rsidR="008E6A0D" w:rsidRPr="007913A4" w:rsidRDefault="008E6A0D" w:rsidP="008E6A0D">
            <w:pPr>
              <w:spacing w:before="0"/>
              <w:jc w:val="left"/>
              <w:rPr>
                <w:rFonts w:cs="Arial"/>
                <w:color w:val="000000"/>
                <w:sz w:val="18"/>
                <w:szCs w:val="18"/>
              </w:rPr>
            </w:pPr>
            <w:r>
              <w:rPr>
                <w:rFonts w:cs="Arial"/>
                <w:color w:val="000000"/>
                <w:sz w:val="18"/>
                <w:szCs w:val="16"/>
              </w:rPr>
              <w:t>Comcare</w:t>
            </w:r>
          </w:p>
        </w:tc>
        <w:tc>
          <w:tcPr>
            <w:tcW w:w="1607" w:type="dxa"/>
            <w:shd w:val="clear" w:color="auto" w:fill="auto"/>
            <w:noWrap/>
            <w:vAlign w:val="center"/>
          </w:tcPr>
          <w:p w14:paraId="6CF7B418" w14:textId="1F88450F" w:rsidR="008E6A0D" w:rsidRPr="007913A4" w:rsidRDefault="008E6A0D" w:rsidP="008E6A0D">
            <w:pPr>
              <w:spacing w:before="0"/>
              <w:jc w:val="right"/>
              <w:rPr>
                <w:rFonts w:cs="Arial"/>
                <w:color w:val="000000"/>
                <w:sz w:val="18"/>
                <w:szCs w:val="18"/>
              </w:rPr>
            </w:pPr>
            <w:r w:rsidRPr="007D624E">
              <w:rPr>
                <w:rFonts w:cs="Arial"/>
                <w:color w:val="000000"/>
                <w:sz w:val="18"/>
                <w:szCs w:val="18"/>
              </w:rPr>
              <w:t>0.73</w:t>
            </w:r>
          </w:p>
        </w:tc>
        <w:tc>
          <w:tcPr>
            <w:tcW w:w="1630" w:type="dxa"/>
            <w:shd w:val="clear" w:color="auto" w:fill="auto"/>
            <w:noWrap/>
            <w:vAlign w:val="center"/>
          </w:tcPr>
          <w:p w14:paraId="75C4E7CA" w14:textId="378771A8" w:rsidR="008E6A0D" w:rsidRPr="007913A4" w:rsidRDefault="008E6A0D" w:rsidP="008E6A0D">
            <w:pPr>
              <w:spacing w:before="0"/>
              <w:jc w:val="right"/>
              <w:rPr>
                <w:rFonts w:cs="Arial"/>
                <w:color w:val="000000"/>
                <w:sz w:val="18"/>
                <w:szCs w:val="18"/>
              </w:rPr>
            </w:pPr>
            <w:r w:rsidRPr="007D624E">
              <w:rPr>
                <w:rFonts w:cs="Arial"/>
                <w:color w:val="000000"/>
                <w:sz w:val="18"/>
                <w:szCs w:val="18"/>
              </w:rPr>
              <w:t>0.73</w:t>
            </w:r>
          </w:p>
        </w:tc>
        <w:tc>
          <w:tcPr>
            <w:tcW w:w="1559" w:type="dxa"/>
            <w:shd w:val="clear" w:color="auto" w:fill="auto"/>
            <w:noWrap/>
            <w:vAlign w:val="center"/>
          </w:tcPr>
          <w:p w14:paraId="1DFD1FF4" w14:textId="621FFCF1" w:rsidR="008E6A0D" w:rsidRPr="007913A4" w:rsidRDefault="008E6A0D" w:rsidP="008E6A0D">
            <w:pPr>
              <w:spacing w:before="0"/>
              <w:jc w:val="right"/>
              <w:rPr>
                <w:rFonts w:cs="Arial"/>
                <w:color w:val="000000"/>
                <w:sz w:val="18"/>
                <w:szCs w:val="18"/>
              </w:rPr>
            </w:pPr>
            <w:r w:rsidRPr="007D624E">
              <w:rPr>
                <w:rFonts w:cs="Arial"/>
                <w:color w:val="000000"/>
                <w:sz w:val="18"/>
                <w:szCs w:val="18"/>
              </w:rPr>
              <w:t>0.69</w:t>
            </w:r>
          </w:p>
        </w:tc>
        <w:tc>
          <w:tcPr>
            <w:tcW w:w="1559" w:type="dxa"/>
            <w:shd w:val="clear" w:color="auto" w:fill="auto"/>
            <w:noWrap/>
            <w:vAlign w:val="center"/>
          </w:tcPr>
          <w:p w14:paraId="12BF98F4" w14:textId="00378B43" w:rsidR="008E6A0D" w:rsidRPr="007913A4" w:rsidRDefault="008E6A0D" w:rsidP="008E6A0D">
            <w:pPr>
              <w:spacing w:before="0"/>
              <w:jc w:val="right"/>
              <w:rPr>
                <w:rFonts w:cs="Arial"/>
                <w:color w:val="000000"/>
                <w:sz w:val="18"/>
                <w:szCs w:val="18"/>
              </w:rPr>
            </w:pPr>
            <w:r w:rsidRPr="007D624E">
              <w:rPr>
                <w:rFonts w:cs="Arial"/>
                <w:color w:val="000000"/>
                <w:sz w:val="18"/>
                <w:szCs w:val="18"/>
              </w:rPr>
              <w:t>0.67</w:t>
            </w:r>
          </w:p>
        </w:tc>
        <w:tc>
          <w:tcPr>
            <w:tcW w:w="1560" w:type="dxa"/>
            <w:shd w:val="clear" w:color="auto" w:fill="auto"/>
            <w:noWrap/>
            <w:vAlign w:val="center"/>
            <w:hideMark/>
          </w:tcPr>
          <w:p w14:paraId="5B5B7CCA" w14:textId="33E8F8E9" w:rsidR="008E6A0D" w:rsidRPr="007913A4" w:rsidRDefault="008E6A0D" w:rsidP="008E6A0D">
            <w:pPr>
              <w:spacing w:before="0"/>
              <w:jc w:val="right"/>
              <w:rPr>
                <w:rFonts w:cs="Arial"/>
                <w:color w:val="000000"/>
                <w:sz w:val="18"/>
                <w:szCs w:val="18"/>
              </w:rPr>
            </w:pPr>
            <w:r w:rsidRPr="007D624E">
              <w:rPr>
                <w:rFonts w:cs="Arial"/>
                <w:color w:val="000000"/>
                <w:sz w:val="18"/>
                <w:szCs w:val="18"/>
              </w:rPr>
              <w:t>0.67</w:t>
            </w:r>
          </w:p>
        </w:tc>
      </w:tr>
      <w:tr w:rsidR="00FC3DB4" w:rsidRPr="007913A4" w14:paraId="36FF3779" w14:textId="77777777" w:rsidTr="002B39E4">
        <w:trPr>
          <w:trHeight w:val="439"/>
        </w:trPr>
        <w:tc>
          <w:tcPr>
            <w:tcW w:w="1598" w:type="dxa"/>
            <w:shd w:val="clear" w:color="000000" w:fill="EFD3D2"/>
            <w:noWrap/>
            <w:vAlign w:val="center"/>
            <w:hideMark/>
          </w:tcPr>
          <w:p w14:paraId="2C26DF72" w14:textId="77777777" w:rsidR="007913A4" w:rsidRPr="007913A4" w:rsidRDefault="007913A4" w:rsidP="007913A4">
            <w:pPr>
              <w:spacing w:before="0"/>
              <w:jc w:val="left"/>
              <w:rPr>
                <w:rFonts w:cs="Arial"/>
                <w:color w:val="000000"/>
                <w:sz w:val="18"/>
                <w:szCs w:val="18"/>
              </w:rPr>
            </w:pPr>
            <w:r w:rsidRPr="007913A4">
              <w:rPr>
                <w:rFonts w:cs="Arial"/>
                <w:color w:val="000000"/>
                <w:sz w:val="18"/>
                <w:szCs w:val="18"/>
              </w:rPr>
              <w:t>Seacare</w:t>
            </w:r>
            <w:r w:rsidR="00FC3DB4" w:rsidRPr="00FC3DB4">
              <w:rPr>
                <w:rFonts w:cs="Arial"/>
                <w:color w:val="000000"/>
                <w:sz w:val="18"/>
                <w:szCs w:val="18"/>
                <w:vertAlign w:val="superscript"/>
              </w:rPr>
              <w:t>(d)</w:t>
            </w:r>
          </w:p>
        </w:tc>
        <w:tc>
          <w:tcPr>
            <w:tcW w:w="1607" w:type="dxa"/>
            <w:shd w:val="clear" w:color="000000" w:fill="EFD3D2"/>
            <w:noWrap/>
            <w:vAlign w:val="center"/>
            <w:hideMark/>
          </w:tcPr>
          <w:p w14:paraId="6A56EA02" w14:textId="67D448EA" w:rsidR="007913A4" w:rsidRPr="007913A4" w:rsidRDefault="004566D4" w:rsidP="00FC3DB4">
            <w:pPr>
              <w:spacing w:before="0"/>
              <w:jc w:val="right"/>
              <w:rPr>
                <w:rFonts w:cs="Arial"/>
                <w:color w:val="000000"/>
                <w:sz w:val="18"/>
                <w:szCs w:val="18"/>
              </w:rPr>
            </w:pPr>
            <w:r>
              <w:rPr>
                <w:rFonts w:cs="Arial"/>
                <w:color w:val="000000"/>
                <w:sz w:val="18"/>
                <w:szCs w:val="18"/>
              </w:rPr>
              <w:t>u</w:t>
            </w:r>
            <w:r w:rsidR="007913A4" w:rsidRPr="007913A4">
              <w:rPr>
                <w:rFonts w:cs="Arial"/>
                <w:color w:val="000000"/>
                <w:sz w:val="18"/>
                <w:szCs w:val="18"/>
              </w:rPr>
              <w:t>navailable</w:t>
            </w:r>
          </w:p>
        </w:tc>
        <w:tc>
          <w:tcPr>
            <w:tcW w:w="1630" w:type="dxa"/>
            <w:shd w:val="clear" w:color="000000" w:fill="EFD3D2"/>
            <w:noWrap/>
            <w:vAlign w:val="center"/>
            <w:hideMark/>
          </w:tcPr>
          <w:p w14:paraId="235C4783" w14:textId="77777777" w:rsidR="007913A4" w:rsidRPr="007913A4" w:rsidRDefault="007913A4" w:rsidP="00FC3DB4">
            <w:pPr>
              <w:spacing w:before="0"/>
              <w:jc w:val="right"/>
              <w:rPr>
                <w:rFonts w:cs="Arial"/>
                <w:color w:val="000000"/>
                <w:sz w:val="18"/>
                <w:szCs w:val="18"/>
              </w:rPr>
            </w:pPr>
            <w:r w:rsidRPr="007913A4">
              <w:rPr>
                <w:rFonts w:cs="Arial"/>
                <w:color w:val="000000"/>
                <w:sz w:val="18"/>
                <w:szCs w:val="18"/>
              </w:rPr>
              <w:t>unavailable</w:t>
            </w:r>
          </w:p>
        </w:tc>
        <w:tc>
          <w:tcPr>
            <w:tcW w:w="1559" w:type="dxa"/>
            <w:shd w:val="clear" w:color="000000" w:fill="EFD3D2"/>
            <w:noWrap/>
            <w:vAlign w:val="center"/>
            <w:hideMark/>
          </w:tcPr>
          <w:p w14:paraId="26303EF0" w14:textId="77777777" w:rsidR="007913A4" w:rsidRPr="007913A4" w:rsidRDefault="007913A4" w:rsidP="00FC3DB4">
            <w:pPr>
              <w:spacing w:before="0"/>
              <w:jc w:val="right"/>
              <w:rPr>
                <w:rFonts w:cs="Arial"/>
                <w:color w:val="000000"/>
                <w:sz w:val="18"/>
                <w:szCs w:val="18"/>
              </w:rPr>
            </w:pPr>
            <w:r w:rsidRPr="007913A4">
              <w:rPr>
                <w:rFonts w:cs="Arial"/>
                <w:color w:val="000000"/>
                <w:sz w:val="18"/>
                <w:szCs w:val="18"/>
              </w:rPr>
              <w:t>unavailable</w:t>
            </w:r>
          </w:p>
        </w:tc>
        <w:tc>
          <w:tcPr>
            <w:tcW w:w="1559" w:type="dxa"/>
            <w:shd w:val="clear" w:color="000000" w:fill="EFD3D2"/>
            <w:noWrap/>
            <w:vAlign w:val="center"/>
            <w:hideMark/>
          </w:tcPr>
          <w:p w14:paraId="23EB4891" w14:textId="77777777" w:rsidR="007913A4" w:rsidRPr="007913A4" w:rsidRDefault="007913A4" w:rsidP="00FC3DB4">
            <w:pPr>
              <w:spacing w:before="0"/>
              <w:jc w:val="right"/>
              <w:rPr>
                <w:rFonts w:cs="Arial"/>
                <w:color w:val="000000"/>
                <w:sz w:val="18"/>
                <w:szCs w:val="18"/>
              </w:rPr>
            </w:pPr>
            <w:r w:rsidRPr="007913A4">
              <w:rPr>
                <w:rFonts w:cs="Arial"/>
                <w:color w:val="000000"/>
                <w:sz w:val="18"/>
                <w:szCs w:val="18"/>
              </w:rPr>
              <w:t>unavailable</w:t>
            </w:r>
          </w:p>
        </w:tc>
        <w:tc>
          <w:tcPr>
            <w:tcW w:w="1560" w:type="dxa"/>
            <w:shd w:val="clear" w:color="000000" w:fill="EFD3D2"/>
            <w:noWrap/>
            <w:vAlign w:val="center"/>
            <w:hideMark/>
          </w:tcPr>
          <w:p w14:paraId="144BB22D" w14:textId="77777777" w:rsidR="007913A4" w:rsidRPr="007913A4" w:rsidRDefault="007913A4" w:rsidP="00FC3DB4">
            <w:pPr>
              <w:spacing w:before="0"/>
              <w:jc w:val="right"/>
              <w:rPr>
                <w:rFonts w:cs="Arial"/>
                <w:color w:val="000000"/>
                <w:sz w:val="18"/>
                <w:szCs w:val="18"/>
              </w:rPr>
            </w:pPr>
            <w:r w:rsidRPr="007913A4">
              <w:rPr>
                <w:rFonts w:cs="Arial"/>
                <w:color w:val="000000"/>
                <w:sz w:val="18"/>
                <w:szCs w:val="18"/>
              </w:rPr>
              <w:t>unavailable</w:t>
            </w:r>
          </w:p>
        </w:tc>
      </w:tr>
      <w:tr w:rsidR="008E6A0D" w:rsidRPr="00FC3DB4" w14:paraId="09CD8215" w14:textId="77777777" w:rsidTr="008E6A0D">
        <w:trPr>
          <w:trHeight w:val="439"/>
        </w:trPr>
        <w:tc>
          <w:tcPr>
            <w:tcW w:w="1598" w:type="dxa"/>
            <w:shd w:val="clear" w:color="auto" w:fill="auto"/>
            <w:noWrap/>
            <w:vAlign w:val="center"/>
            <w:hideMark/>
          </w:tcPr>
          <w:p w14:paraId="77FFEF9A" w14:textId="77777777" w:rsidR="008E6A0D" w:rsidRPr="007913A4" w:rsidRDefault="008E6A0D" w:rsidP="008E6A0D">
            <w:pPr>
              <w:spacing w:before="0"/>
              <w:jc w:val="left"/>
              <w:rPr>
                <w:rFonts w:cs="Arial"/>
                <w:b/>
                <w:color w:val="000000"/>
                <w:sz w:val="18"/>
                <w:szCs w:val="18"/>
              </w:rPr>
            </w:pPr>
            <w:r w:rsidRPr="007913A4">
              <w:rPr>
                <w:rFonts w:cs="Arial"/>
                <w:b/>
                <w:color w:val="000000"/>
                <w:sz w:val="18"/>
                <w:szCs w:val="18"/>
              </w:rPr>
              <w:t>Australia</w:t>
            </w:r>
          </w:p>
        </w:tc>
        <w:tc>
          <w:tcPr>
            <w:tcW w:w="1607" w:type="dxa"/>
            <w:shd w:val="clear" w:color="auto" w:fill="auto"/>
            <w:noWrap/>
            <w:vAlign w:val="center"/>
            <w:hideMark/>
          </w:tcPr>
          <w:p w14:paraId="3097CE33" w14:textId="77777777" w:rsidR="008E6A0D" w:rsidRPr="007913A4" w:rsidRDefault="008E6A0D" w:rsidP="008E6A0D">
            <w:pPr>
              <w:spacing w:before="0"/>
              <w:jc w:val="right"/>
              <w:rPr>
                <w:rFonts w:cs="Arial"/>
                <w:b/>
                <w:color w:val="000000"/>
                <w:sz w:val="18"/>
                <w:szCs w:val="18"/>
              </w:rPr>
            </w:pPr>
            <w:r w:rsidRPr="007913A4">
              <w:rPr>
                <w:rFonts w:cs="Arial"/>
                <w:b/>
                <w:color w:val="000000"/>
                <w:sz w:val="18"/>
                <w:szCs w:val="18"/>
              </w:rPr>
              <w:t>1.</w:t>
            </w:r>
            <w:r>
              <w:rPr>
                <w:rFonts w:cs="Arial"/>
                <w:b/>
                <w:color w:val="000000"/>
                <w:sz w:val="18"/>
                <w:szCs w:val="18"/>
              </w:rPr>
              <w:t>29</w:t>
            </w:r>
          </w:p>
        </w:tc>
        <w:tc>
          <w:tcPr>
            <w:tcW w:w="1630" w:type="dxa"/>
            <w:shd w:val="clear" w:color="auto" w:fill="auto"/>
            <w:noWrap/>
            <w:vAlign w:val="center"/>
            <w:hideMark/>
          </w:tcPr>
          <w:p w14:paraId="4ACE39B1" w14:textId="0834D704" w:rsidR="008E6A0D" w:rsidRPr="007913A4" w:rsidRDefault="008E6A0D" w:rsidP="008E6A0D">
            <w:pPr>
              <w:spacing w:before="0"/>
              <w:jc w:val="right"/>
              <w:rPr>
                <w:rFonts w:cs="Arial"/>
                <w:b/>
                <w:color w:val="000000"/>
                <w:sz w:val="18"/>
                <w:szCs w:val="18"/>
              </w:rPr>
            </w:pPr>
            <w:r w:rsidRPr="008E6A0D">
              <w:rPr>
                <w:rFonts w:cs="Arial"/>
                <w:b/>
                <w:color w:val="000000"/>
                <w:sz w:val="18"/>
                <w:szCs w:val="18"/>
              </w:rPr>
              <w:t>1.29</w:t>
            </w:r>
          </w:p>
        </w:tc>
        <w:tc>
          <w:tcPr>
            <w:tcW w:w="1559" w:type="dxa"/>
            <w:shd w:val="clear" w:color="auto" w:fill="auto"/>
            <w:noWrap/>
            <w:vAlign w:val="center"/>
            <w:hideMark/>
          </w:tcPr>
          <w:p w14:paraId="648819DC" w14:textId="683F3FA7" w:rsidR="008E6A0D" w:rsidRPr="007913A4" w:rsidRDefault="008E6A0D" w:rsidP="008E6A0D">
            <w:pPr>
              <w:spacing w:before="0"/>
              <w:jc w:val="right"/>
              <w:rPr>
                <w:rFonts w:cs="Arial"/>
                <w:b/>
                <w:color w:val="000000"/>
                <w:sz w:val="18"/>
                <w:szCs w:val="18"/>
              </w:rPr>
            </w:pPr>
            <w:r w:rsidRPr="008E6A0D">
              <w:rPr>
                <w:rFonts w:cs="Arial"/>
                <w:b/>
                <w:color w:val="000000"/>
                <w:sz w:val="18"/>
                <w:szCs w:val="18"/>
              </w:rPr>
              <w:t>1.</w:t>
            </w:r>
            <w:r w:rsidR="005A53C9">
              <w:rPr>
                <w:rFonts w:cs="Arial"/>
                <w:b/>
                <w:color w:val="000000"/>
                <w:sz w:val="18"/>
                <w:szCs w:val="18"/>
              </w:rPr>
              <w:t>32</w:t>
            </w:r>
          </w:p>
        </w:tc>
        <w:tc>
          <w:tcPr>
            <w:tcW w:w="1559" w:type="dxa"/>
            <w:shd w:val="clear" w:color="auto" w:fill="auto"/>
            <w:noWrap/>
            <w:vAlign w:val="center"/>
            <w:hideMark/>
          </w:tcPr>
          <w:p w14:paraId="5454EF9A" w14:textId="5D79CBE6" w:rsidR="008E6A0D" w:rsidRPr="007913A4" w:rsidRDefault="008E6A0D" w:rsidP="008E6A0D">
            <w:pPr>
              <w:spacing w:before="0"/>
              <w:jc w:val="right"/>
              <w:rPr>
                <w:rFonts w:cs="Arial"/>
                <w:b/>
                <w:color w:val="000000"/>
                <w:sz w:val="18"/>
                <w:szCs w:val="18"/>
              </w:rPr>
            </w:pPr>
            <w:r w:rsidRPr="008E6A0D">
              <w:rPr>
                <w:rFonts w:cs="Arial"/>
                <w:b/>
                <w:color w:val="000000"/>
                <w:sz w:val="18"/>
                <w:szCs w:val="18"/>
              </w:rPr>
              <w:t>1.</w:t>
            </w:r>
            <w:r w:rsidR="005A53C9">
              <w:rPr>
                <w:rFonts w:cs="Arial"/>
                <w:b/>
                <w:color w:val="000000"/>
                <w:sz w:val="18"/>
                <w:szCs w:val="18"/>
              </w:rPr>
              <w:t>31</w:t>
            </w:r>
          </w:p>
        </w:tc>
        <w:tc>
          <w:tcPr>
            <w:tcW w:w="1560" w:type="dxa"/>
            <w:shd w:val="clear" w:color="auto" w:fill="auto"/>
            <w:noWrap/>
            <w:vAlign w:val="center"/>
            <w:hideMark/>
          </w:tcPr>
          <w:p w14:paraId="5978C940" w14:textId="2490156A" w:rsidR="008E6A0D" w:rsidRPr="007913A4" w:rsidRDefault="005A53C9" w:rsidP="008E6A0D">
            <w:pPr>
              <w:spacing w:before="0"/>
              <w:jc w:val="right"/>
              <w:rPr>
                <w:rFonts w:cs="Arial"/>
                <w:b/>
                <w:color w:val="000000"/>
                <w:sz w:val="18"/>
                <w:szCs w:val="18"/>
              </w:rPr>
            </w:pPr>
            <w:r>
              <w:rPr>
                <w:rFonts w:cs="Arial"/>
                <w:b/>
                <w:color w:val="000000"/>
                <w:sz w:val="18"/>
                <w:szCs w:val="18"/>
              </w:rPr>
              <w:t>1.29</w:t>
            </w:r>
          </w:p>
        </w:tc>
      </w:tr>
      <w:tr w:rsidR="008E6A0D" w:rsidRPr="009125A7" w14:paraId="338809FD" w14:textId="77777777" w:rsidTr="008E6A0D">
        <w:trPr>
          <w:trHeight w:val="315"/>
        </w:trPr>
        <w:tc>
          <w:tcPr>
            <w:tcW w:w="1598" w:type="dxa"/>
            <w:shd w:val="clear" w:color="000000" w:fill="EFD3D2"/>
            <w:noWrap/>
            <w:vAlign w:val="center"/>
            <w:hideMark/>
          </w:tcPr>
          <w:p w14:paraId="2C040D56" w14:textId="77777777" w:rsidR="008E6A0D" w:rsidRPr="009125A7" w:rsidRDefault="008E6A0D" w:rsidP="008E6A0D">
            <w:pPr>
              <w:spacing w:before="0"/>
              <w:jc w:val="left"/>
              <w:rPr>
                <w:rFonts w:cs="Arial"/>
                <w:color w:val="000000"/>
                <w:sz w:val="18"/>
                <w:szCs w:val="18"/>
              </w:rPr>
            </w:pPr>
            <w:r w:rsidRPr="009125A7">
              <w:rPr>
                <w:rFonts w:cs="Arial"/>
                <w:color w:val="000000"/>
                <w:sz w:val="18"/>
                <w:szCs w:val="18"/>
              </w:rPr>
              <w:t>NZ</w:t>
            </w:r>
          </w:p>
        </w:tc>
        <w:tc>
          <w:tcPr>
            <w:tcW w:w="1607" w:type="dxa"/>
            <w:shd w:val="clear" w:color="000000" w:fill="EFD3D2"/>
            <w:noWrap/>
            <w:vAlign w:val="center"/>
            <w:hideMark/>
          </w:tcPr>
          <w:p w14:paraId="32806E71" w14:textId="1A10AFB2" w:rsidR="008E6A0D" w:rsidRPr="009125A7" w:rsidRDefault="008E6A0D" w:rsidP="008E6A0D">
            <w:pPr>
              <w:spacing w:before="0"/>
              <w:jc w:val="right"/>
              <w:rPr>
                <w:rFonts w:cs="Arial"/>
                <w:color w:val="000000"/>
                <w:sz w:val="18"/>
                <w:szCs w:val="18"/>
              </w:rPr>
            </w:pPr>
            <w:r w:rsidRPr="009125A7">
              <w:rPr>
                <w:rFonts w:cs="Arial"/>
                <w:color w:val="000000"/>
                <w:sz w:val="18"/>
                <w:szCs w:val="18"/>
              </w:rPr>
              <w:t>0.75</w:t>
            </w:r>
          </w:p>
        </w:tc>
        <w:tc>
          <w:tcPr>
            <w:tcW w:w="1630" w:type="dxa"/>
            <w:shd w:val="clear" w:color="000000" w:fill="EFD3D2"/>
            <w:noWrap/>
            <w:vAlign w:val="center"/>
            <w:hideMark/>
          </w:tcPr>
          <w:p w14:paraId="0419A27F" w14:textId="6E297749" w:rsidR="008E6A0D" w:rsidRPr="009125A7" w:rsidRDefault="008E6A0D" w:rsidP="008E6A0D">
            <w:pPr>
              <w:spacing w:before="0"/>
              <w:jc w:val="right"/>
              <w:rPr>
                <w:rFonts w:cs="Arial"/>
                <w:color w:val="000000"/>
                <w:sz w:val="18"/>
                <w:szCs w:val="18"/>
              </w:rPr>
            </w:pPr>
            <w:r w:rsidRPr="009125A7">
              <w:rPr>
                <w:rFonts w:cs="Arial"/>
                <w:color w:val="000000"/>
                <w:sz w:val="18"/>
                <w:szCs w:val="18"/>
              </w:rPr>
              <w:t>0.68</w:t>
            </w:r>
          </w:p>
        </w:tc>
        <w:tc>
          <w:tcPr>
            <w:tcW w:w="1559" w:type="dxa"/>
            <w:shd w:val="clear" w:color="000000" w:fill="EFD3D2"/>
            <w:noWrap/>
            <w:vAlign w:val="center"/>
            <w:hideMark/>
          </w:tcPr>
          <w:p w14:paraId="667B9383" w14:textId="47D22C9F" w:rsidR="008E6A0D" w:rsidRPr="009125A7" w:rsidRDefault="008E6A0D" w:rsidP="008E6A0D">
            <w:pPr>
              <w:spacing w:before="0"/>
              <w:jc w:val="right"/>
              <w:rPr>
                <w:rFonts w:cs="Arial"/>
                <w:color w:val="000000"/>
                <w:sz w:val="18"/>
                <w:szCs w:val="18"/>
              </w:rPr>
            </w:pPr>
            <w:r w:rsidRPr="009125A7">
              <w:rPr>
                <w:rFonts w:cs="Arial"/>
                <w:color w:val="000000"/>
                <w:sz w:val="18"/>
                <w:szCs w:val="18"/>
              </w:rPr>
              <w:t>0.58</w:t>
            </w:r>
          </w:p>
        </w:tc>
        <w:tc>
          <w:tcPr>
            <w:tcW w:w="1559" w:type="dxa"/>
            <w:shd w:val="clear" w:color="000000" w:fill="EFD3D2"/>
            <w:noWrap/>
            <w:vAlign w:val="center"/>
            <w:hideMark/>
          </w:tcPr>
          <w:p w14:paraId="2DD6FD54" w14:textId="4B774CB0" w:rsidR="008E6A0D" w:rsidRPr="009125A7" w:rsidRDefault="008E6A0D" w:rsidP="008E6A0D">
            <w:pPr>
              <w:spacing w:before="0"/>
              <w:jc w:val="right"/>
              <w:rPr>
                <w:rFonts w:cs="Arial"/>
                <w:color w:val="000000"/>
                <w:sz w:val="18"/>
                <w:szCs w:val="18"/>
              </w:rPr>
            </w:pPr>
            <w:r w:rsidRPr="009125A7">
              <w:rPr>
                <w:rFonts w:cs="Arial"/>
                <w:color w:val="000000"/>
                <w:sz w:val="18"/>
                <w:szCs w:val="18"/>
              </w:rPr>
              <w:t>0.58</w:t>
            </w:r>
          </w:p>
        </w:tc>
        <w:tc>
          <w:tcPr>
            <w:tcW w:w="1560" w:type="dxa"/>
            <w:shd w:val="clear" w:color="000000" w:fill="EFD3D2"/>
            <w:noWrap/>
            <w:vAlign w:val="center"/>
            <w:hideMark/>
          </w:tcPr>
          <w:p w14:paraId="2BC15935" w14:textId="4F344585" w:rsidR="008E6A0D" w:rsidRPr="009125A7" w:rsidRDefault="008E6A0D" w:rsidP="008E6A0D">
            <w:pPr>
              <w:spacing w:before="0"/>
              <w:jc w:val="right"/>
              <w:rPr>
                <w:rFonts w:cs="Arial"/>
                <w:color w:val="000000"/>
                <w:sz w:val="18"/>
                <w:szCs w:val="18"/>
              </w:rPr>
            </w:pPr>
            <w:r w:rsidRPr="009125A7">
              <w:rPr>
                <w:rFonts w:cs="Arial"/>
                <w:color w:val="000000"/>
                <w:sz w:val="18"/>
                <w:szCs w:val="18"/>
              </w:rPr>
              <w:t>0.54</w:t>
            </w:r>
          </w:p>
        </w:tc>
      </w:tr>
    </w:tbl>
    <w:p w14:paraId="04F4108C" w14:textId="77777777" w:rsidR="00FC3DB4" w:rsidRDefault="00FC3DB4" w:rsidP="00B734CC">
      <w:pPr>
        <w:suppressAutoHyphens/>
        <w:autoSpaceDE w:val="0"/>
        <w:autoSpaceDN w:val="0"/>
        <w:adjustRightInd w:val="0"/>
        <w:spacing w:before="0"/>
        <w:textAlignment w:val="center"/>
        <w:rPr>
          <w:rFonts w:eastAsiaTheme="minorHAnsi" w:cs="Arial"/>
          <w:color w:val="000000"/>
          <w:sz w:val="16"/>
          <w:szCs w:val="16"/>
          <w:lang w:val="en-US" w:eastAsia="en-US"/>
        </w:rPr>
      </w:pPr>
    </w:p>
    <w:p w14:paraId="0AE33BCE"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 xml:space="preserve">(a) Total of adjusted premium for insured sector plus calculated premium for self-insured sector. </w:t>
      </w:r>
    </w:p>
    <w:p w14:paraId="487C8A1C"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 xml:space="preserve">(b) The NSW average premium rates also include the dust diseases levy which is not part of the New South Wales scheme but is payable by employers in that State. </w:t>
      </w:r>
    </w:p>
    <w:p w14:paraId="4A0736E2"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(c) Queensland includes stamp duty levied at a rate of 5</w:t>
      </w:r>
      <w:r w:rsidR="000B150E">
        <w:rPr>
          <w:rFonts w:eastAsiaTheme="minorHAnsi" w:cs="Arial"/>
          <w:color w:val="000000"/>
          <w:sz w:val="16"/>
          <w:szCs w:val="16"/>
          <w:lang w:val="en-US" w:eastAsia="en-US"/>
        </w:rPr>
        <w:t>%</w:t>
      </w:r>
      <w:r w:rsidRPr="00B734CC">
        <w:rPr>
          <w:rFonts w:eastAsiaTheme="minorHAnsi" w:cs="Arial"/>
          <w:color w:val="000000"/>
          <w:sz w:val="16"/>
          <w:szCs w:val="16"/>
          <w:lang w:val="en-US" w:eastAsia="en-US"/>
        </w:rPr>
        <w:t xml:space="preserve"> of the premium including GST. </w:t>
      </w:r>
    </w:p>
    <w:p w14:paraId="222B71F9" w14:textId="6CCB3042" w:rsidR="00B734CC" w:rsidRPr="00B734CC"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(d) Note that there are no self-insurers in the Seacare scheme.</w:t>
      </w:r>
    </w:p>
    <w:p w14:paraId="6B742C5F" w14:textId="77777777" w:rsidR="008937C2" w:rsidRDefault="008937C2">
      <w:pPr>
        <w:spacing w:before="0" w:after="200" w:line="276" w:lineRule="auto"/>
        <w:jc w:val="left"/>
        <w:rPr>
          <w:rFonts w:eastAsiaTheme="majorEastAsia" w:cs="Arial"/>
          <w:b/>
          <w:color w:val="AF1E2D"/>
          <w:sz w:val="34"/>
          <w:szCs w:val="22"/>
        </w:rPr>
      </w:pPr>
      <w:bookmarkStart w:id="90" w:name="_Toc80289701"/>
      <w:r>
        <w:br w:type="page"/>
      </w:r>
    </w:p>
    <w:p w14:paraId="0FB1D1D9" w14:textId="163BD6C7" w:rsidR="006F15AC" w:rsidRDefault="006F15AC" w:rsidP="007240E7">
      <w:pPr>
        <w:pStyle w:val="SWASectionnumberingheading"/>
        <w:numPr>
          <w:ilvl w:val="0"/>
          <w:numId w:val="0"/>
        </w:numPr>
        <w:spacing w:before="120" w:after="120"/>
      </w:pPr>
      <w:bookmarkStart w:id="91" w:name="_Toc80972088"/>
      <w:r>
        <w:lastRenderedPageBreak/>
        <w:t xml:space="preserve">Appendix </w:t>
      </w:r>
      <w:r w:rsidR="009C6290">
        <w:t>2</w:t>
      </w:r>
      <w:r>
        <w:t xml:space="preserve"> – Jurisdictional contact information</w:t>
      </w:r>
      <w:bookmarkEnd w:id="90"/>
      <w:bookmarkEnd w:id="91"/>
      <w:r w:rsidR="008623D6">
        <w:t xml:space="preserve"> </w:t>
      </w:r>
    </w:p>
    <w:tbl>
      <w:tblPr>
        <w:tblStyle w:val="LightShading-Accent2"/>
        <w:tblW w:w="5079"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9"/>
        <w:gridCol w:w="3525"/>
        <w:gridCol w:w="3120"/>
      </w:tblGrid>
      <w:tr w:rsidR="00623783" w:rsidRPr="001928BE" w14:paraId="1E069CC5" w14:textId="77777777" w:rsidTr="0062378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pct"/>
          </w:tcPr>
          <w:p w14:paraId="544ED1A3" w14:textId="77777777" w:rsidR="00623783" w:rsidRPr="001928BE" w:rsidRDefault="00623783" w:rsidP="00CE1687">
            <w:pPr>
              <w:spacing w:before="40" w:after="40"/>
              <w:ind w:left="113"/>
              <w:jc w:val="center"/>
              <w:rPr>
                <w:rFonts w:cs="Arial"/>
                <w:szCs w:val="20"/>
              </w:rPr>
            </w:pPr>
            <w:r w:rsidRPr="001928BE">
              <w:rPr>
                <w:rFonts w:cs="Arial"/>
                <w:szCs w:val="20"/>
              </w:rPr>
              <w:t>Jurisdiction</w:t>
            </w:r>
          </w:p>
        </w:tc>
        <w:tc>
          <w:tcPr>
            <w:tcW w:w="1856" w:type="pct"/>
          </w:tcPr>
          <w:p w14:paraId="6ECD37A6" w14:textId="77777777" w:rsidR="00623783" w:rsidRPr="001928BE" w:rsidRDefault="00623783" w:rsidP="00CE168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43" w:type="pct"/>
          </w:tcPr>
          <w:p w14:paraId="51DCC88D" w14:textId="77777777" w:rsidR="00623783" w:rsidRPr="001928BE" w:rsidRDefault="00623783" w:rsidP="00CE168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B101B1" w:rsidRPr="001928BE" w14:paraId="075DB7AE" w14:textId="77777777" w:rsidTr="00623783">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500" w:type="pct"/>
          </w:tcPr>
          <w:p w14:paraId="7EB8F958" w14:textId="77777777" w:rsidR="00B101B1" w:rsidRPr="001928BE" w:rsidRDefault="00B101B1" w:rsidP="00B101B1">
            <w:pPr>
              <w:spacing w:before="40" w:after="40"/>
              <w:jc w:val="left"/>
              <w:rPr>
                <w:rFonts w:cs="Arial"/>
                <w:szCs w:val="20"/>
              </w:rPr>
            </w:pPr>
            <w:r w:rsidRPr="001928BE">
              <w:rPr>
                <w:rFonts w:cs="Arial"/>
                <w:szCs w:val="20"/>
              </w:rPr>
              <w:t>New South Wales</w:t>
            </w:r>
          </w:p>
          <w:p w14:paraId="1942A5A0" w14:textId="77777777" w:rsidR="00B101B1" w:rsidRPr="001928BE" w:rsidRDefault="00B101B1" w:rsidP="00B101B1">
            <w:pPr>
              <w:spacing w:before="40" w:after="40"/>
              <w:jc w:val="left"/>
              <w:rPr>
                <w:rFonts w:cs="Arial"/>
                <w:szCs w:val="20"/>
              </w:rPr>
            </w:pPr>
          </w:p>
          <w:p w14:paraId="2CD899F5" w14:textId="77777777" w:rsidR="00B101B1" w:rsidRPr="001928BE" w:rsidRDefault="00B101B1" w:rsidP="00B101B1">
            <w:pPr>
              <w:spacing w:before="40" w:after="40"/>
              <w:jc w:val="left"/>
              <w:rPr>
                <w:rFonts w:cs="Arial"/>
                <w:szCs w:val="20"/>
              </w:rPr>
            </w:pPr>
          </w:p>
        </w:tc>
        <w:tc>
          <w:tcPr>
            <w:tcW w:w="1856" w:type="pct"/>
          </w:tcPr>
          <w:p w14:paraId="0C9713A4"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1AD92092"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6C3380A"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A49978C"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5447AD60"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CD31BB5"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9DAD4C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4B22CBC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0F1B066"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308F79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icare NSW</w:t>
            </w:r>
          </w:p>
        </w:tc>
        <w:tc>
          <w:tcPr>
            <w:tcW w:w="1643" w:type="pct"/>
          </w:tcPr>
          <w:p w14:paraId="02F5601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1A745781" w14:textId="77777777" w:rsidR="00B101B1" w:rsidRPr="001928BE" w:rsidRDefault="0081586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50" w:history="1">
              <w:r w:rsidR="00B101B1" w:rsidRPr="001928BE">
                <w:rPr>
                  <w:rStyle w:val="Hyperlink"/>
                  <w:rFonts w:eastAsiaTheme="majorEastAsia" w:cs="Arial"/>
                  <w:color w:val="000000" w:themeColor="text1"/>
                  <w:szCs w:val="20"/>
                </w:rPr>
                <w:t>contact@sira.nsw.gov.au</w:t>
              </w:r>
            </w:hyperlink>
          </w:p>
          <w:p w14:paraId="7C4DC116" w14:textId="77777777" w:rsidR="00B101B1" w:rsidRPr="001928BE" w:rsidRDefault="0081586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51" w:tooltip="Link to State Insurance Regulatory Authority NSW website" w:history="1">
              <w:r w:rsidR="00B101B1" w:rsidRPr="001928BE">
                <w:rPr>
                  <w:rStyle w:val="Hyperlink"/>
                  <w:rFonts w:eastAsiaTheme="majorEastAsia" w:cs="Arial"/>
                  <w:color w:val="000000" w:themeColor="text1"/>
                  <w:szCs w:val="20"/>
                </w:rPr>
                <w:t>www.sira.nsw.gov.au</w:t>
              </w:r>
            </w:hyperlink>
          </w:p>
          <w:p w14:paraId="4DF555F0" w14:textId="77777777" w:rsidR="00B101B1" w:rsidRPr="003D6109" w:rsidRDefault="00B101B1"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57EEB63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BD180F8" w14:textId="77777777"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2" w:tooltip="SafeWork NSW website" w:history="1">
              <w:r w:rsidR="00B101B1" w:rsidRPr="001928BE">
                <w:rPr>
                  <w:rStyle w:val="Hyperlink"/>
                  <w:rFonts w:eastAsiaTheme="majorEastAsia" w:cs="Arial"/>
                  <w:color w:val="000000" w:themeColor="text1"/>
                  <w:szCs w:val="20"/>
                </w:rPr>
                <w:t>www.safework.nsw.gov.au</w:t>
              </w:r>
            </w:hyperlink>
          </w:p>
          <w:p w14:paraId="2F4DA940"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5162B92A"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36673F2" w14:textId="77777777"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3" w:history="1">
              <w:r w:rsidR="00B101B1" w:rsidRPr="001928BE">
                <w:rPr>
                  <w:rStyle w:val="Hyperlink"/>
                  <w:rFonts w:eastAsiaTheme="majorEastAsia" w:cs="Arial"/>
                  <w:color w:val="000000" w:themeColor="text1"/>
                  <w:szCs w:val="20"/>
                </w:rPr>
                <w:t>www.pi.nsw.gov.au</w:t>
              </w:r>
            </w:hyperlink>
          </w:p>
          <w:p w14:paraId="1C7AF624"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52439FFE" w14:textId="344173C8"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4" w:history="1">
              <w:r w:rsidR="00B101B1" w:rsidRPr="001928BE">
                <w:rPr>
                  <w:rStyle w:val="Hyperlink"/>
                  <w:rFonts w:eastAsiaTheme="majorEastAsia" w:cs="Arial"/>
                  <w:color w:val="000000" w:themeColor="text1"/>
                  <w:szCs w:val="20"/>
                </w:rPr>
                <w:t>www.icare.nsw.gov.au</w:t>
              </w:r>
            </w:hyperlink>
          </w:p>
        </w:tc>
      </w:tr>
      <w:tr w:rsidR="00B101B1" w:rsidRPr="001928BE" w14:paraId="571F55DB" w14:textId="77777777" w:rsidTr="00623783">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00" w:type="pct"/>
          </w:tcPr>
          <w:p w14:paraId="315C50F9" w14:textId="77777777" w:rsidR="00B101B1" w:rsidRPr="001928BE" w:rsidRDefault="00B101B1" w:rsidP="00B101B1">
            <w:pPr>
              <w:spacing w:before="40" w:after="40"/>
              <w:jc w:val="left"/>
              <w:rPr>
                <w:rFonts w:cs="Arial"/>
                <w:szCs w:val="20"/>
              </w:rPr>
            </w:pPr>
            <w:r w:rsidRPr="001928BE">
              <w:rPr>
                <w:rFonts w:cs="Arial"/>
                <w:szCs w:val="20"/>
              </w:rPr>
              <w:t>Victoria</w:t>
            </w:r>
          </w:p>
        </w:tc>
        <w:tc>
          <w:tcPr>
            <w:tcW w:w="1856" w:type="pct"/>
          </w:tcPr>
          <w:p w14:paraId="3D9B343A"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43" w:type="pct"/>
          </w:tcPr>
          <w:p w14:paraId="7B862A68"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515E4DF" w14:textId="77777777" w:rsidR="00B101B1" w:rsidRPr="001928BE" w:rsidRDefault="0081586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55" w:history="1">
              <w:r w:rsidR="00B101B1" w:rsidRPr="001928BE">
                <w:rPr>
                  <w:rStyle w:val="Hyperlink"/>
                  <w:rFonts w:eastAsiaTheme="majorEastAsia" w:cs="Arial"/>
                  <w:color w:val="000000" w:themeColor="text1"/>
                  <w:szCs w:val="20"/>
                </w:rPr>
                <w:t>info@worksafe.vic.gov.au</w:t>
              </w:r>
            </w:hyperlink>
          </w:p>
          <w:p w14:paraId="613F5EA9" w14:textId="13FA1A0D" w:rsidR="00B101B1" w:rsidRPr="001928BE" w:rsidRDefault="0081586F"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56" w:tooltip="Link to WorkSafe Victoria website" w:history="1">
              <w:r w:rsidR="00B101B1" w:rsidRPr="001928BE">
                <w:rPr>
                  <w:rStyle w:val="Hyperlink"/>
                  <w:rFonts w:eastAsiaTheme="majorEastAsia" w:cs="Arial"/>
                  <w:color w:val="000000" w:themeColor="text1"/>
                  <w:szCs w:val="20"/>
                </w:rPr>
                <w:t>www.worksafe.vic.gov.au</w:t>
              </w:r>
            </w:hyperlink>
          </w:p>
        </w:tc>
      </w:tr>
      <w:tr w:rsidR="00B101B1" w:rsidRPr="001928BE" w14:paraId="3B3F3947" w14:textId="77777777" w:rsidTr="0062378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00" w:type="pct"/>
          </w:tcPr>
          <w:p w14:paraId="682D91F1" w14:textId="77777777" w:rsidR="00B101B1" w:rsidRPr="001928BE" w:rsidRDefault="00B101B1" w:rsidP="00B101B1">
            <w:pPr>
              <w:spacing w:before="40" w:after="40"/>
              <w:jc w:val="left"/>
              <w:rPr>
                <w:rFonts w:cs="Arial"/>
                <w:szCs w:val="20"/>
              </w:rPr>
            </w:pPr>
            <w:r w:rsidRPr="001928BE">
              <w:rPr>
                <w:rFonts w:cs="Arial"/>
                <w:szCs w:val="20"/>
              </w:rPr>
              <w:t>Queensland</w:t>
            </w:r>
          </w:p>
        </w:tc>
        <w:tc>
          <w:tcPr>
            <w:tcW w:w="1856" w:type="pct"/>
          </w:tcPr>
          <w:p w14:paraId="3744AD28"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43" w:type="pct"/>
          </w:tcPr>
          <w:p w14:paraId="5A97A04A"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68E1D898" w14:textId="05ED0B2E"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7" w:history="1">
              <w:r w:rsidR="00B101B1" w:rsidRPr="001928BE">
                <w:rPr>
                  <w:rStyle w:val="Hyperlink"/>
                  <w:rFonts w:eastAsiaTheme="majorEastAsia" w:cs="Arial"/>
                  <w:color w:val="000000" w:themeColor="text1"/>
                  <w:szCs w:val="20"/>
                </w:rPr>
                <w:t>www.worksafe.qld.gov.au</w:t>
              </w:r>
            </w:hyperlink>
          </w:p>
        </w:tc>
      </w:tr>
      <w:tr w:rsidR="00B101B1" w:rsidRPr="001928BE" w14:paraId="28B8DCE1" w14:textId="77777777" w:rsidTr="00623783">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500" w:type="pct"/>
          </w:tcPr>
          <w:p w14:paraId="03852E84" w14:textId="77777777" w:rsidR="00B101B1" w:rsidRPr="001928BE" w:rsidRDefault="00B101B1" w:rsidP="00B101B1">
            <w:pPr>
              <w:spacing w:before="40" w:after="40"/>
              <w:jc w:val="left"/>
              <w:rPr>
                <w:rFonts w:cs="Arial"/>
                <w:szCs w:val="20"/>
              </w:rPr>
            </w:pPr>
            <w:r w:rsidRPr="001928BE">
              <w:rPr>
                <w:rFonts w:cs="Arial"/>
                <w:szCs w:val="20"/>
              </w:rPr>
              <w:t>Western Australia</w:t>
            </w:r>
          </w:p>
        </w:tc>
        <w:tc>
          <w:tcPr>
            <w:tcW w:w="1856" w:type="pct"/>
          </w:tcPr>
          <w:p w14:paraId="275629A3"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WorkCover WA</w:t>
            </w:r>
          </w:p>
          <w:p w14:paraId="2F882816" w14:textId="77777777" w:rsidR="00B101B1"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15768D9D" w14:textId="77777777" w:rsidR="00B101B1" w:rsidRPr="003D6109"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00238DAA"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43" w:type="pct"/>
          </w:tcPr>
          <w:p w14:paraId="38FBA738"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294AE849" w14:textId="77777777" w:rsidR="00B101B1" w:rsidRDefault="0081586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58" w:tooltip="Link to WorkCover WA website" w:history="1">
              <w:r w:rsidR="00B101B1" w:rsidRPr="001928BE">
                <w:rPr>
                  <w:rStyle w:val="Hyperlink"/>
                  <w:rFonts w:eastAsiaTheme="majorEastAsia" w:cs="Arial"/>
                  <w:color w:val="000000" w:themeColor="text1"/>
                  <w:szCs w:val="20"/>
                </w:rPr>
                <w:t>www.workcover.wa.gov.au</w:t>
              </w:r>
            </w:hyperlink>
          </w:p>
          <w:p w14:paraId="39BE034C" w14:textId="77777777" w:rsidR="00B101B1" w:rsidRPr="003D6109" w:rsidRDefault="00B101B1"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49915F17"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3544BAA3" w14:textId="68F9BF15" w:rsidR="00B101B1" w:rsidRPr="001928BE" w:rsidRDefault="0081586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59" w:tooltip="Link to Department of Mines, Industry Regulation and Safety– WorkSafe website" w:history="1">
              <w:r w:rsidR="00B101B1" w:rsidRPr="001928BE">
                <w:rPr>
                  <w:rStyle w:val="Hyperlink"/>
                  <w:rFonts w:eastAsiaTheme="majorEastAsia" w:cs="Arial"/>
                  <w:color w:val="000000" w:themeColor="text1"/>
                  <w:szCs w:val="20"/>
                </w:rPr>
                <w:t>www.dmirs.wa.gov.au</w:t>
              </w:r>
            </w:hyperlink>
          </w:p>
        </w:tc>
      </w:tr>
      <w:tr w:rsidR="00B101B1" w:rsidRPr="001928BE" w14:paraId="45F36685" w14:textId="77777777" w:rsidTr="00623783">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500" w:type="pct"/>
          </w:tcPr>
          <w:p w14:paraId="56FE5929" w14:textId="77777777" w:rsidR="00B101B1" w:rsidRPr="001928BE" w:rsidRDefault="00B101B1" w:rsidP="00B101B1">
            <w:pPr>
              <w:spacing w:before="40" w:after="40"/>
              <w:jc w:val="left"/>
              <w:rPr>
                <w:rFonts w:cs="Arial"/>
                <w:szCs w:val="20"/>
              </w:rPr>
            </w:pPr>
            <w:r w:rsidRPr="001928BE">
              <w:rPr>
                <w:rFonts w:cs="Arial"/>
                <w:szCs w:val="20"/>
              </w:rPr>
              <w:t>South Australia</w:t>
            </w:r>
          </w:p>
        </w:tc>
        <w:tc>
          <w:tcPr>
            <w:tcW w:w="1856" w:type="pct"/>
          </w:tcPr>
          <w:p w14:paraId="76AF674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ReturnToWorkSA</w:t>
            </w:r>
          </w:p>
          <w:p w14:paraId="421A6337" w14:textId="77777777" w:rsidR="00B101B1"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5D0D06"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1C96310"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43" w:type="pct"/>
          </w:tcPr>
          <w:p w14:paraId="231B36A4"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660BFBFB" w14:textId="77777777" w:rsidR="00B101B1" w:rsidRDefault="0081586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60" w:tooltip="Link to Return to Work SA website" w:history="1">
              <w:r w:rsidR="00B101B1" w:rsidRPr="001928BE">
                <w:rPr>
                  <w:rStyle w:val="Hyperlink"/>
                  <w:rFonts w:eastAsiaTheme="majorEastAsia" w:cs="Arial"/>
                  <w:color w:val="000000" w:themeColor="text1"/>
                  <w:szCs w:val="20"/>
                </w:rPr>
                <w:t>www.rtwsa.com</w:t>
              </w:r>
            </w:hyperlink>
          </w:p>
          <w:p w14:paraId="74CEB42E" w14:textId="77777777" w:rsidR="00B101B1" w:rsidRPr="003D6109" w:rsidRDefault="00B101B1"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38E34D6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331EF6EB" w14:textId="031D8300"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61" w:tooltip="Link to SafeWork SA website" w:history="1">
              <w:r w:rsidR="00B101B1" w:rsidRPr="001928BE">
                <w:rPr>
                  <w:rStyle w:val="Hyperlink"/>
                  <w:rFonts w:eastAsiaTheme="majorEastAsia" w:cs="Arial"/>
                  <w:color w:val="000000" w:themeColor="text1"/>
                  <w:szCs w:val="20"/>
                </w:rPr>
                <w:t>www.safework.sa.gov.au</w:t>
              </w:r>
            </w:hyperlink>
          </w:p>
        </w:tc>
      </w:tr>
      <w:tr w:rsidR="00B101B1" w:rsidRPr="001928BE" w14:paraId="741F9BC1" w14:textId="77777777" w:rsidTr="00623783">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500" w:type="pct"/>
          </w:tcPr>
          <w:p w14:paraId="25B0CB4B" w14:textId="77777777" w:rsidR="00B101B1" w:rsidRPr="001928BE" w:rsidRDefault="00B101B1" w:rsidP="00B101B1">
            <w:pPr>
              <w:spacing w:before="40" w:after="40"/>
              <w:jc w:val="left"/>
              <w:rPr>
                <w:rFonts w:cs="Arial"/>
                <w:szCs w:val="20"/>
              </w:rPr>
            </w:pPr>
            <w:r w:rsidRPr="001928BE">
              <w:rPr>
                <w:rFonts w:cs="Arial"/>
                <w:szCs w:val="20"/>
              </w:rPr>
              <w:t>Tasmania</w:t>
            </w:r>
          </w:p>
        </w:tc>
        <w:tc>
          <w:tcPr>
            <w:tcW w:w="1856" w:type="pct"/>
          </w:tcPr>
          <w:p w14:paraId="0A73C0F5"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43" w:type="pct"/>
          </w:tcPr>
          <w:p w14:paraId="489BAE3B"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1777DD16"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6C694BB0" w14:textId="77777777" w:rsidR="00B101B1" w:rsidRPr="001928BE" w:rsidRDefault="0081586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62" w:history="1">
              <w:r w:rsidR="00B101B1" w:rsidRPr="001928BE">
                <w:rPr>
                  <w:rStyle w:val="Hyperlink"/>
                  <w:rFonts w:eastAsiaTheme="majorEastAsia" w:cs="Arial"/>
                  <w:color w:val="000000" w:themeColor="text1"/>
                  <w:szCs w:val="20"/>
                </w:rPr>
                <w:t>wstinfo@justice.tas.gov.au</w:t>
              </w:r>
            </w:hyperlink>
          </w:p>
          <w:p w14:paraId="549BB29A" w14:textId="1E898FB5" w:rsidR="00B101B1" w:rsidRPr="001928BE" w:rsidRDefault="0081586F"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63" w:tooltip="Link to WorkSafe Tasmania website" w:history="1">
              <w:r w:rsidR="00B101B1" w:rsidRPr="001928BE">
                <w:rPr>
                  <w:rStyle w:val="Hyperlink"/>
                  <w:rFonts w:eastAsiaTheme="majorEastAsia" w:cs="Arial"/>
                  <w:color w:val="000000" w:themeColor="text1"/>
                  <w:szCs w:val="20"/>
                </w:rPr>
                <w:t>www.worksafe.tas.gov.au</w:t>
              </w:r>
            </w:hyperlink>
          </w:p>
        </w:tc>
      </w:tr>
      <w:tr w:rsidR="00B101B1" w:rsidRPr="001928BE" w14:paraId="3AE7DA60" w14:textId="77777777" w:rsidTr="00623783">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00" w:type="pct"/>
          </w:tcPr>
          <w:p w14:paraId="7BA724D5" w14:textId="77777777" w:rsidR="00B101B1" w:rsidRPr="001928BE" w:rsidRDefault="00B101B1" w:rsidP="00B101B1">
            <w:pPr>
              <w:spacing w:before="40" w:after="40"/>
              <w:jc w:val="left"/>
              <w:rPr>
                <w:rFonts w:cs="Arial"/>
                <w:szCs w:val="20"/>
              </w:rPr>
            </w:pPr>
            <w:r w:rsidRPr="001928BE">
              <w:rPr>
                <w:rFonts w:cs="Arial"/>
                <w:szCs w:val="20"/>
              </w:rPr>
              <w:t>Northern Territory</w:t>
            </w:r>
          </w:p>
        </w:tc>
        <w:tc>
          <w:tcPr>
            <w:tcW w:w="1856" w:type="pct"/>
          </w:tcPr>
          <w:p w14:paraId="563D0AF8"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43" w:type="pct"/>
          </w:tcPr>
          <w:p w14:paraId="1D95BE8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14BB576D" w14:textId="77777777" w:rsidR="00B101B1" w:rsidRPr="001928BE" w:rsidRDefault="0081586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64" w:history="1">
              <w:r w:rsidR="00B101B1" w:rsidRPr="001928BE">
                <w:rPr>
                  <w:rStyle w:val="Hyperlink"/>
                  <w:rFonts w:eastAsiaTheme="majorEastAsia" w:cs="Arial"/>
                  <w:color w:val="000000" w:themeColor="text1"/>
                  <w:szCs w:val="20"/>
                </w:rPr>
                <w:t>ntworksafe@nt.gov.au</w:t>
              </w:r>
            </w:hyperlink>
          </w:p>
          <w:p w14:paraId="346FAA5F" w14:textId="7215B946"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65" w:history="1">
              <w:r w:rsidR="00B101B1" w:rsidRPr="001928BE">
                <w:rPr>
                  <w:rStyle w:val="Hyperlink"/>
                  <w:rFonts w:eastAsiaTheme="majorEastAsia" w:cs="Arial"/>
                  <w:color w:val="000000" w:themeColor="text1"/>
                  <w:szCs w:val="20"/>
                </w:rPr>
                <w:t>www.worksafe.nt.gov.au</w:t>
              </w:r>
            </w:hyperlink>
          </w:p>
        </w:tc>
      </w:tr>
      <w:tr w:rsidR="00B101B1" w:rsidRPr="001928BE" w14:paraId="32D666CD" w14:textId="77777777" w:rsidTr="00623783">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00" w:type="pct"/>
          </w:tcPr>
          <w:p w14:paraId="6BB162DF" w14:textId="77777777" w:rsidR="00B101B1" w:rsidRPr="001928BE" w:rsidRDefault="00B101B1" w:rsidP="00B101B1">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56" w:type="pct"/>
          </w:tcPr>
          <w:p w14:paraId="0F2B0897" w14:textId="77777777" w:rsidR="00B101B1" w:rsidRPr="001928BE" w:rsidRDefault="00B101B1" w:rsidP="00B101B1">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43" w:type="pct"/>
          </w:tcPr>
          <w:p w14:paraId="13F875ED" w14:textId="77777777" w:rsidR="00B101B1" w:rsidRPr="001928BE" w:rsidRDefault="00B101B1" w:rsidP="00B101B1">
            <w:pPr>
              <w:spacing w:before="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5ADEDD23" w14:textId="3DD0D13A" w:rsidR="00B101B1" w:rsidRPr="001928BE" w:rsidRDefault="0081586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66" w:history="1">
              <w:r w:rsidR="00B101B1" w:rsidRPr="001928BE">
                <w:rPr>
                  <w:rStyle w:val="Hyperlink"/>
                  <w:rFonts w:eastAsiaTheme="majorEastAsia" w:cs="Arial"/>
                  <w:color w:val="000000" w:themeColor="text1"/>
                  <w:szCs w:val="20"/>
                </w:rPr>
                <w:t>www.worksafe.act.gov.au</w:t>
              </w:r>
            </w:hyperlink>
          </w:p>
        </w:tc>
      </w:tr>
      <w:tr w:rsidR="00B101B1" w:rsidRPr="001928BE" w14:paraId="159676B0" w14:textId="77777777" w:rsidTr="006237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00" w:type="pct"/>
          </w:tcPr>
          <w:p w14:paraId="663298AB" w14:textId="77777777" w:rsidR="00B101B1" w:rsidRPr="001928BE" w:rsidRDefault="00B101B1" w:rsidP="00B101B1">
            <w:pPr>
              <w:spacing w:before="40" w:after="40"/>
              <w:jc w:val="left"/>
              <w:rPr>
                <w:rFonts w:cs="Arial"/>
                <w:szCs w:val="20"/>
              </w:rPr>
            </w:pPr>
            <w:r w:rsidRPr="001928BE">
              <w:rPr>
                <w:rFonts w:cs="Arial"/>
                <w:szCs w:val="20"/>
              </w:rPr>
              <w:t>Seacare</w:t>
            </w:r>
          </w:p>
        </w:tc>
        <w:tc>
          <w:tcPr>
            <w:tcW w:w="1856" w:type="pct"/>
          </w:tcPr>
          <w:p w14:paraId="3E17BBED"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43" w:type="pct"/>
          </w:tcPr>
          <w:p w14:paraId="44251552"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5DAFC12E" w14:textId="77777777" w:rsidR="00B101B1" w:rsidRPr="001928BE" w:rsidRDefault="0081586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67" w:history="1">
              <w:r w:rsidR="00B101B1" w:rsidRPr="001928BE">
                <w:rPr>
                  <w:rStyle w:val="Hyperlink"/>
                  <w:rFonts w:eastAsiaTheme="majorEastAsia" w:cs="Arial"/>
                  <w:color w:val="000000" w:themeColor="text1"/>
                  <w:szCs w:val="20"/>
                </w:rPr>
                <w:t>seacare@comcare.gov.au</w:t>
              </w:r>
            </w:hyperlink>
          </w:p>
          <w:p w14:paraId="7C13905F" w14:textId="3A92EC1C"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68" w:tooltip="Link to Seacare Authority website" w:history="1">
              <w:r w:rsidR="00B101B1" w:rsidRPr="001928BE">
                <w:rPr>
                  <w:rStyle w:val="Hyperlink"/>
                  <w:rFonts w:eastAsiaTheme="majorEastAsia" w:cs="Arial"/>
                  <w:color w:val="000000" w:themeColor="text1"/>
                  <w:szCs w:val="20"/>
                </w:rPr>
                <w:t>www.seacare.gov.au</w:t>
              </w:r>
            </w:hyperlink>
          </w:p>
        </w:tc>
      </w:tr>
      <w:tr w:rsidR="00B101B1" w:rsidRPr="001928BE" w14:paraId="65A49F4C" w14:textId="77777777" w:rsidTr="00623783">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00" w:type="pct"/>
          </w:tcPr>
          <w:p w14:paraId="48540040" w14:textId="77777777" w:rsidR="00B101B1" w:rsidRPr="001928BE" w:rsidRDefault="00B101B1" w:rsidP="00B101B1">
            <w:pPr>
              <w:spacing w:before="40" w:after="40"/>
              <w:jc w:val="left"/>
              <w:rPr>
                <w:rFonts w:cs="Arial"/>
                <w:szCs w:val="20"/>
              </w:rPr>
            </w:pPr>
            <w:r w:rsidRPr="001928BE">
              <w:rPr>
                <w:rFonts w:cs="Arial"/>
                <w:szCs w:val="20"/>
              </w:rPr>
              <w:t>Australian Government</w:t>
            </w:r>
          </w:p>
        </w:tc>
        <w:tc>
          <w:tcPr>
            <w:tcW w:w="1856" w:type="pct"/>
          </w:tcPr>
          <w:p w14:paraId="599A6792"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43" w:type="pct"/>
          </w:tcPr>
          <w:p w14:paraId="0136716C"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53CFCAD1" w14:textId="20A9EA2B" w:rsidR="00B101B1" w:rsidRPr="001928BE" w:rsidRDefault="0081586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69" w:tooltip="Link to Comcare website" w:history="1">
              <w:r w:rsidR="00B101B1" w:rsidRPr="001928BE">
                <w:rPr>
                  <w:rStyle w:val="Hyperlink"/>
                  <w:rFonts w:eastAsiaTheme="majorEastAsia" w:cs="Arial"/>
                  <w:color w:val="000000" w:themeColor="text1"/>
                  <w:szCs w:val="20"/>
                </w:rPr>
                <w:t>www.comcare.gov.au</w:t>
              </w:r>
            </w:hyperlink>
          </w:p>
        </w:tc>
      </w:tr>
      <w:tr w:rsidR="00B101B1" w:rsidRPr="001928BE" w14:paraId="3941D707" w14:textId="77777777" w:rsidTr="00623783">
        <w:trPr>
          <w:cnfStyle w:val="000000100000" w:firstRow="0" w:lastRow="0" w:firstColumn="0" w:lastColumn="0" w:oddVBand="0" w:evenVBand="0" w:oddHBand="1" w:evenHBand="0"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500" w:type="pct"/>
          </w:tcPr>
          <w:p w14:paraId="77800B9C" w14:textId="77777777" w:rsidR="00B101B1" w:rsidRPr="001928BE" w:rsidRDefault="00B101B1" w:rsidP="00B101B1">
            <w:pPr>
              <w:spacing w:before="40" w:after="40"/>
              <w:jc w:val="left"/>
              <w:rPr>
                <w:rFonts w:cs="Arial"/>
                <w:szCs w:val="20"/>
              </w:rPr>
            </w:pPr>
            <w:r w:rsidRPr="001928BE">
              <w:rPr>
                <w:rFonts w:cs="Arial"/>
                <w:szCs w:val="20"/>
              </w:rPr>
              <w:t>New Zealand</w:t>
            </w:r>
          </w:p>
        </w:tc>
        <w:tc>
          <w:tcPr>
            <w:tcW w:w="1856" w:type="pct"/>
          </w:tcPr>
          <w:p w14:paraId="064A5A2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6D726FF3"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A3DA3EE"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C6B59C" w14:textId="77777777" w:rsidR="00B101B1" w:rsidRPr="001928BE" w:rsidRDefault="00B101B1" w:rsidP="00B101B1">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43" w:type="pct"/>
          </w:tcPr>
          <w:p w14:paraId="77AA905D"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6571274C" w14:textId="77777777"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70" w:tooltip="Accident Compensation Corporation website" w:history="1">
              <w:r w:rsidR="00B101B1" w:rsidRPr="001928BE">
                <w:rPr>
                  <w:rStyle w:val="Hyperlinks"/>
                  <w:rFonts w:eastAsiaTheme="majorEastAsia" w:cs="Arial"/>
                  <w:color w:val="000000" w:themeColor="text1"/>
                  <w:szCs w:val="20"/>
                </w:rPr>
                <w:t>www.acc.co.nz</w:t>
              </w:r>
            </w:hyperlink>
          </w:p>
          <w:p w14:paraId="40FD793C"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 w:val="10"/>
                <w:szCs w:val="10"/>
              </w:rPr>
            </w:pPr>
          </w:p>
          <w:p w14:paraId="5720B87B"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38DE0A67" w14:textId="1D521DAE" w:rsidR="00B101B1" w:rsidRPr="001928BE" w:rsidRDefault="0081586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71" w:history="1">
              <w:r w:rsidR="00B101B1" w:rsidRPr="001928BE">
                <w:rPr>
                  <w:rStyle w:val="Hyperlinks"/>
                  <w:rFonts w:eastAsiaTheme="majorEastAsia" w:cs="Arial"/>
                  <w:color w:val="000000" w:themeColor="text1"/>
                  <w:szCs w:val="20"/>
                </w:rPr>
                <w:t>www.worksafe.govt.nz</w:t>
              </w:r>
            </w:hyperlink>
          </w:p>
        </w:tc>
      </w:tr>
    </w:tbl>
    <w:p w14:paraId="0671997A" w14:textId="77777777" w:rsidR="0032659F" w:rsidRPr="007240E7" w:rsidRDefault="0032659F" w:rsidP="007240E7">
      <w:pPr>
        <w:rPr>
          <w:sz w:val="2"/>
          <w:szCs w:val="2"/>
        </w:rPr>
      </w:pPr>
    </w:p>
    <w:sectPr w:rsidR="0032659F" w:rsidRPr="007240E7" w:rsidSect="00FA3BBC">
      <w:headerReference w:type="first" r:id="rId72"/>
      <w:pgSz w:w="11906" w:h="16838"/>
      <w:pgMar w:top="1440"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16CB3" w14:textId="77777777" w:rsidR="0081586F" w:rsidRDefault="0081586F" w:rsidP="003411E8">
      <w:r>
        <w:separator/>
      </w:r>
    </w:p>
  </w:endnote>
  <w:endnote w:type="continuationSeparator" w:id="0">
    <w:p w14:paraId="456FE53C" w14:textId="77777777" w:rsidR="0081586F" w:rsidRDefault="0081586F"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824724"/>
      <w:docPartObj>
        <w:docPartGallery w:val="Page Numbers (Bottom of Page)"/>
        <w:docPartUnique/>
      </w:docPartObj>
    </w:sdtPr>
    <w:sdtEndPr>
      <w:rPr>
        <w:noProof/>
      </w:rPr>
    </w:sdtEndPr>
    <w:sdtContent>
      <w:p w14:paraId="57A2E338" w14:textId="09773B59" w:rsidR="00F85465" w:rsidRDefault="00F854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6DA24" w14:textId="77777777" w:rsidR="00F85465" w:rsidRDefault="00F8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526014"/>
      <w:docPartObj>
        <w:docPartGallery w:val="Page Numbers (Bottom of Page)"/>
        <w:docPartUnique/>
      </w:docPartObj>
    </w:sdtPr>
    <w:sdtEndPr>
      <w:rPr>
        <w:noProof/>
      </w:rPr>
    </w:sdtEndPr>
    <w:sdtContent>
      <w:p w14:paraId="4387B224" w14:textId="77777777" w:rsidR="00F85465" w:rsidRPr="00510E89" w:rsidRDefault="00F85465" w:rsidP="004D5E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997140"/>
      <w:docPartObj>
        <w:docPartGallery w:val="Page Numbers (Bottom of Page)"/>
        <w:docPartUnique/>
      </w:docPartObj>
    </w:sdtPr>
    <w:sdtEndPr>
      <w:rPr>
        <w:noProof/>
      </w:rPr>
    </w:sdtEndPr>
    <w:sdtContent>
      <w:p w14:paraId="6ED38C7E" w14:textId="77777777" w:rsidR="00F85465" w:rsidRPr="00FF48E0" w:rsidRDefault="00F85465" w:rsidP="00B94996">
        <w:pPr>
          <w:pStyle w:val="Footer"/>
        </w:pPr>
        <w:r w:rsidRPr="00FF48E0">
          <w:t>Comparative Performance Monitoring 18</w:t>
        </w:r>
        <w:r w:rsidRPr="00FF48E0">
          <w:rPr>
            <w:vertAlign w:val="superscript"/>
          </w:rPr>
          <w:t>th</w:t>
        </w:r>
        <w:r w:rsidRPr="00FF48E0">
          <w:t xml:space="preserve"> Edition</w:t>
        </w:r>
        <w:r>
          <w:t xml:space="preserve"> (revised July 2017)</w:t>
        </w:r>
        <w:r w:rsidRPr="00FF48E0">
          <w:tab/>
        </w:r>
        <w:r w:rsidRPr="00FF48E0">
          <w:fldChar w:fldCharType="begin"/>
        </w:r>
        <w:r w:rsidRPr="00FF48E0">
          <w:instrText xml:space="preserve"> PAGE   \* MERGEFORMAT </w:instrText>
        </w:r>
        <w:r w:rsidRPr="00FF48E0">
          <w:fldChar w:fldCharType="separate"/>
        </w:r>
        <w:r>
          <w:rPr>
            <w:noProof/>
          </w:rPr>
          <w:t>26</w:t>
        </w:r>
        <w:r w:rsidRPr="00FF48E0">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14E0" w14:textId="77777777" w:rsidR="00F85465" w:rsidRPr="00FF48E0" w:rsidRDefault="00F85465" w:rsidP="00B94996">
    <w:pPr>
      <w:pStyle w:val="Footer"/>
    </w:pPr>
    <w:r w:rsidRPr="00FF48E0">
      <w:tab/>
    </w:r>
    <w:r w:rsidRPr="00FF48E0">
      <w:tab/>
    </w:r>
    <w:sdt>
      <w:sdtPr>
        <w:id w:val="370356393"/>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9</w:t>
        </w:r>
        <w:r w:rsidRPr="00FF48E0">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D9386" w14:textId="77777777" w:rsidR="00F85465" w:rsidRPr="00483E56" w:rsidRDefault="00F85465" w:rsidP="004019E9">
    <w:pPr>
      <w:pStyle w:val="Footer"/>
    </w:pPr>
    <w:r>
      <w:tab/>
    </w:r>
    <w:r w:rsidRPr="00FF48E0">
      <w:tab/>
    </w:r>
    <w:sdt>
      <w:sdtPr>
        <w:id w:val="242619340"/>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8</w:t>
        </w:r>
        <w:r w:rsidRPr="00FF48E0">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8624" w14:textId="77777777" w:rsidR="00F85465" w:rsidRPr="00483E56" w:rsidRDefault="00F85465" w:rsidP="000F6210">
    <w:pPr>
      <w:pStyle w:val="Footer"/>
      <w:tabs>
        <w:tab w:val="clear" w:pos="4513"/>
        <w:tab w:val="clear" w:pos="9026"/>
        <w:tab w:val="center" w:pos="14175"/>
      </w:tabs>
    </w:pPr>
    <w:r>
      <w:tab/>
    </w:r>
    <w:sdt>
      <w:sdtPr>
        <w:id w:val="-1231995516"/>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10</w:t>
        </w:r>
        <w:r w:rsidRPr="00FF48E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E4DED" w14:textId="77777777" w:rsidR="0081586F" w:rsidRDefault="0081586F" w:rsidP="003411E8">
      <w:r>
        <w:separator/>
      </w:r>
    </w:p>
  </w:footnote>
  <w:footnote w:type="continuationSeparator" w:id="0">
    <w:p w14:paraId="28A33376" w14:textId="77777777" w:rsidR="0081586F" w:rsidRDefault="0081586F"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F42D" w14:textId="77777777" w:rsidR="00F85465" w:rsidRDefault="00F85465" w:rsidP="00C07BFE">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C15F6" w14:textId="77777777" w:rsidR="00F85465" w:rsidRDefault="00F85465" w:rsidP="00C07BFE">
    <w:pPr>
      <w:pStyle w:val="Header"/>
      <w:tabs>
        <w:tab w:val="left" w:pos="28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787B" w14:textId="77777777" w:rsidR="00F85465" w:rsidRPr="00FF48E0" w:rsidRDefault="00F85465" w:rsidP="00B94996">
    <w:pPr>
      <w:pStyle w:val="Header"/>
    </w:pPr>
    <w:r w:rsidRPr="00FF48E0">
      <w:t>Workers’ compensation scheme performance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13C31" w14:textId="77777777" w:rsidR="00F85465" w:rsidRPr="002148A2" w:rsidRDefault="00F85465" w:rsidP="00B949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4032" w14:textId="77777777" w:rsidR="00F85465" w:rsidRPr="000D6079" w:rsidRDefault="00F85465" w:rsidP="00B94996">
    <w:pPr>
      <w:pStyle w:val="HeaderChapterStar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2A02" w14:textId="77777777" w:rsidR="00F85465" w:rsidRDefault="00F85465"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B85"/>
    <w:multiLevelType w:val="hybridMultilevel"/>
    <w:tmpl w:val="34FC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4355E"/>
    <w:multiLevelType w:val="hybridMultilevel"/>
    <w:tmpl w:val="1A14C8FE"/>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5A634B"/>
    <w:multiLevelType w:val="hybridMultilevel"/>
    <w:tmpl w:val="EF8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61204"/>
    <w:multiLevelType w:val="hybridMultilevel"/>
    <w:tmpl w:val="A330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C5166"/>
    <w:multiLevelType w:val="hybridMultilevel"/>
    <w:tmpl w:val="EDF68C02"/>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1B427F"/>
    <w:multiLevelType w:val="hybridMultilevel"/>
    <w:tmpl w:val="7758015A"/>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67BE7"/>
    <w:multiLevelType w:val="hybridMultilevel"/>
    <w:tmpl w:val="6BF03E0C"/>
    <w:lvl w:ilvl="0" w:tplc="A09879D2">
      <w:start w:val="1"/>
      <w:numFmt w:val="lowerLetter"/>
      <w:pStyle w:val="Footnotecompressed"/>
      <w:lvlText w:val="(%1)"/>
      <w:lvlJc w:val="left"/>
      <w:pPr>
        <w:ind w:left="786"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8F22DD"/>
    <w:multiLevelType w:val="hybridMultilevel"/>
    <w:tmpl w:val="8784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1554B"/>
    <w:multiLevelType w:val="hybridMultilevel"/>
    <w:tmpl w:val="B1825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841FF"/>
    <w:multiLevelType w:val="multilevel"/>
    <w:tmpl w:val="306E4E4C"/>
    <w:lvl w:ilvl="0">
      <w:start w:val="1"/>
      <w:numFmt w:val="bullet"/>
      <w:pStyle w:val="Bullets1"/>
      <w:lvlText w:val=""/>
      <w:lvlJc w:val="left"/>
      <w:pPr>
        <w:tabs>
          <w:tab w:val="num" w:pos="568"/>
        </w:tabs>
        <w:ind w:left="994"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515F80"/>
    <w:multiLevelType w:val="hybridMultilevel"/>
    <w:tmpl w:val="0EE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A32CBE"/>
    <w:multiLevelType w:val="hybridMultilevel"/>
    <w:tmpl w:val="4168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0A27F3"/>
    <w:multiLevelType w:val="hybridMultilevel"/>
    <w:tmpl w:val="7DB6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0F53BD"/>
    <w:multiLevelType w:val="hybridMultilevel"/>
    <w:tmpl w:val="7AAA5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26F67"/>
    <w:multiLevelType w:val="hybridMultilevel"/>
    <w:tmpl w:val="45CC368A"/>
    <w:lvl w:ilvl="0" w:tplc="59EE69A0">
      <w:start w:val="1"/>
      <w:numFmt w:val="lowerLetter"/>
      <w:pStyle w:val="SWAnumber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D7A091A"/>
    <w:multiLevelType w:val="hybridMultilevel"/>
    <w:tmpl w:val="B33A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2079F5"/>
    <w:multiLevelType w:val="hybridMultilevel"/>
    <w:tmpl w:val="E850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623D7"/>
    <w:multiLevelType w:val="hybridMultilevel"/>
    <w:tmpl w:val="522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735E50"/>
    <w:multiLevelType w:val="hybridMultilevel"/>
    <w:tmpl w:val="D68A1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9D142FF"/>
    <w:multiLevelType w:val="hybridMultilevel"/>
    <w:tmpl w:val="DFEC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37DFE"/>
    <w:multiLevelType w:val="multilevel"/>
    <w:tmpl w:val="4BDA3DC4"/>
    <w:numStyleLink w:val="SecNumb"/>
  </w:abstractNum>
  <w:abstractNum w:abstractNumId="24" w15:restartNumberingAfterBreak="0">
    <w:nsid w:val="702E6AEC"/>
    <w:multiLevelType w:val="hybridMultilevel"/>
    <w:tmpl w:val="53CE65B0"/>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5F244F"/>
    <w:multiLevelType w:val="hybridMultilevel"/>
    <w:tmpl w:val="64CC52D6"/>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77AC5638"/>
    <w:multiLevelType w:val="hybridMultilevel"/>
    <w:tmpl w:val="B3E6F272"/>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3D1DFC"/>
    <w:multiLevelType w:val="hybridMultilevel"/>
    <w:tmpl w:val="EF0A0A42"/>
    <w:lvl w:ilvl="0" w:tplc="D6D89702">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7"/>
  </w:num>
  <w:num w:numId="4">
    <w:abstractNumId w:val="26"/>
  </w:num>
  <w:num w:numId="5">
    <w:abstractNumId w:val="23"/>
  </w:num>
  <w:num w:numId="6">
    <w:abstractNumId w:val="3"/>
  </w:num>
  <w:num w:numId="7">
    <w:abstractNumId w:val="6"/>
  </w:num>
  <w:num w:numId="8">
    <w:abstractNumId w:val="11"/>
  </w:num>
  <w:num w:numId="9">
    <w:abstractNumId w:val="0"/>
  </w:num>
  <w:num w:numId="10">
    <w:abstractNumId w:val="12"/>
  </w:num>
  <w:num w:numId="11">
    <w:abstractNumId w:val="21"/>
  </w:num>
  <w:num w:numId="12">
    <w:abstractNumId w:val="28"/>
  </w:num>
  <w:num w:numId="13">
    <w:abstractNumId w:val="5"/>
  </w:num>
  <w:num w:numId="14">
    <w:abstractNumId w:val="4"/>
  </w:num>
  <w:num w:numId="15">
    <w:abstractNumId w:val="25"/>
  </w:num>
  <w:num w:numId="16">
    <w:abstractNumId w:val="27"/>
  </w:num>
  <w:num w:numId="17">
    <w:abstractNumId w:val="1"/>
  </w:num>
  <w:num w:numId="18">
    <w:abstractNumId w:val="24"/>
  </w:num>
  <w:num w:numId="19">
    <w:abstractNumId w:val="7"/>
  </w:num>
  <w:num w:numId="20">
    <w:abstractNumId w:val="14"/>
  </w:num>
  <w:num w:numId="21">
    <w:abstractNumId w:val="22"/>
  </w:num>
  <w:num w:numId="22">
    <w:abstractNumId w:val="13"/>
  </w:num>
  <w:num w:numId="23">
    <w:abstractNumId w:val="16"/>
  </w:num>
  <w:num w:numId="24">
    <w:abstractNumId w:val="18"/>
  </w:num>
  <w:num w:numId="25">
    <w:abstractNumId w:val="8"/>
  </w:num>
  <w:num w:numId="26">
    <w:abstractNumId w:val="15"/>
  </w:num>
  <w:num w:numId="27">
    <w:abstractNumId w:val="2"/>
  </w:num>
  <w:num w:numId="28">
    <w:abstractNumId w:val="20"/>
  </w:num>
  <w:num w:numId="29">
    <w:abstractNumId w:val="23"/>
  </w:num>
  <w:num w:numId="30">
    <w:abstractNumId w:val="19"/>
  </w:num>
  <w:num w:numId="3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1a8ac-b95f-4b87-aa30-720e89f286c6"/>
  </w:docVars>
  <w:rsids>
    <w:rsidRoot w:val="00077368"/>
    <w:rsid w:val="00002142"/>
    <w:rsid w:val="00002A2E"/>
    <w:rsid w:val="00004CA1"/>
    <w:rsid w:val="00005424"/>
    <w:rsid w:val="0000542B"/>
    <w:rsid w:val="00005704"/>
    <w:rsid w:val="00005B0F"/>
    <w:rsid w:val="000071CC"/>
    <w:rsid w:val="000074E3"/>
    <w:rsid w:val="00007583"/>
    <w:rsid w:val="000079B3"/>
    <w:rsid w:val="00010AEC"/>
    <w:rsid w:val="00010AF8"/>
    <w:rsid w:val="0001125E"/>
    <w:rsid w:val="00011F80"/>
    <w:rsid w:val="0001232D"/>
    <w:rsid w:val="0001290D"/>
    <w:rsid w:val="0001354B"/>
    <w:rsid w:val="00013EDF"/>
    <w:rsid w:val="0001455F"/>
    <w:rsid w:val="00014BCC"/>
    <w:rsid w:val="00016364"/>
    <w:rsid w:val="00017C0D"/>
    <w:rsid w:val="00020DBC"/>
    <w:rsid w:val="00020EC4"/>
    <w:rsid w:val="0002278D"/>
    <w:rsid w:val="00023393"/>
    <w:rsid w:val="000234ED"/>
    <w:rsid w:val="000249B5"/>
    <w:rsid w:val="00025B7C"/>
    <w:rsid w:val="000265B3"/>
    <w:rsid w:val="000267EE"/>
    <w:rsid w:val="0003038D"/>
    <w:rsid w:val="00030D32"/>
    <w:rsid w:val="00030E7D"/>
    <w:rsid w:val="0003157E"/>
    <w:rsid w:val="00031A69"/>
    <w:rsid w:val="00031D5C"/>
    <w:rsid w:val="00032DFA"/>
    <w:rsid w:val="0003357D"/>
    <w:rsid w:val="0003376C"/>
    <w:rsid w:val="00033D19"/>
    <w:rsid w:val="00033D6A"/>
    <w:rsid w:val="0003484B"/>
    <w:rsid w:val="00034C08"/>
    <w:rsid w:val="00035359"/>
    <w:rsid w:val="00035ED1"/>
    <w:rsid w:val="00036775"/>
    <w:rsid w:val="0003756A"/>
    <w:rsid w:val="00037F42"/>
    <w:rsid w:val="00040488"/>
    <w:rsid w:val="00040D5C"/>
    <w:rsid w:val="00041D87"/>
    <w:rsid w:val="000420FA"/>
    <w:rsid w:val="00042A57"/>
    <w:rsid w:val="00042C54"/>
    <w:rsid w:val="00042E62"/>
    <w:rsid w:val="00043041"/>
    <w:rsid w:val="0004347D"/>
    <w:rsid w:val="0004353B"/>
    <w:rsid w:val="0004361B"/>
    <w:rsid w:val="00043F4A"/>
    <w:rsid w:val="00044E95"/>
    <w:rsid w:val="000452DF"/>
    <w:rsid w:val="0004539E"/>
    <w:rsid w:val="000456FF"/>
    <w:rsid w:val="00046257"/>
    <w:rsid w:val="000467E1"/>
    <w:rsid w:val="0004681F"/>
    <w:rsid w:val="00046B73"/>
    <w:rsid w:val="00046C81"/>
    <w:rsid w:val="00046D4A"/>
    <w:rsid w:val="00046F11"/>
    <w:rsid w:val="00047378"/>
    <w:rsid w:val="00047850"/>
    <w:rsid w:val="00050126"/>
    <w:rsid w:val="00050E52"/>
    <w:rsid w:val="0005126F"/>
    <w:rsid w:val="00051D24"/>
    <w:rsid w:val="0005254B"/>
    <w:rsid w:val="0005333A"/>
    <w:rsid w:val="00053A68"/>
    <w:rsid w:val="00054C80"/>
    <w:rsid w:val="0005648F"/>
    <w:rsid w:val="0005685A"/>
    <w:rsid w:val="00056A93"/>
    <w:rsid w:val="00056E45"/>
    <w:rsid w:val="00057827"/>
    <w:rsid w:val="0005783F"/>
    <w:rsid w:val="000604A5"/>
    <w:rsid w:val="00061DA7"/>
    <w:rsid w:val="00063228"/>
    <w:rsid w:val="0006464F"/>
    <w:rsid w:val="00064879"/>
    <w:rsid w:val="00064D46"/>
    <w:rsid w:val="00065C06"/>
    <w:rsid w:val="00065C3D"/>
    <w:rsid w:val="00066C33"/>
    <w:rsid w:val="00067819"/>
    <w:rsid w:val="00070430"/>
    <w:rsid w:val="000705CB"/>
    <w:rsid w:val="00071A12"/>
    <w:rsid w:val="00071DBA"/>
    <w:rsid w:val="00072117"/>
    <w:rsid w:val="00072F28"/>
    <w:rsid w:val="0007375D"/>
    <w:rsid w:val="000756FA"/>
    <w:rsid w:val="0007618B"/>
    <w:rsid w:val="000764B2"/>
    <w:rsid w:val="00076580"/>
    <w:rsid w:val="00077134"/>
    <w:rsid w:val="00077148"/>
    <w:rsid w:val="00077203"/>
    <w:rsid w:val="0007727D"/>
    <w:rsid w:val="00077368"/>
    <w:rsid w:val="00077B46"/>
    <w:rsid w:val="00077BDA"/>
    <w:rsid w:val="00077E05"/>
    <w:rsid w:val="0008023C"/>
    <w:rsid w:val="0008137D"/>
    <w:rsid w:val="000832FC"/>
    <w:rsid w:val="00083F58"/>
    <w:rsid w:val="00086275"/>
    <w:rsid w:val="00086EAB"/>
    <w:rsid w:val="000871BA"/>
    <w:rsid w:val="00087E20"/>
    <w:rsid w:val="00091258"/>
    <w:rsid w:val="00092037"/>
    <w:rsid w:val="00094284"/>
    <w:rsid w:val="0009505E"/>
    <w:rsid w:val="00095E5B"/>
    <w:rsid w:val="000A0468"/>
    <w:rsid w:val="000A17E0"/>
    <w:rsid w:val="000A1B88"/>
    <w:rsid w:val="000A2834"/>
    <w:rsid w:val="000A2EDF"/>
    <w:rsid w:val="000A34EC"/>
    <w:rsid w:val="000A3630"/>
    <w:rsid w:val="000A3B0D"/>
    <w:rsid w:val="000A3E4B"/>
    <w:rsid w:val="000A504C"/>
    <w:rsid w:val="000A601B"/>
    <w:rsid w:val="000A62C5"/>
    <w:rsid w:val="000A76CB"/>
    <w:rsid w:val="000A7A70"/>
    <w:rsid w:val="000A7E83"/>
    <w:rsid w:val="000A7F5B"/>
    <w:rsid w:val="000B016A"/>
    <w:rsid w:val="000B1179"/>
    <w:rsid w:val="000B150E"/>
    <w:rsid w:val="000B1BBF"/>
    <w:rsid w:val="000B211B"/>
    <w:rsid w:val="000B343D"/>
    <w:rsid w:val="000B3499"/>
    <w:rsid w:val="000B49D5"/>
    <w:rsid w:val="000B4D26"/>
    <w:rsid w:val="000B4FE5"/>
    <w:rsid w:val="000B53FF"/>
    <w:rsid w:val="000B5A03"/>
    <w:rsid w:val="000B5ACE"/>
    <w:rsid w:val="000B5B63"/>
    <w:rsid w:val="000B5E15"/>
    <w:rsid w:val="000C035C"/>
    <w:rsid w:val="000C14D3"/>
    <w:rsid w:val="000C18C0"/>
    <w:rsid w:val="000C1B52"/>
    <w:rsid w:val="000C47CC"/>
    <w:rsid w:val="000C5031"/>
    <w:rsid w:val="000C5B47"/>
    <w:rsid w:val="000C68E0"/>
    <w:rsid w:val="000C79F4"/>
    <w:rsid w:val="000D051B"/>
    <w:rsid w:val="000D1084"/>
    <w:rsid w:val="000D1902"/>
    <w:rsid w:val="000D1EDA"/>
    <w:rsid w:val="000D29EE"/>
    <w:rsid w:val="000D34EF"/>
    <w:rsid w:val="000D49B9"/>
    <w:rsid w:val="000D4F03"/>
    <w:rsid w:val="000D7590"/>
    <w:rsid w:val="000D7DA8"/>
    <w:rsid w:val="000E0E7C"/>
    <w:rsid w:val="000E0F9F"/>
    <w:rsid w:val="000E109F"/>
    <w:rsid w:val="000E20AE"/>
    <w:rsid w:val="000E2D3E"/>
    <w:rsid w:val="000E634D"/>
    <w:rsid w:val="000E706E"/>
    <w:rsid w:val="000E7A5B"/>
    <w:rsid w:val="000F048B"/>
    <w:rsid w:val="000F0EC5"/>
    <w:rsid w:val="000F1AAB"/>
    <w:rsid w:val="000F20D7"/>
    <w:rsid w:val="000F219B"/>
    <w:rsid w:val="000F21B6"/>
    <w:rsid w:val="000F307F"/>
    <w:rsid w:val="000F34B7"/>
    <w:rsid w:val="000F3FD3"/>
    <w:rsid w:val="000F40B9"/>
    <w:rsid w:val="000F4919"/>
    <w:rsid w:val="000F54FC"/>
    <w:rsid w:val="000F5B9F"/>
    <w:rsid w:val="000F6210"/>
    <w:rsid w:val="000F74D0"/>
    <w:rsid w:val="0010011C"/>
    <w:rsid w:val="00100AF4"/>
    <w:rsid w:val="00102259"/>
    <w:rsid w:val="001025F1"/>
    <w:rsid w:val="0010291A"/>
    <w:rsid w:val="00103DD7"/>
    <w:rsid w:val="0010496A"/>
    <w:rsid w:val="001051D0"/>
    <w:rsid w:val="00105DE2"/>
    <w:rsid w:val="00106163"/>
    <w:rsid w:val="001072B4"/>
    <w:rsid w:val="001109DA"/>
    <w:rsid w:val="00110C77"/>
    <w:rsid w:val="00111980"/>
    <w:rsid w:val="00114EAA"/>
    <w:rsid w:val="001151AD"/>
    <w:rsid w:val="001152AF"/>
    <w:rsid w:val="00116D33"/>
    <w:rsid w:val="00117CAF"/>
    <w:rsid w:val="00120B3F"/>
    <w:rsid w:val="0012134D"/>
    <w:rsid w:val="00121487"/>
    <w:rsid w:val="0012227C"/>
    <w:rsid w:val="0012381A"/>
    <w:rsid w:val="001245D6"/>
    <w:rsid w:val="00124A12"/>
    <w:rsid w:val="001251A8"/>
    <w:rsid w:val="00126416"/>
    <w:rsid w:val="00126CAB"/>
    <w:rsid w:val="0012779C"/>
    <w:rsid w:val="00130A8A"/>
    <w:rsid w:val="00130F4E"/>
    <w:rsid w:val="001326EE"/>
    <w:rsid w:val="001332C9"/>
    <w:rsid w:val="0013431C"/>
    <w:rsid w:val="00134D78"/>
    <w:rsid w:val="00136733"/>
    <w:rsid w:val="00137A05"/>
    <w:rsid w:val="0014102D"/>
    <w:rsid w:val="00141437"/>
    <w:rsid w:val="0014173C"/>
    <w:rsid w:val="001419AB"/>
    <w:rsid w:val="00142738"/>
    <w:rsid w:val="001428DD"/>
    <w:rsid w:val="001429E4"/>
    <w:rsid w:val="00142B5E"/>
    <w:rsid w:val="00142CBA"/>
    <w:rsid w:val="0014356C"/>
    <w:rsid w:val="00143E4C"/>
    <w:rsid w:val="00144693"/>
    <w:rsid w:val="00144CE7"/>
    <w:rsid w:val="00145692"/>
    <w:rsid w:val="001461B4"/>
    <w:rsid w:val="001472A2"/>
    <w:rsid w:val="00150190"/>
    <w:rsid w:val="0015143C"/>
    <w:rsid w:val="00152A62"/>
    <w:rsid w:val="00154183"/>
    <w:rsid w:val="00154624"/>
    <w:rsid w:val="00155389"/>
    <w:rsid w:val="00155712"/>
    <w:rsid w:val="0015619C"/>
    <w:rsid w:val="0015627E"/>
    <w:rsid w:val="00156A97"/>
    <w:rsid w:val="001576DC"/>
    <w:rsid w:val="00157B32"/>
    <w:rsid w:val="0016040C"/>
    <w:rsid w:val="00160B79"/>
    <w:rsid w:val="0016219B"/>
    <w:rsid w:val="00162AE2"/>
    <w:rsid w:val="00163F56"/>
    <w:rsid w:val="001640C3"/>
    <w:rsid w:val="00164531"/>
    <w:rsid w:val="001649A1"/>
    <w:rsid w:val="00166316"/>
    <w:rsid w:val="001665F1"/>
    <w:rsid w:val="00166732"/>
    <w:rsid w:val="001667E8"/>
    <w:rsid w:val="001669C8"/>
    <w:rsid w:val="00166D73"/>
    <w:rsid w:val="00167429"/>
    <w:rsid w:val="0017094E"/>
    <w:rsid w:val="0017103A"/>
    <w:rsid w:val="001722F1"/>
    <w:rsid w:val="001737DD"/>
    <w:rsid w:val="00175037"/>
    <w:rsid w:val="001769F7"/>
    <w:rsid w:val="00176D45"/>
    <w:rsid w:val="0018113B"/>
    <w:rsid w:val="0018357A"/>
    <w:rsid w:val="00183924"/>
    <w:rsid w:val="0018666A"/>
    <w:rsid w:val="00187364"/>
    <w:rsid w:val="00187D32"/>
    <w:rsid w:val="00190CD1"/>
    <w:rsid w:val="00191111"/>
    <w:rsid w:val="00191B46"/>
    <w:rsid w:val="001921CF"/>
    <w:rsid w:val="00192F65"/>
    <w:rsid w:val="001941A3"/>
    <w:rsid w:val="00194ED6"/>
    <w:rsid w:val="0019511C"/>
    <w:rsid w:val="001952AD"/>
    <w:rsid w:val="00195CAF"/>
    <w:rsid w:val="00195D58"/>
    <w:rsid w:val="00195E82"/>
    <w:rsid w:val="0019749B"/>
    <w:rsid w:val="00197EEA"/>
    <w:rsid w:val="001A1261"/>
    <w:rsid w:val="001A162F"/>
    <w:rsid w:val="001A2E7D"/>
    <w:rsid w:val="001A3892"/>
    <w:rsid w:val="001A409E"/>
    <w:rsid w:val="001A4A19"/>
    <w:rsid w:val="001A760F"/>
    <w:rsid w:val="001A7799"/>
    <w:rsid w:val="001B00BF"/>
    <w:rsid w:val="001B03D9"/>
    <w:rsid w:val="001B0695"/>
    <w:rsid w:val="001B06E9"/>
    <w:rsid w:val="001B0AE7"/>
    <w:rsid w:val="001B1C72"/>
    <w:rsid w:val="001B5929"/>
    <w:rsid w:val="001B5B9B"/>
    <w:rsid w:val="001B5D83"/>
    <w:rsid w:val="001B67B4"/>
    <w:rsid w:val="001B75CF"/>
    <w:rsid w:val="001C0393"/>
    <w:rsid w:val="001C0F1E"/>
    <w:rsid w:val="001C2618"/>
    <w:rsid w:val="001C38FD"/>
    <w:rsid w:val="001C43D4"/>
    <w:rsid w:val="001C47A9"/>
    <w:rsid w:val="001C4EBB"/>
    <w:rsid w:val="001C4FF0"/>
    <w:rsid w:val="001C67A1"/>
    <w:rsid w:val="001C71AC"/>
    <w:rsid w:val="001C7871"/>
    <w:rsid w:val="001D0CAE"/>
    <w:rsid w:val="001D0D1C"/>
    <w:rsid w:val="001D2906"/>
    <w:rsid w:val="001D3053"/>
    <w:rsid w:val="001D4062"/>
    <w:rsid w:val="001D4B04"/>
    <w:rsid w:val="001D5BB2"/>
    <w:rsid w:val="001D69AD"/>
    <w:rsid w:val="001D7C48"/>
    <w:rsid w:val="001E108B"/>
    <w:rsid w:val="001E1297"/>
    <w:rsid w:val="001E1343"/>
    <w:rsid w:val="001E24DE"/>
    <w:rsid w:val="001E2807"/>
    <w:rsid w:val="001E33A2"/>
    <w:rsid w:val="001E38FB"/>
    <w:rsid w:val="001E4110"/>
    <w:rsid w:val="001E4393"/>
    <w:rsid w:val="001E4FAD"/>
    <w:rsid w:val="001E66DC"/>
    <w:rsid w:val="001F1618"/>
    <w:rsid w:val="001F273F"/>
    <w:rsid w:val="001F2AB9"/>
    <w:rsid w:val="001F2B6D"/>
    <w:rsid w:val="001F2DC1"/>
    <w:rsid w:val="001F35A3"/>
    <w:rsid w:val="001F36F3"/>
    <w:rsid w:val="001F3F5E"/>
    <w:rsid w:val="001F617E"/>
    <w:rsid w:val="001F7015"/>
    <w:rsid w:val="002007A2"/>
    <w:rsid w:val="002029BF"/>
    <w:rsid w:val="00203040"/>
    <w:rsid w:val="00203217"/>
    <w:rsid w:val="00203FD5"/>
    <w:rsid w:val="00204C25"/>
    <w:rsid w:val="00205AA0"/>
    <w:rsid w:val="002061AF"/>
    <w:rsid w:val="002062EB"/>
    <w:rsid w:val="002072F8"/>
    <w:rsid w:val="00210A4A"/>
    <w:rsid w:val="00210E9F"/>
    <w:rsid w:val="0021287F"/>
    <w:rsid w:val="00212E87"/>
    <w:rsid w:val="002136D3"/>
    <w:rsid w:val="00213BAC"/>
    <w:rsid w:val="00213F75"/>
    <w:rsid w:val="0021409F"/>
    <w:rsid w:val="002150B3"/>
    <w:rsid w:val="0021590C"/>
    <w:rsid w:val="0021715C"/>
    <w:rsid w:val="00217DBB"/>
    <w:rsid w:val="00220412"/>
    <w:rsid w:val="00220E70"/>
    <w:rsid w:val="00221671"/>
    <w:rsid w:val="00221810"/>
    <w:rsid w:val="00221EB8"/>
    <w:rsid w:val="002225E4"/>
    <w:rsid w:val="00222F0C"/>
    <w:rsid w:val="00222F6A"/>
    <w:rsid w:val="00223D84"/>
    <w:rsid w:val="00224609"/>
    <w:rsid w:val="0022512F"/>
    <w:rsid w:val="002260EB"/>
    <w:rsid w:val="002269C9"/>
    <w:rsid w:val="00230072"/>
    <w:rsid w:val="00230760"/>
    <w:rsid w:val="00230F63"/>
    <w:rsid w:val="00231598"/>
    <w:rsid w:val="00232F16"/>
    <w:rsid w:val="0023389D"/>
    <w:rsid w:val="00233910"/>
    <w:rsid w:val="00235FAD"/>
    <w:rsid w:val="00236323"/>
    <w:rsid w:val="00237977"/>
    <w:rsid w:val="0024019F"/>
    <w:rsid w:val="00240EF8"/>
    <w:rsid w:val="00242426"/>
    <w:rsid w:val="0024317C"/>
    <w:rsid w:val="002437A3"/>
    <w:rsid w:val="002440B4"/>
    <w:rsid w:val="0024441D"/>
    <w:rsid w:val="00244DE8"/>
    <w:rsid w:val="002454D1"/>
    <w:rsid w:val="00246D62"/>
    <w:rsid w:val="0025003D"/>
    <w:rsid w:val="00250579"/>
    <w:rsid w:val="00250BE6"/>
    <w:rsid w:val="00251A2F"/>
    <w:rsid w:val="002524A1"/>
    <w:rsid w:val="00252F72"/>
    <w:rsid w:val="00253BA6"/>
    <w:rsid w:val="00254010"/>
    <w:rsid w:val="00254859"/>
    <w:rsid w:val="0025527F"/>
    <w:rsid w:val="00256A25"/>
    <w:rsid w:val="00256BB5"/>
    <w:rsid w:val="00257198"/>
    <w:rsid w:val="00260A4B"/>
    <w:rsid w:val="00262EA8"/>
    <w:rsid w:val="002646FE"/>
    <w:rsid w:val="0026558F"/>
    <w:rsid w:val="002659E9"/>
    <w:rsid w:val="00265DC4"/>
    <w:rsid w:val="002660FF"/>
    <w:rsid w:val="00267F16"/>
    <w:rsid w:val="00270771"/>
    <w:rsid w:val="00271646"/>
    <w:rsid w:val="00271C3A"/>
    <w:rsid w:val="0027245B"/>
    <w:rsid w:val="00272A89"/>
    <w:rsid w:val="00274846"/>
    <w:rsid w:val="00274B9C"/>
    <w:rsid w:val="00275A59"/>
    <w:rsid w:val="0027634A"/>
    <w:rsid w:val="00277155"/>
    <w:rsid w:val="00280EEA"/>
    <w:rsid w:val="00283A14"/>
    <w:rsid w:val="00283CDE"/>
    <w:rsid w:val="00283D45"/>
    <w:rsid w:val="002840C9"/>
    <w:rsid w:val="00285C53"/>
    <w:rsid w:val="00285C88"/>
    <w:rsid w:val="00285E0C"/>
    <w:rsid w:val="00287486"/>
    <w:rsid w:val="00290691"/>
    <w:rsid w:val="002912A1"/>
    <w:rsid w:val="0029167A"/>
    <w:rsid w:val="002917C6"/>
    <w:rsid w:val="0029290B"/>
    <w:rsid w:val="00292920"/>
    <w:rsid w:val="00293003"/>
    <w:rsid w:val="002934D2"/>
    <w:rsid w:val="00294F2B"/>
    <w:rsid w:val="002963D1"/>
    <w:rsid w:val="00296DAC"/>
    <w:rsid w:val="002974C5"/>
    <w:rsid w:val="002A1870"/>
    <w:rsid w:val="002A2D06"/>
    <w:rsid w:val="002A3634"/>
    <w:rsid w:val="002A3A1C"/>
    <w:rsid w:val="002A43DF"/>
    <w:rsid w:val="002A4559"/>
    <w:rsid w:val="002A595F"/>
    <w:rsid w:val="002A7627"/>
    <w:rsid w:val="002A7969"/>
    <w:rsid w:val="002B1358"/>
    <w:rsid w:val="002B17BF"/>
    <w:rsid w:val="002B1A0E"/>
    <w:rsid w:val="002B1A51"/>
    <w:rsid w:val="002B2CB7"/>
    <w:rsid w:val="002B3071"/>
    <w:rsid w:val="002B30DC"/>
    <w:rsid w:val="002B39E4"/>
    <w:rsid w:val="002B5F88"/>
    <w:rsid w:val="002B616B"/>
    <w:rsid w:val="002B616F"/>
    <w:rsid w:val="002B6254"/>
    <w:rsid w:val="002B7DAE"/>
    <w:rsid w:val="002B7EF4"/>
    <w:rsid w:val="002C04EB"/>
    <w:rsid w:val="002C0906"/>
    <w:rsid w:val="002C0C1F"/>
    <w:rsid w:val="002C2153"/>
    <w:rsid w:val="002C28C5"/>
    <w:rsid w:val="002C352A"/>
    <w:rsid w:val="002C3997"/>
    <w:rsid w:val="002C3BD8"/>
    <w:rsid w:val="002C456D"/>
    <w:rsid w:val="002C502E"/>
    <w:rsid w:val="002C59AB"/>
    <w:rsid w:val="002C66E8"/>
    <w:rsid w:val="002C72E2"/>
    <w:rsid w:val="002C7832"/>
    <w:rsid w:val="002C7AAB"/>
    <w:rsid w:val="002C7D82"/>
    <w:rsid w:val="002D0BDE"/>
    <w:rsid w:val="002D0C94"/>
    <w:rsid w:val="002D2132"/>
    <w:rsid w:val="002D214D"/>
    <w:rsid w:val="002D4192"/>
    <w:rsid w:val="002D4A73"/>
    <w:rsid w:val="002D50F0"/>
    <w:rsid w:val="002D5F1A"/>
    <w:rsid w:val="002D671D"/>
    <w:rsid w:val="002D6DCB"/>
    <w:rsid w:val="002D7C52"/>
    <w:rsid w:val="002E0253"/>
    <w:rsid w:val="002E0BB4"/>
    <w:rsid w:val="002E1345"/>
    <w:rsid w:val="002E1600"/>
    <w:rsid w:val="002E2B12"/>
    <w:rsid w:val="002E2CE5"/>
    <w:rsid w:val="002E4334"/>
    <w:rsid w:val="002E478B"/>
    <w:rsid w:val="002E5AC7"/>
    <w:rsid w:val="002E721E"/>
    <w:rsid w:val="002E7F64"/>
    <w:rsid w:val="002F04C2"/>
    <w:rsid w:val="002F0697"/>
    <w:rsid w:val="002F08E9"/>
    <w:rsid w:val="002F1D39"/>
    <w:rsid w:val="002F254F"/>
    <w:rsid w:val="002F2CF9"/>
    <w:rsid w:val="002F3A33"/>
    <w:rsid w:val="002F4F30"/>
    <w:rsid w:val="002F5113"/>
    <w:rsid w:val="002F51ED"/>
    <w:rsid w:val="002F661B"/>
    <w:rsid w:val="002F7837"/>
    <w:rsid w:val="002F7D78"/>
    <w:rsid w:val="003004A5"/>
    <w:rsid w:val="00301139"/>
    <w:rsid w:val="0030159A"/>
    <w:rsid w:val="00301906"/>
    <w:rsid w:val="00302338"/>
    <w:rsid w:val="003036BA"/>
    <w:rsid w:val="003038CC"/>
    <w:rsid w:val="0030461F"/>
    <w:rsid w:val="00305BEA"/>
    <w:rsid w:val="00305F70"/>
    <w:rsid w:val="00305FE3"/>
    <w:rsid w:val="00306E33"/>
    <w:rsid w:val="003070A9"/>
    <w:rsid w:val="00307652"/>
    <w:rsid w:val="003079A2"/>
    <w:rsid w:val="003119C9"/>
    <w:rsid w:val="00312237"/>
    <w:rsid w:val="00312CFA"/>
    <w:rsid w:val="00313829"/>
    <w:rsid w:val="00314792"/>
    <w:rsid w:val="00314C8A"/>
    <w:rsid w:val="00315BB5"/>
    <w:rsid w:val="00315DC9"/>
    <w:rsid w:val="003162E3"/>
    <w:rsid w:val="00316808"/>
    <w:rsid w:val="00316D74"/>
    <w:rsid w:val="00317076"/>
    <w:rsid w:val="00317283"/>
    <w:rsid w:val="00317C4A"/>
    <w:rsid w:val="00320B42"/>
    <w:rsid w:val="00320F10"/>
    <w:rsid w:val="003210DC"/>
    <w:rsid w:val="0032110B"/>
    <w:rsid w:val="003212A1"/>
    <w:rsid w:val="00322C50"/>
    <w:rsid w:val="00323724"/>
    <w:rsid w:val="00323AF9"/>
    <w:rsid w:val="00324224"/>
    <w:rsid w:val="00324FF3"/>
    <w:rsid w:val="00325C69"/>
    <w:rsid w:val="00325E37"/>
    <w:rsid w:val="0032659F"/>
    <w:rsid w:val="00326F2E"/>
    <w:rsid w:val="00327CC2"/>
    <w:rsid w:val="00330757"/>
    <w:rsid w:val="00331303"/>
    <w:rsid w:val="00331B99"/>
    <w:rsid w:val="003323C1"/>
    <w:rsid w:val="00332EC8"/>
    <w:rsid w:val="003330CA"/>
    <w:rsid w:val="003334A7"/>
    <w:rsid w:val="00333A32"/>
    <w:rsid w:val="00333DCF"/>
    <w:rsid w:val="00335F11"/>
    <w:rsid w:val="00336171"/>
    <w:rsid w:val="0033744E"/>
    <w:rsid w:val="00337EF8"/>
    <w:rsid w:val="003411E8"/>
    <w:rsid w:val="003417B3"/>
    <w:rsid w:val="003427D2"/>
    <w:rsid w:val="00344791"/>
    <w:rsid w:val="00345041"/>
    <w:rsid w:val="00345C5E"/>
    <w:rsid w:val="00346FA7"/>
    <w:rsid w:val="00347116"/>
    <w:rsid w:val="003472B5"/>
    <w:rsid w:val="00347B69"/>
    <w:rsid w:val="00350283"/>
    <w:rsid w:val="00350C75"/>
    <w:rsid w:val="00350E0B"/>
    <w:rsid w:val="00351CEE"/>
    <w:rsid w:val="003535BF"/>
    <w:rsid w:val="0035464B"/>
    <w:rsid w:val="00355DC4"/>
    <w:rsid w:val="00355FA0"/>
    <w:rsid w:val="003576E4"/>
    <w:rsid w:val="00357808"/>
    <w:rsid w:val="003579C6"/>
    <w:rsid w:val="0036139E"/>
    <w:rsid w:val="00361CD2"/>
    <w:rsid w:val="00361E38"/>
    <w:rsid w:val="00362109"/>
    <w:rsid w:val="00362846"/>
    <w:rsid w:val="0036373C"/>
    <w:rsid w:val="00363C14"/>
    <w:rsid w:val="00365B5C"/>
    <w:rsid w:val="0036622B"/>
    <w:rsid w:val="00367148"/>
    <w:rsid w:val="00367885"/>
    <w:rsid w:val="00367A5A"/>
    <w:rsid w:val="00367D96"/>
    <w:rsid w:val="0037367D"/>
    <w:rsid w:val="00373889"/>
    <w:rsid w:val="00374A22"/>
    <w:rsid w:val="0037684D"/>
    <w:rsid w:val="00376FAA"/>
    <w:rsid w:val="0037713C"/>
    <w:rsid w:val="0037722D"/>
    <w:rsid w:val="00377464"/>
    <w:rsid w:val="00380579"/>
    <w:rsid w:val="00381710"/>
    <w:rsid w:val="00381735"/>
    <w:rsid w:val="00381AA1"/>
    <w:rsid w:val="00382027"/>
    <w:rsid w:val="0038388E"/>
    <w:rsid w:val="00383C5E"/>
    <w:rsid w:val="00384422"/>
    <w:rsid w:val="00386371"/>
    <w:rsid w:val="003900BD"/>
    <w:rsid w:val="00390341"/>
    <w:rsid w:val="00390BEA"/>
    <w:rsid w:val="00390CE5"/>
    <w:rsid w:val="003911F8"/>
    <w:rsid w:val="00391418"/>
    <w:rsid w:val="003921B0"/>
    <w:rsid w:val="00392F88"/>
    <w:rsid w:val="0039493A"/>
    <w:rsid w:val="003955FE"/>
    <w:rsid w:val="003956EF"/>
    <w:rsid w:val="00396555"/>
    <w:rsid w:val="00396FF8"/>
    <w:rsid w:val="00397E6C"/>
    <w:rsid w:val="003A0CFF"/>
    <w:rsid w:val="003A0F01"/>
    <w:rsid w:val="003A1680"/>
    <w:rsid w:val="003A1A5A"/>
    <w:rsid w:val="003A2BFB"/>
    <w:rsid w:val="003A2DEB"/>
    <w:rsid w:val="003A2E50"/>
    <w:rsid w:val="003A3BBE"/>
    <w:rsid w:val="003A4215"/>
    <w:rsid w:val="003A54E2"/>
    <w:rsid w:val="003A5CFE"/>
    <w:rsid w:val="003A6123"/>
    <w:rsid w:val="003A71BD"/>
    <w:rsid w:val="003A77F3"/>
    <w:rsid w:val="003A7CBD"/>
    <w:rsid w:val="003B035B"/>
    <w:rsid w:val="003B1C2C"/>
    <w:rsid w:val="003B1CC3"/>
    <w:rsid w:val="003B308F"/>
    <w:rsid w:val="003B3565"/>
    <w:rsid w:val="003B4482"/>
    <w:rsid w:val="003B4903"/>
    <w:rsid w:val="003B52F3"/>
    <w:rsid w:val="003B6462"/>
    <w:rsid w:val="003B65F7"/>
    <w:rsid w:val="003B7215"/>
    <w:rsid w:val="003B7BB3"/>
    <w:rsid w:val="003B7F01"/>
    <w:rsid w:val="003C1443"/>
    <w:rsid w:val="003C1502"/>
    <w:rsid w:val="003C2C45"/>
    <w:rsid w:val="003C3821"/>
    <w:rsid w:val="003C639E"/>
    <w:rsid w:val="003C675C"/>
    <w:rsid w:val="003C75B0"/>
    <w:rsid w:val="003C7F69"/>
    <w:rsid w:val="003D26B4"/>
    <w:rsid w:val="003D27D1"/>
    <w:rsid w:val="003D4E2B"/>
    <w:rsid w:val="003D56D8"/>
    <w:rsid w:val="003D613F"/>
    <w:rsid w:val="003D7317"/>
    <w:rsid w:val="003E05CF"/>
    <w:rsid w:val="003E0A80"/>
    <w:rsid w:val="003E0C32"/>
    <w:rsid w:val="003E1A05"/>
    <w:rsid w:val="003E2022"/>
    <w:rsid w:val="003E3B20"/>
    <w:rsid w:val="003E43D5"/>
    <w:rsid w:val="003E4CC3"/>
    <w:rsid w:val="003E52E3"/>
    <w:rsid w:val="003E5627"/>
    <w:rsid w:val="003E58E2"/>
    <w:rsid w:val="003E63B2"/>
    <w:rsid w:val="003F051B"/>
    <w:rsid w:val="003F14A6"/>
    <w:rsid w:val="003F23F2"/>
    <w:rsid w:val="003F47A7"/>
    <w:rsid w:val="003F4BAB"/>
    <w:rsid w:val="003F7FF7"/>
    <w:rsid w:val="0040071C"/>
    <w:rsid w:val="0040086B"/>
    <w:rsid w:val="00400F96"/>
    <w:rsid w:val="004014F4"/>
    <w:rsid w:val="004019E9"/>
    <w:rsid w:val="00401AC8"/>
    <w:rsid w:val="00401B6C"/>
    <w:rsid w:val="00401C1A"/>
    <w:rsid w:val="0040222C"/>
    <w:rsid w:val="004046BE"/>
    <w:rsid w:val="004047FC"/>
    <w:rsid w:val="00405BF7"/>
    <w:rsid w:val="00407777"/>
    <w:rsid w:val="00407A1B"/>
    <w:rsid w:val="004102FB"/>
    <w:rsid w:val="00411127"/>
    <w:rsid w:val="00412CEA"/>
    <w:rsid w:val="00413046"/>
    <w:rsid w:val="00414ABB"/>
    <w:rsid w:val="00414EB5"/>
    <w:rsid w:val="0041511B"/>
    <w:rsid w:val="00415B90"/>
    <w:rsid w:val="004160E6"/>
    <w:rsid w:val="00416267"/>
    <w:rsid w:val="0041666F"/>
    <w:rsid w:val="004171A8"/>
    <w:rsid w:val="004178A0"/>
    <w:rsid w:val="00424A9C"/>
    <w:rsid w:val="00424F41"/>
    <w:rsid w:val="00426D88"/>
    <w:rsid w:val="00426D9F"/>
    <w:rsid w:val="0042738D"/>
    <w:rsid w:val="004278F1"/>
    <w:rsid w:val="00431260"/>
    <w:rsid w:val="00434131"/>
    <w:rsid w:val="00434D7F"/>
    <w:rsid w:val="004356E4"/>
    <w:rsid w:val="004364D2"/>
    <w:rsid w:val="0043664B"/>
    <w:rsid w:val="00436EAD"/>
    <w:rsid w:val="00437375"/>
    <w:rsid w:val="00437B7A"/>
    <w:rsid w:val="00441F4B"/>
    <w:rsid w:val="00442FB6"/>
    <w:rsid w:val="00443F1E"/>
    <w:rsid w:val="00443F37"/>
    <w:rsid w:val="00444B73"/>
    <w:rsid w:val="004452FB"/>
    <w:rsid w:val="00445D9C"/>
    <w:rsid w:val="00446015"/>
    <w:rsid w:val="0044769B"/>
    <w:rsid w:val="0044793D"/>
    <w:rsid w:val="00450118"/>
    <w:rsid w:val="004502B3"/>
    <w:rsid w:val="004503C0"/>
    <w:rsid w:val="00450979"/>
    <w:rsid w:val="00450D85"/>
    <w:rsid w:val="00454126"/>
    <w:rsid w:val="00455F9A"/>
    <w:rsid w:val="004566D4"/>
    <w:rsid w:val="00456A8E"/>
    <w:rsid w:val="004603DC"/>
    <w:rsid w:val="00460F90"/>
    <w:rsid w:val="004611A4"/>
    <w:rsid w:val="004613F8"/>
    <w:rsid w:val="004627D8"/>
    <w:rsid w:val="00464350"/>
    <w:rsid w:val="00464DAA"/>
    <w:rsid w:val="00465BAE"/>
    <w:rsid w:val="004670E2"/>
    <w:rsid w:val="004671CA"/>
    <w:rsid w:val="00467627"/>
    <w:rsid w:val="004679F5"/>
    <w:rsid w:val="0047089E"/>
    <w:rsid w:val="00470E06"/>
    <w:rsid w:val="0047104D"/>
    <w:rsid w:val="004711BD"/>
    <w:rsid w:val="00471348"/>
    <w:rsid w:val="0047156B"/>
    <w:rsid w:val="00471635"/>
    <w:rsid w:val="00471935"/>
    <w:rsid w:val="004722C7"/>
    <w:rsid w:val="00472312"/>
    <w:rsid w:val="004726BB"/>
    <w:rsid w:val="00472DD9"/>
    <w:rsid w:val="004743A5"/>
    <w:rsid w:val="00474952"/>
    <w:rsid w:val="00476E2C"/>
    <w:rsid w:val="00476FC8"/>
    <w:rsid w:val="0047734B"/>
    <w:rsid w:val="00477695"/>
    <w:rsid w:val="00477706"/>
    <w:rsid w:val="00477BD1"/>
    <w:rsid w:val="00477BE3"/>
    <w:rsid w:val="0048012F"/>
    <w:rsid w:val="00480B47"/>
    <w:rsid w:val="004835D1"/>
    <w:rsid w:val="00483879"/>
    <w:rsid w:val="00483D0F"/>
    <w:rsid w:val="00484319"/>
    <w:rsid w:val="00484773"/>
    <w:rsid w:val="004848FD"/>
    <w:rsid w:val="00484FD7"/>
    <w:rsid w:val="004854FA"/>
    <w:rsid w:val="0048561A"/>
    <w:rsid w:val="00485D92"/>
    <w:rsid w:val="00485F5D"/>
    <w:rsid w:val="004871A0"/>
    <w:rsid w:val="00487C22"/>
    <w:rsid w:val="004912D3"/>
    <w:rsid w:val="00491630"/>
    <w:rsid w:val="004919C9"/>
    <w:rsid w:val="00491E98"/>
    <w:rsid w:val="00492139"/>
    <w:rsid w:val="004923DE"/>
    <w:rsid w:val="0049260A"/>
    <w:rsid w:val="00492659"/>
    <w:rsid w:val="00492C37"/>
    <w:rsid w:val="00493C44"/>
    <w:rsid w:val="00493F82"/>
    <w:rsid w:val="004968EC"/>
    <w:rsid w:val="00497697"/>
    <w:rsid w:val="004978FE"/>
    <w:rsid w:val="004A0FF2"/>
    <w:rsid w:val="004A22C7"/>
    <w:rsid w:val="004A2646"/>
    <w:rsid w:val="004A4239"/>
    <w:rsid w:val="004A4F30"/>
    <w:rsid w:val="004A52A7"/>
    <w:rsid w:val="004A5D12"/>
    <w:rsid w:val="004A66C0"/>
    <w:rsid w:val="004A772B"/>
    <w:rsid w:val="004A7A01"/>
    <w:rsid w:val="004B0575"/>
    <w:rsid w:val="004B0B9A"/>
    <w:rsid w:val="004B0E00"/>
    <w:rsid w:val="004B2AC0"/>
    <w:rsid w:val="004B4806"/>
    <w:rsid w:val="004B58BD"/>
    <w:rsid w:val="004B5FD3"/>
    <w:rsid w:val="004B6A8E"/>
    <w:rsid w:val="004B6AF9"/>
    <w:rsid w:val="004B6C07"/>
    <w:rsid w:val="004B6C24"/>
    <w:rsid w:val="004B79B6"/>
    <w:rsid w:val="004C173D"/>
    <w:rsid w:val="004C1ACE"/>
    <w:rsid w:val="004C2334"/>
    <w:rsid w:val="004C3125"/>
    <w:rsid w:val="004C4108"/>
    <w:rsid w:val="004C4591"/>
    <w:rsid w:val="004C53F3"/>
    <w:rsid w:val="004C5780"/>
    <w:rsid w:val="004C5CFB"/>
    <w:rsid w:val="004C6D0F"/>
    <w:rsid w:val="004D00A1"/>
    <w:rsid w:val="004D032A"/>
    <w:rsid w:val="004D0C7E"/>
    <w:rsid w:val="004D3614"/>
    <w:rsid w:val="004D48F5"/>
    <w:rsid w:val="004D4E6D"/>
    <w:rsid w:val="004D56F0"/>
    <w:rsid w:val="004D5E09"/>
    <w:rsid w:val="004D6268"/>
    <w:rsid w:val="004D7B32"/>
    <w:rsid w:val="004E015D"/>
    <w:rsid w:val="004E01DA"/>
    <w:rsid w:val="004E07FF"/>
    <w:rsid w:val="004E44B8"/>
    <w:rsid w:val="004E5AEC"/>
    <w:rsid w:val="004E61EF"/>
    <w:rsid w:val="004E6EDD"/>
    <w:rsid w:val="004E790C"/>
    <w:rsid w:val="004E7AD5"/>
    <w:rsid w:val="004E7F3B"/>
    <w:rsid w:val="004F02BC"/>
    <w:rsid w:val="004F02DD"/>
    <w:rsid w:val="004F075A"/>
    <w:rsid w:val="004F1816"/>
    <w:rsid w:val="004F2B0D"/>
    <w:rsid w:val="004F30E8"/>
    <w:rsid w:val="004F391B"/>
    <w:rsid w:val="004F3D2A"/>
    <w:rsid w:val="004F4727"/>
    <w:rsid w:val="004F4BCA"/>
    <w:rsid w:val="004F6215"/>
    <w:rsid w:val="004F69FE"/>
    <w:rsid w:val="004F7AAA"/>
    <w:rsid w:val="004F7C32"/>
    <w:rsid w:val="00500F06"/>
    <w:rsid w:val="0050228A"/>
    <w:rsid w:val="00504A3A"/>
    <w:rsid w:val="00504F8F"/>
    <w:rsid w:val="00506048"/>
    <w:rsid w:val="00506056"/>
    <w:rsid w:val="0050682D"/>
    <w:rsid w:val="00506CEB"/>
    <w:rsid w:val="00507167"/>
    <w:rsid w:val="00510E89"/>
    <w:rsid w:val="00512565"/>
    <w:rsid w:val="00513F06"/>
    <w:rsid w:val="0051411F"/>
    <w:rsid w:val="00514218"/>
    <w:rsid w:val="00514CAA"/>
    <w:rsid w:val="00516ADB"/>
    <w:rsid w:val="00516DF2"/>
    <w:rsid w:val="00520315"/>
    <w:rsid w:val="005204FA"/>
    <w:rsid w:val="005225D2"/>
    <w:rsid w:val="00522A78"/>
    <w:rsid w:val="00522C9F"/>
    <w:rsid w:val="00522E61"/>
    <w:rsid w:val="0052338D"/>
    <w:rsid w:val="005233AD"/>
    <w:rsid w:val="0052354F"/>
    <w:rsid w:val="005236E1"/>
    <w:rsid w:val="005239FD"/>
    <w:rsid w:val="00523BE7"/>
    <w:rsid w:val="00524F44"/>
    <w:rsid w:val="005263CE"/>
    <w:rsid w:val="005269D9"/>
    <w:rsid w:val="00526CE6"/>
    <w:rsid w:val="005272E7"/>
    <w:rsid w:val="00530931"/>
    <w:rsid w:val="00531BC0"/>
    <w:rsid w:val="00532777"/>
    <w:rsid w:val="005328B6"/>
    <w:rsid w:val="0053393D"/>
    <w:rsid w:val="00533B63"/>
    <w:rsid w:val="00533F1D"/>
    <w:rsid w:val="005342F6"/>
    <w:rsid w:val="005346BD"/>
    <w:rsid w:val="00535035"/>
    <w:rsid w:val="005350BE"/>
    <w:rsid w:val="005354A4"/>
    <w:rsid w:val="00536BDD"/>
    <w:rsid w:val="0053710D"/>
    <w:rsid w:val="0053710E"/>
    <w:rsid w:val="005373DA"/>
    <w:rsid w:val="00537D5A"/>
    <w:rsid w:val="00540AC8"/>
    <w:rsid w:val="00541554"/>
    <w:rsid w:val="0054162A"/>
    <w:rsid w:val="00541787"/>
    <w:rsid w:val="00541844"/>
    <w:rsid w:val="0054192D"/>
    <w:rsid w:val="00541CC4"/>
    <w:rsid w:val="00542532"/>
    <w:rsid w:val="00542E0D"/>
    <w:rsid w:val="00543281"/>
    <w:rsid w:val="00544142"/>
    <w:rsid w:val="00544941"/>
    <w:rsid w:val="00545EA8"/>
    <w:rsid w:val="00546165"/>
    <w:rsid w:val="005469D0"/>
    <w:rsid w:val="00546B67"/>
    <w:rsid w:val="00550D0D"/>
    <w:rsid w:val="00551A7A"/>
    <w:rsid w:val="005522CD"/>
    <w:rsid w:val="0055327E"/>
    <w:rsid w:val="005532AB"/>
    <w:rsid w:val="00553741"/>
    <w:rsid w:val="005561F5"/>
    <w:rsid w:val="00556C1E"/>
    <w:rsid w:val="00557027"/>
    <w:rsid w:val="0056152E"/>
    <w:rsid w:val="00562990"/>
    <w:rsid w:val="00563583"/>
    <w:rsid w:val="0056466E"/>
    <w:rsid w:val="00564A78"/>
    <w:rsid w:val="0056552E"/>
    <w:rsid w:val="0056565D"/>
    <w:rsid w:val="0056595D"/>
    <w:rsid w:val="005670B0"/>
    <w:rsid w:val="005677DC"/>
    <w:rsid w:val="005677E4"/>
    <w:rsid w:val="00567DB4"/>
    <w:rsid w:val="00570D05"/>
    <w:rsid w:val="00570DED"/>
    <w:rsid w:val="00571636"/>
    <w:rsid w:val="00571C59"/>
    <w:rsid w:val="00571F3F"/>
    <w:rsid w:val="005726BE"/>
    <w:rsid w:val="00574441"/>
    <w:rsid w:val="005745D3"/>
    <w:rsid w:val="00574AD2"/>
    <w:rsid w:val="00581B8B"/>
    <w:rsid w:val="005820B5"/>
    <w:rsid w:val="0058231D"/>
    <w:rsid w:val="00582495"/>
    <w:rsid w:val="00582F30"/>
    <w:rsid w:val="005832FC"/>
    <w:rsid w:val="00584E3E"/>
    <w:rsid w:val="0058536D"/>
    <w:rsid w:val="005865B9"/>
    <w:rsid w:val="005866E2"/>
    <w:rsid w:val="00586DCC"/>
    <w:rsid w:val="005871D9"/>
    <w:rsid w:val="005878C7"/>
    <w:rsid w:val="0059184D"/>
    <w:rsid w:val="00592236"/>
    <w:rsid w:val="00592E49"/>
    <w:rsid w:val="0059508B"/>
    <w:rsid w:val="005953FB"/>
    <w:rsid w:val="0059540B"/>
    <w:rsid w:val="00595CCD"/>
    <w:rsid w:val="00596DAD"/>
    <w:rsid w:val="005973C5"/>
    <w:rsid w:val="005A1F27"/>
    <w:rsid w:val="005A29F5"/>
    <w:rsid w:val="005A3821"/>
    <w:rsid w:val="005A4FEC"/>
    <w:rsid w:val="005A53C9"/>
    <w:rsid w:val="005A553F"/>
    <w:rsid w:val="005A57DE"/>
    <w:rsid w:val="005A64C8"/>
    <w:rsid w:val="005A6E24"/>
    <w:rsid w:val="005A70B1"/>
    <w:rsid w:val="005A73FD"/>
    <w:rsid w:val="005A79F2"/>
    <w:rsid w:val="005B00C5"/>
    <w:rsid w:val="005B03F2"/>
    <w:rsid w:val="005B07D1"/>
    <w:rsid w:val="005B0875"/>
    <w:rsid w:val="005B1055"/>
    <w:rsid w:val="005B1C56"/>
    <w:rsid w:val="005B202C"/>
    <w:rsid w:val="005B212E"/>
    <w:rsid w:val="005B2F13"/>
    <w:rsid w:val="005B6733"/>
    <w:rsid w:val="005B7708"/>
    <w:rsid w:val="005B7C87"/>
    <w:rsid w:val="005C113F"/>
    <w:rsid w:val="005C1488"/>
    <w:rsid w:val="005C1EAE"/>
    <w:rsid w:val="005C2223"/>
    <w:rsid w:val="005C2E0B"/>
    <w:rsid w:val="005C4874"/>
    <w:rsid w:val="005C5B24"/>
    <w:rsid w:val="005C604E"/>
    <w:rsid w:val="005C64D3"/>
    <w:rsid w:val="005C6C09"/>
    <w:rsid w:val="005C714C"/>
    <w:rsid w:val="005C7CC8"/>
    <w:rsid w:val="005D0128"/>
    <w:rsid w:val="005D0AE4"/>
    <w:rsid w:val="005D2D2E"/>
    <w:rsid w:val="005D3633"/>
    <w:rsid w:val="005D5C72"/>
    <w:rsid w:val="005D725F"/>
    <w:rsid w:val="005E0079"/>
    <w:rsid w:val="005E05A1"/>
    <w:rsid w:val="005E0C51"/>
    <w:rsid w:val="005E13B7"/>
    <w:rsid w:val="005E1853"/>
    <w:rsid w:val="005E299A"/>
    <w:rsid w:val="005E38AC"/>
    <w:rsid w:val="005E4698"/>
    <w:rsid w:val="005E4E56"/>
    <w:rsid w:val="005E5CC7"/>
    <w:rsid w:val="005E68CA"/>
    <w:rsid w:val="005E6CDF"/>
    <w:rsid w:val="005E7288"/>
    <w:rsid w:val="005E7503"/>
    <w:rsid w:val="005F03C1"/>
    <w:rsid w:val="005F0751"/>
    <w:rsid w:val="005F1319"/>
    <w:rsid w:val="005F1601"/>
    <w:rsid w:val="005F2D53"/>
    <w:rsid w:val="005F2ED9"/>
    <w:rsid w:val="005F2FC4"/>
    <w:rsid w:val="005F39AB"/>
    <w:rsid w:val="005F4D25"/>
    <w:rsid w:val="005F5559"/>
    <w:rsid w:val="005F58C5"/>
    <w:rsid w:val="005F591D"/>
    <w:rsid w:val="005F5FD2"/>
    <w:rsid w:val="005F70C2"/>
    <w:rsid w:val="005F7828"/>
    <w:rsid w:val="005F7A29"/>
    <w:rsid w:val="005F7F86"/>
    <w:rsid w:val="005F7FE9"/>
    <w:rsid w:val="006023C8"/>
    <w:rsid w:val="006027D4"/>
    <w:rsid w:val="00603B54"/>
    <w:rsid w:val="006048AE"/>
    <w:rsid w:val="00605A9B"/>
    <w:rsid w:val="006062C2"/>
    <w:rsid w:val="00610941"/>
    <w:rsid w:val="00612D43"/>
    <w:rsid w:val="0061583E"/>
    <w:rsid w:val="00615DD6"/>
    <w:rsid w:val="00616B8A"/>
    <w:rsid w:val="00620909"/>
    <w:rsid w:val="00621272"/>
    <w:rsid w:val="0062153C"/>
    <w:rsid w:val="00621C5A"/>
    <w:rsid w:val="00622534"/>
    <w:rsid w:val="00623783"/>
    <w:rsid w:val="00623CF3"/>
    <w:rsid w:val="006253B8"/>
    <w:rsid w:val="00626AFB"/>
    <w:rsid w:val="00626BF7"/>
    <w:rsid w:val="006274B6"/>
    <w:rsid w:val="00630B7A"/>
    <w:rsid w:val="0063210B"/>
    <w:rsid w:val="00632D8C"/>
    <w:rsid w:val="00633D94"/>
    <w:rsid w:val="00634509"/>
    <w:rsid w:val="006359B6"/>
    <w:rsid w:val="00637C0D"/>
    <w:rsid w:val="00640245"/>
    <w:rsid w:val="006417F6"/>
    <w:rsid w:val="00643391"/>
    <w:rsid w:val="00643564"/>
    <w:rsid w:val="00643AB8"/>
    <w:rsid w:val="0064456D"/>
    <w:rsid w:val="006450CF"/>
    <w:rsid w:val="00645534"/>
    <w:rsid w:val="00646738"/>
    <w:rsid w:val="00650003"/>
    <w:rsid w:val="00651AD5"/>
    <w:rsid w:val="00651BDF"/>
    <w:rsid w:val="00651D51"/>
    <w:rsid w:val="00652B50"/>
    <w:rsid w:val="00656AF6"/>
    <w:rsid w:val="0066031E"/>
    <w:rsid w:val="006614CC"/>
    <w:rsid w:val="00661819"/>
    <w:rsid w:val="00662152"/>
    <w:rsid w:val="00664137"/>
    <w:rsid w:val="006642D8"/>
    <w:rsid w:val="00664DEE"/>
    <w:rsid w:val="00665F9C"/>
    <w:rsid w:val="006670E5"/>
    <w:rsid w:val="0066780B"/>
    <w:rsid w:val="006705DB"/>
    <w:rsid w:val="006709CB"/>
    <w:rsid w:val="00670A35"/>
    <w:rsid w:val="006710E7"/>
    <w:rsid w:val="0067110C"/>
    <w:rsid w:val="00671BB0"/>
    <w:rsid w:val="00672903"/>
    <w:rsid w:val="006737C8"/>
    <w:rsid w:val="00673D5C"/>
    <w:rsid w:val="0067410E"/>
    <w:rsid w:val="00675498"/>
    <w:rsid w:val="00675F49"/>
    <w:rsid w:val="006766B6"/>
    <w:rsid w:val="00680EC6"/>
    <w:rsid w:val="00682E5E"/>
    <w:rsid w:val="006836CB"/>
    <w:rsid w:val="00685069"/>
    <w:rsid w:val="006859AC"/>
    <w:rsid w:val="00686D59"/>
    <w:rsid w:val="00687239"/>
    <w:rsid w:val="006900D4"/>
    <w:rsid w:val="00690CEB"/>
    <w:rsid w:val="00690E34"/>
    <w:rsid w:val="0069106B"/>
    <w:rsid w:val="00692441"/>
    <w:rsid w:val="006926E8"/>
    <w:rsid w:val="00693312"/>
    <w:rsid w:val="00694A71"/>
    <w:rsid w:val="00695286"/>
    <w:rsid w:val="0069604F"/>
    <w:rsid w:val="00696182"/>
    <w:rsid w:val="00696835"/>
    <w:rsid w:val="00696AA9"/>
    <w:rsid w:val="006A0703"/>
    <w:rsid w:val="006A0C67"/>
    <w:rsid w:val="006A1FE9"/>
    <w:rsid w:val="006A238A"/>
    <w:rsid w:val="006A264B"/>
    <w:rsid w:val="006A3613"/>
    <w:rsid w:val="006A3CBF"/>
    <w:rsid w:val="006A3D58"/>
    <w:rsid w:val="006A4F84"/>
    <w:rsid w:val="006A572B"/>
    <w:rsid w:val="006A671C"/>
    <w:rsid w:val="006A692D"/>
    <w:rsid w:val="006A6D8A"/>
    <w:rsid w:val="006A7092"/>
    <w:rsid w:val="006A7111"/>
    <w:rsid w:val="006A7683"/>
    <w:rsid w:val="006B1688"/>
    <w:rsid w:val="006B1DC6"/>
    <w:rsid w:val="006B219A"/>
    <w:rsid w:val="006B29EE"/>
    <w:rsid w:val="006B2F1E"/>
    <w:rsid w:val="006B30A6"/>
    <w:rsid w:val="006B3682"/>
    <w:rsid w:val="006B3982"/>
    <w:rsid w:val="006B44DF"/>
    <w:rsid w:val="006B78A1"/>
    <w:rsid w:val="006C21B2"/>
    <w:rsid w:val="006C2470"/>
    <w:rsid w:val="006C2F42"/>
    <w:rsid w:val="006C3107"/>
    <w:rsid w:val="006C3741"/>
    <w:rsid w:val="006C3B95"/>
    <w:rsid w:val="006C4A99"/>
    <w:rsid w:val="006C4B36"/>
    <w:rsid w:val="006C4BFF"/>
    <w:rsid w:val="006C567F"/>
    <w:rsid w:val="006C5AE4"/>
    <w:rsid w:val="006C6049"/>
    <w:rsid w:val="006C7041"/>
    <w:rsid w:val="006C7599"/>
    <w:rsid w:val="006C77CF"/>
    <w:rsid w:val="006D0D49"/>
    <w:rsid w:val="006D11D9"/>
    <w:rsid w:val="006D16A5"/>
    <w:rsid w:val="006D1B33"/>
    <w:rsid w:val="006D221B"/>
    <w:rsid w:val="006D2E61"/>
    <w:rsid w:val="006D31F5"/>
    <w:rsid w:val="006D3EBE"/>
    <w:rsid w:val="006D447A"/>
    <w:rsid w:val="006D4E56"/>
    <w:rsid w:val="006D5FC9"/>
    <w:rsid w:val="006E0499"/>
    <w:rsid w:val="006E127B"/>
    <w:rsid w:val="006E1372"/>
    <w:rsid w:val="006E1D65"/>
    <w:rsid w:val="006E2105"/>
    <w:rsid w:val="006E3796"/>
    <w:rsid w:val="006E3DED"/>
    <w:rsid w:val="006E446E"/>
    <w:rsid w:val="006E51F1"/>
    <w:rsid w:val="006E586B"/>
    <w:rsid w:val="006E7BC5"/>
    <w:rsid w:val="006F13D9"/>
    <w:rsid w:val="006F15AC"/>
    <w:rsid w:val="006F17C1"/>
    <w:rsid w:val="006F289E"/>
    <w:rsid w:val="006F4108"/>
    <w:rsid w:val="006F446E"/>
    <w:rsid w:val="006F53ED"/>
    <w:rsid w:val="006F600A"/>
    <w:rsid w:val="006F7573"/>
    <w:rsid w:val="00700143"/>
    <w:rsid w:val="00701028"/>
    <w:rsid w:val="0070122E"/>
    <w:rsid w:val="00701A72"/>
    <w:rsid w:val="00702CE2"/>
    <w:rsid w:val="00702D1A"/>
    <w:rsid w:val="007035DA"/>
    <w:rsid w:val="00704855"/>
    <w:rsid w:val="00704BAE"/>
    <w:rsid w:val="00705329"/>
    <w:rsid w:val="00705342"/>
    <w:rsid w:val="00705AC1"/>
    <w:rsid w:val="00706B53"/>
    <w:rsid w:val="007112D5"/>
    <w:rsid w:val="00712C2A"/>
    <w:rsid w:val="007138D3"/>
    <w:rsid w:val="00713BF2"/>
    <w:rsid w:val="0071424A"/>
    <w:rsid w:val="00715135"/>
    <w:rsid w:val="00717FF8"/>
    <w:rsid w:val="00720C28"/>
    <w:rsid w:val="00722956"/>
    <w:rsid w:val="007231AE"/>
    <w:rsid w:val="00723715"/>
    <w:rsid w:val="00723768"/>
    <w:rsid w:val="00723BDB"/>
    <w:rsid w:val="00723EB4"/>
    <w:rsid w:val="007240E7"/>
    <w:rsid w:val="007253A6"/>
    <w:rsid w:val="00726709"/>
    <w:rsid w:val="00726C74"/>
    <w:rsid w:val="00726F3C"/>
    <w:rsid w:val="00727B25"/>
    <w:rsid w:val="00727DDC"/>
    <w:rsid w:val="0073028E"/>
    <w:rsid w:val="0073098F"/>
    <w:rsid w:val="007312B3"/>
    <w:rsid w:val="00732870"/>
    <w:rsid w:val="00733464"/>
    <w:rsid w:val="00733852"/>
    <w:rsid w:val="00735D8C"/>
    <w:rsid w:val="00735FA6"/>
    <w:rsid w:val="00736659"/>
    <w:rsid w:val="00736F5B"/>
    <w:rsid w:val="00737BA9"/>
    <w:rsid w:val="00740915"/>
    <w:rsid w:val="007412AD"/>
    <w:rsid w:val="007433CD"/>
    <w:rsid w:val="00743805"/>
    <w:rsid w:val="00743D8C"/>
    <w:rsid w:val="007459E7"/>
    <w:rsid w:val="00746222"/>
    <w:rsid w:val="00746BD5"/>
    <w:rsid w:val="00747417"/>
    <w:rsid w:val="0075034A"/>
    <w:rsid w:val="00750CB1"/>
    <w:rsid w:val="007515C4"/>
    <w:rsid w:val="0075208F"/>
    <w:rsid w:val="00752860"/>
    <w:rsid w:val="0075389B"/>
    <w:rsid w:val="007550C7"/>
    <w:rsid w:val="00755A8D"/>
    <w:rsid w:val="007564B2"/>
    <w:rsid w:val="00756C53"/>
    <w:rsid w:val="007607EC"/>
    <w:rsid w:val="00761602"/>
    <w:rsid w:val="00761FA0"/>
    <w:rsid w:val="00762385"/>
    <w:rsid w:val="00762915"/>
    <w:rsid w:val="007629EC"/>
    <w:rsid w:val="00762A68"/>
    <w:rsid w:val="00762E7E"/>
    <w:rsid w:val="00762F4A"/>
    <w:rsid w:val="0076319E"/>
    <w:rsid w:val="00763976"/>
    <w:rsid w:val="0076648D"/>
    <w:rsid w:val="00766510"/>
    <w:rsid w:val="00766ABA"/>
    <w:rsid w:val="00767032"/>
    <w:rsid w:val="00767951"/>
    <w:rsid w:val="0077099E"/>
    <w:rsid w:val="00771000"/>
    <w:rsid w:val="007716D7"/>
    <w:rsid w:val="00771FFB"/>
    <w:rsid w:val="007720FC"/>
    <w:rsid w:val="00772140"/>
    <w:rsid w:val="0077238D"/>
    <w:rsid w:val="00772866"/>
    <w:rsid w:val="00772BC7"/>
    <w:rsid w:val="007744ED"/>
    <w:rsid w:val="00774F11"/>
    <w:rsid w:val="00774F12"/>
    <w:rsid w:val="00774F84"/>
    <w:rsid w:val="007767C3"/>
    <w:rsid w:val="00776809"/>
    <w:rsid w:val="007768EB"/>
    <w:rsid w:val="007774B3"/>
    <w:rsid w:val="00780B7F"/>
    <w:rsid w:val="00780C9E"/>
    <w:rsid w:val="0078104C"/>
    <w:rsid w:val="00781310"/>
    <w:rsid w:val="00784225"/>
    <w:rsid w:val="00784A83"/>
    <w:rsid w:val="00785578"/>
    <w:rsid w:val="007858B2"/>
    <w:rsid w:val="00785A91"/>
    <w:rsid w:val="00786116"/>
    <w:rsid w:val="007870A2"/>
    <w:rsid w:val="00787A6B"/>
    <w:rsid w:val="0079022A"/>
    <w:rsid w:val="0079077E"/>
    <w:rsid w:val="00790C8B"/>
    <w:rsid w:val="007913A4"/>
    <w:rsid w:val="007938AC"/>
    <w:rsid w:val="007946C1"/>
    <w:rsid w:val="00795341"/>
    <w:rsid w:val="00795E73"/>
    <w:rsid w:val="00796E6C"/>
    <w:rsid w:val="0079710D"/>
    <w:rsid w:val="00797A1D"/>
    <w:rsid w:val="00797A29"/>
    <w:rsid w:val="007A0CE9"/>
    <w:rsid w:val="007A0E5C"/>
    <w:rsid w:val="007A0E78"/>
    <w:rsid w:val="007A29E1"/>
    <w:rsid w:val="007A3047"/>
    <w:rsid w:val="007A492F"/>
    <w:rsid w:val="007A4B93"/>
    <w:rsid w:val="007A554C"/>
    <w:rsid w:val="007A6545"/>
    <w:rsid w:val="007B0270"/>
    <w:rsid w:val="007B2CE8"/>
    <w:rsid w:val="007B2ED7"/>
    <w:rsid w:val="007B31CC"/>
    <w:rsid w:val="007B3293"/>
    <w:rsid w:val="007B4BFE"/>
    <w:rsid w:val="007B5266"/>
    <w:rsid w:val="007B558C"/>
    <w:rsid w:val="007B6633"/>
    <w:rsid w:val="007C0409"/>
    <w:rsid w:val="007C12E4"/>
    <w:rsid w:val="007C15C6"/>
    <w:rsid w:val="007C1728"/>
    <w:rsid w:val="007C1A94"/>
    <w:rsid w:val="007C1AD1"/>
    <w:rsid w:val="007C1DAD"/>
    <w:rsid w:val="007C2AE9"/>
    <w:rsid w:val="007C390D"/>
    <w:rsid w:val="007C4BF7"/>
    <w:rsid w:val="007C55A5"/>
    <w:rsid w:val="007C5673"/>
    <w:rsid w:val="007C5F76"/>
    <w:rsid w:val="007C79C4"/>
    <w:rsid w:val="007D049E"/>
    <w:rsid w:val="007D09EE"/>
    <w:rsid w:val="007D15B8"/>
    <w:rsid w:val="007D179E"/>
    <w:rsid w:val="007D1A00"/>
    <w:rsid w:val="007D3396"/>
    <w:rsid w:val="007D34F4"/>
    <w:rsid w:val="007D4470"/>
    <w:rsid w:val="007D563B"/>
    <w:rsid w:val="007D619F"/>
    <w:rsid w:val="007D624E"/>
    <w:rsid w:val="007D629E"/>
    <w:rsid w:val="007D7E3B"/>
    <w:rsid w:val="007E0179"/>
    <w:rsid w:val="007E1207"/>
    <w:rsid w:val="007E159A"/>
    <w:rsid w:val="007E20A5"/>
    <w:rsid w:val="007E2273"/>
    <w:rsid w:val="007E3250"/>
    <w:rsid w:val="007E436A"/>
    <w:rsid w:val="007E56F4"/>
    <w:rsid w:val="007E601B"/>
    <w:rsid w:val="007E7EB0"/>
    <w:rsid w:val="007F03B6"/>
    <w:rsid w:val="007F0D18"/>
    <w:rsid w:val="007F19E6"/>
    <w:rsid w:val="007F2464"/>
    <w:rsid w:val="007F642E"/>
    <w:rsid w:val="007F67CC"/>
    <w:rsid w:val="007F6B25"/>
    <w:rsid w:val="007F7F97"/>
    <w:rsid w:val="00800B80"/>
    <w:rsid w:val="00800E36"/>
    <w:rsid w:val="008011D6"/>
    <w:rsid w:val="008016D4"/>
    <w:rsid w:val="008023FC"/>
    <w:rsid w:val="008025BC"/>
    <w:rsid w:val="00802871"/>
    <w:rsid w:val="008039EF"/>
    <w:rsid w:val="008066E3"/>
    <w:rsid w:val="00806835"/>
    <w:rsid w:val="00807761"/>
    <w:rsid w:val="008118AD"/>
    <w:rsid w:val="00811E0C"/>
    <w:rsid w:val="00812078"/>
    <w:rsid w:val="00812A53"/>
    <w:rsid w:val="00812C8D"/>
    <w:rsid w:val="0081586F"/>
    <w:rsid w:val="00815CDF"/>
    <w:rsid w:val="00816022"/>
    <w:rsid w:val="008162A9"/>
    <w:rsid w:val="00816AC2"/>
    <w:rsid w:val="00820C61"/>
    <w:rsid w:val="0082179C"/>
    <w:rsid w:val="00821CBE"/>
    <w:rsid w:val="008221DF"/>
    <w:rsid w:val="00822ED2"/>
    <w:rsid w:val="008258B8"/>
    <w:rsid w:val="00826689"/>
    <w:rsid w:val="00826708"/>
    <w:rsid w:val="00830622"/>
    <w:rsid w:val="00831272"/>
    <w:rsid w:val="00832514"/>
    <w:rsid w:val="00832AB0"/>
    <w:rsid w:val="00833AC2"/>
    <w:rsid w:val="00836CBF"/>
    <w:rsid w:val="00836FE6"/>
    <w:rsid w:val="00837AD7"/>
    <w:rsid w:val="00840592"/>
    <w:rsid w:val="0084061B"/>
    <w:rsid w:val="00840E39"/>
    <w:rsid w:val="00840E44"/>
    <w:rsid w:val="00841238"/>
    <w:rsid w:val="00841974"/>
    <w:rsid w:val="008430D0"/>
    <w:rsid w:val="0084327E"/>
    <w:rsid w:val="00843303"/>
    <w:rsid w:val="00844845"/>
    <w:rsid w:val="00844FA9"/>
    <w:rsid w:val="008450EE"/>
    <w:rsid w:val="00845661"/>
    <w:rsid w:val="00846D66"/>
    <w:rsid w:val="00846E7A"/>
    <w:rsid w:val="00847782"/>
    <w:rsid w:val="00850392"/>
    <w:rsid w:val="0085064D"/>
    <w:rsid w:val="0085298B"/>
    <w:rsid w:val="00852B6C"/>
    <w:rsid w:val="00854242"/>
    <w:rsid w:val="00854CA9"/>
    <w:rsid w:val="008557AA"/>
    <w:rsid w:val="00855F0A"/>
    <w:rsid w:val="008621FA"/>
    <w:rsid w:val="008623D6"/>
    <w:rsid w:val="00863205"/>
    <w:rsid w:val="00863BDF"/>
    <w:rsid w:val="008642F1"/>
    <w:rsid w:val="00865779"/>
    <w:rsid w:val="00865A73"/>
    <w:rsid w:val="008663CB"/>
    <w:rsid w:val="00866898"/>
    <w:rsid w:val="00866F67"/>
    <w:rsid w:val="00870837"/>
    <w:rsid w:val="0087693A"/>
    <w:rsid w:val="00880BFA"/>
    <w:rsid w:val="00880EBA"/>
    <w:rsid w:val="0088163B"/>
    <w:rsid w:val="00881D3A"/>
    <w:rsid w:val="00881F9C"/>
    <w:rsid w:val="008825B2"/>
    <w:rsid w:val="00882D1D"/>
    <w:rsid w:val="00883890"/>
    <w:rsid w:val="00884062"/>
    <w:rsid w:val="00884561"/>
    <w:rsid w:val="00884DD5"/>
    <w:rsid w:val="00885CE5"/>
    <w:rsid w:val="0088779D"/>
    <w:rsid w:val="008902C4"/>
    <w:rsid w:val="00890899"/>
    <w:rsid w:val="008926EB"/>
    <w:rsid w:val="00892C80"/>
    <w:rsid w:val="00892DE7"/>
    <w:rsid w:val="00893152"/>
    <w:rsid w:val="008937C2"/>
    <w:rsid w:val="00894971"/>
    <w:rsid w:val="00894F25"/>
    <w:rsid w:val="00895634"/>
    <w:rsid w:val="00895B36"/>
    <w:rsid w:val="00896996"/>
    <w:rsid w:val="008975CD"/>
    <w:rsid w:val="0089798C"/>
    <w:rsid w:val="008A1593"/>
    <w:rsid w:val="008A59D1"/>
    <w:rsid w:val="008A6296"/>
    <w:rsid w:val="008A6791"/>
    <w:rsid w:val="008A77A6"/>
    <w:rsid w:val="008A7AAD"/>
    <w:rsid w:val="008A7E8C"/>
    <w:rsid w:val="008B072E"/>
    <w:rsid w:val="008B1C44"/>
    <w:rsid w:val="008B1E7B"/>
    <w:rsid w:val="008B2C86"/>
    <w:rsid w:val="008B2D12"/>
    <w:rsid w:val="008B409F"/>
    <w:rsid w:val="008B4F0B"/>
    <w:rsid w:val="008B5639"/>
    <w:rsid w:val="008B5F49"/>
    <w:rsid w:val="008B5FCE"/>
    <w:rsid w:val="008B60A0"/>
    <w:rsid w:val="008B74D6"/>
    <w:rsid w:val="008B77E6"/>
    <w:rsid w:val="008C00A3"/>
    <w:rsid w:val="008C00D1"/>
    <w:rsid w:val="008C0531"/>
    <w:rsid w:val="008C3C55"/>
    <w:rsid w:val="008C49BA"/>
    <w:rsid w:val="008C5442"/>
    <w:rsid w:val="008C6411"/>
    <w:rsid w:val="008C7676"/>
    <w:rsid w:val="008D1144"/>
    <w:rsid w:val="008D1699"/>
    <w:rsid w:val="008D1E7A"/>
    <w:rsid w:val="008D2162"/>
    <w:rsid w:val="008D2D27"/>
    <w:rsid w:val="008D367D"/>
    <w:rsid w:val="008D3A5F"/>
    <w:rsid w:val="008D4D84"/>
    <w:rsid w:val="008D5650"/>
    <w:rsid w:val="008D5788"/>
    <w:rsid w:val="008D607F"/>
    <w:rsid w:val="008D60B0"/>
    <w:rsid w:val="008D7333"/>
    <w:rsid w:val="008D7D80"/>
    <w:rsid w:val="008D7E9C"/>
    <w:rsid w:val="008E013C"/>
    <w:rsid w:val="008E04B2"/>
    <w:rsid w:val="008E0C65"/>
    <w:rsid w:val="008E2311"/>
    <w:rsid w:val="008E3886"/>
    <w:rsid w:val="008E540E"/>
    <w:rsid w:val="008E63C4"/>
    <w:rsid w:val="008E6A0D"/>
    <w:rsid w:val="008E6D90"/>
    <w:rsid w:val="008E70DD"/>
    <w:rsid w:val="008E7668"/>
    <w:rsid w:val="008F0543"/>
    <w:rsid w:val="008F1615"/>
    <w:rsid w:val="008F172B"/>
    <w:rsid w:val="008F17CC"/>
    <w:rsid w:val="008F1805"/>
    <w:rsid w:val="008F2964"/>
    <w:rsid w:val="008F302C"/>
    <w:rsid w:val="008F34BF"/>
    <w:rsid w:val="008F3ABB"/>
    <w:rsid w:val="008F4107"/>
    <w:rsid w:val="008F4219"/>
    <w:rsid w:val="008F42A9"/>
    <w:rsid w:val="008F4E0F"/>
    <w:rsid w:val="008F659A"/>
    <w:rsid w:val="008F6FE2"/>
    <w:rsid w:val="00900114"/>
    <w:rsid w:val="009012C7"/>
    <w:rsid w:val="009018DF"/>
    <w:rsid w:val="00902935"/>
    <w:rsid w:val="0090360A"/>
    <w:rsid w:val="00903D2F"/>
    <w:rsid w:val="00903EEF"/>
    <w:rsid w:val="00904A71"/>
    <w:rsid w:val="00905D26"/>
    <w:rsid w:val="009060CA"/>
    <w:rsid w:val="00907762"/>
    <w:rsid w:val="009108C1"/>
    <w:rsid w:val="00910C47"/>
    <w:rsid w:val="0091104E"/>
    <w:rsid w:val="009119DC"/>
    <w:rsid w:val="00911EA1"/>
    <w:rsid w:val="009125A7"/>
    <w:rsid w:val="00914A57"/>
    <w:rsid w:val="00914BA4"/>
    <w:rsid w:val="009158AF"/>
    <w:rsid w:val="00916169"/>
    <w:rsid w:val="00917836"/>
    <w:rsid w:val="00920521"/>
    <w:rsid w:val="0092076E"/>
    <w:rsid w:val="00920ECB"/>
    <w:rsid w:val="00920F27"/>
    <w:rsid w:val="00921410"/>
    <w:rsid w:val="00921709"/>
    <w:rsid w:val="009217D3"/>
    <w:rsid w:val="00921F08"/>
    <w:rsid w:val="009223C9"/>
    <w:rsid w:val="00922C0F"/>
    <w:rsid w:val="009233A2"/>
    <w:rsid w:val="009237BD"/>
    <w:rsid w:val="00925644"/>
    <w:rsid w:val="009260D4"/>
    <w:rsid w:val="009261F3"/>
    <w:rsid w:val="00926E34"/>
    <w:rsid w:val="00927191"/>
    <w:rsid w:val="009304F0"/>
    <w:rsid w:val="00930669"/>
    <w:rsid w:val="00931926"/>
    <w:rsid w:val="00931ADE"/>
    <w:rsid w:val="00931E67"/>
    <w:rsid w:val="00932888"/>
    <w:rsid w:val="00933288"/>
    <w:rsid w:val="0093345A"/>
    <w:rsid w:val="0093388A"/>
    <w:rsid w:val="0093484A"/>
    <w:rsid w:val="00935771"/>
    <w:rsid w:val="00935795"/>
    <w:rsid w:val="00936917"/>
    <w:rsid w:val="00937113"/>
    <w:rsid w:val="00937370"/>
    <w:rsid w:val="00937CA0"/>
    <w:rsid w:val="00942D30"/>
    <w:rsid w:val="0094494C"/>
    <w:rsid w:val="00944DA3"/>
    <w:rsid w:val="00946774"/>
    <w:rsid w:val="009506E0"/>
    <w:rsid w:val="009509CB"/>
    <w:rsid w:val="00951506"/>
    <w:rsid w:val="00953BB8"/>
    <w:rsid w:val="0095402B"/>
    <w:rsid w:val="00954F2D"/>
    <w:rsid w:val="0095528D"/>
    <w:rsid w:val="0095605D"/>
    <w:rsid w:val="009578D8"/>
    <w:rsid w:val="00957AB0"/>
    <w:rsid w:val="00963657"/>
    <w:rsid w:val="00964DF8"/>
    <w:rsid w:val="009657F8"/>
    <w:rsid w:val="00966605"/>
    <w:rsid w:val="00966E6E"/>
    <w:rsid w:val="009673E5"/>
    <w:rsid w:val="00970A7B"/>
    <w:rsid w:val="00973227"/>
    <w:rsid w:val="00974847"/>
    <w:rsid w:val="00975FF5"/>
    <w:rsid w:val="00977671"/>
    <w:rsid w:val="009776D9"/>
    <w:rsid w:val="00977F72"/>
    <w:rsid w:val="00980BC2"/>
    <w:rsid w:val="0098183E"/>
    <w:rsid w:val="00982CEA"/>
    <w:rsid w:val="009841B7"/>
    <w:rsid w:val="00984395"/>
    <w:rsid w:val="00985CEB"/>
    <w:rsid w:val="00986439"/>
    <w:rsid w:val="009864C0"/>
    <w:rsid w:val="00986780"/>
    <w:rsid w:val="009878C1"/>
    <w:rsid w:val="009879C3"/>
    <w:rsid w:val="009901D3"/>
    <w:rsid w:val="00993FF2"/>
    <w:rsid w:val="0099562D"/>
    <w:rsid w:val="009956CA"/>
    <w:rsid w:val="0099708B"/>
    <w:rsid w:val="00997CFD"/>
    <w:rsid w:val="009A01C5"/>
    <w:rsid w:val="009A1DB6"/>
    <w:rsid w:val="009A26E6"/>
    <w:rsid w:val="009A3491"/>
    <w:rsid w:val="009A37FE"/>
    <w:rsid w:val="009A436A"/>
    <w:rsid w:val="009A45E0"/>
    <w:rsid w:val="009A4D9D"/>
    <w:rsid w:val="009A50C6"/>
    <w:rsid w:val="009A63AF"/>
    <w:rsid w:val="009A6460"/>
    <w:rsid w:val="009A6819"/>
    <w:rsid w:val="009A6950"/>
    <w:rsid w:val="009A758A"/>
    <w:rsid w:val="009A7613"/>
    <w:rsid w:val="009A7A09"/>
    <w:rsid w:val="009B07AF"/>
    <w:rsid w:val="009B18BA"/>
    <w:rsid w:val="009B1BD1"/>
    <w:rsid w:val="009B1D53"/>
    <w:rsid w:val="009B3C06"/>
    <w:rsid w:val="009B52CD"/>
    <w:rsid w:val="009B5A4D"/>
    <w:rsid w:val="009B6F6C"/>
    <w:rsid w:val="009B7192"/>
    <w:rsid w:val="009B71AF"/>
    <w:rsid w:val="009B78C5"/>
    <w:rsid w:val="009B7995"/>
    <w:rsid w:val="009B7A51"/>
    <w:rsid w:val="009B7D1D"/>
    <w:rsid w:val="009B7F51"/>
    <w:rsid w:val="009C0785"/>
    <w:rsid w:val="009C0824"/>
    <w:rsid w:val="009C1651"/>
    <w:rsid w:val="009C171A"/>
    <w:rsid w:val="009C2B3D"/>
    <w:rsid w:val="009C31CC"/>
    <w:rsid w:val="009C50DD"/>
    <w:rsid w:val="009C545E"/>
    <w:rsid w:val="009C6290"/>
    <w:rsid w:val="009C6309"/>
    <w:rsid w:val="009C7741"/>
    <w:rsid w:val="009C78B3"/>
    <w:rsid w:val="009D12EA"/>
    <w:rsid w:val="009D19F9"/>
    <w:rsid w:val="009D31AD"/>
    <w:rsid w:val="009D44CF"/>
    <w:rsid w:val="009D4860"/>
    <w:rsid w:val="009D48CC"/>
    <w:rsid w:val="009D4CE2"/>
    <w:rsid w:val="009D5A54"/>
    <w:rsid w:val="009D7045"/>
    <w:rsid w:val="009E0154"/>
    <w:rsid w:val="009E0B6E"/>
    <w:rsid w:val="009E208D"/>
    <w:rsid w:val="009E30FD"/>
    <w:rsid w:val="009E3D90"/>
    <w:rsid w:val="009E3F84"/>
    <w:rsid w:val="009E543A"/>
    <w:rsid w:val="009E5586"/>
    <w:rsid w:val="009E60AA"/>
    <w:rsid w:val="009E712B"/>
    <w:rsid w:val="009F084C"/>
    <w:rsid w:val="009F09C7"/>
    <w:rsid w:val="009F34EA"/>
    <w:rsid w:val="009F5370"/>
    <w:rsid w:val="009F59E5"/>
    <w:rsid w:val="009F688F"/>
    <w:rsid w:val="009F6D58"/>
    <w:rsid w:val="009F70C1"/>
    <w:rsid w:val="009F722E"/>
    <w:rsid w:val="00A00279"/>
    <w:rsid w:val="00A009A8"/>
    <w:rsid w:val="00A01463"/>
    <w:rsid w:val="00A01821"/>
    <w:rsid w:val="00A02028"/>
    <w:rsid w:val="00A02157"/>
    <w:rsid w:val="00A021E2"/>
    <w:rsid w:val="00A0229E"/>
    <w:rsid w:val="00A02398"/>
    <w:rsid w:val="00A029E4"/>
    <w:rsid w:val="00A02A77"/>
    <w:rsid w:val="00A051D9"/>
    <w:rsid w:val="00A05284"/>
    <w:rsid w:val="00A061A7"/>
    <w:rsid w:val="00A062D1"/>
    <w:rsid w:val="00A06667"/>
    <w:rsid w:val="00A06BB6"/>
    <w:rsid w:val="00A07466"/>
    <w:rsid w:val="00A079D0"/>
    <w:rsid w:val="00A1078B"/>
    <w:rsid w:val="00A10B11"/>
    <w:rsid w:val="00A10C3B"/>
    <w:rsid w:val="00A10E5D"/>
    <w:rsid w:val="00A123C0"/>
    <w:rsid w:val="00A123E1"/>
    <w:rsid w:val="00A12628"/>
    <w:rsid w:val="00A12BF8"/>
    <w:rsid w:val="00A12ED3"/>
    <w:rsid w:val="00A13563"/>
    <w:rsid w:val="00A13926"/>
    <w:rsid w:val="00A15DFB"/>
    <w:rsid w:val="00A16C46"/>
    <w:rsid w:val="00A17051"/>
    <w:rsid w:val="00A200D7"/>
    <w:rsid w:val="00A202D5"/>
    <w:rsid w:val="00A2052F"/>
    <w:rsid w:val="00A20FBC"/>
    <w:rsid w:val="00A212BD"/>
    <w:rsid w:val="00A212D5"/>
    <w:rsid w:val="00A21824"/>
    <w:rsid w:val="00A21C42"/>
    <w:rsid w:val="00A2220B"/>
    <w:rsid w:val="00A226E4"/>
    <w:rsid w:val="00A2275E"/>
    <w:rsid w:val="00A23799"/>
    <w:rsid w:val="00A24F7A"/>
    <w:rsid w:val="00A263EA"/>
    <w:rsid w:val="00A27058"/>
    <w:rsid w:val="00A27C10"/>
    <w:rsid w:val="00A30AED"/>
    <w:rsid w:val="00A31F14"/>
    <w:rsid w:val="00A33B0C"/>
    <w:rsid w:val="00A33BB9"/>
    <w:rsid w:val="00A3468A"/>
    <w:rsid w:val="00A35800"/>
    <w:rsid w:val="00A35DE3"/>
    <w:rsid w:val="00A35E78"/>
    <w:rsid w:val="00A35F81"/>
    <w:rsid w:val="00A36AAB"/>
    <w:rsid w:val="00A36F08"/>
    <w:rsid w:val="00A3792B"/>
    <w:rsid w:val="00A37A4F"/>
    <w:rsid w:val="00A407DF"/>
    <w:rsid w:val="00A408D9"/>
    <w:rsid w:val="00A43848"/>
    <w:rsid w:val="00A43B74"/>
    <w:rsid w:val="00A44950"/>
    <w:rsid w:val="00A457C1"/>
    <w:rsid w:val="00A45F33"/>
    <w:rsid w:val="00A46808"/>
    <w:rsid w:val="00A47105"/>
    <w:rsid w:val="00A47D8D"/>
    <w:rsid w:val="00A47DB1"/>
    <w:rsid w:val="00A50EE4"/>
    <w:rsid w:val="00A51ECA"/>
    <w:rsid w:val="00A53847"/>
    <w:rsid w:val="00A541BB"/>
    <w:rsid w:val="00A5432F"/>
    <w:rsid w:val="00A5458E"/>
    <w:rsid w:val="00A5500D"/>
    <w:rsid w:val="00A55690"/>
    <w:rsid w:val="00A55D1B"/>
    <w:rsid w:val="00A5668B"/>
    <w:rsid w:val="00A56731"/>
    <w:rsid w:val="00A60F55"/>
    <w:rsid w:val="00A6167F"/>
    <w:rsid w:val="00A621EA"/>
    <w:rsid w:val="00A66561"/>
    <w:rsid w:val="00A66A32"/>
    <w:rsid w:val="00A66B0B"/>
    <w:rsid w:val="00A66C5F"/>
    <w:rsid w:val="00A6721D"/>
    <w:rsid w:val="00A70109"/>
    <w:rsid w:val="00A71AD9"/>
    <w:rsid w:val="00A7255C"/>
    <w:rsid w:val="00A72790"/>
    <w:rsid w:val="00A7292D"/>
    <w:rsid w:val="00A72B7E"/>
    <w:rsid w:val="00A72E48"/>
    <w:rsid w:val="00A738C5"/>
    <w:rsid w:val="00A739CA"/>
    <w:rsid w:val="00A747CA"/>
    <w:rsid w:val="00A754FD"/>
    <w:rsid w:val="00A75DAB"/>
    <w:rsid w:val="00A76113"/>
    <w:rsid w:val="00A7620F"/>
    <w:rsid w:val="00A7625F"/>
    <w:rsid w:val="00A76658"/>
    <w:rsid w:val="00A76AA8"/>
    <w:rsid w:val="00A77289"/>
    <w:rsid w:val="00A77918"/>
    <w:rsid w:val="00A779AE"/>
    <w:rsid w:val="00A80048"/>
    <w:rsid w:val="00A83426"/>
    <w:rsid w:val="00A840C2"/>
    <w:rsid w:val="00A843F0"/>
    <w:rsid w:val="00A84E86"/>
    <w:rsid w:val="00A8653F"/>
    <w:rsid w:val="00A86D33"/>
    <w:rsid w:val="00A87905"/>
    <w:rsid w:val="00A87A93"/>
    <w:rsid w:val="00A9216A"/>
    <w:rsid w:val="00A92621"/>
    <w:rsid w:val="00A92B53"/>
    <w:rsid w:val="00A92C52"/>
    <w:rsid w:val="00A9314D"/>
    <w:rsid w:val="00A93189"/>
    <w:rsid w:val="00A93EF1"/>
    <w:rsid w:val="00A944F2"/>
    <w:rsid w:val="00A954FB"/>
    <w:rsid w:val="00A95714"/>
    <w:rsid w:val="00A95CA2"/>
    <w:rsid w:val="00A95FAE"/>
    <w:rsid w:val="00A976C1"/>
    <w:rsid w:val="00A97AF4"/>
    <w:rsid w:val="00AA1ED7"/>
    <w:rsid w:val="00AA227F"/>
    <w:rsid w:val="00AA2521"/>
    <w:rsid w:val="00AA3CE2"/>
    <w:rsid w:val="00AA495B"/>
    <w:rsid w:val="00AA666F"/>
    <w:rsid w:val="00AA7523"/>
    <w:rsid w:val="00AB050F"/>
    <w:rsid w:val="00AB20B9"/>
    <w:rsid w:val="00AB2237"/>
    <w:rsid w:val="00AB2A62"/>
    <w:rsid w:val="00AB3A24"/>
    <w:rsid w:val="00AB4930"/>
    <w:rsid w:val="00AB66C7"/>
    <w:rsid w:val="00AB770F"/>
    <w:rsid w:val="00AB7CCC"/>
    <w:rsid w:val="00AC0A9D"/>
    <w:rsid w:val="00AC3065"/>
    <w:rsid w:val="00AC30A3"/>
    <w:rsid w:val="00AC30E8"/>
    <w:rsid w:val="00AC45AD"/>
    <w:rsid w:val="00AC49B7"/>
    <w:rsid w:val="00AC522A"/>
    <w:rsid w:val="00AC6CD1"/>
    <w:rsid w:val="00AC6D6D"/>
    <w:rsid w:val="00AC729C"/>
    <w:rsid w:val="00AC7933"/>
    <w:rsid w:val="00AD0B69"/>
    <w:rsid w:val="00AD11A7"/>
    <w:rsid w:val="00AD18AF"/>
    <w:rsid w:val="00AD1AC6"/>
    <w:rsid w:val="00AD23FF"/>
    <w:rsid w:val="00AD30E5"/>
    <w:rsid w:val="00AD3593"/>
    <w:rsid w:val="00AD4195"/>
    <w:rsid w:val="00AD42DC"/>
    <w:rsid w:val="00AD4680"/>
    <w:rsid w:val="00AD4C66"/>
    <w:rsid w:val="00AD5D3E"/>
    <w:rsid w:val="00AD759D"/>
    <w:rsid w:val="00AD7C8B"/>
    <w:rsid w:val="00AE1E37"/>
    <w:rsid w:val="00AE231D"/>
    <w:rsid w:val="00AE2993"/>
    <w:rsid w:val="00AE320E"/>
    <w:rsid w:val="00AE3C8B"/>
    <w:rsid w:val="00AE48B5"/>
    <w:rsid w:val="00AE4952"/>
    <w:rsid w:val="00AE56F9"/>
    <w:rsid w:val="00AE579C"/>
    <w:rsid w:val="00AE58C9"/>
    <w:rsid w:val="00AE5CC1"/>
    <w:rsid w:val="00AE6BB5"/>
    <w:rsid w:val="00AE6C9D"/>
    <w:rsid w:val="00AE73FC"/>
    <w:rsid w:val="00AE7712"/>
    <w:rsid w:val="00AE774A"/>
    <w:rsid w:val="00AE787E"/>
    <w:rsid w:val="00AF080C"/>
    <w:rsid w:val="00AF0B5E"/>
    <w:rsid w:val="00AF128A"/>
    <w:rsid w:val="00AF1525"/>
    <w:rsid w:val="00AF3FB6"/>
    <w:rsid w:val="00AF6A93"/>
    <w:rsid w:val="00AF7108"/>
    <w:rsid w:val="00AF7730"/>
    <w:rsid w:val="00AF7807"/>
    <w:rsid w:val="00AF78A7"/>
    <w:rsid w:val="00AF7B36"/>
    <w:rsid w:val="00B00589"/>
    <w:rsid w:val="00B00E29"/>
    <w:rsid w:val="00B011A4"/>
    <w:rsid w:val="00B023C0"/>
    <w:rsid w:val="00B03023"/>
    <w:rsid w:val="00B0424A"/>
    <w:rsid w:val="00B0495E"/>
    <w:rsid w:val="00B05199"/>
    <w:rsid w:val="00B05634"/>
    <w:rsid w:val="00B05680"/>
    <w:rsid w:val="00B101B1"/>
    <w:rsid w:val="00B108E0"/>
    <w:rsid w:val="00B11AE5"/>
    <w:rsid w:val="00B11B5B"/>
    <w:rsid w:val="00B12A03"/>
    <w:rsid w:val="00B12E1D"/>
    <w:rsid w:val="00B13479"/>
    <w:rsid w:val="00B138C5"/>
    <w:rsid w:val="00B22BA6"/>
    <w:rsid w:val="00B2373F"/>
    <w:rsid w:val="00B23E81"/>
    <w:rsid w:val="00B2430D"/>
    <w:rsid w:val="00B24C21"/>
    <w:rsid w:val="00B25488"/>
    <w:rsid w:val="00B274FA"/>
    <w:rsid w:val="00B275FE"/>
    <w:rsid w:val="00B27863"/>
    <w:rsid w:val="00B27C86"/>
    <w:rsid w:val="00B305A6"/>
    <w:rsid w:val="00B311C7"/>
    <w:rsid w:val="00B314EE"/>
    <w:rsid w:val="00B31E6E"/>
    <w:rsid w:val="00B324B4"/>
    <w:rsid w:val="00B33B27"/>
    <w:rsid w:val="00B347F5"/>
    <w:rsid w:val="00B35254"/>
    <w:rsid w:val="00B365A6"/>
    <w:rsid w:val="00B370BD"/>
    <w:rsid w:val="00B376D0"/>
    <w:rsid w:val="00B407A1"/>
    <w:rsid w:val="00B42F27"/>
    <w:rsid w:val="00B432AF"/>
    <w:rsid w:val="00B4399D"/>
    <w:rsid w:val="00B440B1"/>
    <w:rsid w:val="00B44B2C"/>
    <w:rsid w:val="00B45EC1"/>
    <w:rsid w:val="00B46D19"/>
    <w:rsid w:val="00B47075"/>
    <w:rsid w:val="00B47A83"/>
    <w:rsid w:val="00B5093D"/>
    <w:rsid w:val="00B51C73"/>
    <w:rsid w:val="00B52E45"/>
    <w:rsid w:val="00B53B92"/>
    <w:rsid w:val="00B54813"/>
    <w:rsid w:val="00B5544D"/>
    <w:rsid w:val="00B56549"/>
    <w:rsid w:val="00B56E3F"/>
    <w:rsid w:val="00B57536"/>
    <w:rsid w:val="00B57895"/>
    <w:rsid w:val="00B60EE1"/>
    <w:rsid w:val="00B60F8B"/>
    <w:rsid w:val="00B62606"/>
    <w:rsid w:val="00B62E2E"/>
    <w:rsid w:val="00B62EA1"/>
    <w:rsid w:val="00B63A6C"/>
    <w:rsid w:val="00B63AD0"/>
    <w:rsid w:val="00B63E9C"/>
    <w:rsid w:val="00B656D0"/>
    <w:rsid w:val="00B65B95"/>
    <w:rsid w:val="00B660B9"/>
    <w:rsid w:val="00B6630A"/>
    <w:rsid w:val="00B67E09"/>
    <w:rsid w:val="00B7074D"/>
    <w:rsid w:val="00B707E4"/>
    <w:rsid w:val="00B7083D"/>
    <w:rsid w:val="00B70AB8"/>
    <w:rsid w:val="00B724FF"/>
    <w:rsid w:val="00B734CC"/>
    <w:rsid w:val="00B747C9"/>
    <w:rsid w:val="00B747D9"/>
    <w:rsid w:val="00B74966"/>
    <w:rsid w:val="00B755AA"/>
    <w:rsid w:val="00B765B7"/>
    <w:rsid w:val="00B76C8A"/>
    <w:rsid w:val="00B773DE"/>
    <w:rsid w:val="00B776CE"/>
    <w:rsid w:val="00B778B3"/>
    <w:rsid w:val="00B80F5A"/>
    <w:rsid w:val="00B8220E"/>
    <w:rsid w:val="00B82664"/>
    <w:rsid w:val="00B8266D"/>
    <w:rsid w:val="00B82A61"/>
    <w:rsid w:val="00B84CBF"/>
    <w:rsid w:val="00B84D09"/>
    <w:rsid w:val="00B8574F"/>
    <w:rsid w:val="00B8755E"/>
    <w:rsid w:val="00B87886"/>
    <w:rsid w:val="00B87EF7"/>
    <w:rsid w:val="00B92A5B"/>
    <w:rsid w:val="00B92A7E"/>
    <w:rsid w:val="00B93808"/>
    <w:rsid w:val="00B93926"/>
    <w:rsid w:val="00B94982"/>
    <w:rsid w:val="00B94996"/>
    <w:rsid w:val="00B94DB8"/>
    <w:rsid w:val="00B95C7F"/>
    <w:rsid w:val="00B97E9E"/>
    <w:rsid w:val="00BA10FF"/>
    <w:rsid w:val="00BA1642"/>
    <w:rsid w:val="00BA256E"/>
    <w:rsid w:val="00BA2699"/>
    <w:rsid w:val="00BA2783"/>
    <w:rsid w:val="00BA319A"/>
    <w:rsid w:val="00BA331F"/>
    <w:rsid w:val="00BA413D"/>
    <w:rsid w:val="00BA46FE"/>
    <w:rsid w:val="00BA4A9B"/>
    <w:rsid w:val="00BA556C"/>
    <w:rsid w:val="00BA64C8"/>
    <w:rsid w:val="00BB0B14"/>
    <w:rsid w:val="00BB17DA"/>
    <w:rsid w:val="00BB1EC1"/>
    <w:rsid w:val="00BB31BB"/>
    <w:rsid w:val="00BB32F8"/>
    <w:rsid w:val="00BB3365"/>
    <w:rsid w:val="00BB3F2F"/>
    <w:rsid w:val="00BB434F"/>
    <w:rsid w:val="00BB4726"/>
    <w:rsid w:val="00BC028E"/>
    <w:rsid w:val="00BC1EC7"/>
    <w:rsid w:val="00BC3D66"/>
    <w:rsid w:val="00BC3FD5"/>
    <w:rsid w:val="00BC5757"/>
    <w:rsid w:val="00BC6B1E"/>
    <w:rsid w:val="00BC6D23"/>
    <w:rsid w:val="00BD0130"/>
    <w:rsid w:val="00BD13F1"/>
    <w:rsid w:val="00BD2316"/>
    <w:rsid w:val="00BD335C"/>
    <w:rsid w:val="00BD385D"/>
    <w:rsid w:val="00BD38E6"/>
    <w:rsid w:val="00BD4480"/>
    <w:rsid w:val="00BD54EF"/>
    <w:rsid w:val="00BD558C"/>
    <w:rsid w:val="00BD569B"/>
    <w:rsid w:val="00BD6081"/>
    <w:rsid w:val="00BD66D2"/>
    <w:rsid w:val="00BD6F74"/>
    <w:rsid w:val="00BD72D9"/>
    <w:rsid w:val="00BD72EF"/>
    <w:rsid w:val="00BE0446"/>
    <w:rsid w:val="00BE0D68"/>
    <w:rsid w:val="00BE0E8A"/>
    <w:rsid w:val="00BE2188"/>
    <w:rsid w:val="00BE2EA9"/>
    <w:rsid w:val="00BE3DFD"/>
    <w:rsid w:val="00BE4154"/>
    <w:rsid w:val="00BE514E"/>
    <w:rsid w:val="00BE5E1F"/>
    <w:rsid w:val="00BE60CD"/>
    <w:rsid w:val="00BE7FFB"/>
    <w:rsid w:val="00BF0552"/>
    <w:rsid w:val="00BF082E"/>
    <w:rsid w:val="00BF0BAE"/>
    <w:rsid w:val="00BF156B"/>
    <w:rsid w:val="00BF1F39"/>
    <w:rsid w:val="00BF2E13"/>
    <w:rsid w:val="00BF4B55"/>
    <w:rsid w:val="00BF66C7"/>
    <w:rsid w:val="00BF6788"/>
    <w:rsid w:val="00BF6A6E"/>
    <w:rsid w:val="00BF789A"/>
    <w:rsid w:val="00BF79D7"/>
    <w:rsid w:val="00C0025F"/>
    <w:rsid w:val="00C00338"/>
    <w:rsid w:val="00C0060E"/>
    <w:rsid w:val="00C011EF"/>
    <w:rsid w:val="00C015E7"/>
    <w:rsid w:val="00C01B18"/>
    <w:rsid w:val="00C025EF"/>
    <w:rsid w:val="00C03800"/>
    <w:rsid w:val="00C03876"/>
    <w:rsid w:val="00C052CC"/>
    <w:rsid w:val="00C062D0"/>
    <w:rsid w:val="00C066CD"/>
    <w:rsid w:val="00C0691C"/>
    <w:rsid w:val="00C0691E"/>
    <w:rsid w:val="00C06A5F"/>
    <w:rsid w:val="00C07BFE"/>
    <w:rsid w:val="00C10E67"/>
    <w:rsid w:val="00C11C81"/>
    <w:rsid w:val="00C11E38"/>
    <w:rsid w:val="00C147F8"/>
    <w:rsid w:val="00C16155"/>
    <w:rsid w:val="00C1632A"/>
    <w:rsid w:val="00C17086"/>
    <w:rsid w:val="00C17272"/>
    <w:rsid w:val="00C20257"/>
    <w:rsid w:val="00C210C2"/>
    <w:rsid w:val="00C211FA"/>
    <w:rsid w:val="00C221DD"/>
    <w:rsid w:val="00C22441"/>
    <w:rsid w:val="00C2273D"/>
    <w:rsid w:val="00C2278F"/>
    <w:rsid w:val="00C2331A"/>
    <w:rsid w:val="00C24670"/>
    <w:rsid w:val="00C249BF"/>
    <w:rsid w:val="00C24E8F"/>
    <w:rsid w:val="00C277C9"/>
    <w:rsid w:val="00C3012D"/>
    <w:rsid w:val="00C306EC"/>
    <w:rsid w:val="00C30A84"/>
    <w:rsid w:val="00C31D4C"/>
    <w:rsid w:val="00C31F8C"/>
    <w:rsid w:val="00C32248"/>
    <w:rsid w:val="00C357DF"/>
    <w:rsid w:val="00C35877"/>
    <w:rsid w:val="00C36AB5"/>
    <w:rsid w:val="00C36C7B"/>
    <w:rsid w:val="00C37543"/>
    <w:rsid w:val="00C37906"/>
    <w:rsid w:val="00C37F17"/>
    <w:rsid w:val="00C403D4"/>
    <w:rsid w:val="00C40B73"/>
    <w:rsid w:val="00C40C57"/>
    <w:rsid w:val="00C4139C"/>
    <w:rsid w:val="00C41E45"/>
    <w:rsid w:val="00C45D08"/>
    <w:rsid w:val="00C4681E"/>
    <w:rsid w:val="00C46BA2"/>
    <w:rsid w:val="00C50144"/>
    <w:rsid w:val="00C504FC"/>
    <w:rsid w:val="00C523D6"/>
    <w:rsid w:val="00C540F3"/>
    <w:rsid w:val="00C55201"/>
    <w:rsid w:val="00C55252"/>
    <w:rsid w:val="00C558BB"/>
    <w:rsid w:val="00C561CB"/>
    <w:rsid w:val="00C567C1"/>
    <w:rsid w:val="00C569D9"/>
    <w:rsid w:val="00C57EEF"/>
    <w:rsid w:val="00C57EFE"/>
    <w:rsid w:val="00C61757"/>
    <w:rsid w:val="00C61C0B"/>
    <w:rsid w:val="00C626EB"/>
    <w:rsid w:val="00C62EB1"/>
    <w:rsid w:val="00C63B88"/>
    <w:rsid w:val="00C63FF4"/>
    <w:rsid w:val="00C65B7C"/>
    <w:rsid w:val="00C6705A"/>
    <w:rsid w:val="00C67827"/>
    <w:rsid w:val="00C67B9F"/>
    <w:rsid w:val="00C7073D"/>
    <w:rsid w:val="00C70DA3"/>
    <w:rsid w:val="00C71B6A"/>
    <w:rsid w:val="00C723A1"/>
    <w:rsid w:val="00C72DB0"/>
    <w:rsid w:val="00C73357"/>
    <w:rsid w:val="00C7388A"/>
    <w:rsid w:val="00C7429E"/>
    <w:rsid w:val="00C75709"/>
    <w:rsid w:val="00C77EF5"/>
    <w:rsid w:val="00C810D3"/>
    <w:rsid w:val="00C811CD"/>
    <w:rsid w:val="00C811D8"/>
    <w:rsid w:val="00C8195B"/>
    <w:rsid w:val="00C81E66"/>
    <w:rsid w:val="00C821FF"/>
    <w:rsid w:val="00C822E8"/>
    <w:rsid w:val="00C82D5F"/>
    <w:rsid w:val="00C84155"/>
    <w:rsid w:val="00C85DF5"/>
    <w:rsid w:val="00C87B32"/>
    <w:rsid w:val="00C87C32"/>
    <w:rsid w:val="00C9025F"/>
    <w:rsid w:val="00C9153F"/>
    <w:rsid w:val="00C92473"/>
    <w:rsid w:val="00C93598"/>
    <w:rsid w:val="00C93AE4"/>
    <w:rsid w:val="00C95878"/>
    <w:rsid w:val="00C95D56"/>
    <w:rsid w:val="00C96AF9"/>
    <w:rsid w:val="00C97937"/>
    <w:rsid w:val="00CA11BD"/>
    <w:rsid w:val="00CA13F7"/>
    <w:rsid w:val="00CA18B9"/>
    <w:rsid w:val="00CA1D4C"/>
    <w:rsid w:val="00CA1E70"/>
    <w:rsid w:val="00CA2B01"/>
    <w:rsid w:val="00CA6916"/>
    <w:rsid w:val="00CA6A30"/>
    <w:rsid w:val="00CA7F56"/>
    <w:rsid w:val="00CB0602"/>
    <w:rsid w:val="00CB07E1"/>
    <w:rsid w:val="00CB108E"/>
    <w:rsid w:val="00CB14BF"/>
    <w:rsid w:val="00CB1DC2"/>
    <w:rsid w:val="00CB1F05"/>
    <w:rsid w:val="00CB2904"/>
    <w:rsid w:val="00CB4022"/>
    <w:rsid w:val="00CB5C8E"/>
    <w:rsid w:val="00CB70F9"/>
    <w:rsid w:val="00CC0B73"/>
    <w:rsid w:val="00CC1458"/>
    <w:rsid w:val="00CC2D9B"/>
    <w:rsid w:val="00CC38B7"/>
    <w:rsid w:val="00CC4731"/>
    <w:rsid w:val="00CC5055"/>
    <w:rsid w:val="00CC5B32"/>
    <w:rsid w:val="00CC5C28"/>
    <w:rsid w:val="00CC620E"/>
    <w:rsid w:val="00CC66DC"/>
    <w:rsid w:val="00CC72BC"/>
    <w:rsid w:val="00CD0645"/>
    <w:rsid w:val="00CD071D"/>
    <w:rsid w:val="00CD1360"/>
    <w:rsid w:val="00CD15AB"/>
    <w:rsid w:val="00CD1B0B"/>
    <w:rsid w:val="00CD2002"/>
    <w:rsid w:val="00CD2B57"/>
    <w:rsid w:val="00CD39F9"/>
    <w:rsid w:val="00CD490E"/>
    <w:rsid w:val="00CD5072"/>
    <w:rsid w:val="00CD5B97"/>
    <w:rsid w:val="00CD5E99"/>
    <w:rsid w:val="00CD5FDB"/>
    <w:rsid w:val="00CD63A1"/>
    <w:rsid w:val="00CD6D5E"/>
    <w:rsid w:val="00CD7B0B"/>
    <w:rsid w:val="00CE00EC"/>
    <w:rsid w:val="00CE1687"/>
    <w:rsid w:val="00CE2F35"/>
    <w:rsid w:val="00CE3495"/>
    <w:rsid w:val="00CE49CB"/>
    <w:rsid w:val="00CE4C04"/>
    <w:rsid w:val="00CE5167"/>
    <w:rsid w:val="00CE5647"/>
    <w:rsid w:val="00CE5E41"/>
    <w:rsid w:val="00CE5EEE"/>
    <w:rsid w:val="00CE6B8D"/>
    <w:rsid w:val="00CE76C4"/>
    <w:rsid w:val="00CE77EA"/>
    <w:rsid w:val="00CE7AB3"/>
    <w:rsid w:val="00CF0315"/>
    <w:rsid w:val="00CF0546"/>
    <w:rsid w:val="00CF12DF"/>
    <w:rsid w:val="00CF1326"/>
    <w:rsid w:val="00CF1C04"/>
    <w:rsid w:val="00CF1C25"/>
    <w:rsid w:val="00CF24E7"/>
    <w:rsid w:val="00CF2FD3"/>
    <w:rsid w:val="00CF3144"/>
    <w:rsid w:val="00CF4828"/>
    <w:rsid w:val="00CF523E"/>
    <w:rsid w:val="00CF54E3"/>
    <w:rsid w:val="00CF75E8"/>
    <w:rsid w:val="00CF79C6"/>
    <w:rsid w:val="00CF7A9F"/>
    <w:rsid w:val="00CF7AFB"/>
    <w:rsid w:val="00D04DA9"/>
    <w:rsid w:val="00D07506"/>
    <w:rsid w:val="00D07DF2"/>
    <w:rsid w:val="00D10D6A"/>
    <w:rsid w:val="00D118D7"/>
    <w:rsid w:val="00D12EC5"/>
    <w:rsid w:val="00D13206"/>
    <w:rsid w:val="00D13B53"/>
    <w:rsid w:val="00D14834"/>
    <w:rsid w:val="00D14943"/>
    <w:rsid w:val="00D150EE"/>
    <w:rsid w:val="00D15638"/>
    <w:rsid w:val="00D15888"/>
    <w:rsid w:val="00D1674C"/>
    <w:rsid w:val="00D16860"/>
    <w:rsid w:val="00D16EA8"/>
    <w:rsid w:val="00D20EC9"/>
    <w:rsid w:val="00D2103A"/>
    <w:rsid w:val="00D2167B"/>
    <w:rsid w:val="00D22302"/>
    <w:rsid w:val="00D23D0E"/>
    <w:rsid w:val="00D27A4E"/>
    <w:rsid w:val="00D27D14"/>
    <w:rsid w:val="00D30D61"/>
    <w:rsid w:val="00D31016"/>
    <w:rsid w:val="00D318AB"/>
    <w:rsid w:val="00D32BDA"/>
    <w:rsid w:val="00D33763"/>
    <w:rsid w:val="00D33EFC"/>
    <w:rsid w:val="00D36409"/>
    <w:rsid w:val="00D369FB"/>
    <w:rsid w:val="00D404BC"/>
    <w:rsid w:val="00D42EE9"/>
    <w:rsid w:val="00D44B22"/>
    <w:rsid w:val="00D45BD9"/>
    <w:rsid w:val="00D45D03"/>
    <w:rsid w:val="00D45FF0"/>
    <w:rsid w:val="00D46A45"/>
    <w:rsid w:val="00D477C8"/>
    <w:rsid w:val="00D50A62"/>
    <w:rsid w:val="00D527BF"/>
    <w:rsid w:val="00D531B9"/>
    <w:rsid w:val="00D543E1"/>
    <w:rsid w:val="00D5567A"/>
    <w:rsid w:val="00D56022"/>
    <w:rsid w:val="00D56090"/>
    <w:rsid w:val="00D575BD"/>
    <w:rsid w:val="00D601BC"/>
    <w:rsid w:val="00D60313"/>
    <w:rsid w:val="00D60B20"/>
    <w:rsid w:val="00D60DC0"/>
    <w:rsid w:val="00D61220"/>
    <w:rsid w:val="00D6140B"/>
    <w:rsid w:val="00D62C46"/>
    <w:rsid w:val="00D641AD"/>
    <w:rsid w:val="00D641FF"/>
    <w:rsid w:val="00D64E89"/>
    <w:rsid w:val="00D65777"/>
    <w:rsid w:val="00D66107"/>
    <w:rsid w:val="00D6642C"/>
    <w:rsid w:val="00D66561"/>
    <w:rsid w:val="00D66E7E"/>
    <w:rsid w:val="00D703DE"/>
    <w:rsid w:val="00D71356"/>
    <w:rsid w:val="00D713AA"/>
    <w:rsid w:val="00D71973"/>
    <w:rsid w:val="00D7210C"/>
    <w:rsid w:val="00D725B1"/>
    <w:rsid w:val="00D72BE1"/>
    <w:rsid w:val="00D73D0A"/>
    <w:rsid w:val="00D766A2"/>
    <w:rsid w:val="00D773F7"/>
    <w:rsid w:val="00D77BBA"/>
    <w:rsid w:val="00D77EE1"/>
    <w:rsid w:val="00D8013D"/>
    <w:rsid w:val="00D80B8D"/>
    <w:rsid w:val="00D81186"/>
    <w:rsid w:val="00D829A3"/>
    <w:rsid w:val="00D833CC"/>
    <w:rsid w:val="00D84320"/>
    <w:rsid w:val="00D85128"/>
    <w:rsid w:val="00D85DC6"/>
    <w:rsid w:val="00D85E08"/>
    <w:rsid w:val="00D85EF6"/>
    <w:rsid w:val="00D863DF"/>
    <w:rsid w:val="00D86430"/>
    <w:rsid w:val="00D86E05"/>
    <w:rsid w:val="00D91BB2"/>
    <w:rsid w:val="00D92854"/>
    <w:rsid w:val="00D929CE"/>
    <w:rsid w:val="00D92F03"/>
    <w:rsid w:val="00D934F5"/>
    <w:rsid w:val="00D93D69"/>
    <w:rsid w:val="00D94928"/>
    <w:rsid w:val="00D95BA1"/>
    <w:rsid w:val="00D95D37"/>
    <w:rsid w:val="00D95D42"/>
    <w:rsid w:val="00D9658D"/>
    <w:rsid w:val="00DA0388"/>
    <w:rsid w:val="00DA0771"/>
    <w:rsid w:val="00DA0E36"/>
    <w:rsid w:val="00DA0FD1"/>
    <w:rsid w:val="00DA15A7"/>
    <w:rsid w:val="00DA2118"/>
    <w:rsid w:val="00DA2C16"/>
    <w:rsid w:val="00DA3153"/>
    <w:rsid w:val="00DA3CB5"/>
    <w:rsid w:val="00DA3D3B"/>
    <w:rsid w:val="00DA3EA1"/>
    <w:rsid w:val="00DA40E5"/>
    <w:rsid w:val="00DA54FA"/>
    <w:rsid w:val="00DA5A0A"/>
    <w:rsid w:val="00DB1DFF"/>
    <w:rsid w:val="00DB2A21"/>
    <w:rsid w:val="00DB30BC"/>
    <w:rsid w:val="00DB435A"/>
    <w:rsid w:val="00DB4BB1"/>
    <w:rsid w:val="00DB636F"/>
    <w:rsid w:val="00DB7658"/>
    <w:rsid w:val="00DC0BE0"/>
    <w:rsid w:val="00DC0E41"/>
    <w:rsid w:val="00DC1D71"/>
    <w:rsid w:val="00DC29FE"/>
    <w:rsid w:val="00DC2CB4"/>
    <w:rsid w:val="00DC41ED"/>
    <w:rsid w:val="00DC4748"/>
    <w:rsid w:val="00DC47F8"/>
    <w:rsid w:val="00DC4801"/>
    <w:rsid w:val="00DC483C"/>
    <w:rsid w:val="00DC5FCF"/>
    <w:rsid w:val="00DC64CF"/>
    <w:rsid w:val="00DC7630"/>
    <w:rsid w:val="00DD1DAB"/>
    <w:rsid w:val="00DD22A5"/>
    <w:rsid w:val="00DD2B85"/>
    <w:rsid w:val="00DD3DE2"/>
    <w:rsid w:val="00DD4F1B"/>
    <w:rsid w:val="00DD5797"/>
    <w:rsid w:val="00DD5C37"/>
    <w:rsid w:val="00DD5DB1"/>
    <w:rsid w:val="00DD660E"/>
    <w:rsid w:val="00DD7209"/>
    <w:rsid w:val="00DE1198"/>
    <w:rsid w:val="00DE29B1"/>
    <w:rsid w:val="00DE33BC"/>
    <w:rsid w:val="00DE358B"/>
    <w:rsid w:val="00DE3C48"/>
    <w:rsid w:val="00DE4309"/>
    <w:rsid w:val="00DE46FD"/>
    <w:rsid w:val="00DE4F2C"/>
    <w:rsid w:val="00DE7A90"/>
    <w:rsid w:val="00DE7AEA"/>
    <w:rsid w:val="00DF086E"/>
    <w:rsid w:val="00DF09C2"/>
    <w:rsid w:val="00DF0A16"/>
    <w:rsid w:val="00DF0A4F"/>
    <w:rsid w:val="00DF0B5A"/>
    <w:rsid w:val="00DF24B9"/>
    <w:rsid w:val="00DF2F99"/>
    <w:rsid w:val="00DF36F9"/>
    <w:rsid w:val="00DF4477"/>
    <w:rsid w:val="00DF5BAE"/>
    <w:rsid w:val="00DF7579"/>
    <w:rsid w:val="00DF7704"/>
    <w:rsid w:val="00DF7E9F"/>
    <w:rsid w:val="00E00DD8"/>
    <w:rsid w:val="00E00E69"/>
    <w:rsid w:val="00E01A95"/>
    <w:rsid w:val="00E02C5D"/>
    <w:rsid w:val="00E02CBC"/>
    <w:rsid w:val="00E02D24"/>
    <w:rsid w:val="00E0430C"/>
    <w:rsid w:val="00E043A2"/>
    <w:rsid w:val="00E04E2E"/>
    <w:rsid w:val="00E04F3D"/>
    <w:rsid w:val="00E05254"/>
    <w:rsid w:val="00E05867"/>
    <w:rsid w:val="00E05D0C"/>
    <w:rsid w:val="00E06490"/>
    <w:rsid w:val="00E0674A"/>
    <w:rsid w:val="00E07FB0"/>
    <w:rsid w:val="00E1049C"/>
    <w:rsid w:val="00E111B6"/>
    <w:rsid w:val="00E112F5"/>
    <w:rsid w:val="00E1287A"/>
    <w:rsid w:val="00E12AD5"/>
    <w:rsid w:val="00E1510B"/>
    <w:rsid w:val="00E1520D"/>
    <w:rsid w:val="00E16C87"/>
    <w:rsid w:val="00E17111"/>
    <w:rsid w:val="00E17B29"/>
    <w:rsid w:val="00E206F9"/>
    <w:rsid w:val="00E2078B"/>
    <w:rsid w:val="00E20A17"/>
    <w:rsid w:val="00E20BB3"/>
    <w:rsid w:val="00E20CEA"/>
    <w:rsid w:val="00E21FCD"/>
    <w:rsid w:val="00E22C81"/>
    <w:rsid w:val="00E2314B"/>
    <w:rsid w:val="00E2320E"/>
    <w:rsid w:val="00E23470"/>
    <w:rsid w:val="00E24526"/>
    <w:rsid w:val="00E2507D"/>
    <w:rsid w:val="00E25773"/>
    <w:rsid w:val="00E25CB7"/>
    <w:rsid w:val="00E25D1B"/>
    <w:rsid w:val="00E269B7"/>
    <w:rsid w:val="00E300B9"/>
    <w:rsid w:val="00E3379D"/>
    <w:rsid w:val="00E33BDC"/>
    <w:rsid w:val="00E353BC"/>
    <w:rsid w:val="00E36A1A"/>
    <w:rsid w:val="00E372AE"/>
    <w:rsid w:val="00E4094C"/>
    <w:rsid w:val="00E40D55"/>
    <w:rsid w:val="00E40EE4"/>
    <w:rsid w:val="00E40F5A"/>
    <w:rsid w:val="00E42637"/>
    <w:rsid w:val="00E43544"/>
    <w:rsid w:val="00E438F1"/>
    <w:rsid w:val="00E45034"/>
    <w:rsid w:val="00E46E86"/>
    <w:rsid w:val="00E47689"/>
    <w:rsid w:val="00E50E64"/>
    <w:rsid w:val="00E52741"/>
    <w:rsid w:val="00E53AC3"/>
    <w:rsid w:val="00E546B2"/>
    <w:rsid w:val="00E54D89"/>
    <w:rsid w:val="00E55687"/>
    <w:rsid w:val="00E567D0"/>
    <w:rsid w:val="00E5750C"/>
    <w:rsid w:val="00E613D2"/>
    <w:rsid w:val="00E61872"/>
    <w:rsid w:val="00E619FB"/>
    <w:rsid w:val="00E622BD"/>
    <w:rsid w:val="00E6248C"/>
    <w:rsid w:val="00E629CF"/>
    <w:rsid w:val="00E62C7F"/>
    <w:rsid w:val="00E62E08"/>
    <w:rsid w:val="00E637CB"/>
    <w:rsid w:val="00E654E5"/>
    <w:rsid w:val="00E657D0"/>
    <w:rsid w:val="00E701E8"/>
    <w:rsid w:val="00E70619"/>
    <w:rsid w:val="00E720EE"/>
    <w:rsid w:val="00E727AB"/>
    <w:rsid w:val="00E7281B"/>
    <w:rsid w:val="00E72D09"/>
    <w:rsid w:val="00E73466"/>
    <w:rsid w:val="00E738BD"/>
    <w:rsid w:val="00E73CC2"/>
    <w:rsid w:val="00E75176"/>
    <w:rsid w:val="00E754C1"/>
    <w:rsid w:val="00E75CC3"/>
    <w:rsid w:val="00E76026"/>
    <w:rsid w:val="00E76FA3"/>
    <w:rsid w:val="00E80B37"/>
    <w:rsid w:val="00E81532"/>
    <w:rsid w:val="00E81D6B"/>
    <w:rsid w:val="00E83119"/>
    <w:rsid w:val="00E83419"/>
    <w:rsid w:val="00E8377A"/>
    <w:rsid w:val="00E84A64"/>
    <w:rsid w:val="00E85147"/>
    <w:rsid w:val="00E86611"/>
    <w:rsid w:val="00E871F4"/>
    <w:rsid w:val="00E879B2"/>
    <w:rsid w:val="00E90AFF"/>
    <w:rsid w:val="00E9292C"/>
    <w:rsid w:val="00E92A30"/>
    <w:rsid w:val="00E9320F"/>
    <w:rsid w:val="00E93C3D"/>
    <w:rsid w:val="00E95C18"/>
    <w:rsid w:val="00E95DA0"/>
    <w:rsid w:val="00E97255"/>
    <w:rsid w:val="00E97B57"/>
    <w:rsid w:val="00EA0981"/>
    <w:rsid w:val="00EA1210"/>
    <w:rsid w:val="00EA19E9"/>
    <w:rsid w:val="00EA1A4F"/>
    <w:rsid w:val="00EA1B96"/>
    <w:rsid w:val="00EA242E"/>
    <w:rsid w:val="00EA350B"/>
    <w:rsid w:val="00EA37E9"/>
    <w:rsid w:val="00EA3F3B"/>
    <w:rsid w:val="00EA40EE"/>
    <w:rsid w:val="00EA5740"/>
    <w:rsid w:val="00EA6A36"/>
    <w:rsid w:val="00EA6D9B"/>
    <w:rsid w:val="00EA7080"/>
    <w:rsid w:val="00EB0733"/>
    <w:rsid w:val="00EB0C33"/>
    <w:rsid w:val="00EB0FEE"/>
    <w:rsid w:val="00EB1E6E"/>
    <w:rsid w:val="00EB28DF"/>
    <w:rsid w:val="00EB2F3A"/>
    <w:rsid w:val="00EB3876"/>
    <w:rsid w:val="00EB45C4"/>
    <w:rsid w:val="00EB4C04"/>
    <w:rsid w:val="00EB4D6D"/>
    <w:rsid w:val="00EB50BD"/>
    <w:rsid w:val="00EB521B"/>
    <w:rsid w:val="00EB560D"/>
    <w:rsid w:val="00EB5ED9"/>
    <w:rsid w:val="00EB694C"/>
    <w:rsid w:val="00EB6A23"/>
    <w:rsid w:val="00EB7280"/>
    <w:rsid w:val="00EB7886"/>
    <w:rsid w:val="00EC0140"/>
    <w:rsid w:val="00EC0E13"/>
    <w:rsid w:val="00EC2C51"/>
    <w:rsid w:val="00EC30A0"/>
    <w:rsid w:val="00EC3899"/>
    <w:rsid w:val="00EC4400"/>
    <w:rsid w:val="00EC477C"/>
    <w:rsid w:val="00EC51D3"/>
    <w:rsid w:val="00EC66E7"/>
    <w:rsid w:val="00EC6AEE"/>
    <w:rsid w:val="00ED384A"/>
    <w:rsid w:val="00ED4039"/>
    <w:rsid w:val="00ED47E7"/>
    <w:rsid w:val="00ED7853"/>
    <w:rsid w:val="00EE0FC0"/>
    <w:rsid w:val="00EE1A4A"/>
    <w:rsid w:val="00EE1B56"/>
    <w:rsid w:val="00EE2069"/>
    <w:rsid w:val="00EE2C93"/>
    <w:rsid w:val="00EE3D50"/>
    <w:rsid w:val="00EE3D8D"/>
    <w:rsid w:val="00EE41C1"/>
    <w:rsid w:val="00EE4613"/>
    <w:rsid w:val="00EE5748"/>
    <w:rsid w:val="00EE5843"/>
    <w:rsid w:val="00EE5E59"/>
    <w:rsid w:val="00EE5F73"/>
    <w:rsid w:val="00EE709B"/>
    <w:rsid w:val="00EF05F1"/>
    <w:rsid w:val="00EF5168"/>
    <w:rsid w:val="00EF5DBF"/>
    <w:rsid w:val="00EF62DD"/>
    <w:rsid w:val="00EF6FC3"/>
    <w:rsid w:val="00EF79DC"/>
    <w:rsid w:val="00F000BB"/>
    <w:rsid w:val="00F01F67"/>
    <w:rsid w:val="00F02782"/>
    <w:rsid w:val="00F02F4D"/>
    <w:rsid w:val="00F042AA"/>
    <w:rsid w:val="00F04CEA"/>
    <w:rsid w:val="00F066F6"/>
    <w:rsid w:val="00F06A20"/>
    <w:rsid w:val="00F0702E"/>
    <w:rsid w:val="00F074EC"/>
    <w:rsid w:val="00F0797A"/>
    <w:rsid w:val="00F11DDC"/>
    <w:rsid w:val="00F14E30"/>
    <w:rsid w:val="00F15709"/>
    <w:rsid w:val="00F16666"/>
    <w:rsid w:val="00F168BC"/>
    <w:rsid w:val="00F17473"/>
    <w:rsid w:val="00F17EDA"/>
    <w:rsid w:val="00F20562"/>
    <w:rsid w:val="00F2080A"/>
    <w:rsid w:val="00F20A88"/>
    <w:rsid w:val="00F21CB1"/>
    <w:rsid w:val="00F22A5E"/>
    <w:rsid w:val="00F22BC2"/>
    <w:rsid w:val="00F23125"/>
    <w:rsid w:val="00F2409A"/>
    <w:rsid w:val="00F25DCA"/>
    <w:rsid w:val="00F27168"/>
    <w:rsid w:val="00F273A1"/>
    <w:rsid w:val="00F301C4"/>
    <w:rsid w:val="00F31C4C"/>
    <w:rsid w:val="00F35188"/>
    <w:rsid w:val="00F35D79"/>
    <w:rsid w:val="00F3719C"/>
    <w:rsid w:val="00F40712"/>
    <w:rsid w:val="00F42172"/>
    <w:rsid w:val="00F43286"/>
    <w:rsid w:val="00F448AA"/>
    <w:rsid w:val="00F457B0"/>
    <w:rsid w:val="00F457E3"/>
    <w:rsid w:val="00F45A7F"/>
    <w:rsid w:val="00F45D7E"/>
    <w:rsid w:val="00F46D49"/>
    <w:rsid w:val="00F47F9D"/>
    <w:rsid w:val="00F50D33"/>
    <w:rsid w:val="00F50D5B"/>
    <w:rsid w:val="00F51194"/>
    <w:rsid w:val="00F51E0A"/>
    <w:rsid w:val="00F51F06"/>
    <w:rsid w:val="00F5236B"/>
    <w:rsid w:val="00F52651"/>
    <w:rsid w:val="00F529C8"/>
    <w:rsid w:val="00F531DC"/>
    <w:rsid w:val="00F53CA6"/>
    <w:rsid w:val="00F54C93"/>
    <w:rsid w:val="00F557F6"/>
    <w:rsid w:val="00F55FA1"/>
    <w:rsid w:val="00F5741C"/>
    <w:rsid w:val="00F601C3"/>
    <w:rsid w:val="00F605B3"/>
    <w:rsid w:val="00F60D57"/>
    <w:rsid w:val="00F61971"/>
    <w:rsid w:val="00F620C1"/>
    <w:rsid w:val="00F62A69"/>
    <w:rsid w:val="00F63775"/>
    <w:rsid w:val="00F63EE9"/>
    <w:rsid w:val="00F6443E"/>
    <w:rsid w:val="00F649BF"/>
    <w:rsid w:val="00F64B2A"/>
    <w:rsid w:val="00F65CB4"/>
    <w:rsid w:val="00F66616"/>
    <w:rsid w:val="00F70CC1"/>
    <w:rsid w:val="00F7140D"/>
    <w:rsid w:val="00F718DB"/>
    <w:rsid w:val="00F71BCC"/>
    <w:rsid w:val="00F723D5"/>
    <w:rsid w:val="00F7275E"/>
    <w:rsid w:val="00F730A8"/>
    <w:rsid w:val="00F745CC"/>
    <w:rsid w:val="00F771D2"/>
    <w:rsid w:val="00F77C48"/>
    <w:rsid w:val="00F80246"/>
    <w:rsid w:val="00F80E30"/>
    <w:rsid w:val="00F80F83"/>
    <w:rsid w:val="00F81B48"/>
    <w:rsid w:val="00F81BEF"/>
    <w:rsid w:val="00F81CD5"/>
    <w:rsid w:val="00F823C4"/>
    <w:rsid w:val="00F828D3"/>
    <w:rsid w:val="00F83118"/>
    <w:rsid w:val="00F837A1"/>
    <w:rsid w:val="00F84459"/>
    <w:rsid w:val="00F84C39"/>
    <w:rsid w:val="00F84CE9"/>
    <w:rsid w:val="00F85465"/>
    <w:rsid w:val="00F85DFF"/>
    <w:rsid w:val="00F86270"/>
    <w:rsid w:val="00F869D3"/>
    <w:rsid w:val="00F86A04"/>
    <w:rsid w:val="00F87F56"/>
    <w:rsid w:val="00F87FF4"/>
    <w:rsid w:val="00F9014A"/>
    <w:rsid w:val="00F90FA3"/>
    <w:rsid w:val="00F91C6A"/>
    <w:rsid w:val="00F92B7F"/>
    <w:rsid w:val="00F9415A"/>
    <w:rsid w:val="00F94452"/>
    <w:rsid w:val="00F9529C"/>
    <w:rsid w:val="00F96B97"/>
    <w:rsid w:val="00F972A0"/>
    <w:rsid w:val="00FA1486"/>
    <w:rsid w:val="00FA14E3"/>
    <w:rsid w:val="00FA1E47"/>
    <w:rsid w:val="00FA25A6"/>
    <w:rsid w:val="00FA278E"/>
    <w:rsid w:val="00FA2DDD"/>
    <w:rsid w:val="00FA3BBC"/>
    <w:rsid w:val="00FA40C9"/>
    <w:rsid w:val="00FA453E"/>
    <w:rsid w:val="00FA5999"/>
    <w:rsid w:val="00FA5D18"/>
    <w:rsid w:val="00FA641B"/>
    <w:rsid w:val="00FA6EFB"/>
    <w:rsid w:val="00FA7C21"/>
    <w:rsid w:val="00FB0257"/>
    <w:rsid w:val="00FB0CA6"/>
    <w:rsid w:val="00FB183A"/>
    <w:rsid w:val="00FB2003"/>
    <w:rsid w:val="00FB3309"/>
    <w:rsid w:val="00FB48FD"/>
    <w:rsid w:val="00FB4C0A"/>
    <w:rsid w:val="00FB5589"/>
    <w:rsid w:val="00FB62AF"/>
    <w:rsid w:val="00FB6BC8"/>
    <w:rsid w:val="00FB7267"/>
    <w:rsid w:val="00FC01D2"/>
    <w:rsid w:val="00FC1450"/>
    <w:rsid w:val="00FC23B4"/>
    <w:rsid w:val="00FC291C"/>
    <w:rsid w:val="00FC340E"/>
    <w:rsid w:val="00FC398F"/>
    <w:rsid w:val="00FC39D8"/>
    <w:rsid w:val="00FC3DA6"/>
    <w:rsid w:val="00FC3DB4"/>
    <w:rsid w:val="00FC486D"/>
    <w:rsid w:val="00FC4F8B"/>
    <w:rsid w:val="00FC510C"/>
    <w:rsid w:val="00FC5685"/>
    <w:rsid w:val="00FC5E1D"/>
    <w:rsid w:val="00FC6081"/>
    <w:rsid w:val="00FC63B5"/>
    <w:rsid w:val="00FC7662"/>
    <w:rsid w:val="00FC7F4C"/>
    <w:rsid w:val="00FD0054"/>
    <w:rsid w:val="00FD4140"/>
    <w:rsid w:val="00FD4582"/>
    <w:rsid w:val="00FD64FE"/>
    <w:rsid w:val="00FD6F6E"/>
    <w:rsid w:val="00FD7633"/>
    <w:rsid w:val="00FD7D84"/>
    <w:rsid w:val="00FD7DD1"/>
    <w:rsid w:val="00FE0C0B"/>
    <w:rsid w:val="00FE1183"/>
    <w:rsid w:val="00FE1B56"/>
    <w:rsid w:val="00FE2367"/>
    <w:rsid w:val="00FE2D8B"/>
    <w:rsid w:val="00FE386E"/>
    <w:rsid w:val="00FE4BF7"/>
    <w:rsid w:val="00FE4F97"/>
    <w:rsid w:val="00FE4FF8"/>
    <w:rsid w:val="00FE66CA"/>
    <w:rsid w:val="00FE79B5"/>
    <w:rsid w:val="00FF028E"/>
    <w:rsid w:val="00FF1A89"/>
    <w:rsid w:val="00FF47CE"/>
    <w:rsid w:val="00FF6C34"/>
    <w:rsid w:val="00FF6F3B"/>
    <w:rsid w:val="00FF75B6"/>
    <w:rsid w:val="00FF776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02278D"/>
    <w:pPr>
      <w:spacing w:before="200" w:after="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9"/>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uiPriority w:val="9"/>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uiPriority w:val="9"/>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uiPriority w:val="9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qFormat/>
    <w:rsid w:val="00A8653F"/>
    <w:pPr>
      <w:keepNext/>
      <w:keepLines/>
      <w:spacing w:line="276" w:lineRule="auto"/>
      <w:jc w:val="left"/>
      <w:outlineLvl w:val="4"/>
    </w:pPr>
    <w:rPr>
      <w:rFonts w:asciiTheme="majorHAnsi" w:eastAsiaTheme="majorEastAsia" w:hAnsiTheme="majorHAnsi" w:cstheme="majorBidi"/>
      <w:color w:val="5E563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9"/>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uiPriority w:val="9"/>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uiPriority w:val="9"/>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uiPriority w:val="99"/>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312"/>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spacing w:after="120"/>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tabs>
        <w:tab w:val="num" w:pos="284"/>
      </w:tabs>
      <w:spacing w:before="120" w:after="960"/>
      <w:ind w:left="0" w:firstLine="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spacing w:before="360"/>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C00338"/>
    <w:pPr>
      <w:tabs>
        <w:tab w:val="left" w:pos="284"/>
        <w:tab w:val="right" w:leader="dot" w:pos="8820"/>
      </w:tabs>
      <w:spacing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uiPriority w:val="2"/>
    <w:qFormat/>
    <w:rsid w:val="005865B9"/>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uiPriority w:val="2"/>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spacing w:before="0" w:after="120"/>
      <w:ind w:left="1077" w:hanging="357"/>
    </w:pPr>
  </w:style>
  <w:style w:type="paragraph" w:styleId="Caption">
    <w:name w:val="caption"/>
    <w:basedOn w:val="Normal"/>
    <w:next w:val="Normal"/>
    <w:uiPriority w:val="35"/>
    <w:unhideWhenUsed/>
    <w:qFormat/>
    <w:rsid w:val="00D10D6A"/>
    <w:pPr>
      <w:spacing w:before="0"/>
    </w:pPr>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unhideWhenUsed/>
    <w:rsid w:val="00D10D6A"/>
    <w:pPr>
      <w:spacing w:after="120"/>
    </w:pPr>
  </w:style>
  <w:style w:type="character" w:customStyle="1" w:styleId="BodyTextChar">
    <w:name w:val="Body Text Char"/>
    <w:basedOn w:val="DefaultParagraphFont"/>
    <w:link w:val="BodyText"/>
    <w:uiPriority w:val="99"/>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F9415A"/>
    <w:pPr>
      <w:suppressAutoHyphens/>
      <w:spacing w:before="120" w:after="120" w:line="276" w:lineRule="auto"/>
      <w:textboxTightWrap w:val="firstLineOnly"/>
    </w:pPr>
    <w:rPr>
      <w:rFonts w:eastAsiaTheme="minorHAnsi" w:cs="Arial"/>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character" w:customStyle="1" w:styleId="Heading5Char">
    <w:name w:val="Heading 5 Char"/>
    <w:basedOn w:val="DefaultParagraphFont"/>
    <w:link w:val="Heading5"/>
    <w:uiPriority w:val="9"/>
    <w:semiHidden/>
    <w:rsid w:val="00A8653F"/>
    <w:rPr>
      <w:rFonts w:asciiTheme="majorHAnsi" w:eastAsiaTheme="majorEastAsia" w:hAnsiTheme="majorHAnsi" w:cstheme="majorBidi"/>
      <w:color w:val="5E563A"/>
    </w:rPr>
  </w:style>
  <w:style w:type="paragraph" w:customStyle="1" w:styleId="NoParagraphStyle">
    <w:name w:val="[No Paragraph Style]"/>
    <w:rsid w:val="00A8653F"/>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otPoints">
    <w:name w:val="Dot Points"/>
    <w:basedOn w:val="BodyText"/>
    <w:uiPriority w:val="99"/>
    <w:rsid w:val="00A8653F"/>
    <w:pPr>
      <w:suppressAutoHyphens/>
      <w:autoSpaceDE w:val="0"/>
      <w:autoSpaceDN w:val="0"/>
      <w:adjustRightInd w:val="0"/>
      <w:spacing w:before="0" w:after="57" w:line="288" w:lineRule="auto"/>
      <w:ind w:left="567" w:hanging="283"/>
      <w:jc w:val="left"/>
      <w:textAlignment w:val="center"/>
    </w:pPr>
    <w:rPr>
      <w:rFonts w:eastAsiaTheme="minorHAnsi" w:cs="Arial"/>
      <w:color w:val="000000"/>
      <w:sz w:val="22"/>
      <w:szCs w:val="22"/>
      <w:lang w:val="en-US" w:eastAsia="en-US"/>
    </w:rPr>
  </w:style>
  <w:style w:type="paragraph" w:customStyle="1" w:styleId="BodyTextindented">
    <w:name w:val="Body Text indented"/>
    <w:basedOn w:val="BodyText"/>
    <w:uiPriority w:val="99"/>
    <w:rsid w:val="00FC23B4"/>
    <w:pPr>
      <w:suppressAutoHyphens/>
      <w:autoSpaceDE w:val="0"/>
      <w:autoSpaceDN w:val="0"/>
      <w:adjustRightInd w:val="0"/>
      <w:spacing w:before="0" w:after="113" w:line="288" w:lineRule="auto"/>
      <w:ind w:left="851"/>
      <w:textAlignment w:val="center"/>
    </w:pPr>
    <w:rPr>
      <w:rFonts w:eastAsiaTheme="minorHAnsi" w:cs="Arial"/>
      <w:color w:val="000000"/>
      <w:szCs w:val="22"/>
      <w:lang w:val="en-US" w:eastAsia="en-US"/>
    </w:rPr>
  </w:style>
  <w:style w:type="character" w:customStyle="1" w:styleId="Italics">
    <w:name w:val="Italics"/>
    <w:uiPriority w:val="99"/>
    <w:rsid w:val="00A8653F"/>
    <w:rPr>
      <w:i/>
      <w:iCs/>
    </w:rPr>
  </w:style>
  <w:style w:type="paragraph" w:customStyle="1" w:styleId="Heading1TOCheadings">
    <w:name w:val="Heading 1 TOC headings"/>
    <w:basedOn w:val="Heading1"/>
    <w:uiPriority w:val="99"/>
    <w:rsid w:val="00A8653F"/>
    <w:pPr>
      <w:keepNext w:val="0"/>
      <w:suppressAutoHyphens/>
      <w:autoSpaceDE w:val="0"/>
      <w:autoSpaceDN w:val="0"/>
      <w:adjustRightInd w:val="0"/>
      <w:spacing w:before="0" w:after="227" w:line="288" w:lineRule="auto"/>
      <w:jc w:val="left"/>
      <w:textAlignment w:val="center"/>
      <w:outlineLvl w:val="9"/>
    </w:pPr>
    <w:rPr>
      <w:rFonts w:ascii="Arial" w:eastAsiaTheme="minorHAnsi" w:hAnsi="Arial"/>
      <w:bCs/>
      <w:color w:val="145B85"/>
      <w:kern w:val="0"/>
      <w:sz w:val="40"/>
      <w:szCs w:val="48"/>
      <w:lang w:val="en-GB" w:eastAsia="en-US"/>
    </w:rPr>
  </w:style>
  <w:style w:type="paragraph" w:customStyle="1" w:styleId="Figureheading">
    <w:name w:val="Figure heading"/>
    <w:basedOn w:val="NoParagraphStyle"/>
    <w:uiPriority w:val="99"/>
    <w:rsid w:val="00A8653F"/>
    <w:pPr>
      <w:suppressAutoHyphens/>
      <w:spacing w:before="100" w:after="100" w:line="220" w:lineRule="atLeast"/>
      <w:ind w:left="1134" w:hanging="1134"/>
    </w:pPr>
    <w:rPr>
      <w:rFonts w:ascii="Arial" w:hAnsi="Arial" w:cs="Arial"/>
      <w:b/>
      <w:bCs/>
      <w:sz w:val="20"/>
      <w:szCs w:val="20"/>
    </w:rPr>
  </w:style>
  <w:style w:type="paragraph" w:customStyle="1" w:styleId="TableName">
    <w:name w:val="Table Name"/>
    <w:basedOn w:val="Figureheading"/>
    <w:uiPriority w:val="99"/>
    <w:rsid w:val="00A8653F"/>
  </w:style>
  <w:style w:type="paragraph" w:customStyle="1" w:styleId="Tablenumber">
    <w:name w:val="Table number"/>
    <w:basedOn w:val="BodyText"/>
    <w:autoRedefine/>
    <w:uiPriority w:val="99"/>
    <w:rsid w:val="00A8653F"/>
    <w:pPr>
      <w:suppressAutoHyphens/>
      <w:autoSpaceDE w:val="0"/>
      <w:autoSpaceDN w:val="0"/>
      <w:adjustRightInd w:val="0"/>
      <w:spacing w:before="80" w:after="80" w:line="160" w:lineRule="atLeast"/>
      <w:jc w:val="left"/>
      <w:textAlignment w:val="center"/>
    </w:pPr>
    <w:rPr>
      <w:rFonts w:eastAsiaTheme="minorHAnsi" w:cs="Arial"/>
      <w:color w:val="000000"/>
      <w:sz w:val="16"/>
      <w:szCs w:val="16"/>
      <w:lang w:val="en-GB" w:eastAsia="en-US"/>
    </w:rPr>
  </w:style>
  <w:style w:type="paragraph" w:customStyle="1" w:styleId="Tablecolumnheadings">
    <w:name w:val="Table column headings"/>
    <w:basedOn w:val="Tablenumber"/>
    <w:autoRedefine/>
    <w:uiPriority w:val="99"/>
    <w:rsid w:val="00A8653F"/>
    <w:pPr>
      <w:jc w:val="center"/>
    </w:pPr>
    <w:rPr>
      <w:b/>
      <w:bCs/>
      <w:sz w:val="18"/>
      <w:szCs w:val="18"/>
    </w:rPr>
  </w:style>
  <w:style w:type="paragraph" w:customStyle="1" w:styleId="Tablestubheadings">
    <w:name w:val="Table stub headings"/>
    <w:basedOn w:val="Tablecolumnheadings"/>
    <w:uiPriority w:val="99"/>
    <w:rsid w:val="00A8653F"/>
    <w:pPr>
      <w:jc w:val="left"/>
    </w:pPr>
  </w:style>
  <w:style w:type="paragraph" w:customStyle="1" w:styleId="Tablesubheadingsbold">
    <w:name w:val="Table sub headings bold"/>
    <w:basedOn w:val="Tablestubheadings"/>
    <w:autoRedefine/>
    <w:uiPriority w:val="99"/>
    <w:rsid w:val="00A8653F"/>
  </w:style>
  <w:style w:type="paragraph" w:customStyle="1" w:styleId="Tablenumberbold">
    <w:name w:val="Table number bold"/>
    <w:basedOn w:val="Tablenumber"/>
    <w:uiPriority w:val="99"/>
    <w:rsid w:val="00A8653F"/>
    <w:rPr>
      <w:b/>
      <w:bCs/>
    </w:rPr>
  </w:style>
  <w:style w:type="character" w:customStyle="1" w:styleId="Classificationitalics">
    <w:name w:val="Classification italics"/>
    <w:uiPriority w:val="99"/>
    <w:rsid w:val="00A8653F"/>
    <w:rPr>
      <w:rFonts w:ascii="Arial" w:hAnsi="Arial" w:cs="Arial"/>
      <w:i/>
      <w:iCs/>
      <w:sz w:val="22"/>
      <w:szCs w:val="22"/>
    </w:rPr>
  </w:style>
  <w:style w:type="paragraph" w:customStyle="1" w:styleId="Tablewafer">
    <w:name w:val="Table wafer"/>
    <w:basedOn w:val="Tablestubheadings"/>
    <w:autoRedefine/>
    <w:uiPriority w:val="99"/>
    <w:rsid w:val="00A8653F"/>
    <w:pPr>
      <w:jc w:val="center"/>
    </w:pPr>
  </w:style>
  <w:style w:type="paragraph" w:styleId="NormalWeb">
    <w:name w:val="Normal (Web)"/>
    <w:basedOn w:val="Normal"/>
    <w:uiPriority w:val="99"/>
    <w:semiHidden/>
    <w:unhideWhenUsed/>
    <w:rsid w:val="00A8653F"/>
    <w:pPr>
      <w:spacing w:before="100" w:beforeAutospacing="1" w:after="100" w:afterAutospacing="1"/>
      <w:jc w:val="left"/>
    </w:pPr>
    <w:rPr>
      <w:rFonts w:ascii="Times New Roman" w:eastAsiaTheme="minorEastAsia" w:hAnsi="Times New Roman"/>
      <w:sz w:val="24"/>
    </w:rPr>
  </w:style>
  <w:style w:type="character" w:customStyle="1" w:styleId="Colouredsection">
    <w:name w:val="Coloured section"/>
    <w:uiPriority w:val="99"/>
    <w:rsid w:val="00A8653F"/>
    <w:rPr>
      <w:rFonts w:ascii="Arial" w:hAnsi="Arial" w:cs="Arial"/>
      <w:color w:val="009EA0"/>
      <w:sz w:val="22"/>
      <w:szCs w:val="22"/>
    </w:rPr>
  </w:style>
  <w:style w:type="character" w:styleId="CommentReference">
    <w:name w:val="annotation reference"/>
    <w:basedOn w:val="DefaultParagraphFont"/>
    <w:uiPriority w:val="99"/>
    <w:semiHidden/>
    <w:unhideWhenUsed/>
    <w:rsid w:val="00A8653F"/>
    <w:rPr>
      <w:sz w:val="16"/>
      <w:szCs w:val="16"/>
    </w:rPr>
  </w:style>
  <w:style w:type="paragraph" w:styleId="CommentText">
    <w:name w:val="annotation text"/>
    <w:basedOn w:val="Normal"/>
    <w:link w:val="CommentTextChar"/>
    <w:uiPriority w:val="99"/>
    <w:unhideWhenUsed/>
    <w:rsid w:val="00A8653F"/>
    <w:pPr>
      <w:spacing w:before="0" w:after="200"/>
      <w:jc w:val="left"/>
    </w:pPr>
    <w:rPr>
      <w:rFonts w:eastAsiaTheme="minorHAnsi" w:cs="Arial"/>
      <w:szCs w:val="20"/>
      <w:lang w:eastAsia="en-US"/>
    </w:rPr>
  </w:style>
  <w:style w:type="character" w:customStyle="1" w:styleId="CommentTextChar">
    <w:name w:val="Comment Text Char"/>
    <w:basedOn w:val="DefaultParagraphFont"/>
    <w:link w:val="CommentText"/>
    <w:uiPriority w:val="99"/>
    <w:rsid w:val="00A8653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653F"/>
    <w:rPr>
      <w:b/>
      <w:bCs/>
    </w:rPr>
  </w:style>
  <w:style w:type="character" w:customStyle="1" w:styleId="CommentSubjectChar">
    <w:name w:val="Comment Subject Char"/>
    <w:basedOn w:val="CommentTextChar"/>
    <w:link w:val="CommentSubject"/>
    <w:uiPriority w:val="99"/>
    <w:semiHidden/>
    <w:rsid w:val="00A8653F"/>
    <w:rPr>
      <w:rFonts w:ascii="Arial" w:hAnsi="Arial" w:cs="Arial"/>
      <w:b/>
      <w:bCs/>
      <w:sz w:val="20"/>
      <w:szCs w:val="20"/>
    </w:rPr>
  </w:style>
  <w:style w:type="paragraph" w:customStyle="1" w:styleId="Appendixtablehead">
    <w:name w:val="Appendix table head"/>
    <w:basedOn w:val="Normal"/>
    <w:qFormat/>
    <w:rsid w:val="00A8653F"/>
    <w:pPr>
      <w:spacing w:before="0" w:after="200" w:line="276" w:lineRule="auto"/>
      <w:ind w:left="567" w:hanging="283"/>
      <w:jc w:val="left"/>
    </w:pPr>
    <w:rPr>
      <w:rFonts w:eastAsiaTheme="minorHAnsi" w:cs="Arial"/>
      <w:b/>
      <w:szCs w:val="20"/>
      <w:lang w:eastAsia="en-US"/>
    </w:rPr>
  </w:style>
  <w:style w:type="paragraph" w:customStyle="1" w:styleId="Tableheader">
    <w:name w:val="Table header"/>
    <w:basedOn w:val="Appendixtablehead"/>
    <w:qFormat/>
    <w:rsid w:val="00A8653F"/>
    <w:pPr>
      <w:suppressAutoHyphens/>
      <w:autoSpaceDE w:val="0"/>
      <w:autoSpaceDN w:val="0"/>
      <w:adjustRightInd w:val="0"/>
      <w:spacing w:after="113" w:line="288" w:lineRule="auto"/>
      <w:ind w:left="284" w:firstLine="0"/>
      <w:textAlignment w:val="center"/>
    </w:pPr>
    <w:rPr>
      <w:bCs/>
      <w:color w:val="000000"/>
      <w:lang w:val="en-GB"/>
    </w:rPr>
  </w:style>
  <w:style w:type="paragraph" w:customStyle="1" w:styleId="Sub-heading">
    <w:name w:val="Sub-heading"/>
    <w:basedOn w:val="Normal"/>
    <w:autoRedefine/>
    <w:qFormat/>
    <w:rsid w:val="00A8653F"/>
    <w:pPr>
      <w:suppressAutoHyphens/>
      <w:autoSpaceDE w:val="0"/>
      <w:autoSpaceDN w:val="0"/>
      <w:adjustRightInd w:val="0"/>
      <w:spacing w:before="120" w:after="120" w:line="288" w:lineRule="auto"/>
      <w:jc w:val="left"/>
      <w:textAlignment w:val="center"/>
    </w:pPr>
    <w:rPr>
      <w:rFonts w:eastAsiaTheme="minorHAnsi" w:cs="Arial"/>
      <w:color w:val="145B85"/>
      <w:sz w:val="28"/>
      <w:lang w:val="en-GB" w:eastAsia="en-US"/>
    </w:rPr>
  </w:style>
  <w:style w:type="paragraph" w:customStyle="1" w:styleId="Foreword">
    <w:name w:val="Foreword"/>
    <w:basedOn w:val="Normal"/>
    <w:qFormat/>
    <w:rsid w:val="00A8653F"/>
    <w:pPr>
      <w:suppressAutoHyphens/>
      <w:autoSpaceDE w:val="0"/>
      <w:autoSpaceDN w:val="0"/>
      <w:adjustRightInd w:val="0"/>
      <w:spacing w:before="0" w:after="227" w:line="288" w:lineRule="auto"/>
      <w:jc w:val="left"/>
      <w:textAlignment w:val="center"/>
      <w:outlineLvl w:val="0"/>
    </w:pPr>
    <w:rPr>
      <w:rFonts w:eastAsiaTheme="minorHAnsi" w:cs="Arial"/>
      <w:b/>
      <w:bCs/>
      <w:color w:val="145B85"/>
      <w:sz w:val="48"/>
      <w:szCs w:val="48"/>
      <w:lang w:val="en-GB" w:eastAsia="en-US"/>
    </w:rPr>
  </w:style>
  <w:style w:type="paragraph" w:customStyle="1" w:styleId="Summary">
    <w:name w:val="Summary"/>
    <w:qFormat/>
    <w:rsid w:val="00A8653F"/>
    <w:pPr>
      <w:spacing w:after="0"/>
      <w:jc w:val="right"/>
    </w:pPr>
    <w:rPr>
      <w:rFonts w:ascii="Arial" w:hAnsi="Arial" w:cs="Arial"/>
      <w:b/>
      <w:color w:val="145B85"/>
      <w:sz w:val="32"/>
      <w:szCs w:val="32"/>
      <w:lang w:val="en-GB"/>
    </w:rPr>
  </w:style>
  <w:style w:type="paragraph" w:customStyle="1" w:styleId="Tablecontents">
    <w:name w:val="Table contents"/>
    <w:basedOn w:val="Tablestubheadings"/>
    <w:qFormat/>
    <w:rsid w:val="00A8653F"/>
    <w:rPr>
      <w:b w:val="0"/>
    </w:rPr>
  </w:style>
  <w:style w:type="paragraph" w:customStyle="1" w:styleId="Footnotecompressed">
    <w:name w:val="Footnote compressed"/>
    <w:basedOn w:val="Footnote"/>
    <w:qFormat/>
    <w:rsid w:val="00A8653F"/>
    <w:pPr>
      <w:numPr>
        <w:numId w:val="7"/>
      </w:numPr>
      <w:spacing w:before="0" w:line="240" w:lineRule="auto"/>
      <w:ind w:left="284" w:hanging="284"/>
    </w:pPr>
  </w:style>
  <w:style w:type="character" w:customStyle="1" w:styleId="tgc">
    <w:name w:val="_tgc"/>
    <w:basedOn w:val="DefaultParagraphFont"/>
    <w:rsid w:val="00A8653F"/>
  </w:style>
  <w:style w:type="paragraph" w:customStyle="1" w:styleId="swa">
    <w:name w:val="swa"/>
    <w:basedOn w:val="Heading3"/>
    <w:qFormat/>
    <w:rsid w:val="00A8653F"/>
    <w:pPr>
      <w:keepLines/>
      <w:overflowPunct/>
      <w:autoSpaceDE/>
      <w:autoSpaceDN/>
      <w:adjustRightInd/>
      <w:spacing w:before="200" w:after="200" w:line="276" w:lineRule="auto"/>
      <w:jc w:val="center"/>
      <w:textAlignment w:val="auto"/>
    </w:pPr>
    <w:rPr>
      <w:rFonts w:ascii="Arial" w:hAnsi="Arial" w:cs="Arial"/>
      <w:bCs/>
      <w:color w:val="145B85"/>
      <w:sz w:val="36"/>
      <w:szCs w:val="22"/>
      <w:lang w:val="en-GB"/>
    </w:rPr>
  </w:style>
  <w:style w:type="paragraph" w:customStyle="1" w:styleId="HeaderChapterStart">
    <w:name w:val="Header Chapter Start"/>
    <w:basedOn w:val="Header"/>
    <w:qFormat/>
    <w:rsid w:val="00A8653F"/>
    <w:pPr>
      <w:spacing w:before="0"/>
      <w:jc w:val="left"/>
    </w:pPr>
    <w:rPr>
      <w:rFonts w:eastAsiaTheme="minorHAnsi" w:cs="Arial"/>
      <w:i/>
      <w:color w:val="145B85"/>
      <w:szCs w:val="22"/>
      <w:lang w:eastAsia="en-US"/>
    </w:rPr>
  </w:style>
  <w:style w:type="paragraph" w:customStyle="1" w:styleId="Body">
    <w:name w:val="Body"/>
    <w:basedOn w:val="Normal"/>
    <w:link w:val="BodyChar"/>
    <w:qFormat/>
    <w:rsid w:val="00A8653F"/>
    <w:pPr>
      <w:spacing w:before="120" w:after="120" w:line="300" w:lineRule="auto"/>
      <w:jc w:val="left"/>
    </w:pPr>
    <w:rPr>
      <w:szCs w:val="20"/>
      <w:lang w:eastAsia="en-US"/>
    </w:rPr>
  </w:style>
  <w:style w:type="character" w:customStyle="1" w:styleId="BodyChar">
    <w:name w:val="Body Char"/>
    <w:link w:val="Body"/>
    <w:rsid w:val="00A8653F"/>
    <w:rPr>
      <w:rFonts w:ascii="Arial" w:eastAsia="Times New Roman" w:hAnsi="Arial" w:cs="Times New Roman"/>
      <w:sz w:val="20"/>
      <w:szCs w:val="20"/>
    </w:rPr>
  </w:style>
  <w:style w:type="paragraph" w:styleId="Subtitle">
    <w:name w:val="Subtitle"/>
    <w:basedOn w:val="NoParagraphStyle"/>
    <w:next w:val="Body"/>
    <w:link w:val="SubtitleChar"/>
    <w:uiPriority w:val="11"/>
    <w:qFormat/>
    <w:rsid w:val="00A8653F"/>
    <w:pPr>
      <w:spacing w:before="2268"/>
      <w:contextualSpacing/>
      <w:jc w:val="right"/>
    </w:pPr>
    <w:rPr>
      <w:rFonts w:ascii="Arial" w:hAnsi="Arial" w:cs="Arial"/>
      <w:color w:val="145B85"/>
      <w:sz w:val="50"/>
      <w:szCs w:val="50"/>
    </w:rPr>
  </w:style>
  <w:style w:type="character" w:customStyle="1" w:styleId="SubtitleChar">
    <w:name w:val="Subtitle Char"/>
    <w:basedOn w:val="DefaultParagraphFont"/>
    <w:link w:val="Subtitle"/>
    <w:uiPriority w:val="11"/>
    <w:rsid w:val="00A8653F"/>
    <w:rPr>
      <w:rFonts w:ascii="Arial" w:hAnsi="Arial" w:cs="Arial"/>
      <w:color w:val="145B85"/>
      <w:sz w:val="50"/>
      <w:szCs w:val="50"/>
      <w:lang w:val="en-GB"/>
    </w:rPr>
  </w:style>
  <w:style w:type="paragraph" w:customStyle="1" w:styleId="Default">
    <w:name w:val="Default"/>
    <w:rsid w:val="00A8653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653F"/>
    <w:pPr>
      <w:spacing w:after="0" w:line="240" w:lineRule="auto"/>
    </w:pPr>
    <w:rPr>
      <w:rFonts w:ascii="Arial" w:hAnsi="Arial" w:cs="Arial"/>
    </w:rPr>
  </w:style>
  <w:style w:type="table" w:styleId="LightShading">
    <w:name w:val="Light Shading"/>
    <w:basedOn w:val="TableNormal"/>
    <w:uiPriority w:val="60"/>
    <w:rsid w:val="00693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9331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rTable">
    <w:name w:val="For Table"/>
    <w:basedOn w:val="Normal"/>
    <w:qFormat/>
    <w:rsid w:val="00693312"/>
    <w:pPr>
      <w:spacing w:before="0"/>
      <w:jc w:val="left"/>
    </w:pPr>
    <w:rPr>
      <w:bCs/>
      <w:sz w:val="16"/>
      <w:szCs w:val="16"/>
    </w:rPr>
  </w:style>
  <w:style w:type="paragraph" w:styleId="FootnoteText">
    <w:name w:val="footnote text"/>
    <w:basedOn w:val="Normal"/>
    <w:link w:val="FootnoteTextChar"/>
    <w:uiPriority w:val="99"/>
    <w:semiHidden/>
    <w:unhideWhenUsed/>
    <w:rsid w:val="005C2223"/>
    <w:pPr>
      <w:spacing w:before="0"/>
    </w:pPr>
    <w:rPr>
      <w:szCs w:val="20"/>
    </w:rPr>
  </w:style>
  <w:style w:type="character" w:customStyle="1" w:styleId="FootnoteTextChar">
    <w:name w:val="Footnote Text Char"/>
    <w:basedOn w:val="DefaultParagraphFont"/>
    <w:link w:val="FootnoteText"/>
    <w:uiPriority w:val="99"/>
    <w:semiHidden/>
    <w:rsid w:val="005C222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C2223"/>
    <w:rPr>
      <w:vertAlign w:val="superscript"/>
    </w:rPr>
  </w:style>
  <w:style w:type="paragraph" w:customStyle="1" w:styleId="Bullets1">
    <w:name w:val="Bullets 1"/>
    <w:basedOn w:val="Normal"/>
    <w:qFormat/>
    <w:rsid w:val="007E7EB0"/>
    <w:pPr>
      <w:numPr>
        <w:numId w:val="8"/>
      </w:numPr>
      <w:spacing w:before="120" w:after="120" w:line="300" w:lineRule="auto"/>
      <w:jc w:val="left"/>
    </w:pPr>
    <w:rPr>
      <w:szCs w:val="20"/>
      <w:lang w:eastAsia="en-US"/>
    </w:rPr>
  </w:style>
  <w:style w:type="paragraph" w:customStyle="1" w:styleId="Bullets3">
    <w:name w:val="Bullets 3"/>
    <w:basedOn w:val="Normal"/>
    <w:qFormat/>
    <w:rsid w:val="007E7EB0"/>
    <w:pPr>
      <w:numPr>
        <w:ilvl w:val="2"/>
        <w:numId w:val="8"/>
      </w:numPr>
      <w:spacing w:before="120" w:after="120" w:line="300" w:lineRule="auto"/>
    </w:pPr>
    <w:rPr>
      <w:szCs w:val="20"/>
      <w:lang w:eastAsia="en-US"/>
    </w:rPr>
  </w:style>
  <w:style w:type="table" w:customStyle="1" w:styleId="GridTable7Colorful-Accent21">
    <w:name w:val="Grid Table 7 Colorful - Accent 21"/>
    <w:basedOn w:val="TableNormal"/>
    <w:uiPriority w:val="52"/>
    <w:rsid w:val="007E7EB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EndnoteText">
    <w:name w:val="endnote text"/>
    <w:basedOn w:val="Normal"/>
    <w:link w:val="EndnoteTextChar"/>
    <w:uiPriority w:val="99"/>
    <w:semiHidden/>
    <w:unhideWhenUsed/>
    <w:rsid w:val="00615DD6"/>
    <w:pPr>
      <w:spacing w:before="0"/>
    </w:pPr>
    <w:rPr>
      <w:szCs w:val="20"/>
    </w:rPr>
  </w:style>
  <w:style w:type="character" w:customStyle="1" w:styleId="EndnoteTextChar">
    <w:name w:val="Endnote Text Char"/>
    <w:basedOn w:val="DefaultParagraphFont"/>
    <w:link w:val="EndnoteText"/>
    <w:uiPriority w:val="99"/>
    <w:semiHidden/>
    <w:rsid w:val="00615DD6"/>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15DD6"/>
    <w:rPr>
      <w:vertAlign w:val="superscript"/>
    </w:rPr>
  </w:style>
  <w:style w:type="paragraph" w:customStyle="1" w:styleId="Disclaimer">
    <w:name w:val="Disclaimer"/>
    <w:basedOn w:val="Normal"/>
    <w:uiPriority w:val="2"/>
    <w:rsid w:val="00FE4F97"/>
    <w:pPr>
      <w:spacing w:before="0" w:after="60"/>
      <w:jc w:val="left"/>
    </w:pPr>
    <w:rPr>
      <w:rFonts w:eastAsiaTheme="minorHAnsi" w:cs="Arial"/>
      <w:sz w:val="16"/>
      <w:szCs w:val="16"/>
      <w:lang w:eastAsia="en-US"/>
    </w:rPr>
  </w:style>
  <w:style w:type="character" w:styleId="UnresolvedMention">
    <w:name w:val="Unresolved Mention"/>
    <w:basedOn w:val="DefaultParagraphFont"/>
    <w:uiPriority w:val="99"/>
    <w:semiHidden/>
    <w:unhideWhenUsed/>
    <w:rsid w:val="0091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46">
      <w:bodyDiv w:val="1"/>
      <w:marLeft w:val="0"/>
      <w:marRight w:val="0"/>
      <w:marTop w:val="0"/>
      <w:marBottom w:val="0"/>
      <w:divBdr>
        <w:top w:val="none" w:sz="0" w:space="0" w:color="auto"/>
        <w:left w:val="none" w:sz="0" w:space="0" w:color="auto"/>
        <w:bottom w:val="none" w:sz="0" w:space="0" w:color="auto"/>
        <w:right w:val="none" w:sz="0" w:space="0" w:color="auto"/>
      </w:divBdr>
    </w:div>
    <w:div w:id="11956013">
      <w:bodyDiv w:val="1"/>
      <w:marLeft w:val="0"/>
      <w:marRight w:val="0"/>
      <w:marTop w:val="0"/>
      <w:marBottom w:val="0"/>
      <w:divBdr>
        <w:top w:val="none" w:sz="0" w:space="0" w:color="auto"/>
        <w:left w:val="none" w:sz="0" w:space="0" w:color="auto"/>
        <w:bottom w:val="none" w:sz="0" w:space="0" w:color="auto"/>
        <w:right w:val="none" w:sz="0" w:space="0" w:color="auto"/>
      </w:divBdr>
    </w:div>
    <w:div w:id="72237884">
      <w:bodyDiv w:val="1"/>
      <w:marLeft w:val="0"/>
      <w:marRight w:val="0"/>
      <w:marTop w:val="0"/>
      <w:marBottom w:val="0"/>
      <w:divBdr>
        <w:top w:val="none" w:sz="0" w:space="0" w:color="auto"/>
        <w:left w:val="none" w:sz="0" w:space="0" w:color="auto"/>
        <w:bottom w:val="none" w:sz="0" w:space="0" w:color="auto"/>
        <w:right w:val="none" w:sz="0" w:space="0" w:color="auto"/>
      </w:divBdr>
    </w:div>
    <w:div w:id="94520526">
      <w:bodyDiv w:val="1"/>
      <w:marLeft w:val="0"/>
      <w:marRight w:val="0"/>
      <w:marTop w:val="0"/>
      <w:marBottom w:val="0"/>
      <w:divBdr>
        <w:top w:val="none" w:sz="0" w:space="0" w:color="auto"/>
        <w:left w:val="none" w:sz="0" w:space="0" w:color="auto"/>
        <w:bottom w:val="none" w:sz="0" w:space="0" w:color="auto"/>
        <w:right w:val="none" w:sz="0" w:space="0" w:color="auto"/>
      </w:divBdr>
    </w:div>
    <w:div w:id="150216786">
      <w:bodyDiv w:val="1"/>
      <w:marLeft w:val="0"/>
      <w:marRight w:val="0"/>
      <w:marTop w:val="0"/>
      <w:marBottom w:val="0"/>
      <w:divBdr>
        <w:top w:val="none" w:sz="0" w:space="0" w:color="auto"/>
        <w:left w:val="none" w:sz="0" w:space="0" w:color="auto"/>
        <w:bottom w:val="none" w:sz="0" w:space="0" w:color="auto"/>
        <w:right w:val="none" w:sz="0" w:space="0" w:color="auto"/>
      </w:divBdr>
    </w:div>
    <w:div w:id="159002292">
      <w:bodyDiv w:val="1"/>
      <w:marLeft w:val="0"/>
      <w:marRight w:val="0"/>
      <w:marTop w:val="0"/>
      <w:marBottom w:val="0"/>
      <w:divBdr>
        <w:top w:val="none" w:sz="0" w:space="0" w:color="auto"/>
        <w:left w:val="none" w:sz="0" w:space="0" w:color="auto"/>
        <w:bottom w:val="none" w:sz="0" w:space="0" w:color="auto"/>
        <w:right w:val="none" w:sz="0" w:space="0" w:color="auto"/>
      </w:divBdr>
    </w:div>
    <w:div w:id="186018276">
      <w:bodyDiv w:val="1"/>
      <w:marLeft w:val="0"/>
      <w:marRight w:val="0"/>
      <w:marTop w:val="0"/>
      <w:marBottom w:val="0"/>
      <w:divBdr>
        <w:top w:val="none" w:sz="0" w:space="0" w:color="auto"/>
        <w:left w:val="none" w:sz="0" w:space="0" w:color="auto"/>
        <w:bottom w:val="none" w:sz="0" w:space="0" w:color="auto"/>
        <w:right w:val="none" w:sz="0" w:space="0" w:color="auto"/>
      </w:divBdr>
    </w:div>
    <w:div w:id="191457314">
      <w:bodyDiv w:val="1"/>
      <w:marLeft w:val="0"/>
      <w:marRight w:val="0"/>
      <w:marTop w:val="0"/>
      <w:marBottom w:val="0"/>
      <w:divBdr>
        <w:top w:val="none" w:sz="0" w:space="0" w:color="auto"/>
        <w:left w:val="none" w:sz="0" w:space="0" w:color="auto"/>
        <w:bottom w:val="none" w:sz="0" w:space="0" w:color="auto"/>
        <w:right w:val="none" w:sz="0" w:space="0" w:color="auto"/>
      </w:divBdr>
    </w:div>
    <w:div w:id="199635076">
      <w:bodyDiv w:val="1"/>
      <w:marLeft w:val="0"/>
      <w:marRight w:val="0"/>
      <w:marTop w:val="0"/>
      <w:marBottom w:val="0"/>
      <w:divBdr>
        <w:top w:val="none" w:sz="0" w:space="0" w:color="auto"/>
        <w:left w:val="none" w:sz="0" w:space="0" w:color="auto"/>
        <w:bottom w:val="none" w:sz="0" w:space="0" w:color="auto"/>
        <w:right w:val="none" w:sz="0" w:space="0" w:color="auto"/>
      </w:divBdr>
    </w:div>
    <w:div w:id="232860431">
      <w:bodyDiv w:val="1"/>
      <w:marLeft w:val="0"/>
      <w:marRight w:val="0"/>
      <w:marTop w:val="0"/>
      <w:marBottom w:val="0"/>
      <w:divBdr>
        <w:top w:val="none" w:sz="0" w:space="0" w:color="auto"/>
        <w:left w:val="none" w:sz="0" w:space="0" w:color="auto"/>
        <w:bottom w:val="none" w:sz="0" w:space="0" w:color="auto"/>
        <w:right w:val="none" w:sz="0" w:space="0" w:color="auto"/>
      </w:divBdr>
    </w:div>
    <w:div w:id="261382807">
      <w:bodyDiv w:val="1"/>
      <w:marLeft w:val="0"/>
      <w:marRight w:val="0"/>
      <w:marTop w:val="0"/>
      <w:marBottom w:val="0"/>
      <w:divBdr>
        <w:top w:val="none" w:sz="0" w:space="0" w:color="auto"/>
        <w:left w:val="none" w:sz="0" w:space="0" w:color="auto"/>
        <w:bottom w:val="none" w:sz="0" w:space="0" w:color="auto"/>
        <w:right w:val="none" w:sz="0" w:space="0" w:color="auto"/>
      </w:divBdr>
    </w:div>
    <w:div w:id="339086452">
      <w:bodyDiv w:val="1"/>
      <w:marLeft w:val="0"/>
      <w:marRight w:val="0"/>
      <w:marTop w:val="0"/>
      <w:marBottom w:val="0"/>
      <w:divBdr>
        <w:top w:val="none" w:sz="0" w:space="0" w:color="auto"/>
        <w:left w:val="none" w:sz="0" w:space="0" w:color="auto"/>
        <w:bottom w:val="none" w:sz="0" w:space="0" w:color="auto"/>
        <w:right w:val="none" w:sz="0" w:space="0" w:color="auto"/>
      </w:divBdr>
    </w:div>
    <w:div w:id="352341446">
      <w:bodyDiv w:val="1"/>
      <w:marLeft w:val="0"/>
      <w:marRight w:val="0"/>
      <w:marTop w:val="0"/>
      <w:marBottom w:val="0"/>
      <w:divBdr>
        <w:top w:val="none" w:sz="0" w:space="0" w:color="auto"/>
        <w:left w:val="none" w:sz="0" w:space="0" w:color="auto"/>
        <w:bottom w:val="none" w:sz="0" w:space="0" w:color="auto"/>
        <w:right w:val="none" w:sz="0" w:space="0" w:color="auto"/>
      </w:divBdr>
    </w:div>
    <w:div w:id="355084022">
      <w:bodyDiv w:val="1"/>
      <w:marLeft w:val="0"/>
      <w:marRight w:val="0"/>
      <w:marTop w:val="0"/>
      <w:marBottom w:val="0"/>
      <w:divBdr>
        <w:top w:val="none" w:sz="0" w:space="0" w:color="auto"/>
        <w:left w:val="none" w:sz="0" w:space="0" w:color="auto"/>
        <w:bottom w:val="none" w:sz="0" w:space="0" w:color="auto"/>
        <w:right w:val="none" w:sz="0" w:space="0" w:color="auto"/>
      </w:divBdr>
    </w:div>
    <w:div w:id="382950710">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70367121">
      <w:bodyDiv w:val="1"/>
      <w:marLeft w:val="0"/>
      <w:marRight w:val="0"/>
      <w:marTop w:val="0"/>
      <w:marBottom w:val="0"/>
      <w:divBdr>
        <w:top w:val="none" w:sz="0" w:space="0" w:color="auto"/>
        <w:left w:val="none" w:sz="0" w:space="0" w:color="auto"/>
        <w:bottom w:val="none" w:sz="0" w:space="0" w:color="auto"/>
        <w:right w:val="none" w:sz="0" w:space="0" w:color="auto"/>
      </w:divBdr>
    </w:div>
    <w:div w:id="491027518">
      <w:bodyDiv w:val="1"/>
      <w:marLeft w:val="0"/>
      <w:marRight w:val="0"/>
      <w:marTop w:val="0"/>
      <w:marBottom w:val="0"/>
      <w:divBdr>
        <w:top w:val="none" w:sz="0" w:space="0" w:color="auto"/>
        <w:left w:val="none" w:sz="0" w:space="0" w:color="auto"/>
        <w:bottom w:val="none" w:sz="0" w:space="0" w:color="auto"/>
        <w:right w:val="none" w:sz="0" w:space="0" w:color="auto"/>
      </w:divBdr>
    </w:div>
    <w:div w:id="532421777">
      <w:bodyDiv w:val="1"/>
      <w:marLeft w:val="0"/>
      <w:marRight w:val="0"/>
      <w:marTop w:val="0"/>
      <w:marBottom w:val="0"/>
      <w:divBdr>
        <w:top w:val="none" w:sz="0" w:space="0" w:color="auto"/>
        <w:left w:val="none" w:sz="0" w:space="0" w:color="auto"/>
        <w:bottom w:val="none" w:sz="0" w:space="0" w:color="auto"/>
        <w:right w:val="none" w:sz="0" w:space="0" w:color="auto"/>
      </w:divBdr>
    </w:div>
    <w:div w:id="542136801">
      <w:bodyDiv w:val="1"/>
      <w:marLeft w:val="0"/>
      <w:marRight w:val="0"/>
      <w:marTop w:val="0"/>
      <w:marBottom w:val="0"/>
      <w:divBdr>
        <w:top w:val="none" w:sz="0" w:space="0" w:color="auto"/>
        <w:left w:val="none" w:sz="0" w:space="0" w:color="auto"/>
        <w:bottom w:val="none" w:sz="0" w:space="0" w:color="auto"/>
        <w:right w:val="none" w:sz="0" w:space="0" w:color="auto"/>
      </w:divBdr>
    </w:div>
    <w:div w:id="547498583">
      <w:bodyDiv w:val="1"/>
      <w:marLeft w:val="0"/>
      <w:marRight w:val="0"/>
      <w:marTop w:val="0"/>
      <w:marBottom w:val="0"/>
      <w:divBdr>
        <w:top w:val="none" w:sz="0" w:space="0" w:color="auto"/>
        <w:left w:val="none" w:sz="0" w:space="0" w:color="auto"/>
        <w:bottom w:val="none" w:sz="0" w:space="0" w:color="auto"/>
        <w:right w:val="none" w:sz="0" w:space="0" w:color="auto"/>
      </w:divBdr>
    </w:div>
    <w:div w:id="564337135">
      <w:bodyDiv w:val="1"/>
      <w:marLeft w:val="0"/>
      <w:marRight w:val="0"/>
      <w:marTop w:val="0"/>
      <w:marBottom w:val="0"/>
      <w:divBdr>
        <w:top w:val="none" w:sz="0" w:space="0" w:color="auto"/>
        <w:left w:val="none" w:sz="0" w:space="0" w:color="auto"/>
        <w:bottom w:val="none" w:sz="0" w:space="0" w:color="auto"/>
        <w:right w:val="none" w:sz="0" w:space="0" w:color="auto"/>
      </w:divBdr>
    </w:div>
    <w:div w:id="570695198">
      <w:bodyDiv w:val="1"/>
      <w:marLeft w:val="0"/>
      <w:marRight w:val="0"/>
      <w:marTop w:val="0"/>
      <w:marBottom w:val="0"/>
      <w:divBdr>
        <w:top w:val="none" w:sz="0" w:space="0" w:color="auto"/>
        <w:left w:val="none" w:sz="0" w:space="0" w:color="auto"/>
        <w:bottom w:val="none" w:sz="0" w:space="0" w:color="auto"/>
        <w:right w:val="none" w:sz="0" w:space="0" w:color="auto"/>
      </w:divBdr>
    </w:div>
    <w:div w:id="570848303">
      <w:bodyDiv w:val="1"/>
      <w:marLeft w:val="0"/>
      <w:marRight w:val="0"/>
      <w:marTop w:val="0"/>
      <w:marBottom w:val="0"/>
      <w:divBdr>
        <w:top w:val="none" w:sz="0" w:space="0" w:color="auto"/>
        <w:left w:val="none" w:sz="0" w:space="0" w:color="auto"/>
        <w:bottom w:val="none" w:sz="0" w:space="0" w:color="auto"/>
        <w:right w:val="none" w:sz="0" w:space="0" w:color="auto"/>
      </w:divBdr>
    </w:div>
    <w:div w:id="615215309">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40365995">
      <w:bodyDiv w:val="1"/>
      <w:marLeft w:val="0"/>
      <w:marRight w:val="0"/>
      <w:marTop w:val="0"/>
      <w:marBottom w:val="0"/>
      <w:divBdr>
        <w:top w:val="none" w:sz="0" w:space="0" w:color="auto"/>
        <w:left w:val="none" w:sz="0" w:space="0" w:color="auto"/>
        <w:bottom w:val="none" w:sz="0" w:space="0" w:color="auto"/>
        <w:right w:val="none" w:sz="0" w:space="0" w:color="auto"/>
      </w:divBdr>
    </w:div>
    <w:div w:id="748309992">
      <w:bodyDiv w:val="1"/>
      <w:marLeft w:val="0"/>
      <w:marRight w:val="0"/>
      <w:marTop w:val="0"/>
      <w:marBottom w:val="0"/>
      <w:divBdr>
        <w:top w:val="none" w:sz="0" w:space="0" w:color="auto"/>
        <w:left w:val="none" w:sz="0" w:space="0" w:color="auto"/>
        <w:bottom w:val="none" w:sz="0" w:space="0" w:color="auto"/>
        <w:right w:val="none" w:sz="0" w:space="0" w:color="auto"/>
      </w:divBdr>
    </w:div>
    <w:div w:id="819346782">
      <w:bodyDiv w:val="1"/>
      <w:marLeft w:val="0"/>
      <w:marRight w:val="0"/>
      <w:marTop w:val="0"/>
      <w:marBottom w:val="0"/>
      <w:divBdr>
        <w:top w:val="none" w:sz="0" w:space="0" w:color="auto"/>
        <w:left w:val="none" w:sz="0" w:space="0" w:color="auto"/>
        <w:bottom w:val="none" w:sz="0" w:space="0" w:color="auto"/>
        <w:right w:val="none" w:sz="0" w:space="0" w:color="auto"/>
      </w:divBdr>
    </w:div>
    <w:div w:id="874463417">
      <w:bodyDiv w:val="1"/>
      <w:marLeft w:val="0"/>
      <w:marRight w:val="0"/>
      <w:marTop w:val="0"/>
      <w:marBottom w:val="0"/>
      <w:divBdr>
        <w:top w:val="none" w:sz="0" w:space="0" w:color="auto"/>
        <w:left w:val="none" w:sz="0" w:space="0" w:color="auto"/>
        <w:bottom w:val="none" w:sz="0" w:space="0" w:color="auto"/>
        <w:right w:val="none" w:sz="0" w:space="0" w:color="auto"/>
      </w:divBdr>
    </w:div>
    <w:div w:id="986780895">
      <w:bodyDiv w:val="1"/>
      <w:marLeft w:val="0"/>
      <w:marRight w:val="0"/>
      <w:marTop w:val="0"/>
      <w:marBottom w:val="0"/>
      <w:divBdr>
        <w:top w:val="none" w:sz="0" w:space="0" w:color="auto"/>
        <w:left w:val="none" w:sz="0" w:space="0" w:color="auto"/>
        <w:bottom w:val="none" w:sz="0" w:space="0" w:color="auto"/>
        <w:right w:val="none" w:sz="0" w:space="0" w:color="auto"/>
      </w:divBdr>
    </w:div>
    <w:div w:id="1034769679">
      <w:bodyDiv w:val="1"/>
      <w:marLeft w:val="0"/>
      <w:marRight w:val="0"/>
      <w:marTop w:val="0"/>
      <w:marBottom w:val="0"/>
      <w:divBdr>
        <w:top w:val="none" w:sz="0" w:space="0" w:color="auto"/>
        <w:left w:val="none" w:sz="0" w:space="0" w:color="auto"/>
        <w:bottom w:val="none" w:sz="0" w:space="0" w:color="auto"/>
        <w:right w:val="none" w:sz="0" w:space="0" w:color="auto"/>
      </w:divBdr>
    </w:div>
    <w:div w:id="1053770156">
      <w:bodyDiv w:val="1"/>
      <w:marLeft w:val="0"/>
      <w:marRight w:val="0"/>
      <w:marTop w:val="0"/>
      <w:marBottom w:val="0"/>
      <w:divBdr>
        <w:top w:val="none" w:sz="0" w:space="0" w:color="auto"/>
        <w:left w:val="none" w:sz="0" w:space="0" w:color="auto"/>
        <w:bottom w:val="none" w:sz="0" w:space="0" w:color="auto"/>
        <w:right w:val="none" w:sz="0" w:space="0" w:color="auto"/>
      </w:divBdr>
    </w:div>
    <w:div w:id="1065298855">
      <w:bodyDiv w:val="1"/>
      <w:marLeft w:val="0"/>
      <w:marRight w:val="0"/>
      <w:marTop w:val="0"/>
      <w:marBottom w:val="0"/>
      <w:divBdr>
        <w:top w:val="none" w:sz="0" w:space="0" w:color="auto"/>
        <w:left w:val="none" w:sz="0" w:space="0" w:color="auto"/>
        <w:bottom w:val="none" w:sz="0" w:space="0" w:color="auto"/>
        <w:right w:val="none" w:sz="0" w:space="0" w:color="auto"/>
      </w:divBdr>
    </w:div>
    <w:div w:id="1099257609">
      <w:bodyDiv w:val="1"/>
      <w:marLeft w:val="0"/>
      <w:marRight w:val="0"/>
      <w:marTop w:val="0"/>
      <w:marBottom w:val="0"/>
      <w:divBdr>
        <w:top w:val="none" w:sz="0" w:space="0" w:color="auto"/>
        <w:left w:val="none" w:sz="0" w:space="0" w:color="auto"/>
        <w:bottom w:val="none" w:sz="0" w:space="0" w:color="auto"/>
        <w:right w:val="none" w:sz="0" w:space="0" w:color="auto"/>
      </w:divBdr>
    </w:div>
    <w:div w:id="1137994254">
      <w:bodyDiv w:val="1"/>
      <w:marLeft w:val="0"/>
      <w:marRight w:val="0"/>
      <w:marTop w:val="0"/>
      <w:marBottom w:val="0"/>
      <w:divBdr>
        <w:top w:val="none" w:sz="0" w:space="0" w:color="auto"/>
        <w:left w:val="none" w:sz="0" w:space="0" w:color="auto"/>
        <w:bottom w:val="none" w:sz="0" w:space="0" w:color="auto"/>
        <w:right w:val="none" w:sz="0" w:space="0" w:color="auto"/>
      </w:divBdr>
    </w:div>
    <w:div w:id="1144079857">
      <w:bodyDiv w:val="1"/>
      <w:marLeft w:val="0"/>
      <w:marRight w:val="0"/>
      <w:marTop w:val="0"/>
      <w:marBottom w:val="0"/>
      <w:divBdr>
        <w:top w:val="none" w:sz="0" w:space="0" w:color="auto"/>
        <w:left w:val="none" w:sz="0" w:space="0" w:color="auto"/>
        <w:bottom w:val="none" w:sz="0" w:space="0" w:color="auto"/>
        <w:right w:val="none" w:sz="0" w:space="0" w:color="auto"/>
      </w:divBdr>
    </w:div>
    <w:div w:id="1170750304">
      <w:bodyDiv w:val="1"/>
      <w:marLeft w:val="0"/>
      <w:marRight w:val="0"/>
      <w:marTop w:val="0"/>
      <w:marBottom w:val="0"/>
      <w:divBdr>
        <w:top w:val="none" w:sz="0" w:space="0" w:color="auto"/>
        <w:left w:val="none" w:sz="0" w:space="0" w:color="auto"/>
        <w:bottom w:val="none" w:sz="0" w:space="0" w:color="auto"/>
        <w:right w:val="none" w:sz="0" w:space="0" w:color="auto"/>
      </w:divBdr>
    </w:div>
    <w:div w:id="1206210295">
      <w:bodyDiv w:val="1"/>
      <w:marLeft w:val="0"/>
      <w:marRight w:val="0"/>
      <w:marTop w:val="0"/>
      <w:marBottom w:val="0"/>
      <w:divBdr>
        <w:top w:val="none" w:sz="0" w:space="0" w:color="auto"/>
        <w:left w:val="none" w:sz="0" w:space="0" w:color="auto"/>
        <w:bottom w:val="none" w:sz="0" w:space="0" w:color="auto"/>
        <w:right w:val="none" w:sz="0" w:space="0" w:color="auto"/>
      </w:divBdr>
    </w:div>
    <w:div w:id="1222981525">
      <w:bodyDiv w:val="1"/>
      <w:marLeft w:val="0"/>
      <w:marRight w:val="0"/>
      <w:marTop w:val="0"/>
      <w:marBottom w:val="0"/>
      <w:divBdr>
        <w:top w:val="none" w:sz="0" w:space="0" w:color="auto"/>
        <w:left w:val="none" w:sz="0" w:space="0" w:color="auto"/>
        <w:bottom w:val="none" w:sz="0" w:space="0" w:color="auto"/>
        <w:right w:val="none" w:sz="0" w:space="0" w:color="auto"/>
      </w:divBdr>
    </w:div>
    <w:div w:id="1225407628">
      <w:bodyDiv w:val="1"/>
      <w:marLeft w:val="0"/>
      <w:marRight w:val="0"/>
      <w:marTop w:val="0"/>
      <w:marBottom w:val="0"/>
      <w:divBdr>
        <w:top w:val="none" w:sz="0" w:space="0" w:color="auto"/>
        <w:left w:val="none" w:sz="0" w:space="0" w:color="auto"/>
        <w:bottom w:val="none" w:sz="0" w:space="0" w:color="auto"/>
        <w:right w:val="none" w:sz="0" w:space="0" w:color="auto"/>
      </w:divBdr>
    </w:div>
    <w:div w:id="1272317467">
      <w:bodyDiv w:val="1"/>
      <w:marLeft w:val="0"/>
      <w:marRight w:val="0"/>
      <w:marTop w:val="0"/>
      <w:marBottom w:val="0"/>
      <w:divBdr>
        <w:top w:val="none" w:sz="0" w:space="0" w:color="auto"/>
        <w:left w:val="none" w:sz="0" w:space="0" w:color="auto"/>
        <w:bottom w:val="none" w:sz="0" w:space="0" w:color="auto"/>
        <w:right w:val="none" w:sz="0" w:space="0" w:color="auto"/>
      </w:divBdr>
    </w:div>
    <w:div w:id="1278835612">
      <w:bodyDiv w:val="1"/>
      <w:marLeft w:val="0"/>
      <w:marRight w:val="0"/>
      <w:marTop w:val="0"/>
      <w:marBottom w:val="0"/>
      <w:divBdr>
        <w:top w:val="none" w:sz="0" w:space="0" w:color="auto"/>
        <w:left w:val="none" w:sz="0" w:space="0" w:color="auto"/>
        <w:bottom w:val="none" w:sz="0" w:space="0" w:color="auto"/>
        <w:right w:val="none" w:sz="0" w:space="0" w:color="auto"/>
      </w:divBdr>
    </w:div>
    <w:div w:id="1377780000">
      <w:bodyDiv w:val="1"/>
      <w:marLeft w:val="0"/>
      <w:marRight w:val="0"/>
      <w:marTop w:val="0"/>
      <w:marBottom w:val="0"/>
      <w:divBdr>
        <w:top w:val="none" w:sz="0" w:space="0" w:color="auto"/>
        <w:left w:val="none" w:sz="0" w:space="0" w:color="auto"/>
        <w:bottom w:val="none" w:sz="0" w:space="0" w:color="auto"/>
        <w:right w:val="none" w:sz="0" w:space="0" w:color="auto"/>
      </w:divBdr>
    </w:div>
    <w:div w:id="1390570422">
      <w:bodyDiv w:val="1"/>
      <w:marLeft w:val="0"/>
      <w:marRight w:val="0"/>
      <w:marTop w:val="0"/>
      <w:marBottom w:val="0"/>
      <w:divBdr>
        <w:top w:val="none" w:sz="0" w:space="0" w:color="auto"/>
        <w:left w:val="none" w:sz="0" w:space="0" w:color="auto"/>
        <w:bottom w:val="none" w:sz="0" w:space="0" w:color="auto"/>
        <w:right w:val="none" w:sz="0" w:space="0" w:color="auto"/>
      </w:divBdr>
    </w:div>
    <w:div w:id="1434012805">
      <w:bodyDiv w:val="1"/>
      <w:marLeft w:val="0"/>
      <w:marRight w:val="0"/>
      <w:marTop w:val="0"/>
      <w:marBottom w:val="0"/>
      <w:divBdr>
        <w:top w:val="none" w:sz="0" w:space="0" w:color="auto"/>
        <w:left w:val="none" w:sz="0" w:space="0" w:color="auto"/>
        <w:bottom w:val="none" w:sz="0" w:space="0" w:color="auto"/>
        <w:right w:val="none" w:sz="0" w:space="0" w:color="auto"/>
      </w:divBdr>
    </w:div>
    <w:div w:id="1436710275">
      <w:bodyDiv w:val="1"/>
      <w:marLeft w:val="0"/>
      <w:marRight w:val="0"/>
      <w:marTop w:val="0"/>
      <w:marBottom w:val="0"/>
      <w:divBdr>
        <w:top w:val="none" w:sz="0" w:space="0" w:color="auto"/>
        <w:left w:val="none" w:sz="0" w:space="0" w:color="auto"/>
        <w:bottom w:val="none" w:sz="0" w:space="0" w:color="auto"/>
        <w:right w:val="none" w:sz="0" w:space="0" w:color="auto"/>
      </w:divBdr>
    </w:div>
    <w:div w:id="1521430754">
      <w:bodyDiv w:val="1"/>
      <w:marLeft w:val="0"/>
      <w:marRight w:val="0"/>
      <w:marTop w:val="0"/>
      <w:marBottom w:val="0"/>
      <w:divBdr>
        <w:top w:val="none" w:sz="0" w:space="0" w:color="auto"/>
        <w:left w:val="none" w:sz="0" w:space="0" w:color="auto"/>
        <w:bottom w:val="none" w:sz="0" w:space="0" w:color="auto"/>
        <w:right w:val="none" w:sz="0" w:space="0" w:color="auto"/>
      </w:divBdr>
    </w:div>
    <w:div w:id="1524512202">
      <w:bodyDiv w:val="1"/>
      <w:marLeft w:val="0"/>
      <w:marRight w:val="0"/>
      <w:marTop w:val="0"/>
      <w:marBottom w:val="0"/>
      <w:divBdr>
        <w:top w:val="none" w:sz="0" w:space="0" w:color="auto"/>
        <w:left w:val="none" w:sz="0" w:space="0" w:color="auto"/>
        <w:bottom w:val="none" w:sz="0" w:space="0" w:color="auto"/>
        <w:right w:val="none" w:sz="0" w:space="0" w:color="auto"/>
      </w:divBdr>
    </w:div>
    <w:div w:id="1535462898">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610120728">
      <w:bodyDiv w:val="1"/>
      <w:marLeft w:val="0"/>
      <w:marRight w:val="0"/>
      <w:marTop w:val="0"/>
      <w:marBottom w:val="0"/>
      <w:divBdr>
        <w:top w:val="none" w:sz="0" w:space="0" w:color="auto"/>
        <w:left w:val="none" w:sz="0" w:space="0" w:color="auto"/>
        <w:bottom w:val="none" w:sz="0" w:space="0" w:color="auto"/>
        <w:right w:val="none" w:sz="0" w:space="0" w:color="auto"/>
      </w:divBdr>
    </w:div>
    <w:div w:id="1627392297">
      <w:bodyDiv w:val="1"/>
      <w:marLeft w:val="0"/>
      <w:marRight w:val="0"/>
      <w:marTop w:val="0"/>
      <w:marBottom w:val="0"/>
      <w:divBdr>
        <w:top w:val="none" w:sz="0" w:space="0" w:color="auto"/>
        <w:left w:val="none" w:sz="0" w:space="0" w:color="auto"/>
        <w:bottom w:val="none" w:sz="0" w:space="0" w:color="auto"/>
        <w:right w:val="none" w:sz="0" w:space="0" w:color="auto"/>
      </w:divBdr>
    </w:div>
    <w:div w:id="1636834751">
      <w:bodyDiv w:val="1"/>
      <w:marLeft w:val="0"/>
      <w:marRight w:val="0"/>
      <w:marTop w:val="0"/>
      <w:marBottom w:val="0"/>
      <w:divBdr>
        <w:top w:val="none" w:sz="0" w:space="0" w:color="auto"/>
        <w:left w:val="none" w:sz="0" w:space="0" w:color="auto"/>
        <w:bottom w:val="none" w:sz="0" w:space="0" w:color="auto"/>
        <w:right w:val="none" w:sz="0" w:space="0" w:color="auto"/>
      </w:divBdr>
    </w:div>
    <w:div w:id="1643267428">
      <w:bodyDiv w:val="1"/>
      <w:marLeft w:val="0"/>
      <w:marRight w:val="0"/>
      <w:marTop w:val="0"/>
      <w:marBottom w:val="0"/>
      <w:divBdr>
        <w:top w:val="none" w:sz="0" w:space="0" w:color="auto"/>
        <w:left w:val="none" w:sz="0" w:space="0" w:color="auto"/>
        <w:bottom w:val="none" w:sz="0" w:space="0" w:color="auto"/>
        <w:right w:val="none" w:sz="0" w:space="0" w:color="auto"/>
      </w:divBdr>
    </w:div>
    <w:div w:id="1724937973">
      <w:bodyDiv w:val="1"/>
      <w:marLeft w:val="0"/>
      <w:marRight w:val="0"/>
      <w:marTop w:val="0"/>
      <w:marBottom w:val="0"/>
      <w:divBdr>
        <w:top w:val="none" w:sz="0" w:space="0" w:color="auto"/>
        <w:left w:val="none" w:sz="0" w:space="0" w:color="auto"/>
        <w:bottom w:val="none" w:sz="0" w:space="0" w:color="auto"/>
        <w:right w:val="none" w:sz="0" w:space="0" w:color="auto"/>
      </w:divBdr>
    </w:div>
    <w:div w:id="1815486286">
      <w:bodyDiv w:val="1"/>
      <w:marLeft w:val="0"/>
      <w:marRight w:val="0"/>
      <w:marTop w:val="0"/>
      <w:marBottom w:val="0"/>
      <w:divBdr>
        <w:top w:val="none" w:sz="0" w:space="0" w:color="auto"/>
        <w:left w:val="none" w:sz="0" w:space="0" w:color="auto"/>
        <w:bottom w:val="none" w:sz="0" w:space="0" w:color="auto"/>
        <w:right w:val="none" w:sz="0" w:space="0" w:color="auto"/>
      </w:divBdr>
    </w:div>
    <w:div w:id="1868712926">
      <w:bodyDiv w:val="1"/>
      <w:marLeft w:val="0"/>
      <w:marRight w:val="0"/>
      <w:marTop w:val="0"/>
      <w:marBottom w:val="0"/>
      <w:divBdr>
        <w:top w:val="none" w:sz="0" w:space="0" w:color="auto"/>
        <w:left w:val="none" w:sz="0" w:space="0" w:color="auto"/>
        <w:bottom w:val="none" w:sz="0" w:space="0" w:color="auto"/>
        <w:right w:val="none" w:sz="0" w:space="0" w:color="auto"/>
      </w:divBdr>
    </w:div>
    <w:div w:id="1888300011">
      <w:bodyDiv w:val="1"/>
      <w:marLeft w:val="0"/>
      <w:marRight w:val="0"/>
      <w:marTop w:val="0"/>
      <w:marBottom w:val="0"/>
      <w:divBdr>
        <w:top w:val="none" w:sz="0" w:space="0" w:color="auto"/>
        <w:left w:val="none" w:sz="0" w:space="0" w:color="auto"/>
        <w:bottom w:val="none" w:sz="0" w:space="0" w:color="auto"/>
        <w:right w:val="none" w:sz="0" w:space="0" w:color="auto"/>
      </w:divBdr>
    </w:div>
    <w:div w:id="1903321031">
      <w:bodyDiv w:val="1"/>
      <w:marLeft w:val="0"/>
      <w:marRight w:val="0"/>
      <w:marTop w:val="0"/>
      <w:marBottom w:val="0"/>
      <w:divBdr>
        <w:top w:val="none" w:sz="0" w:space="0" w:color="auto"/>
        <w:left w:val="none" w:sz="0" w:space="0" w:color="auto"/>
        <w:bottom w:val="none" w:sz="0" w:space="0" w:color="auto"/>
        <w:right w:val="none" w:sz="0" w:space="0" w:color="auto"/>
      </w:divBdr>
    </w:div>
    <w:div w:id="1904178931">
      <w:bodyDiv w:val="1"/>
      <w:marLeft w:val="0"/>
      <w:marRight w:val="0"/>
      <w:marTop w:val="0"/>
      <w:marBottom w:val="0"/>
      <w:divBdr>
        <w:top w:val="none" w:sz="0" w:space="0" w:color="auto"/>
        <w:left w:val="none" w:sz="0" w:space="0" w:color="auto"/>
        <w:bottom w:val="none" w:sz="0" w:space="0" w:color="auto"/>
        <w:right w:val="none" w:sz="0" w:space="0" w:color="auto"/>
      </w:divBdr>
    </w:div>
    <w:div w:id="19381710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1990019364">
      <w:bodyDiv w:val="1"/>
      <w:marLeft w:val="0"/>
      <w:marRight w:val="0"/>
      <w:marTop w:val="0"/>
      <w:marBottom w:val="0"/>
      <w:divBdr>
        <w:top w:val="none" w:sz="0" w:space="0" w:color="auto"/>
        <w:left w:val="none" w:sz="0" w:space="0" w:color="auto"/>
        <w:bottom w:val="none" w:sz="0" w:space="0" w:color="auto"/>
        <w:right w:val="none" w:sz="0" w:space="0" w:color="auto"/>
      </w:divBdr>
    </w:div>
    <w:div w:id="2001348753">
      <w:bodyDiv w:val="1"/>
      <w:marLeft w:val="0"/>
      <w:marRight w:val="0"/>
      <w:marTop w:val="0"/>
      <w:marBottom w:val="0"/>
      <w:divBdr>
        <w:top w:val="none" w:sz="0" w:space="0" w:color="auto"/>
        <w:left w:val="none" w:sz="0" w:space="0" w:color="auto"/>
        <w:bottom w:val="none" w:sz="0" w:space="0" w:color="auto"/>
        <w:right w:val="none" w:sz="0" w:space="0" w:color="auto"/>
      </w:divBdr>
    </w:div>
    <w:div w:id="2007048886">
      <w:bodyDiv w:val="1"/>
      <w:marLeft w:val="0"/>
      <w:marRight w:val="0"/>
      <w:marTop w:val="0"/>
      <w:marBottom w:val="0"/>
      <w:divBdr>
        <w:top w:val="none" w:sz="0" w:space="0" w:color="auto"/>
        <w:left w:val="none" w:sz="0" w:space="0" w:color="auto"/>
        <w:bottom w:val="none" w:sz="0" w:space="0" w:color="auto"/>
        <w:right w:val="none" w:sz="0" w:space="0" w:color="auto"/>
      </w:divBdr>
    </w:div>
    <w:div w:id="2061442795">
      <w:bodyDiv w:val="1"/>
      <w:marLeft w:val="0"/>
      <w:marRight w:val="0"/>
      <w:marTop w:val="0"/>
      <w:marBottom w:val="0"/>
      <w:divBdr>
        <w:top w:val="none" w:sz="0" w:space="0" w:color="auto"/>
        <w:left w:val="none" w:sz="0" w:space="0" w:color="auto"/>
        <w:bottom w:val="none" w:sz="0" w:space="0" w:color="auto"/>
        <w:right w:val="none" w:sz="0" w:space="0" w:color="auto"/>
      </w:divBdr>
    </w:div>
    <w:div w:id="2074346909">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149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www.safeworkaustralia.gov.au" TargetMode="External"/><Relationship Id="rId42" Type="http://schemas.openxmlformats.org/officeDocument/2006/relationships/image" Target="media/image16.png"/><Relationship Id="rId47" Type="http://schemas.openxmlformats.org/officeDocument/2006/relationships/image" Target="media/image21.png"/><Relationship Id="rId63" Type="http://schemas.openxmlformats.org/officeDocument/2006/relationships/hyperlink" Target="http://www.worksafe.tas.gov.au/" TargetMode="External"/><Relationship Id="rId68" Type="http://schemas.openxmlformats.org/officeDocument/2006/relationships/hyperlink" Target="http://www.seacare.gov.au/"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6.xml"/><Relationship Id="rId11" Type="http://schemas.openxmlformats.org/officeDocument/2006/relationships/hyperlink" Target="http://www.swa.gov.au" TargetMode="External"/><Relationship Id="rId24" Type="http://schemas.openxmlformats.org/officeDocument/2006/relationships/header" Target="header4.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hyperlink" Target="http://pi.nsw.gov.au/" TargetMode="External"/><Relationship Id="rId58" Type="http://schemas.openxmlformats.org/officeDocument/2006/relationships/hyperlink" Target="http://www.workcover.wa.gov.au/" TargetMode="External"/><Relationship Id="rId66" Type="http://schemas.openxmlformats.org/officeDocument/2006/relationships/hyperlink" Target="https://www.worksafe.act.gov.a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afework.sa.gov.au/" TargetMode="External"/><Relationship Id="rId19" Type="http://schemas.openxmlformats.org/officeDocument/2006/relationships/header" Target="header2.xml"/><Relationship Id="rId14" Type="http://schemas.openxmlformats.org/officeDocument/2006/relationships/hyperlink" Target="https://www.safeworkaustralia.gov.au/workers-compensation/comparing-workers-compensation-australia" TargetMode="External"/><Relationship Id="rId22" Type="http://schemas.openxmlformats.org/officeDocument/2006/relationships/image" Target="media/image3.png"/><Relationship Id="rId27" Type="http://schemas.openxmlformats.org/officeDocument/2006/relationships/header" Target="header5.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hyperlink" Target="http://www.worksafe.vic.gov.au/" TargetMode="External"/><Relationship Id="rId64" Type="http://schemas.openxmlformats.org/officeDocument/2006/relationships/hyperlink" Target="mailto:ntworksafe@nt.gov.au" TargetMode="External"/><Relationship Id="rId69" Type="http://schemas.openxmlformats.org/officeDocument/2006/relationships/hyperlink" Target="http://www.comcare.gov.au/" TargetMode="External"/><Relationship Id="rId8" Type="http://schemas.openxmlformats.org/officeDocument/2006/relationships/image" Target="media/image1.png"/><Relationship Id="rId51" Type="http://schemas.openxmlformats.org/officeDocument/2006/relationships/hyperlink" Target="http://www.sira.nsw.gov.au/"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www.safeworkaustralia.gov.au/resources-and-publications/statistical-reports/comparative-performance-monitoring-report-22nd-edition-part-3"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59" Type="http://schemas.openxmlformats.org/officeDocument/2006/relationships/hyperlink" Target="http://www.dmirs.wa.gov.au/" TargetMode="External"/><Relationship Id="rId67" Type="http://schemas.openxmlformats.org/officeDocument/2006/relationships/hyperlink" Target="mailto:seacare@comcare.gov.au" TargetMode="External"/><Relationship Id="rId20" Type="http://schemas.openxmlformats.org/officeDocument/2006/relationships/hyperlink" Target="https://www.safeworkaustralia.gov.au/workers-compensation/comparing-workers-compensation-australia" TargetMode="External"/><Relationship Id="rId41" Type="http://schemas.openxmlformats.org/officeDocument/2006/relationships/image" Target="media/image15.png"/><Relationship Id="rId54" Type="http://schemas.openxmlformats.org/officeDocument/2006/relationships/hyperlink" Target="http://www.icare.nsw.gov.au" TargetMode="External"/><Relationship Id="rId62" Type="http://schemas.openxmlformats.org/officeDocument/2006/relationships/hyperlink" Target="mailto:wstinfo@justice.tas.gov.au" TargetMode="External"/><Relationship Id="rId70" Type="http://schemas.openxmlformats.org/officeDocument/2006/relationships/hyperlink" Target="http://www.acc.co.n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afeworkaustralia.gov.au/resources-and-publications/statistical-reports/covid-19-and-safe-work-australia-data"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image" Target="media/image10.png"/><Relationship Id="rId49" Type="http://schemas.openxmlformats.org/officeDocument/2006/relationships/image" Target="media/image23.png"/><Relationship Id="rId57" Type="http://schemas.openxmlformats.org/officeDocument/2006/relationships/hyperlink" Target="https://www.worksafe.qld.gov.au/" TargetMode="External"/><Relationship Id="rId10" Type="http://schemas.openxmlformats.org/officeDocument/2006/relationships/hyperlink" Target="mailto:info@swa.gov.au" TargetMode="Externa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hyperlink" Target="http://www.safework.nsw.gov.au/" TargetMode="External"/><Relationship Id="rId60" Type="http://schemas.openxmlformats.org/officeDocument/2006/relationships/hyperlink" Target="http://www.rtwsa.com/" TargetMode="External"/><Relationship Id="rId65" Type="http://schemas.openxmlformats.org/officeDocument/2006/relationships/hyperlink" Target="http://www.worksafe.nt.gov.au/Pages/default.asp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safeworkaustralia.gov.au/data-and-research/measuring-return-work-outcomes" TargetMode="External"/><Relationship Id="rId18" Type="http://schemas.openxmlformats.org/officeDocument/2006/relationships/image" Target="media/image2.png"/><Relationship Id="rId39" Type="http://schemas.openxmlformats.org/officeDocument/2006/relationships/image" Target="media/image13.png"/><Relationship Id="rId34" Type="http://schemas.openxmlformats.org/officeDocument/2006/relationships/image" Target="media/image8.png"/><Relationship Id="rId50" Type="http://schemas.openxmlformats.org/officeDocument/2006/relationships/hyperlink" Target="mailto:contact@sira.nsw.gov.au" TargetMode="External"/><Relationship Id="rId55" Type="http://schemas.openxmlformats.org/officeDocument/2006/relationships/hyperlink" Target="mailto:info@worksafe.vic.gov.au" TargetMode="External"/><Relationship Id="rId7" Type="http://schemas.openxmlformats.org/officeDocument/2006/relationships/endnotes" Target="endnotes.xml"/><Relationship Id="rId71" Type="http://schemas.openxmlformats.org/officeDocument/2006/relationships/hyperlink" Target="http://www.worksaf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399F-2F7C-4920-9B95-931C0E93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5897</Words>
  <Characters>33613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2021-10-20T22:39:00Z</dcterms:created>
  <dcterms:modified xsi:type="dcterms:W3CDTF">2021-11-25T22:08:00Z</dcterms:modified>
</cp:coreProperties>
</file>