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13C76" w14:textId="002A8FAD" w:rsidR="00422EC6" w:rsidRDefault="00422EC6">
      <w:pPr>
        <w:spacing w:before="0" w:after="160" w:line="259" w:lineRule="auto"/>
        <w:jc w:val="left"/>
        <w:rPr>
          <w:noProof/>
        </w:rPr>
      </w:pPr>
      <w:bookmarkStart w:id="0" w:name="_Toc56776895"/>
      <w:r>
        <w:rPr>
          <w:noProof/>
        </w:rPr>
        <w:drawing>
          <wp:anchor distT="0" distB="0" distL="114300" distR="114300" simplePos="0" relativeHeight="251658240" behindDoc="0" locked="0" layoutInCell="1" allowOverlap="1" wp14:anchorId="5DD8127F" wp14:editId="6A748EC0">
            <wp:simplePos x="0" y="0"/>
            <wp:positionH relativeFrom="column">
              <wp:posOffset>-816610</wp:posOffset>
            </wp:positionH>
            <wp:positionV relativeFrom="paragraph">
              <wp:posOffset>-601345</wp:posOffset>
            </wp:positionV>
            <wp:extent cx="7550785" cy="10687050"/>
            <wp:effectExtent l="0" t="0" r="0" b="0"/>
            <wp:wrapNone/>
            <wp:docPr id="1" name="Picture 1" descr="This image is the title page for the report: Comparative Performance Monitoring Report 23rd edition.  This section is on Workers’ Compensation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title page for the report: Comparative Performance Monitoring Report 23rd edition.  This section is on Workers’ Compensation Fun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078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type="page"/>
      </w:r>
    </w:p>
    <w:p w14:paraId="67618025" w14:textId="77777777" w:rsidR="00AA7C33" w:rsidRPr="001D7C48" w:rsidRDefault="00AA7C33" w:rsidP="00AA7C33">
      <w:pPr>
        <w:spacing w:after="120"/>
        <w:ind w:left="-1276"/>
      </w:pPr>
    </w:p>
    <w:p w14:paraId="78C976F2" w14:textId="1AC4B58D" w:rsidR="00AA7C33" w:rsidRDefault="00AA7C33" w:rsidP="00AA7C33">
      <w:pPr>
        <w:spacing w:before="0" w:after="200" w:line="276" w:lineRule="auto"/>
        <w:jc w:val="left"/>
        <w:rPr>
          <w:rFonts w:eastAsiaTheme="majorEastAsia" w:cstheme="majorBidi"/>
          <w:b/>
          <w:color w:val="AF1E2D"/>
          <w:spacing w:val="-3"/>
          <w:sz w:val="14"/>
          <w:szCs w:val="14"/>
          <w:lang w:eastAsia="en-US"/>
        </w:rPr>
      </w:pPr>
    </w:p>
    <w:p w14:paraId="63E51A52" w14:textId="77777777" w:rsidR="00AA7C33" w:rsidRPr="001D7C48" w:rsidRDefault="00AA7C33" w:rsidP="00AA7C33">
      <w:pPr>
        <w:pStyle w:val="SWADisclaimerheading"/>
      </w:pPr>
      <w:r w:rsidRPr="001D7C48">
        <w:t>Disclaimer</w:t>
      </w:r>
    </w:p>
    <w:p w14:paraId="672FB818" w14:textId="656B725D" w:rsidR="00AA7C33" w:rsidRDefault="00AA7C33" w:rsidP="00AA7C33">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CB657AC" w14:textId="77777777" w:rsidR="00AA7C33" w:rsidRDefault="00AA7C33" w:rsidP="00AA7C33">
      <w:pPr>
        <w:pStyle w:val="SWADisclaimerbodytext"/>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6A4E2AFD" w14:textId="77777777" w:rsidR="00AA7C33" w:rsidRPr="00077D9A" w:rsidRDefault="00AA7C33" w:rsidP="00AA7C33">
      <w:pPr>
        <w:autoSpaceDE w:val="0"/>
        <w:autoSpaceDN w:val="0"/>
        <w:rPr>
          <w:b/>
          <w:bCs/>
          <w:color w:val="000000"/>
          <w:sz w:val="14"/>
          <w:szCs w:val="14"/>
          <w:lang w:eastAsia="ko-KR"/>
        </w:rPr>
      </w:pPr>
      <w:r w:rsidRPr="00077D9A">
        <w:rPr>
          <w:b/>
          <w:bCs/>
          <w:color w:val="000000"/>
          <w:sz w:val="14"/>
          <w:szCs w:val="14"/>
          <w:lang w:eastAsia="ko-KR"/>
        </w:rPr>
        <w:t>ISSN 2209-9158</w:t>
      </w:r>
    </w:p>
    <w:p w14:paraId="53D40D04" w14:textId="77777777" w:rsidR="00AA7C33" w:rsidRPr="008530EB" w:rsidRDefault="00AA7C33" w:rsidP="00AA7C33">
      <w:pPr>
        <w:pStyle w:val="SWADisclaimerheading"/>
      </w:pPr>
      <w:r>
        <w:t>Creative Commons</w:t>
      </w:r>
    </w:p>
    <w:p w14:paraId="09043BE2" w14:textId="02654EE2" w:rsidR="00AA7C33" w:rsidRPr="00A034C4" w:rsidRDefault="00AA7C33" w:rsidP="00AA7C33">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0279F006" w14:textId="77777777" w:rsidR="00AA7C33" w:rsidRPr="00A034C4" w:rsidRDefault="00AA7C33" w:rsidP="00AA7C33">
      <w:pPr>
        <w:pStyle w:val="SWADisclaimerheading"/>
        <w:rPr>
          <w:color w:val="145B85"/>
        </w:rPr>
      </w:pPr>
      <w:r>
        <w:t>Contact information</w:t>
      </w:r>
    </w:p>
    <w:p w14:paraId="1AF9BC05" w14:textId="5FE9E2C8" w:rsidR="00AA7C33" w:rsidRPr="00D60313" w:rsidRDefault="00AA7C33" w:rsidP="00AA7C33">
      <w:pPr>
        <w:pStyle w:val="SWADisclaimerheading"/>
        <w:sectPr w:rsidR="00AA7C33" w:rsidRPr="00D60313" w:rsidSect="006D219A">
          <w:footerReference w:type="default" r:id="rId9"/>
          <w:pgSz w:w="11906" w:h="16838" w:code="9"/>
          <w:pgMar w:top="992" w:right="1814" w:bottom="1440" w:left="1304" w:header="709" w:footer="709" w:gutter="0"/>
          <w:cols w:space="242"/>
          <w:vAlign w:val="bottom"/>
          <w:titlePg/>
          <w:docGrid w:linePitch="360"/>
        </w:sectPr>
      </w:pPr>
      <w:r w:rsidRPr="00A034C4">
        <w:rPr>
          <w:rFonts w:eastAsia="Times New Roman" w:cs="Times New Roman"/>
          <w:b w:val="0"/>
          <w:color w:val="auto"/>
          <w:spacing w:val="0"/>
          <w:lang w:eastAsia="en-AU"/>
        </w:rPr>
        <w:t xml:space="preserve">Safe Work Australia | </w:t>
      </w:r>
      <w:hyperlink r:id="rId10" w:tooltip="Safe Work Australia email address" w:history="1">
        <w:r w:rsidRPr="00A034C4">
          <w:rPr>
            <w:rStyle w:val="Hyperlink"/>
            <w:rFonts w:eastAsia="Times New Roman" w:cs="Times New Roman"/>
            <w:b w:val="0"/>
            <w:spacing w:val="0"/>
          </w:rPr>
          <w:t>mailto:info@swa.gov.au</w:t>
        </w:r>
      </w:hyperlink>
      <w:r w:rsidRPr="00A034C4">
        <w:rPr>
          <w:rFonts w:eastAsia="Times New Roman" w:cs="Times New Roman"/>
          <w:b w:val="0"/>
          <w:color w:val="auto"/>
          <w:spacing w:val="0"/>
          <w:lang w:eastAsia="en-AU"/>
        </w:rPr>
        <w:t xml:space="preserve"> | </w:t>
      </w:r>
      <w:hyperlink r:id="rId11" w:history="1">
        <w:r w:rsidRPr="00A034C4">
          <w:rPr>
            <w:rStyle w:val="Hyperlink"/>
            <w:rFonts w:eastAsia="Times New Roman" w:cs="Times New Roman"/>
            <w:b w:val="0"/>
            <w:spacing w:val="0"/>
          </w:rPr>
          <w:t>www.swa.gov.au</w:t>
        </w:r>
      </w:hyperlink>
    </w:p>
    <w:sdt>
      <w:sdtPr>
        <w:rPr>
          <w:rFonts w:eastAsia="Times New Roman" w:cs="Times New Roman"/>
          <w:b w:val="0"/>
          <w:bCs w:val="0"/>
          <w:color w:val="auto"/>
          <w:sz w:val="20"/>
          <w:szCs w:val="24"/>
          <w:lang w:val="en-AU" w:eastAsia="en-AU"/>
        </w:rPr>
        <w:id w:val="-348337337"/>
        <w:docPartObj>
          <w:docPartGallery w:val="Table of Contents"/>
          <w:docPartUnique/>
        </w:docPartObj>
      </w:sdtPr>
      <w:sdtEndPr>
        <w:rPr>
          <w:noProof/>
        </w:rPr>
      </w:sdtEndPr>
      <w:sdtContent>
        <w:p w14:paraId="5CDA5F12" w14:textId="01A016FE" w:rsidR="00986D99" w:rsidRDefault="00986D99">
          <w:pPr>
            <w:pStyle w:val="TOCHeading"/>
          </w:pPr>
          <w:r>
            <w:t>Contents</w:t>
          </w:r>
        </w:p>
        <w:p w14:paraId="12866ADA" w14:textId="6F9191E1" w:rsidR="00B04CC9" w:rsidRPr="00B04CC9" w:rsidRDefault="00986D99">
          <w:pPr>
            <w:pStyle w:val="TOC1"/>
            <w:rPr>
              <w:rFonts w:asciiTheme="minorHAnsi" w:eastAsiaTheme="minorEastAsia" w:hAnsiTheme="minorHAnsi" w:cstheme="minorBidi"/>
              <w:b/>
              <w:bCs/>
              <w:sz w:val="22"/>
              <w:szCs w:val="22"/>
            </w:rPr>
          </w:pPr>
          <w:r>
            <w:fldChar w:fldCharType="begin"/>
          </w:r>
          <w:r>
            <w:instrText xml:space="preserve"> TOC \o "1-3" \h \z \u </w:instrText>
          </w:r>
          <w:r>
            <w:fldChar w:fldCharType="separate"/>
          </w:r>
          <w:hyperlink w:anchor="_Toc80975727" w:history="1">
            <w:r w:rsidR="00B04CC9" w:rsidRPr="00B04CC9">
              <w:rPr>
                <w:rStyle w:val="Hyperlink"/>
                <w:rFonts w:eastAsiaTheme="majorEastAsia"/>
                <w:b/>
                <w:bCs/>
              </w:rPr>
              <w:t>Foreword</w:t>
            </w:r>
            <w:r w:rsidR="00B04CC9" w:rsidRPr="00B04CC9">
              <w:rPr>
                <w:b/>
                <w:bCs/>
                <w:webHidden/>
              </w:rPr>
              <w:tab/>
            </w:r>
            <w:r w:rsidR="00B04CC9" w:rsidRPr="00B04CC9">
              <w:rPr>
                <w:b/>
                <w:bCs/>
                <w:webHidden/>
              </w:rPr>
              <w:fldChar w:fldCharType="begin"/>
            </w:r>
            <w:r w:rsidR="00B04CC9" w:rsidRPr="00B04CC9">
              <w:rPr>
                <w:b/>
                <w:bCs/>
                <w:webHidden/>
              </w:rPr>
              <w:instrText xml:space="preserve"> PAGEREF _Toc80975727 \h </w:instrText>
            </w:r>
            <w:r w:rsidR="00B04CC9" w:rsidRPr="00B04CC9">
              <w:rPr>
                <w:b/>
                <w:bCs/>
                <w:webHidden/>
              </w:rPr>
            </w:r>
            <w:r w:rsidR="00B04CC9" w:rsidRPr="00B04CC9">
              <w:rPr>
                <w:b/>
                <w:bCs/>
                <w:webHidden/>
              </w:rPr>
              <w:fldChar w:fldCharType="separate"/>
            </w:r>
            <w:r w:rsidR="00757FE0">
              <w:rPr>
                <w:b/>
                <w:bCs/>
                <w:webHidden/>
              </w:rPr>
              <w:t>5</w:t>
            </w:r>
            <w:r w:rsidR="00B04CC9" w:rsidRPr="00B04CC9">
              <w:rPr>
                <w:b/>
                <w:bCs/>
                <w:webHidden/>
              </w:rPr>
              <w:fldChar w:fldCharType="end"/>
            </w:r>
          </w:hyperlink>
        </w:p>
        <w:p w14:paraId="49BDF799" w14:textId="264475FF" w:rsidR="00B04CC9" w:rsidRPr="00B04CC9" w:rsidRDefault="00F9249A">
          <w:pPr>
            <w:pStyle w:val="TOC1"/>
            <w:rPr>
              <w:rFonts w:asciiTheme="minorHAnsi" w:eastAsiaTheme="minorEastAsia" w:hAnsiTheme="minorHAnsi" w:cstheme="minorBidi"/>
              <w:b/>
              <w:bCs/>
              <w:sz w:val="22"/>
              <w:szCs w:val="22"/>
            </w:rPr>
          </w:pPr>
          <w:hyperlink w:anchor="_Toc80975728" w:history="1">
            <w:r w:rsidR="00B04CC9" w:rsidRPr="00B04CC9">
              <w:rPr>
                <w:rStyle w:val="Hyperlink"/>
                <w:rFonts w:eastAsiaTheme="majorEastAsia"/>
                <w:b/>
                <w:bCs/>
              </w:rPr>
              <w:t>1.</w:t>
            </w:r>
            <w:r w:rsidR="00B04CC9" w:rsidRPr="00B04CC9">
              <w:rPr>
                <w:rFonts w:asciiTheme="minorHAnsi" w:eastAsiaTheme="minorEastAsia" w:hAnsiTheme="minorHAnsi" w:cstheme="minorBidi"/>
                <w:b/>
                <w:bCs/>
                <w:sz w:val="22"/>
                <w:szCs w:val="22"/>
              </w:rPr>
              <w:tab/>
            </w:r>
            <w:r w:rsidR="00B04CC9" w:rsidRPr="00B04CC9">
              <w:rPr>
                <w:rStyle w:val="Hyperlink"/>
                <w:rFonts w:eastAsiaTheme="majorEastAsia"/>
                <w:b/>
                <w:bCs/>
              </w:rPr>
              <w:t>Introduction</w:t>
            </w:r>
            <w:r w:rsidR="00B04CC9" w:rsidRPr="00B04CC9">
              <w:rPr>
                <w:b/>
                <w:bCs/>
                <w:webHidden/>
              </w:rPr>
              <w:tab/>
            </w:r>
            <w:r w:rsidR="00B04CC9" w:rsidRPr="00B04CC9">
              <w:rPr>
                <w:b/>
                <w:bCs/>
                <w:webHidden/>
              </w:rPr>
              <w:fldChar w:fldCharType="begin"/>
            </w:r>
            <w:r w:rsidR="00B04CC9" w:rsidRPr="00B04CC9">
              <w:rPr>
                <w:b/>
                <w:bCs/>
                <w:webHidden/>
              </w:rPr>
              <w:instrText xml:space="preserve"> PAGEREF _Toc80975728 \h </w:instrText>
            </w:r>
            <w:r w:rsidR="00B04CC9" w:rsidRPr="00B04CC9">
              <w:rPr>
                <w:b/>
                <w:bCs/>
                <w:webHidden/>
              </w:rPr>
            </w:r>
            <w:r w:rsidR="00B04CC9" w:rsidRPr="00B04CC9">
              <w:rPr>
                <w:b/>
                <w:bCs/>
                <w:webHidden/>
              </w:rPr>
              <w:fldChar w:fldCharType="separate"/>
            </w:r>
            <w:r w:rsidR="00757FE0">
              <w:rPr>
                <w:b/>
                <w:bCs/>
                <w:webHidden/>
              </w:rPr>
              <w:t>6</w:t>
            </w:r>
            <w:r w:rsidR="00B04CC9" w:rsidRPr="00B04CC9">
              <w:rPr>
                <w:b/>
                <w:bCs/>
                <w:webHidden/>
              </w:rPr>
              <w:fldChar w:fldCharType="end"/>
            </w:r>
          </w:hyperlink>
        </w:p>
        <w:p w14:paraId="17D09096" w14:textId="6E0816B6" w:rsidR="00B04CC9" w:rsidRPr="00B04CC9" w:rsidRDefault="00F9249A">
          <w:pPr>
            <w:pStyle w:val="TOC1"/>
            <w:rPr>
              <w:rFonts w:asciiTheme="minorHAnsi" w:eastAsiaTheme="minorEastAsia" w:hAnsiTheme="minorHAnsi" w:cstheme="minorBidi"/>
              <w:b/>
              <w:bCs/>
              <w:sz w:val="22"/>
              <w:szCs w:val="22"/>
            </w:rPr>
          </w:pPr>
          <w:hyperlink w:anchor="_Toc80975729" w:history="1">
            <w:r w:rsidR="00B04CC9" w:rsidRPr="00B04CC9">
              <w:rPr>
                <w:rStyle w:val="Hyperlink"/>
                <w:rFonts w:eastAsiaTheme="majorEastAsia"/>
                <w:b/>
                <w:bCs/>
              </w:rPr>
              <w:t>1.1</w:t>
            </w:r>
            <w:r w:rsidR="00B04CC9" w:rsidRPr="00B04CC9">
              <w:rPr>
                <w:rFonts w:asciiTheme="minorHAnsi" w:eastAsiaTheme="minorEastAsia" w:hAnsiTheme="minorHAnsi" w:cstheme="minorBidi"/>
                <w:b/>
                <w:bCs/>
                <w:sz w:val="22"/>
                <w:szCs w:val="22"/>
              </w:rPr>
              <w:tab/>
            </w:r>
            <w:r w:rsidR="00594A1D">
              <w:rPr>
                <w:rFonts w:asciiTheme="minorHAnsi" w:eastAsiaTheme="minorEastAsia" w:hAnsiTheme="minorHAnsi" w:cstheme="minorBidi"/>
                <w:b/>
                <w:bCs/>
                <w:sz w:val="22"/>
                <w:szCs w:val="22"/>
              </w:rPr>
              <w:t xml:space="preserve"> </w:t>
            </w:r>
            <w:r w:rsidR="00B04CC9" w:rsidRPr="00B04CC9">
              <w:rPr>
                <w:rStyle w:val="Hyperlink"/>
                <w:rFonts w:eastAsiaTheme="majorEastAsia"/>
                <w:b/>
                <w:bCs/>
              </w:rPr>
              <w:t>Assets to liabilities ratio</w:t>
            </w:r>
            <w:r w:rsidR="00B04CC9" w:rsidRPr="00B04CC9">
              <w:rPr>
                <w:b/>
                <w:bCs/>
                <w:webHidden/>
              </w:rPr>
              <w:tab/>
            </w:r>
            <w:r w:rsidR="00B04CC9" w:rsidRPr="00B04CC9">
              <w:rPr>
                <w:b/>
                <w:bCs/>
                <w:webHidden/>
              </w:rPr>
              <w:fldChar w:fldCharType="begin"/>
            </w:r>
            <w:r w:rsidR="00B04CC9" w:rsidRPr="00B04CC9">
              <w:rPr>
                <w:b/>
                <w:bCs/>
                <w:webHidden/>
              </w:rPr>
              <w:instrText xml:space="preserve"> PAGEREF _Toc80975729 \h </w:instrText>
            </w:r>
            <w:r w:rsidR="00B04CC9" w:rsidRPr="00B04CC9">
              <w:rPr>
                <w:b/>
                <w:bCs/>
                <w:webHidden/>
              </w:rPr>
            </w:r>
            <w:r w:rsidR="00B04CC9" w:rsidRPr="00B04CC9">
              <w:rPr>
                <w:b/>
                <w:bCs/>
                <w:webHidden/>
              </w:rPr>
              <w:fldChar w:fldCharType="separate"/>
            </w:r>
            <w:r w:rsidR="00757FE0">
              <w:rPr>
                <w:b/>
                <w:bCs/>
                <w:webHidden/>
              </w:rPr>
              <w:t>6</w:t>
            </w:r>
            <w:r w:rsidR="00B04CC9" w:rsidRPr="00B04CC9">
              <w:rPr>
                <w:b/>
                <w:bCs/>
                <w:webHidden/>
              </w:rPr>
              <w:fldChar w:fldCharType="end"/>
            </w:r>
          </w:hyperlink>
        </w:p>
        <w:p w14:paraId="37478277" w14:textId="3790C82A" w:rsidR="00B04CC9" w:rsidRDefault="00F9249A" w:rsidP="00594A1D">
          <w:pPr>
            <w:pStyle w:val="TOC1"/>
            <w:ind w:left="284"/>
            <w:rPr>
              <w:rFonts w:asciiTheme="minorHAnsi" w:eastAsiaTheme="minorEastAsia" w:hAnsiTheme="minorHAnsi" w:cstheme="minorBidi"/>
              <w:sz w:val="22"/>
              <w:szCs w:val="22"/>
            </w:rPr>
          </w:pPr>
          <w:hyperlink w:anchor="_Toc80975730" w:history="1">
            <w:r w:rsidR="00B04CC9" w:rsidRPr="0067431E">
              <w:rPr>
                <w:rStyle w:val="Hyperlink"/>
                <w:rFonts w:eastAsiaTheme="majorEastAsia"/>
              </w:rPr>
              <w:t>Indicator 17 – Standardised ratio of assets to net outstanding claim liabilities for centrally funded (CF) schemes</w:t>
            </w:r>
            <w:r w:rsidR="00B04CC9">
              <w:rPr>
                <w:webHidden/>
              </w:rPr>
              <w:tab/>
            </w:r>
            <w:r w:rsidR="00B04CC9">
              <w:rPr>
                <w:webHidden/>
              </w:rPr>
              <w:fldChar w:fldCharType="begin"/>
            </w:r>
            <w:r w:rsidR="00B04CC9">
              <w:rPr>
                <w:webHidden/>
              </w:rPr>
              <w:instrText xml:space="preserve"> PAGEREF _Toc80975730 \h </w:instrText>
            </w:r>
            <w:r w:rsidR="00B04CC9">
              <w:rPr>
                <w:webHidden/>
              </w:rPr>
            </w:r>
            <w:r w:rsidR="00B04CC9">
              <w:rPr>
                <w:webHidden/>
              </w:rPr>
              <w:fldChar w:fldCharType="separate"/>
            </w:r>
            <w:r w:rsidR="00757FE0">
              <w:rPr>
                <w:webHidden/>
              </w:rPr>
              <w:t>7</w:t>
            </w:r>
            <w:r w:rsidR="00B04CC9">
              <w:rPr>
                <w:webHidden/>
              </w:rPr>
              <w:fldChar w:fldCharType="end"/>
            </w:r>
          </w:hyperlink>
        </w:p>
        <w:p w14:paraId="4D64DD01" w14:textId="0200CA7A" w:rsidR="00B04CC9" w:rsidRDefault="00F9249A" w:rsidP="00594A1D">
          <w:pPr>
            <w:pStyle w:val="TOC1"/>
            <w:ind w:left="284"/>
            <w:rPr>
              <w:rFonts w:asciiTheme="minorHAnsi" w:eastAsiaTheme="minorEastAsia" w:hAnsiTheme="minorHAnsi" w:cstheme="minorBidi"/>
              <w:sz w:val="22"/>
              <w:szCs w:val="22"/>
            </w:rPr>
          </w:pPr>
          <w:hyperlink w:anchor="_Toc80975731" w:history="1">
            <w:r w:rsidR="00B04CC9" w:rsidRPr="0067431E">
              <w:rPr>
                <w:rStyle w:val="Hyperlink"/>
                <w:rFonts w:eastAsiaTheme="majorEastAsia"/>
              </w:rPr>
              <w:t>Indicator 18 – Standardised ratio of assets to net outstanding claim liabilities for privately underwritten (PU) schemes</w:t>
            </w:r>
            <w:r w:rsidR="00B04CC9">
              <w:rPr>
                <w:webHidden/>
              </w:rPr>
              <w:tab/>
            </w:r>
            <w:r w:rsidR="00B04CC9">
              <w:rPr>
                <w:webHidden/>
              </w:rPr>
              <w:fldChar w:fldCharType="begin"/>
            </w:r>
            <w:r w:rsidR="00B04CC9">
              <w:rPr>
                <w:webHidden/>
              </w:rPr>
              <w:instrText xml:space="preserve"> PAGEREF _Toc80975731 \h </w:instrText>
            </w:r>
            <w:r w:rsidR="00B04CC9">
              <w:rPr>
                <w:webHidden/>
              </w:rPr>
            </w:r>
            <w:r w:rsidR="00B04CC9">
              <w:rPr>
                <w:webHidden/>
              </w:rPr>
              <w:fldChar w:fldCharType="separate"/>
            </w:r>
            <w:r w:rsidR="00757FE0">
              <w:rPr>
                <w:webHidden/>
              </w:rPr>
              <w:t>7</w:t>
            </w:r>
            <w:r w:rsidR="00B04CC9">
              <w:rPr>
                <w:webHidden/>
              </w:rPr>
              <w:fldChar w:fldCharType="end"/>
            </w:r>
          </w:hyperlink>
        </w:p>
        <w:p w14:paraId="317F5E09" w14:textId="6D6381CA" w:rsidR="00B04CC9" w:rsidRPr="00B04CC9" w:rsidRDefault="00F9249A">
          <w:pPr>
            <w:pStyle w:val="TOC1"/>
            <w:rPr>
              <w:rFonts w:asciiTheme="minorHAnsi" w:eastAsiaTheme="minorEastAsia" w:hAnsiTheme="minorHAnsi" w:cstheme="minorBidi"/>
              <w:b/>
              <w:bCs/>
              <w:sz w:val="22"/>
              <w:szCs w:val="22"/>
            </w:rPr>
          </w:pPr>
          <w:hyperlink w:anchor="_Toc80975732" w:history="1">
            <w:r w:rsidR="00B04CC9" w:rsidRPr="00B04CC9">
              <w:rPr>
                <w:rStyle w:val="Hyperlink"/>
                <w:rFonts w:eastAsiaTheme="majorEastAsia"/>
                <w:b/>
                <w:bCs/>
              </w:rPr>
              <w:t>1.2</w:t>
            </w:r>
            <w:r w:rsidR="00B04CC9" w:rsidRPr="00B04CC9">
              <w:rPr>
                <w:rFonts w:asciiTheme="minorHAnsi" w:eastAsiaTheme="minorEastAsia" w:hAnsiTheme="minorHAnsi" w:cstheme="minorBidi"/>
                <w:b/>
                <w:bCs/>
                <w:sz w:val="22"/>
                <w:szCs w:val="22"/>
              </w:rPr>
              <w:tab/>
            </w:r>
            <w:r w:rsidR="00594A1D">
              <w:rPr>
                <w:rFonts w:asciiTheme="minorHAnsi" w:eastAsiaTheme="minorEastAsia" w:hAnsiTheme="minorHAnsi" w:cstheme="minorBidi"/>
                <w:b/>
                <w:bCs/>
                <w:sz w:val="22"/>
                <w:szCs w:val="22"/>
              </w:rPr>
              <w:t xml:space="preserve"> </w:t>
            </w:r>
            <w:r w:rsidR="00B04CC9" w:rsidRPr="00B04CC9">
              <w:rPr>
                <w:rStyle w:val="Hyperlink"/>
                <w:rFonts w:eastAsiaTheme="majorEastAsia"/>
                <w:b/>
                <w:bCs/>
              </w:rPr>
              <w:t>Scheme expenditure</w:t>
            </w:r>
            <w:r w:rsidR="00B04CC9" w:rsidRPr="00B04CC9">
              <w:rPr>
                <w:b/>
                <w:bCs/>
                <w:webHidden/>
              </w:rPr>
              <w:tab/>
            </w:r>
            <w:r w:rsidR="00B04CC9" w:rsidRPr="00B04CC9">
              <w:rPr>
                <w:b/>
                <w:bCs/>
                <w:webHidden/>
              </w:rPr>
              <w:fldChar w:fldCharType="begin"/>
            </w:r>
            <w:r w:rsidR="00B04CC9" w:rsidRPr="00B04CC9">
              <w:rPr>
                <w:b/>
                <w:bCs/>
                <w:webHidden/>
              </w:rPr>
              <w:instrText xml:space="preserve"> PAGEREF _Toc80975732 \h </w:instrText>
            </w:r>
            <w:r w:rsidR="00B04CC9" w:rsidRPr="00B04CC9">
              <w:rPr>
                <w:b/>
                <w:bCs/>
                <w:webHidden/>
              </w:rPr>
            </w:r>
            <w:r w:rsidR="00B04CC9" w:rsidRPr="00B04CC9">
              <w:rPr>
                <w:b/>
                <w:bCs/>
                <w:webHidden/>
              </w:rPr>
              <w:fldChar w:fldCharType="separate"/>
            </w:r>
            <w:r w:rsidR="00757FE0">
              <w:rPr>
                <w:b/>
                <w:bCs/>
                <w:webHidden/>
              </w:rPr>
              <w:t>8</w:t>
            </w:r>
            <w:r w:rsidR="00B04CC9" w:rsidRPr="00B04CC9">
              <w:rPr>
                <w:b/>
                <w:bCs/>
                <w:webHidden/>
              </w:rPr>
              <w:fldChar w:fldCharType="end"/>
            </w:r>
          </w:hyperlink>
        </w:p>
        <w:p w14:paraId="7E473D9B" w14:textId="7B578A30" w:rsidR="00B04CC9" w:rsidRDefault="00F9249A" w:rsidP="00594A1D">
          <w:pPr>
            <w:pStyle w:val="TOC1"/>
            <w:ind w:left="284"/>
            <w:rPr>
              <w:rFonts w:asciiTheme="minorHAnsi" w:eastAsiaTheme="minorEastAsia" w:hAnsiTheme="minorHAnsi" w:cstheme="minorBidi"/>
              <w:sz w:val="22"/>
              <w:szCs w:val="22"/>
            </w:rPr>
          </w:pPr>
          <w:hyperlink w:anchor="_Toc80975733" w:history="1">
            <w:r w:rsidR="00B04CC9" w:rsidRPr="0067431E">
              <w:rPr>
                <w:rStyle w:val="Hyperlink"/>
                <w:rFonts w:eastAsiaTheme="majorEastAsia"/>
              </w:rPr>
              <w:t>Indicator 19 – Scheme expenditure ($m)</w:t>
            </w:r>
            <w:r w:rsidR="00B04CC9">
              <w:rPr>
                <w:webHidden/>
              </w:rPr>
              <w:tab/>
            </w:r>
            <w:r w:rsidR="00B04CC9">
              <w:rPr>
                <w:webHidden/>
              </w:rPr>
              <w:fldChar w:fldCharType="begin"/>
            </w:r>
            <w:r w:rsidR="00B04CC9">
              <w:rPr>
                <w:webHidden/>
              </w:rPr>
              <w:instrText xml:space="preserve"> PAGEREF _Toc80975733 \h </w:instrText>
            </w:r>
            <w:r w:rsidR="00B04CC9">
              <w:rPr>
                <w:webHidden/>
              </w:rPr>
            </w:r>
            <w:r w:rsidR="00B04CC9">
              <w:rPr>
                <w:webHidden/>
              </w:rPr>
              <w:fldChar w:fldCharType="separate"/>
            </w:r>
            <w:r w:rsidR="00757FE0">
              <w:rPr>
                <w:webHidden/>
              </w:rPr>
              <w:t>10</w:t>
            </w:r>
            <w:r w:rsidR="00B04CC9">
              <w:rPr>
                <w:webHidden/>
              </w:rPr>
              <w:fldChar w:fldCharType="end"/>
            </w:r>
          </w:hyperlink>
        </w:p>
        <w:p w14:paraId="0E13684F" w14:textId="5F8F6A0D" w:rsidR="00B04CC9" w:rsidRDefault="00F9249A" w:rsidP="00594A1D">
          <w:pPr>
            <w:pStyle w:val="TOC1"/>
            <w:ind w:left="284"/>
            <w:rPr>
              <w:rFonts w:asciiTheme="minorHAnsi" w:eastAsiaTheme="minorEastAsia" w:hAnsiTheme="minorHAnsi" w:cstheme="minorBidi"/>
              <w:sz w:val="22"/>
              <w:szCs w:val="22"/>
            </w:rPr>
          </w:pPr>
          <w:hyperlink w:anchor="_Toc80975734" w:history="1">
            <w:r w:rsidR="00B04CC9" w:rsidRPr="0067431E">
              <w:rPr>
                <w:rStyle w:val="Hyperlink"/>
                <w:rFonts w:eastAsiaTheme="majorEastAsia"/>
              </w:rPr>
              <w:t>Indicator 19 – Scheme expenditure (%)</w:t>
            </w:r>
            <w:r w:rsidR="00B04CC9">
              <w:rPr>
                <w:webHidden/>
              </w:rPr>
              <w:tab/>
            </w:r>
            <w:r w:rsidR="00B04CC9">
              <w:rPr>
                <w:webHidden/>
              </w:rPr>
              <w:fldChar w:fldCharType="begin"/>
            </w:r>
            <w:r w:rsidR="00B04CC9">
              <w:rPr>
                <w:webHidden/>
              </w:rPr>
              <w:instrText xml:space="preserve"> PAGEREF _Toc80975734 \h </w:instrText>
            </w:r>
            <w:r w:rsidR="00B04CC9">
              <w:rPr>
                <w:webHidden/>
              </w:rPr>
            </w:r>
            <w:r w:rsidR="00B04CC9">
              <w:rPr>
                <w:webHidden/>
              </w:rPr>
              <w:fldChar w:fldCharType="separate"/>
            </w:r>
            <w:r w:rsidR="00757FE0">
              <w:rPr>
                <w:webHidden/>
              </w:rPr>
              <w:t>11</w:t>
            </w:r>
            <w:r w:rsidR="00B04CC9">
              <w:rPr>
                <w:webHidden/>
              </w:rPr>
              <w:fldChar w:fldCharType="end"/>
            </w:r>
          </w:hyperlink>
        </w:p>
        <w:p w14:paraId="19956210" w14:textId="21955141" w:rsidR="00B04CC9" w:rsidRDefault="00F9249A" w:rsidP="00594A1D">
          <w:pPr>
            <w:pStyle w:val="TOC1"/>
            <w:ind w:left="284"/>
            <w:rPr>
              <w:rFonts w:asciiTheme="minorHAnsi" w:eastAsiaTheme="minorEastAsia" w:hAnsiTheme="minorHAnsi" w:cstheme="minorBidi"/>
              <w:sz w:val="22"/>
              <w:szCs w:val="22"/>
            </w:rPr>
          </w:pPr>
          <w:hyperlink w:anchor="_Toc80975735" w:history="1">
            <w:r w:rsidR="00B04CC9" w:rsidRPr="0067431E">
              <w:rPr>
                <w:rStyle w:val="Hyperlink"/>
                <w:rFonts w:eastAsiaTheme="majorEastAsia"/>
              </w:rPr>
              <w:t>Direct compensation payments</w:t>
            </w:r>
            <w:r w:rsidR="00B04CC9">
              <w:rPr>
                <w:webHidden/>
              </w:rPr>
              <w:tab/>
            </w:r>
            <w:r w:rsidR="00B04CC9">
              <w:rPr>
                <w:webHidden/>
              </w:rPr>
              <w:fldChar w:fldCharType="begin"/>
            </w:r>
            <w:r w:rsidR="00B04CC9">
              <w:rPr>
                <w:webHidden/>
              </w:rPr>
              <w:instrText xml:space="preserve"> PAGEREF _Toc80975735 \h </w:instrText>
            </w:r>
            <w:r w:rsidR="00B04CC9">
              <w:rPr>
                <w:webHidden/>
              </w:rPr>
            </w:r>
            <w:r w:rsidR="00B04CC9">
              <w:rPr>
                <w:webHidden/>
              </w:rPr>
              <w:fldChar w:fldCharType="separate"/>
            </w:r>
            <w:r w:rsidR="00757FE0">
              <w:rPr>
                <w:webHidden/>
              </w:rPr>
              <w:t>12</w:t>
            </w:r>
            <w:r w:rsidR="00B04CC9">
              <w:rPr>
                <w:webHidden/>
              </w:rPr>
              <w:fldChar w:fldCharType="end"/>
            </w:r>
          </w:hyperlink>
        </w:p>
        <w:p w14:paraId="12DFBE9B" w14:textId="5171453E" w:rsidR="00B04CC9" w:rsidRDefault="00F9249A" w:rsidP="00594A1D">
          <w:pPr>
            <w:pStyle w:val="TOC1"/>
            <w:ind w:left="284"/>
            <w:rPr>
              <w:rFonts w:asciiTheme="minorHAnsi" w:eastAsiaTheme="minorEastAsia" w:hAnsiTheme="minorHAnsi" w:cstheme="minorBidi"/>
              <w:sz w:val="22"/>
              <w:szCs w:val="22"/>
            </w:rPr>
          </w:pPr>
          <w:hyperlink w:anchor="_Toc80975736" w:history="1">
            <w:r w:rsidR="00B04CC9" w:rsidRPr="0067431E">
              <w:rPr>
                <w:rStyle w:val="Hyperlink"/>
                <w:rFonts w:eastAsiaTheme="majorEastAsia"/>
              </w:rPr>
              <w:t>Indicator 20 – Direct compensation payments by type and jurisdiction, 2019–20</w:t>
            </w:r>
            <w:r w:rsidR="00B04CC9">
              <w:rPr>
                <w:webHidden/>
              </w:rPr>
              <w:tab/>
            </w:r>
            <w:r w:rsidR="00B04CC9">
              <w:rPr>
                <w:webHidden/>
              </w:rPr>
              <w:fldChar w:fldCharType="begin"/>
            </w:r>
            <w:r w:rsidR="00B04CC9">
              <w:rPr>
                <w:webHidden/>
              </w:rPr>
              <w:instrText xml:space="preserve"> PAGEREF _Toc80975736 \h </w:instrText>
            </w:r>
            <w:r w:rsidR="00B04CC9">
              <w:rPr>
                <w:webHidden/>
              </w:rPr>
            </w:r>
            <w:r w:rsidR="00B04CC9">
              <w:rPr>
                <w:webHidden/>
              </w:rPr>
              <w:fldChar w:fldCharType="separate"/>
            </w:r>
            <w:r w:rsidR="00757FE0">
              <w:rPr>
                <w:webHidden/>
              </w:rPr>
              <w:t>12</w:t>
            </w:r>
            <w:r w:rsidR="00B04CC9">
              <w:rPr>
                <w:webHidden/>
              </w:rPr>
              <w:fldChar w:fldCharType="end"/>
            </w:r>
          </w:hyperlink>
        </w:p>
        <w:p w14:paraId="2C9FFC07" w14:textId="4875016C" w:rsidR="00B04CC9" w:rsidRDefault="00F9249A">
          <w:pPr>
            <w:pStyle w:val="TOC1"/>
            <w:rPr>
              <w:rFonts w:asciiTheme="minorHAnsi" w:eastAsiaTheme="minorEastAsia" w:hAnsiTheme="minorHAnsi" w:cstheme="minorBidi"/>
              <w:sz w:val="22"/>
              <w:szCs w:val="22"/>
            </w:rPr>
          </w:pPr>
          <w:hyperlink w:anchor="_Toc80975737" w:history="1">
            <w:r w:rsidR="00B04CC9" w:rsidRPr="0067431E">
              <w:rPr>
                <w:rStyle w:val="Hyperlink"/>
                <w:rFonts w:eastAsiaTheme="majorEastAsia"/>
              </w:rPr>
              <w:t>Appendix 1 – Assets to liabilities ratio (funding ratio) definitions</w:t>
            </w:r>
            <w:r w:rsidR="00B04CC9">
              <w:rPr>
                <w:webHidden/>
              </w:rPr>
              <w:tab/>
            </w:r>
            <w:r w:rsidR="00B04CC9">
              <w:rPr>
                <w:webHidden/>
              </w:rPr>
              <w:fldChar w:fldCharType="begin"/>
            </w:r>
            <w:r w:rsidR="00B04CC9">
              <w:rPr>
                <w:webHidden/>
              </w:rPr>
              <w:instrText xml:space="preserve"> PAGEREF _Toc80975737 \h </w:instrText>
            </w:r>
            <w:r w:rsidR="00B04CC9">
              <w:rPr>
                <w:webHidden/>
              </w:rPr>
            </w:r>
            <w:r w:rsidR="00B04CC9">
              <w:rPr>
                <w:webHidden/>
              </w:rPr>
              <w:fldChar w:fldCharType="separate"/>
            </w:r>
            <w:r w:rsidR="00757FE0">
              <w:rPr>
                <w:webHidden/>
              </w:rPr>
              <w:t>13</w:t>
            </w:r>
            <w:r w:rsidR="00B04CC9">
              <w:rPr>
                <w:webHidden/>
              </w:rPr>
              <w:fldChar w:fldCharType="end"/>
            </w:r>
          </w:hyperlink>
        </w:p>
        <w:p w14:paraId="10946978" w14:textId="494A7B81" w:rsidR="00B04CC9" w:rsidRDefault="00F9249A" w:rsidP="00594A1D">
          <w:pPr>
            <w:pStyle w:val="TOC1"/>
            <w:ind w:left="284"/>
            <w:rPr>
              <w:rFonts w:asciiTheme="minorHAnsi" w:eastAsiaTheme="minorEastAsia" w:hAnsiTheme="minorHAnsi" w:cstheme="minorBidi"/>
              <w:sz w:val="22"/>
              <w:szCs w:val="22"/>
            </w:rPr>
          </w:pPr>
          <w:hyperlink w:anchor="_Toc80975738" w:history="1">
            <w:r w:rsidR="00B04CC9" w:rsidRPr="0067431E">
              <w:rPr>
                <w:rStyle w:val="Hyperlink"/>
                <w:rFonts w:eastAsiaTheme="majorEastAsia"/>
              </w:rPr>
              <w:t>Prudential margins</w:t>
            </w:r>
            <w:r w:rsidR="00B04CC9">
              <w:rPr>
                <w:webHidden/>
              </w:rPr>
              <w:tab/>
            </w:r>
            <w:r w:rsidR="00B04CC9">
              <w:rPr>
                <w:webHidden/>
              </w:rPr>
              <w:fldChar w:fldCharType="begin"/>
            </w:r>
            <w:r w:rsidR="00B04CC9">
              <w:rPr>
                <w:webHidden/>
              </w:rPr>
              <w:instrText xml:space="preserve"> PAGEREF _Toc80975738 \h </w:instrText>
            </w:r>
            <w:r w:rsidR="00B04CC9">
              <w:rPr>
                <w:webHidden/>
              </w:rPr>
            </w:r>
            <w:r w:rsidR="00B04CC9">
              <w:rPr>
                <w:webHidden/>
              </w:rPr>
              <w:fldChar w:fldCharType="separate"/>
            </w:r>
            <w:r w:rsidR="00757FE0">
              <w:rPr>
                <w:webHidden/>
              </w:rPr>
              <w:t>13</w:t>
            </w:r>
            <w:r w:rsidR="00B04CC9">
              <w:rPr>
                <w:webHidden/>
              </w:rPr>
              <w:fldChar w:fldCharType="end"/>
            </w:r>
          </w:hyperlink>
        </w:p>
        <w:p w14:paraId="289EDAAA" w14:textId="082D08A1" w:rsidR="00B04CC9" w:rsidRDefault="00F9249A">
          <w:pPr>
            <w:pStyle w:val="TOC1"/>
            <w:rPr>
              <w:rFonts w:asciiTheme="minorHAnsi" w:eastAsiaTheme="minorEastAsia" w:hAnsiTheme="minorHAnsi" w:cstheme="minorBidi"/>
              <w:sz w:val="22"/>
              <w:szCs w:val="22"/>
            </w:rPr>
          </w:pPr>
          <w:hyperlink w:anchor="_Toc80975739" w:history="1">
            <w:r w:rsidR="00B04CC9" w:rsidRPr="0067431E">
              <w:rPr>
                <w:rStyle w:val="Hyperlink"/>
                <w:rFonts w:eastAsiaTheme="majorEastAsia"/>
              </w:rPr>
              <w:t>Appendix 2 – Jurisdictional contact information</w:t>
            </w:r>
            <w:r w:rsidR="00B04CC9">
              <w:rPr>
                <w:webHidden/>
              </w:rPr>
              <w:tab/>
            </w:r>
            <w:r w:rsidR="00B04CC9">
              <w:rPr>
                <w:webHidden/>
              </w:rPr>
              <w:fldChar w:fldCharType="begin"/>
            </w:r>
            <w:r w:rsidR="00B04CC9">
              <w:rPr>
                <w:webHidden/>
              </w:rPr>
              <w:instrText xml:space="preserve"> PAGEREF _Toc80975739 \h </w:instrText>
            </w:r>
            <w:r w:rsidR="00B04CC9">
              <w:rPr>
                <w:webHidden/>
              </w:rPr>
            </w:r>
            <w:r w:rsidR="00B04CC9">
              <w:rPr>
                <w:webHidden/>
              </w:rPr>
              <w:fldChar w:fldCharType="separate"/>
            </w:r>
            <w:r w:rsidR="00757FE0">
              <w:rPr>
                <w:webHidden/>
              </w:rPr>
              <w:t>15</w:t>
            </w:r>
            <w:r w:rsidR="00B04CC9">
              <w:rPr>
                <w:webHidden/>
              </w:rPr>
              <w:fldChar w:fldCharType="end"/>
            </w:r>
          </w:hyperlink>
        </w:p>
        <w:p w14:paraId="407E0B68" w14:textId="71377CD4" w:rsidR="00986D99" w:rsidRDefault="00986D99">
          <w:r>
            <w:rPr>
              <w:b/>
              <w:bCs/>
              <w:noProof/>
            </w:rPr>
            <w:fldChar w:fldCharType="end"/>
          </w:r>
        </w:p>
      </w:sdtContent>
    </w:sdt>
    <w:p w14:paraId="2D31C35F" w14:textId="6866B841" w:rsidR="00AA7C33" w:rsidRDefault="00AA7C33" w:rsidP="00AA7C33">
      <w:pPr>
        <w:spacing w:before="180" w:after="180"/>
      </w:pPr>
      <w:bookmarkStart w:id="1" w:name="_Hlk56776859"/>
    </w:p>
    <w:p w14:paraId="6920EA20" w14:textId="77777777" w:rsidR="00AA7C33" w:rsidRDefault="00AA7C33" w:rsidP="00AA7C33">
      <w:pPr>
        <w:spacing w:before="0" w:after="200" w:line="276" w:lineRule="auto"/>
        <w:jc w:val="left"/>
        <w:rPr>
          <w:rFonts w:ascii="Arial Bold" w:eastAsiaTheme="majorEastAsia" w:hAnsi="Arial Bold" w:cs="Arial"/>
          <w:b/>
          <w:bCs/>
          <w:color w:val="C00000"/>
          <w:kern w:val="28"/>
          <w:sz w:val="36"/>
          <w:szCs w:val="32"/>
          <w:lang w:eastAsia="en-US"/>
        </w:rPr>
      </w:pPr>
      <w:bookmarkStart w:id="2" w:name="_Toc56599599"/>
      <w:bookmarkStart w:id="3" w:name="_Toc79584098"/>
      <w:bookmarkEnd w:id="1"/>
      <w:r>
        <w:br w:type="page"/>
      </w:r>
    </w:p>
    <w:p w14:paraId="1449151F" w14:textId="3E1C3459" w:rsidR="00106011" w:rsidRDefault="009906C7" w:rsidP="009906C7">
      <w:pPr>
        <w:spacing w:before="0" w:after="160" w:line="259" w:lineRule="auto"/>
        <w:jc w:val="center"/>
        <w:rPr>
          <w:rFonts w:ascii="Arial Bold" w:eastAsiaTheme="majorEastAsia" w:hAnsi="Arial Bold" w:cs="Arial"/>
          <w:b/>
          <w:bCs/>
          <w:color w:val="C00000"/>
          <w:kern w:val="28"/>
          <w:sz w:val="36"/>
          <w:szCs w:val="32"/>
          <w:lang w:eastAsia="en-US"/>
        </w:rPr>
      </w:pPr>
      <w:r>
        <w:rPr>
          <w:noProof/>
        </w:rPr>
        <w:lastRenderedPageBreak/>
        <w:drawing>
          <wp:inline distT="0" distB="0" distL="0" distR="0" wp14:anchorId="5B1106D5" wp14:editId="511882CB">
            <wp:extent cx="5721381" cy="8181975"/>
            <wp:effectExtent l="0" t="0" r="0" b="0"/>
            <wp:docPr id="7" name="Picture 7" descr="This image contains the key findings for CPM 23 –Workers’ Compensation Funding&#10;The key findings include that since 2015-16, there has been a 13% decrease in the average funding ratio for centrally funded schemes, and less than one percent decrease in the average funding ratio for privately under-written schemes. Total payments made by Australian workers’ compensation schemes total $9.9 billion, of which 54.4% were provided directly to claimants, 24.1% were provided in services to claimants and 15.2% were provided in insurance opera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contains the key findings for CPM 23 –Workers’ Compensation Funding&#10;The key findings include that since 2015-16, there has been a 13% decrease in the average funding ratio for centrally funded schemes, and less than one percent decrease in the average funding ratio for privately under-written schemes. Total payments made by Australian workers’ compensation schemes total $9.9 billion, of which 54.4% were provided directly to claimants, 24.1% were provided in services to claimants and 15.2% were provided in insurance operations. &#10;"/>
                    <pic:cNvPicPr/>
                  </pic:nvPicPr>
                  <pic:blipFill>
                    <a:blip r:embed="rId12"/>
                    <a:stretch>
                      <a:fillRect/>
                    </a:stretch>
                  </pic:blipFill>
                  <pic:spPr>
                    <a:xfrm>
                      <a:off x="0" y="0"/>
                      <a:ext cx="5724958" cy="8187090"/>
                    </a:xfrm>
                    <a:prstGeom prst="rect">
                      <a:avLst/>
                    </a:prstGeom>
                  </pic:spPr>
                </pic:pic>
              </a:graphicData>
            </a:graphic>
          </wp:inline>
        </w:drawing>
      </w:r>
      <w:r w:rsidR="00106011">
        <w:br w:type="page"/>
      </w:r>
    </w:p>
    <w:p w14:paraId="63DF824B" w14:textId="77777777" w:rsidR="00FD1D48" w:rsidRDefault="00FD1D48" w:rsidP="00FD1D48">
      <w:pPr>
        <w:pStyle w:val="Title"/>
        <w:tabs>
          <w:tab w:val="center" w:pos="8222"/>
        </w:tabs>
      </w:pPr>
      <w:bookmarkStart w:id="4" w:name="_Toc80188295"/>
      <w:bookmarkStart w:id="5" w:name="_Toc80975727"/>
      <w:r>
        <w:lastRenderedPageBreak/>
        <w:t>Foreword</w:t>
      </w:r>
      <w:bookmarkEnd w:id="4"/>
      <w:bookmarkEnd w:id="5"/>
    </w:p>
    <w:p w14:paraId="10966744" w14:textId="77777777" w:rsidR="00FD1D48" w:rsidRDefault="00FD1D48" w:rsidP="00861489">
      <w:r>
        <w:t>This is the 23</w:t>
      </w:r>
      <w:r w:rsidRPr="0023498B">
        <w:rPr>
          <w:vertAlign w:val="superscript"/>
        </w:rPr>
        <w:t>rd</w:t>
      </w:r>
      <w:r>
        <w:t xml:space="preserve"> edition of the Comparative Performance Monitoring (CPM) report which provides trend analyses about work health and safety and workers’ compensation schemes operating in Australia and New Zealand. </w:t>
      </w:r>
    </w:p>
    <w:p w14:paraId="75046461" w14:textId="77777777" w:rsidR="00FD1D48" w:rsidRDefault="00FD1D48" w:rsidP="00861489">
      <w:r>
        <w:t>This report has been compiled and coordinated by Safe Work Australia with assistance from representatives of all work health and safety and workers’ compensation authorities in Australia and New Zealand. Through a partnership of governments, employers and employees, Safe Work Australia leads the development of national policy to improve WHS and workers’ compensation arrangements across Australia.</w:t>
      </w:r>
    </w:p>
    <w:p w14:paraId="448BE4C9" w14:textId="33395AC0" w:rsidR="00FD1D48" w:rsidRDefault="00FD1D48" w:rsidP="00861489">
      <w:r>
        <w:t xml:space="preserve">The report is </w:t>
      </w:r>
      <w:r w:rsidR="00A21C64">
        <w:t xml:space="preserve">presented in </w:t>
      </w:r>
      <w:r>
        <w:t>the following sections:</w:t>
      </w:r>
    </w:p>
    <w:p w14:paraId="45D4BD20"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Work health and safety performance</w:t>
      </w:r>
      <w:r w:rsidRPr="00661369">
        <w:rPr>
          <w:rStyle w:val="SWALinkChar"/>
          <w:iCs/>
          <w:u w:val="none"/>
        </w:rPr>
        <w:t xml:space="preserve"> – provides an overview of work health and safety performance across Australia and New Zealand through analysing trends in serious claim rates and work-related fatalities across jurisdictions.</w:t>
      </w:r>
    </w:p>
    <w:p w14:paraId="0D6840C1"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Work health and safety compliance and enforcement activities</w:t>
      </w:r>
      <w:r w:rsidRPr="00E336F9">
        <w:rPr>
          <w:rStyle w:val="SWALinkChar"/>
          <w:i/>
          <w:u w:val="none"/>
        </w:rPr>
        <w:t xml:space="preserve"> </w:t>
      </w:r>
      <w:r w:rsidRPr="00E336F9">
        <w:rPr>
          <w:rStyle w:val="SWALinkChar"/>
          <w:iCs/>
          <w:u w:val="none"/>
        </w:rPr>
        <w:t>– includes a jurisdictional comparison of workplace interventions, inspectorate activity, safety notices, enforceable undertakings, legal proceedings and fines.</w:t>
      </w:r>
    </w:p>
    <w:p w14:paraId="7388F491"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Workers’ compensation premiums</w:t>
      </w:r>
      <w:r w:rsidRPr="00661369">
        <w:rPr>
          <w:rStyle w:val="SWALinkChar"/>
          <w:i/>
          <w:u w:val="none"/>
        </w:rPr>
        <w:t xml:space="preserve"> - </w:t>
      </w:r>
      <w:r w:rsidRPr="00661369">
        <w:rPr>
          <w:rStyle w:val="SWALinkChar"/>
          <w:rFonts w:eastAsiaTheme="majorEastAsia"/>
          <w:iCs/>
          <w:u w:val="none"/>
        </w:rPr>
        <w:t>includes a national and jurisdictional overview of the standardised average premium rates by industry in the past 5 years.</w:t>
      </w:r>
    </w:p>
    <w:p w14:paraId="681B5150" w14:textId="77777777"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Entitlements under workers’ compensation (scenarios)</w:t>
      </w:r>
      <w:r w:rsidRPr="00E336F9">
        <w:rPr>
          <w:rStyle w:val="SWALinkChar"/>
          <w:i/>
          <w:u w:val="none"/>
        </w:rPr>
        <w:t xml:space="preserve"> </w:t>
      </w:r>
      <w:r w:rsidRPr="00E336F9">
        <w:rPr>
          <w:rStyle w:val="SWALinkChar"/>
          <w:iCs/>
          <w:u w:val="none"/>
        </w:rPr>
        <w:t>– illustrates the differences in entitlement levels across jurisdictions under several scenarios.</w:t>
      </w:r>
    </w:p>
    <w:p w14:paraId="7B0B66F7" w14:textId="499FE3AB"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 xml:space="preserve">Workers’ compensation </w:t>
      </w:r>
      <w:r w:rsidRPr="00BD2C17">
        <w:rPr>
          <w:rStyle w:val="SWALinkChar"/>
          <w:i/>
        </w:rPr>
        <w:t>funding – assets, liabilities and expenditure</w:t>
      </w:r>
      <w:r w:rsidRPr="00E336F9">
        <w:rPr>
          <w:rStyle w:val="SWALinkChar"/>
          <w:iCs/>
          <w:u w:val="none"/>
        </w:rPr>
        <w:t xml:space="preserve">– includes information about the different funding arrangements of the schemes and </w:t>
      </w:r>
      <w:r>
        <w:rPr>
          <w:rStyle w:val="SWALinkChar"/>
          <w:iCs/>
          <w:u w:val="none"/>
        </w:rPr>
        <w:t xml:space="preserve">compares </w:t>
      </w:r>
      <w:r w:rsidRPr="00E336F9">
        <w:rPr>
          <w:rStyle w:val="SWALinkChar"/>
          <w:iCs/>
          <w:u w:val="none"/>
        </w:rPr>
        <w:t xml:space="preserve">the </w:t>
      </w:r>
      <w:r>
        <w:rPr>
          <w:rStyle w:val="SWALinkChar"/>
          <w:iCs/>
          <w:u w:val="none"/>
        </w:rPr>
        <w:t xml:space="preserve">differences in </w:t>
      </w:r>
      <w:r w:rsidRPr="00E336F9">
        <w:rPr>
          <w:rStyle w:val="SWALinkChar"/>
          <w:iCs/>
          <w:u w:val="none"/>
        </w:rPr>
        <w:t xml:space="preserve">scheme funding </w:t>
      </w:r>
      <w:r>
        <w:rPr>
          <w:rStyle w:val="SWALinkChar"/>
          <w:iCs/>
          <w:u w:val="none"/>
        </w:rPr>
        <w:t>arrangements and finances</w:t>
      </w:r>
      <w:r w:rsidR="001469A7">
        <w:rPr>
          <w:rStyle w:val="SWALinkChar"/>
          <w:iCs/>
          <w:u w:val="none"/>
        </w:rPr>
        <w:t xml:space="preserve"> (this section)</w:t>
      </w:r>
      <w:r>
        <w:rPr>
          <w:rStyle w:val="SWALinkChar"/>
          <w:iCs/>
          <w:u w:val="none"/>
        </w:rPr>
        <w:t>.</w:t>
      </w:r>
    </w:p>
    <w:p w14:paraId="7F7A0A10" w14:textId="2EBEA10B" w:rsidR="00FD1D48" w:rsidRPr="00E336F9" w:rsidRDefault="00FD1D48" w:rsidP="00861489">
      <w:pPr>
        <w:pStyle w:val="ListParagraph"/>
        <w:numPr>
          <w:ilvl w:val="0"/>
          <w:numId w:val="4"/>
        </w:numPr>
        <w:tabs>
          <w:tab w:val="left" w:pos="709"/>
        </w:tabs>
        <w:overflowPunct w:val="0"/>
        <w:autoSpaceDE w:val="0"/>
        <w:autoSpaceDN w:val="0"/>
        <w:adjustRightInd w:val="0"/>
        <w:ind w:left="714" w:hanging="357"/>
        <w:contextualSpacing w:val="0"/>
        <w:textAlignment w:val="baseline"/>
        <w:rPr>
          <w:rStyle w:val="SWALinkChar"/>
          <w:i/>
        </w:rPr>
      </w:pPr>
      <w:r w:rsidRPr="00E336F9">
        <w:rPr>
          <w:rStyle w:val="SWALinkChar"/>
          <w:i/>
        </w:rPr>
        <w:t xml:space="preserve">Workers’ compensation </w:t>
      </w:r>
      <w:r>
        <w:rPr>
          <w:rStyle w:val="SWALinkChar"/>
          <w:i/>
        </w:rPr>
        <w:t xml:space="preserve">disputes </w:t>
      </w:r>
      <w:r w:rsidRPr="00967173">
        <w:rPr>
          <w:rStyle w:val="SWALinkChar"/>
          <w:iCs/>
          <w:u w:val="none"/>
        </w:rPr>
        <w:t>– includes information about disputes against an insurer’s decision or decisions relating to compensation</w:t>
      </w:r>
      <w:r>
        <w:rPr>
          <w:rStyle w:val="SWALinkChar"/>
          <w:iCs/>
          <w:u w:val="none"/>
        </w:rPr>
        <w:t>.</w:t>
      </w:r>
    </w:p>
    <w:p w14:paraId="41F4CE31" w14:textId="77777777" w:rsidR="00205DD6" w:rsidRDefault="006260AB" w:rsidP="00861489">
      <w:r>
        <w:t xml:space="preserve">Previous editions of the CPM report also included </w:t>
      </w:r>
      <w:bookmarkStart w:id="6" w:name="_Hlk80886161"/>
      <w:r>
        <w:t xml:space="preserve">return to work rates </w:t>
      </w:r>
      <w:bookmarkEnd w:id="6"/>
      <w:r>
        <w:t xml:space="preserve">as measured in the National Return to Work Survey. At the time of writing, the latest available survey results </w:t>
      </w:r>
      <w:r w:rsidR="00304D1F">
        <w:t xml:space="preserve">were </w:t>
      </w:r>
      <w:r>
        <w:t xml:space="preserve">from the 2018 Survey. For trend data on the return to work rates (from 2012 to 2018) please refer to the </w:t>
      </w:r>
      <w:hyperlink r:id="rId13" w:history="1">
        <w:r w:rsidRPr="00F2001A">
          <w:rPr>
            <w:rStyle w:val="Hyperlink"/>
            <w:i/>
            <w:iCs/>
            <w:color w:val="000000" w:themeColor="text1"/>
          </w:rPr>
          <w:t>22</w:t>
        </w:r>
        <w:r w:rsidRPr="00F2001A">
          <w:rPr>
            <w:rStyle w:val="Hyperlink"/>
            <w:i/>
            <w:iCs/>
            <w:color w:val="000000" w:themeColor="text1"/>
            <w:vertAlign w:val="superscript"/>
          </w:rPr>
          <w:t>nd</w:t>
        </w:r>
        <w:r w:rsidRPr="00F2001A">
          <w:rPr>
            <w:rStyle w:val="Hyperlink"/>
            <w:i/>
            <w:iCs/>
            <w:color w:val="000000" w:themeColor="text1"/>
          </w:rPr>
          <w:t xml:space="preserve"> edition of the CPM (Part 3)</w:t>
        </w:r>
      </w:hyperlink>
      <w:r w:rsidRPr="006260AB">
        <w:rPr>
          <w:color w:val="000000" w:themeColor="text1"/>
        </w:rPr>
        <w:t xml:space="preserve">. </w:t>
      </w:r>
      <w:r w:rsidR="00205DD6">
        <w:rPr>
          <w:color w:val="000000" w:themeColor="text1"/>
        </w:rPr>
        <w:t>Results from t</w:t>
      </w:r>
      <w:r w:rsidR="00205DD6">
        <w:t xml:space="preserve">he 2021 National Return to Work Survey will be published on the </w:t>
      </w:r>
      <w:hyperlink r:id="rId14" w:history="1">
        <w:r w:rsidR="00205DD6" w:rsidRPr="001D28CE">
          <w:rPr>
            <w:rStyle w:val="Hyperlink"/>
            <w:rFonts w:eastAsiaTheme="majorEastAsia"/>
            <w:color w:val="auto"/>
          </w:rPr>
          <w:t>Safe Work Australia</w:t>
        </w:r>
      </w:hyperlink>
      <w:r w:rsidR="00205DD6" w:rsidRPr="00DC1D71">
        <w:t xml:space="preserve"> w</w:t>
      </w:r>
      <w:r w:rsidR="00205DD6">
        <w:t xml:space="preserve">ebsite from late 2021. </w:t>
      </w:r>
    </w:p>
    <w:p w14:paraId="5D5F65D2" w14:textId="4F31BB8C" w:rsidR="00FD1D48" w:rsidRDefault="00FD1D48" w:rsidP="00861489">
      <w:r>
        <w:t xml:space="preserve">Readers </w:t>
      </w:r>
      <w:r w:rsidRPr="00164D43">
        <w:rPr>
          <w:color w:val="000000" w:themeColor="text1"/>
        </w:rPr>
        <w:t xml:space="preserve">may find the </w:t>
      </w:r>
      <w:hyperlink r:id="rId15" w:history="1">
        <w:r w:rsidRPr="00164D43">
          <w:rPr>
            <w:rStyle w:val="SWALinkChar"/>
            <w:i/>
            <w:color w:val="000000" w:themeColor="text1"/>
          </w:rPr>
          <w:t>Comparison of Workers’ Compensation Arrangements in Australia and New Zealand</w:t>
        </w:r>
      </w:hyperlink>
      <w:r w:rsidRPr="00164D43">
        <w:rPr>
          <w:color w:val="000000" w:themeColor="text1"/>
        </w:rPr>
        <w:t xml:space="preserve"> </w:t>
      </w:r>
      <w:r>
        <w:t xml:space="preserve"> useful as it discusses the way that each scheme deals with key aspects such as coverage, benefits, self-insurance, common law and disputes. </w:t>
      </w:r>
    </w:p>
    <w:p w14:paraId="2FD21BA2" w14:textId="77777777" w:rsidR="00FD1D48" w:rsidRDefault="00FD1D48" w:rsidP="00861489">
      <w:pPr>
        <w:rPr>
          <w:i/>
          <w:iCs/>
        </w:rPr>
      </w:pPr>
      <w:r>
        <w:rPr>
          <w:i/>
          <w:iCs/>
        </w:rPr>
        <w:t>About the data</w:t>
      </w:r>
    </w:p>
    <w:p w14:paraId="2A7AD05F" w14:textId="417EAD62" w:rsidR="00FD1D48" w:rsidRDefault="00FD1D48" w:rsidP="00861489">
      <w:r>
        <w:t xml:space="preserve">Data in this publication may differ from jurisdictional annual reports due to the use of different definitions and the application of adjustment factors to aid in the comparability of data. </w:t>
      </w:r>
    </w:p>
    <w:p w14:paraId="33CE6D02" w14:textId="32668BBC" w:rsidR="00B07B1F" w:rsidRPr="00F2001A" w:rsidRDefault="00B07B1F" w:rsidP="00861489">
      <w:r w:rsidRPr="00B07B1F">
        <w:t xml:space="preserve">These statistics should be considered in the broader context of </w:t>
      </w:r>
      <w:r w:rsidR="00971844">
        <w:t xml:space="preserve">the COVID-19 pandemic </w:t>
      </w:r>
      <w:r w:rsidRPr="00B07B1F">
        <w:t xml:space="preserve">when comparing data over previous periods. The potential impact of the COVID-19 pandemic on this data are explored in </w:t>
      </w:r>
      <w:r w:rsidRPr="00F2001A">
        <w:t>the</w:t>
      </w:r>
      <w:r w:rsidRPr="00F2001A">
        <w:rPr>
          <w:i/>
          <w:iCs/>
        </w:rPr>
        <w:t xml:space="preserve"> </w:t>
      </w:r>
      <w:hyperlink r:id="rId16" w:history="1">
        <w:r w:rsidRPr="00F2001A">
          <w:rPr>
            <w:rStyle w:val="Hyperlink"/>
            <w:i/>
            <w:iCs/>
            <w:color w:val="auto"/>
          </w:rPr>
          <w:t xml:space="preserve">COVID-19 and </w:t>
        </w:r>
        <w:r w:rsidR="00142795" w:rsidRPr="00F2001A">
          <w:rPr>
            <w:rStyle w:val="Hyperlink"/>
            <w:i/>
            <w:iCs/>
            <w:color w:val="auto"/>
          </w:rPr>
          <w:t xml:space="preserve">Safe Work </w:t>
        </w:r>
        <w:r w:rsidR="00F1570B" w:rsidRPr="00F2001A">
          <w:rPr>
            <w:rStyle w:val="Hyperlink"/>
            <w:i/>
            <w:iCs/>
            <w:color w:val="auto"/>
          </w:rPr>
          <w:t>Australia data</w:t>
        </w:r>
      </w:hyperlink>
      <w:r w:rsidR="00F1570B" w:rsidRPr="00F2001A">
        <w:t xml:space="preserve"> </w:t>
      </w:r>
      <w:r w:rsidRPr="00F2001A">
        <w:t>report.</w:t>
      </w:r>
    </w:p>
    <w:p w14:paraId="2FD1400D" w14:textId="77777777" w:rsidR="00764220" w:rsidRDefault="00764220" w:rsidP="00861489">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2E66858D" w14:textId="26B9D7E8" w:rsidR="00FD1D48" w:rsidRPr="00164D43" w:rsidRDefault="004532BE" w:rsidP="00861489">
      <w:pPr>
        <w:rPr>
          <w:color w:val="000000" w:themeColor="text1"/>
        </w:rPr>
      </w:pPr>
      <w:r w:rsidRPr="004532BE">
        <w:t>In this report ‘Australian Government’ is used for indicators relating to WHS and workers’ compensation matters under the Australian Government jurisdiction, while ‘Comcare’ is used for the indicators relating to premium rates and entitlements</w:t>
      </w:r>
      <w:r>
        <w:t>.</w:t>
      </w:r>
    </w:p>
    <w:p w14:paraId="62A1EE12" w14:textId="77777777" w:rsidR="00AA7C33" w:rsidRDefault="00AA7C33" w:rsidP="00861489">
      <w:pPr>
        <w:rPr>
          <w:b/>
        </w:rPr>
        <w:sectPr w:rsidR="00AA7C33" w:rsidSect="00006277">
          <w:headerReference w:type="first" r:id="rId17"/>
          <w:footerReference w:type="first" r:id="rId18"/>
          <w:pgSz w:w="11906" w:h="16838"/>
          <w:pgMar w:top="993" w:right="1274" w:bottom="1440" w:left="1276" w:header="708" w:footer="708" w:gutter="0"/>
          <w:cols w:space="242"/>
          <w:titlePg/>
          <w:docGrid w:linePitch="360"/>
        </w:sectPr>
      </w:pPr>
      <w:bookmarkStart w:id="7" w:name="_Hlk54968570"/>
      <w:bookmarkEnd w:id="2"/>
      <w:bookmarkEnd w:id="3"/>
    </w:p>
    <w:bookmarkEnd w:id="0"/>
    <w:bookmarkEnd w:id="7"/>
    <w:p w14:paraId="634C0697" w14:textId="614DECEF" w:rsidR="00EE3284" w:rsidRPr="00D538F0" w:rsidRDefault="00AE04E0" w:rsidP="002903E1">
      <w:pPr>
        <w:pStyle w:val="SWASectionnumberingheading"/>
        <w:spacing w:before="0"/>
      </w:pPr>
      <w:r>
        <w:lastRenderedPageBreak/>
        <w:t xml:space="preserve"> </w:t>
      </w:r>
      <w:bookmarkStart w:id="8" w:name="_Toc80975728"/>
      <w:r w:rsidR="00584EE4">
        <w:t>Introduction</w:t>
      </w:r>
      <w:bookmarkEnd w:id="8"/>
    </w:p>
    <w:p w14:paraId="42E9332A" w14:textId="28BC810A" w:rsidR="00AA7C33" w:rsidRDefault="00EE3284" w:rsidP="00B34D49">
      <w:pPr>
        <w:pStyle w:val="BodyJustified"/>
      </w:pPr>
      <w:r>
        <w:t xml:space="preserve">There are significant differences in funding arrangements for the various </w:t>
      </w:r>
      <w:r w:rsidR="00E06498">
        <w:t xml:space="preserve">workers’ compensation </w:t>
      </w:r>
      <w:r>
        <w:t>schemes around Australia</w:t>
      </w:r>
      <w:r w:rsidR="00FD1D48">
        <w:t>.</w:t>
      </w:r>
      <w:r>
        <w:t xml:space="preserve"> </w:t>
      </w:r>
    </w:p>
    <w:p w14:paraId="4EC77C19" w14:textId="0D6CCD37" w:rsidR="00AA7C33" w:rsidRDefault="009D40D8" w:rsidP="00B34D49">
      <w:pPr>
        <w:pStyle w:val="BodyJustified"/>
      </w:pPr>
      <w:r>
        <w:t>S</w:t>
      </w:r>
      <w:r w:rsidR="00EE3284">
        <w:t xml:space="preserve">chemes that are fully centrally funded (New South Wales, Victoria, Queensland, South Australia, the Australian Government and New Zealand) have both WHS and workers’ compensation </w:t>
      </w:r>
      <w:proofErr w:type="gramStart"/>
      <w:r w:rsidR="00EE3284">
        <w:t>functions, and</w:t>
      </w:r>
      <w:proofErr w:type="gramEnd"/>
      <w:r w:rsidR="00EE3284">
        <w:t xml:space="preserve"> staffing and operational budgets funded by premiums. For those jurisdictions with privately underwritten schemes</w:t>
      </w:r>
      <w:r w:rsidR="00AA7C33">
        <w:t xml:space="preserve"> (Western Australia, Tasmania</w:t>
      </w:r>
      <w:r w:rsidR="00755CDF">
        <w:t xml:space="preserve">, </w:t>
      </w:r>
      <w:r w:rsidR="00AA7C33">
        <w:t>the Northern Territory</w:t>
      </w:r>
      <w:r w:rsidR="00755CDF">
        <w:t>, the Australian Capital Territory and Seacare</w:t>
      </w:r>
      <w:r w:rsidR="00AA7C33">
        <w:t>)</w:t>
      </w:r>
      <w:r w:rsidR="00EE3284">
        <w:t xml:space="preserve">, funding for non-workers’ compensation functions comes directly from government appropriation. </w:t>
      </w:r>
    </w:p>
    <w:p w14:paraId="76A5BAF9" w14:textId="790E1DA8" w:rsidR="00EE3284" w:rsidRDefault="00316D05" w:rsidP="00B34D49">
      <w:pPr>
        <w:pStyle w:val="BodyJustified"/>
      </w:pPr>
      <w:r>
        <w:t xml:space="preserve">These </w:t>
      </w:r>
      <w:r w:rsidR="00EE3284">
        <w:t>difference</w:t>
      </w:r>
      <w:r>
        <w:t>s</w:t>
      </w:r>
      <w:r w:rsidR="00EE3284">
        <w:t xml:space="preserve"> in funding arrangements </w:t>
      </w:r>
      <w:r w:rsidR="00986D99">
        <w:t xml:space="preserve">should be considered when reviewing this </w:t>
      </w:r>
      <w:r w:rsidR="00EE3284">
        <w:t>section.</w:t>
      </w:r>
      <w:r w:rsidR="00755CDF" w:rsidRPr="00755CDF">
        <w:t xml:space="preserve"> </w:t>
      </w:r>
      <w:r w:rsidR="00755CDF">
        <w:t xml:space="preserve">More information about </w:t>
      </w:r>
      <w:r w:rsidR="00DB1688">
        <w:t xml:space="preserve">the definitions and inclusions for </w:t>
      </w:r>
      <w:r w:rsidR="00755CDF">
        <w:t>a</w:t>
      </w:r>
      <w:r w:rsidR="00755CDF" w:rsidRPr="00755CDF">
        <w:t>ssets to liabilities ratio</w:t>
      </w:r>
      <w:r w:rsidR="00DB1688">
        <w:t xml:space="preserve">s and scheme expenditure </w:t>
      </w:r>
      <w:r w:rsidR="00755CDF">
        <w:t xml:space="preserve">is available in </w:t>
      </w:r>
      <w:r w:rsidR="00755CDF" w:rsidRPr="005E5930">
        <w:rPr>
          <w:i/>
          <w:iCs/>
        </w:rPr>
        <w:t xml:space="preserve">Appendix </w:t>
      </w:r>
      <w:r w:rsidR="005E5930">
        <w:rPr>
          <w:i/>
          <w:iCs/>
        </w:rPr>
        <w:t xml:space="preserve">1 </w:t>
      </w:r>
      <w:r w:rsidR="005E5930" w:rsidRPr="005E5930">
        <w:rPr>
          <w:i/>
          <w:iCs/>
        </w:rPr>
        <w:t>– Assets to liabilities ratio (funding ratio) definitions</w:t>
      </w:r>
      <w:r w:rsidR="005E5930" w:rsidRPr="005E5930">
        <w:t xml:space="preserve"> </w:t>
      </w:r>
      <w:r w:rsidR="00DB1688">
        <w:t>at the end of the</w:t>
      </w:r>
      <w:r w:rsidR="005E5930">
        <w:t xml:space="preserve"> section</w:t>
      </w:r>
      <w:r w:rsidR="00755CDF">
        <w:t>.</w:t>
      </w:r>
    </w:p>
    <w:p w14:paraId="4F02E6C8" w14:textId="4B622EFE" w:rsidR="00EE3284" w:rsidRDefault="00EE3284" w:rsidP="00CA1F00">
      <w:pPr>
        <w:pStyle w:val="SWASectionnum2"/>
        <w:ind w:left="709" w:hanging="709"/>
        <w:rPr>
          <w:color w:val="CB0002"/>
        </w:rPr>
      </w:pPr>
      <w:bookmarkStart w:id="9" w:name="_Toc476564187"/>
      <w:bookmarkStart w:id="10" w:name="_Toc56776896"/>
      <w:bookmarkStart w:id="11" w:name="_Toc80975729"/>
      <w:r>
        <w:t>Assets to liabilities ratio</w:t>
      </w:r>
      <w:bookmarkEnd w:id="9"/>
      <w:bookmarkEnd w:id="10"/>
      <w:bookmarkEnd w:id="11"/>
      <w:r>
        <w:t xml:space="preserve"> </w:t>
      </w:r>
    </w:p>
    <w:p w14:paraId="0E666737" w14:textId="7504D84F" w:rsidR="00AA7C33" w:rsidRDefault="00EE3284" w:rsidP="00B34D49">
      <w:pPr>
        <w:pStyle w:val="BodyJustified"/>
      </w:pPr>
      <w:r>
        <w:t xml:space="preserve">This section reports the </w:t>
      </w:r>
      <w:proofErr w:type="spellStart"/>
      <w:r>
        <w:t>standardised</w:t>
      </w:r>
      <w:proofErr w:type="spellEnd"/>
      <w:r>
        <w:t xml:space="preserve"> ratio of assets to net outstanding claim liabilities (funding ratio) for each jurisdiction over the past five years</w:t>
      </w:r>
      <w:r w:rsidR="005E5930">
        <w:t xml:space="preserve"> (2015–16 to 2019–20)</w:t>
      </w:r>
      <w:r>
        <w:t xml:space="preserve">. </w:t>
      </w:r>
    </w:p>
    <w:p w14:paraId="07CC08B6" w14:textId="53CB3703" w:rsidR="005F1FB9" w:rsidRDefault="00EE3284" w:rsidP="00B34D49">
      <w:pPr>
        <w:pStyle w:val="BodyJustified"/>
      </w:pPr>
      <w:r>
        <w:t xml:space="preserve">This indicator is a measure of the adequacy of the scheme to meet future claim payments. Ratios above 100% indicate that the scheme has more than sufficient assets to meet its predicted future liabilities. Conversely, low ratios could be an indication of the need for a scheme to increase its premium rates to ensure that assets are available for future claim payments. Funding ratio trends should therefore be considered in conjunction with the premium rates reported </w:t>
      </w:r>
      <w:r w:rsidR="00AA7C33">
        <w:t xml:space="preserve">in </w:t>
      </w:r>
      <w:r w:rsidR="00B34D49">
        <w:t xml:space="preserve">the </w:t>
      </w:r>
      <w:r w:rsidR="00B34D49" w:rsidRPr="00B34D49">
        <w:rPr>
          <w:i/>
          <w:iCs/>
        </w:rPr>
        <w:t xml:space="preserve">Workers’ compensation </w:t>
      </w:r>
      <w:r w:rsidR="00910E8B" w:rsidRPr="00910E8B">
        <w:rPr>
          <w:i/>
          <w:iCs/>
        </w:rPr>
        <w:t>p</w:t>
      </w:r>
      <w:r w:rsidR="00B34D49" w:rsidRPr="00B34D49">
        <w:rPr>
          <w:i/>
          <w:iCs/>
        </w:rPr>
        <w:t>remiums</w:t>
      </w:r>
      <w:r w:rsidR="00B34D49">
        <w:t xml:space="preserve"> </w:t>
      </w:r>
      <w:r w:rsidR="00AA7C33">
        <w:t>section of the Comparison</w:t>
      </w:r>
      <w:r w:rsidR="007224AB">
        <w:t> </w:t>
      </w:r>
      <w:r w:rsidR="00AA7C33">
        <w:t>Performance Monitoring report</w:t>
      </w:r>
      <w:r>
        <w:t xml:space="preserve">. </w:t>
      </w:r>
    </w:p>
    <w:p w14:paraId="6BF8D94B" w14:textId="60F95E64" w:rsidR="000032FC" w:rsidRDefault="00EE3284" w:rsidP="00B34D49">
      <w:pPr>
        <w:pStyle w:val="BodyJustified"/>
      </w:pPr>
      <w:r>
        <w:t xml:space="preserve">Self-insurers are employers who </w:t>
      </w:r>
      <w:proofErr w:type="gramStart"/>
      <w:r>
        <w:t xml:space="preserve">are allowed </w:t>
      </w:r>
      <w:r w:rsidR="009D6CBA">
        <w:t>to</w:t>
      </w:r>
      <w:proofErr w:type="gramEnd"/>
      <w:r>
        <w:t xml:space="preserve"> manage and pay for their employees’ claims for work-related injuries and disease, rather than paying premiums to insurers to take on these responsibilities. </w:t>
      </w:r>
      <w:r w:rsidR="004D0F09">
        <w:t xml:space="preserve">They are required to lodge financial guarantees to provide security for workers’ compensation entitlements. </w:t>
      </w:r>
      <w:r>
        <w:t>Self</w:t>
      </w:r>
      <w:r>
        <w:noBreakHyphen/>
        <w:t xml:space="preserve">insurers are </w:t>
      </w:r>
      <w:r w:rsidRPr="00AA7C33">
        <w:t>excluded</w:t>
      </w:r>
      <w:r>
        <w:t xml:space="preserve"> from the funding ratio measures as the workers’ compensation assets and liabilities are not quarantined from the rest of the self</w:t>
      </w:r>
      <w:r w:rsidR="007224AB">
        <w:noBreakHyphen/>
      </w:r>
      <w:r>
        <w:t xml:space="preserve">insurer’s business. </w:t>
      </w:r>
    </w:p>
    <w:p w14:paraId="27CE294B" w14:textId="2202C2A3" w:rsidR="005E5B95" w:rsidRDefault="000032FC" w:rsidP="005E5B95">
      <w:pPr>
        <w:spacing w:before="0" w:after="160" w:line="259" w:lineRule="auto"/>
        <w:jc w:val="left"/>
      </w:pPr>
      <w:r>
        <w:t>Insurers in privately underwritten schemes are governed by the Australian Prudential Regulatory Authority’s prudential regulatory requirements to make sure that enough funds are available to cover all liabilities.</w:t>
      </w:r>
      <w:r w:rsidR="00C33643">
        <w:t xml:space="preserve"> The funding ratio measure for privately underwritten schemes does not capture the true extent of the private schemes’ abilities to meet future claim payments</w:t>
      </w:r>
      <w:r w:rsidR="00C96071">
        <w:t xml:space="preserve"> and has been shown on a separate graph to those for the centrally funded scheme</w:t>
      </w:r>
      <w:r w:rsidR="00C274C6">
        <w:t>s</w:t>
      </w:r>
      <w:r w:rsidR="00C96071">
        <w:t xml:space="preserve">. </w:t>
      </w:r>
    </w:p>
    <w:p w14:paraId="2D895343" w14:textId="6FA5D9C0" w:rsidR="00584EE4" w:rsidRPr="00584EE4" w:rsidRDefault="00584EE4" w:rsidP="00910E8B">
      <w:pPr>
        <w:spacing w:before="0" w:after="160" w:line="259" w:lineRule="auto"/>
        <w:jc w:val="left"/>
      </w:pPr>
      <w:r>
        <w:t xml:space="preserve">For centrally funded schemes, </w:t>
      </w:r>
      <w:r w:rsidR="007224AB">
        <w:t>I</w:t>
      </w:r>
      <w:r w:rsidR="00EE3284">
        <w:t>ndicator 17 shows</w:t>
      </w:r>
      <w:r w:rsidR="00AA7C33">
        <w:t>:</w:t>
      </w:r>
    </w:p>
    <w:p w14:paraId="0904E282" w14:textId="5AE5DB56" w:rsidR="00584EE4" w:rsidRDefault="00755CDF" w:rsidP="00B34D49">
      <w:pPr>
        <w:pStyle w:val="BodyJustified"/>
        <w:numPr>
          <w:ilvl w:val="0"/>
          <w:numId w:val="10"/>
        </w:numPr>
      </w:pPr>
      <w:r>
        <w:t>T</w:t>
      </w:r>
      <w:r w:rsidR="00EE3284">
        <w:t xml:space="preserve">he average funding ratio for centrally funded schemes was </w:t>
      </w:r>
      <w:r w:rsidR="00584EE4">
        <w:t>116</w:t>
      </w:r>
      <w:r w:rsidR="00EE3284">
        <w:t xml:space="preserve">% in </w:t>
      </w:r>
      <w:r w:rsidR="00EE3284">
        <w:br/>
        <w:t>20</w:t>
      </w:r>
      <w:r w:rsidR="00584EE4">
        <w:t>19</w:t>
      </w:r>
      <w:r w:rsidR="00EE3284">
        <w:t>–</w:t>
      </w:r>
      <w:r w:rsidR="00584EE4">
        <w:t>20</w:t>
      </w:r>
      <w:r w:rsidR="00EE3284">
        <w:t xml:space="preserve">, a </w:t>
      </w:r>
      <w:r w:rsidR="00584EE4" w:rsidRPr="007C74F9">
        <w:rPr>
          <w:b/>
          <w:bCs/>
          <w:color w:val="B94F25"/>
        </w:rPr>
        <w:t>12</w:t>
      </w:r>
      <w:r w:rsidR="00EE3284" w:rsidRPr="007C74F9">
        <w:rPr>
          <w:b/>
          <w:bCs/>
          <w:color w:val="B94F25"/>
        </w:rPr>
        <w:t>% decrease</w:t>
      </w:r>
      <w:r w:rsidR="00EE3284" w:rsidRPr="007C74F9">
        <w:rPr>
          <w:color w:val="B94F25"/>
        </w:rPr>
        <w:t xml:space="preserve"> </w:t>
      </w:r>
      <w:r w:rsidR="00EE3284">
        <w:t xml:space="preserve">from the previous financial year. </w:t>
      </w:r>
    </w:p>
    <w:p w14:paraId="2CDD5FF4" w14:textId="48D9F70F" w:rsidR="00755CDF" w:rsidRDefault="00584EE4" w:rsidP="00B34D49">
      <w:pPr>
        <w:pStyle w:val="BodyJustified"/>
        <w:numPr>
          <w:ilvl w:val="1"/>
          <w:numId w:val="10"/>
        </w:numPr>
      </w:pPr>
      <w:r>
        <w:t xml:space="preserve">This decrease in funding ratios was recorded across </w:t>
      </w:r>
      <w:r w:rsidR="00EE3284">
        <w:t>all centrally funded schemes</w:t>
      </w:r>
      <w:r w:rsidR="00755CDF">
        <w:t xml:space="preserve">. The highest </w:t>
      </w:r>
      <w:r w:rsidR="00F062A5">
        <w:t xml:space="preserve">decrease </w:t>
      </w:r>
      <w:r w:rsidR="00755CDF">
        <w:t xml:space="preserve">was recorded in Victoria </w:t>
      </w:r>
      <w:r w:rsidR="00B8024A">
        <w:rPr>
          <w:rFonts w:eastAsia="Times New Roman"/>
        </w:rPr>
        <w:t>(</w:t>
      </w:r>
      <w:r w:rsidR="00B8024A">
        <w:rPr>
          <w:rFonts w:ascii="Wingdings 3" w:eastAsia="Times New Roman" w:hAnsi="Wingdings 3"/>
          <w:b/>
          <w:bCs/>
          <w:color w:val="B94F25"/>
        </w:rPr>
        <w:t>i</w:t>
      </w:r>
      <w:r w:rsidR="00B8024A">
        <w:rPr>
          <w:rFonts w:eastAsia="Times New Roman"/>
          <w:b/>
          <w:bCs/>
          <w:color w:val="B94F25"/>
        </w:rPr>
        <w:t xml:space="preserve"> decreased</w:t>
      </w:r>
      <w:r w:rsidR="00932A90">
        <w:rPr>
          <w:rFonts w:eastAsia="Times New Roman"/>
          <w:b/>
          <w:bCs/>
          <w:color w:val="B94F25"/>
        </w:rPr>
        <w:t xml:space="preserve"> 15%</w:t>
      </w:r>
      <w:r w:rsidR="00755CDF">
        <w:t xml:space="preserve"> to a ratio of 107% in </w:t>
      </w:r>
      <w:r w:rsidR="008D7DEA">
        <w:br/>
      </w:r>
      <w:r w:rsidR="00755CDF">
        <w:t>2019-20), followed by Queensland (</w:t>
      </w:r>
      <w:r w:rsidR="00512215">
        <w:rPr>
          <w:rFonts w:ascii="Wingdings 3" w:eastAsia="Times New Roman" w:hAnsi="Wingdings 3"/>
          <w:b/>
          <w:bCs/>
          <w:color w:val="B94F25"/>
        </w:rPr>
        <w:t>i</w:t>
      </w:r>
      <w:r w:rsidR="00512215">
        <w:rPr>
          <w:rFonts w:eastAsia="Times New Roman"/>
          <w:b/>
          <w:bCs/>
          <w:color w:val="B94F25"/>
        </w:rPr>
        <w:t xml:space="preserve"> down</w:t>
      </w:r>
      <w:r w:rsidR="00B5751C">
        <w:rPr>
          <w:rFonts w:eastAsia="Times New Roman"/>
          <w:b/>
          <w:bCs/>
          <w:color w:val="B94F25"/>
        </w:rPr>
        <w:t xml:space="preserve"> 13% </w:t>
      </w:r>
      <w:r w:rsidR="00755CDF">
        <w:t xml:space="preserve">to a ratio of 179%). </w:t>
      </w:r>
    </w:p>
    <w:p w14:paraId="05424ED6" w14:textId="0C5C0DE9" w:rsidR="007224AB" w:rsidRDefault="00EE3284" w:rsidP="00B34D49">
      <w:pPr>
        <w:pStyle w:val="BodyJustified"/>
        <w:numPr>
          <w:ilvl w:val="0"/>
          <w:numId w:val="10"/>
        </w:numPr>
      </w:pPr>
      <w:r>
        <w:t xml:space="preserve">All centrally funded schemes </w:t>
      </w:r>
      <w:r w:rsidR="00755CDF">
        <w:t xml:space="preserve">still </w:t>
      </w:r>
      <w:r>
        <w:t xml:space="preserve">have funding ratios above 100%, indicating that assets are sufficient to meet future liabilities in these jurisdictions. </w:t>
      </w:r>
    </w:p>
    <w:p w14:paraId="2B53490F" w14:textId="1E2C8366" w:rsidR="00EE3284" w:rsidRDefault="00EE3284" w:rsidP="00B34D49">
      <w:pPr>
        <w:pStyle w:val="BodyJustified"/>
        <w:numPr>
          <w:ilvl w:val="0"/>
          <w:numId w:val="10"/>
        </w:numPr>
      </w:pPr>
      <w:r>
        <w:t>In New Zealand, the funding ratio in 20</w:t>
      </w:r>
      <w:r w:rsidR="00755CDF">
        <w:t>19</w:t>
      </w:r>
      <w:r>
        <w:t>–</w:t>
      </w:r>
      <w:r w:rsidR="00755CDF">
        <w:t>20</w:t>
      </w:r>
      <w:r>
        <w:t xml:space="preserve"> (</w:t>
      </w:r>
      <w:r w:rsidR="00755CDF">
        <w:t>130</w:t>
      </w:r>
      <w:r>
        <w:t xml:space="preserve">%) </w:t>
      </w:r>
      <w:r w:rsidR="00422F6A">
        <w:rPr>
          <w:rFonts w:eastAsia="Times New Roman"/>
          <w:b/>
          <w:bCs/>
          <w:color w:val="B94F25"/>
        </w:rPr>
        <w:t>decreased by 7%</w:t>
      </w:r>
      <w:r>
        <w:t xml:space="preserve"> when compared to the previous financial year. </w:t>
      </w:r>
    </w:p>
    <w:p w14:paraId="3526935A" w14:textId="11E7CF75" w:rsidR="00EE3284" w:rsidRPr="00986D99" w:rsidRDefault="00EE3284" w:rsidP="002903E1">
      <w:pPr>
        <w:pStyle w:val="SWASectionnum3"/>
        <w:numPr>
          <w:ilvl w:val="0"/>
          <w:numId w:val="0"/>
        </w:numPr>
        <w:tabs>
          <w:tab w:val="left" w:pos="0"/>
        </w:tabs>
        <w:spacing w:before="240"/>
        <w:rPr>
          <w:sz w:val="20"/>
          <w:szCs w:val="20"/>
        </w:rPr>
      </w:pPr>
      <w:bookmarkStart w:id="12" w:name="_Ref463956262"/>
      <w:bookmarkStart w:id="13" w:name="_Toc80975730"/>
      <w:r w:rsidRPr="00986D99">
        <w:rPr>
          <w:sz w:val="20"/>
          <w:szCs w:val="20"/>
        </w:rPr>
        <w:lastRenderedPageBreak/>
        <w:t>Indicator 1</w:t>
      </w:r>
      <w:bookmarkEnd w:id="12"/>
      <w:r w:rsidRPr="00986D99">
        <w:rPr>
          <w:sz w:val="20"/>
          <w:szCs w:val="20"/>
        </w:rPr>
        <w:t>7 – Standardised ratio of assets to net outstanding claim liabilities for centrally funded (CF) schemes</w:t>
      </w:r>
      <w:bookmarkEnd w:id="13"/>
      <w:r w:rsidRPr="00986D99">
        <w:rPr>
          <w:sz w:val="20"/>
          <w:szCs w:val="20"/>
        </w:rPr>
        <w:t xml:space="preserve"> </w:t>
      </w:r>
    </w:p>
    <w:p w14:paraId="23EFA170" w14:textId="03BB8394" w:rsidR="00EE3284" w:rsidRDefault="00176C37" w:rsidP="00EE3284">
      <w:pPr>
        <w:jc w:val="center"/>
      </w:pPr>
      <w:r>
        <w:rPr>
          <w:noProof/>
        </w:rPr>
        <w:drawing>
          <wp:inline distT="0" distB="0" distL="0" distR="0" wp14:anchorId="6B53F266" wp14:editId="4BC8AC4E">
            <wp:extent cx="5636486" cy="2798859"/>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0094" cy="2810582"/>
                    </a:xfrm>
                    <a:prstGeom prst="rect">
                      <a:avLst/>
                    </a:prstGeom>
                    <a:noFill/>
                  </pic:spPr>
                </pic:pic>
              </a:graphicData>
            </a:graphic>
          </wp:inline>
        </w:drawing>
      </w:r>
    </w:p>
    <w:p w14:paraId="68A9CDA8" w14:textId="77777777" w:rsidR="00755CDF" w:rsidRDefault="00755CDF" w:rsidP="00B34D49">
      <w:pPr>
        <w:pStyle w:val="BodyJustified"/>
      </w:pPr>
    </w:p>
    <w:p w14:paraId="51C4504E" w14:textId="184398D8" w:rsidR="00755CDF" w:rsidRPr="00584EE4" w:rsidRDefault="00755CDF" w:rsidP="00B34D49">
      <w:pPr>
        <w:pStyle w:val="BodyJustified"/>
      </w:pPr>
      <w:r>
        <w:t xml:space="preserve">For privately underwritten schemes, </w:t>
      </w:r>
      <w:r w:rsidR="00C200CA">
        <w:t>I</w:t>
      </w:r>
      <w:r>
        <w:t>ndicator 18 shows:</w:t>
      </w:r>
    </w:p>
    <w:p w14:paraId="1741787D" w14:textId="26F5C231" w:rsidR="00B739E2" w:rsidRDefault="007224AB" w:rsidP="00B739E2">
      <w:pPr>
        <w:pStyle w:val="BodyJustified"/>
        <w:numPr>
          <w:ilvl w:val="0"/>
          <w:numId w:val="9"/>
        </w:numPr>
      </w:pPr>
      <w:r>
        <w:t>I</w:t>
      </w:r>
      <w:r w:rsidR="00EE3284">
        <w:t>n</w:t>
      </w:r>
      <w:r w:rsidR="00EE3284" w:rsidRPr="0087310A">
        <w:t xml:space="preserve"> 20</w:t>
      </w:r>
      <w:r w:rsidR="00755CDF">
        <w:t>19</w:t>
      </w:r>
      <w:r w:rsidR="00EE3284">
        <w:t>–</w:t>
      </w:r>
      <w:r w:rsidR="00755CDF">
        <w:t>20</w:t>
      </w:r>
      <w:r w:rsidR="00EE3284" w:rsidRPr="0087310A">
        <w:t xml:space="preserve"> the average funding ratio for privately underwritten schemes was </w:t>
      </w:r>
      <w:r w:rsidR="00EE3284">
        <w:t>11</w:t>
      </w:r>
      <w:r w:rsidR="00755CDF">
        <w:t>7</w:t>
      </w:r>
      <w:r w:rsidR="00EE3284">
        <w:t>%</w:t>
      </w:r>
      <w:r w:rsidR="00EE3284" w:rsidRPr="0087310A">
        <w:t xml:space="preserve">, </w:t>
      </w:r>
      <w:r w:rsidR="00EE3284">
        <w:t xml:space="preserve">a </w:t>
      </w:r>
      <w:r w:rsidR="000C41CD">
        <w:rPr>
          <w:rFonts w:eastAsia="Times New Roman"/>
          <w:b/>
          <w:bCs/>
          <w:color w:val="00518E"/>
        </w:rPr>
        <w:t>6%</w:t>
      </w:r>
      <w:r w:rsidR="00E30DD0">
        <w:rPr>
          <w:rFonts w:eastAsia="Times New Roman"/>
          <w:b/>
          <w:bCs/>
          <w:color w:val="00518E"/>
        </w:rPr>
        <w:t xml:space="preserve"> increase</w:t>
      </w:r>
      <w:r w:rsidR="00E30DD0">
        <w:t xml:space="preserve"> </w:t>
      </w:r>
      <w:r w:rsidR="00EE3284">
        <w:t xml:space="preserve">from the </w:t>
      </w:r>
      <w:r w:rsidR="00EE3284" w:rsidRPr="0087310A">
        <w:t>previous year.</w:t>
      </w:r>
      <w:r w:rsidR="00EE3284">
        <w:t xml:space="preserve"> </w:t>
      </w:r>
    </w:p>
    <w:p w14:paraId="3B1112F0" w14:textId="03DA7BA8" w:rsidR="00EE3284" w:rsidRDefault="00EE3284" w:rsidP="00B739E2">
      <w:pPr>
        <w:pStyle w:val="BodyJustified"/>
        <w:numPr>
          <w:ilvl w:val="0"/>
          <w:numId w:val="9"/>
        </w:numPr>
      </w:pPr>
      <w:r>
        <w:t xml:space="preserve">Tasmania and the Northern Territory </w:t>
      </w:r>
      <w:r w:rsidR="00755CDF">
        <w:t xml:space="preserve">both recorded increases in their funding ratios </w:t>
      </w:r>
      <w:r>
        <w:t>(</w:t>
      </w:r>
      <w:r w:rsidR="002B4617">
        <w:rPr>
          <w:rFonts w:ascii="Wingdings 3" w:eastAsia="Times New Roman" w:hAnsi="Wingdings 3"/>
          <w:b/>
          <w:bCs/>
          <w:color w:val="00518E"/>
        </w:rPr>
        <w:t>h</w:t>
      </w:r>
      <w:r w:rsidR="002B4617">
        <w:rPr>
          <w:rFonts w:eastAsia="Times New Roman"/>
          <w:b/>
          <w:bCs/>
          <w:color w:val="00518E"/>
        </w:rPr>
        <w:t xml:space="preserve"> </w:t>
      </w:r>
      <w:r w:rsidR="00E14AAB" w:rsidRPr="00B739E2">
        <w:rPr>
          <w:rFonts w:eastAsia="Times New Roman"/>
          <w:b/>
          <w:bCs/>
          <w:color w:val="00518E"/>
        </w:rPr>
        <w:t>up</w:t>
      </w:r>
      <w:r>
        <w:t xml:space="preserve"> </w:t>
      </w:r>
      <w:r w:rsidR="00E14AAB" w:rsidRPr="00B739E2">
        <w:rPr>
          <w:rFonts w:eastAsia="Times New Roman"/>
          <w:b/>
          <w:bCs/>
          <w:color w:val="00518E"/>
        </w:rPr>
        <w:t>3%</w:t>
      </w:r>
      <w:r w:rsidR="00755CDF">
        <w:t xml:space="preserve"> </w:t>
      </w:r>
      <w:r w:rsidR="00755CDF" w:rsidRPr="00532C61">
        <w:rPr>
          <w:b/>
          <w:bCs/>
          <w:color w:val="00518E"/>
        </w:rPr>
        <w:t>and</w:t>
      </w:r>
      <w:r w:rsidR="008D7DEA">
        <w:rPr>
          <w:b/>
          <w:bCs/>
          <w:color w:val="00518E"/>
        </w:rPr>
        <w:t> </w:t>
      </w:r>
      <w:r w:rsidR="00E14AAB" w:rsidRPr="00B739E2">
        <w:rPr>
          <w:rFonts w:eastAsia="Times New Roman"/>
          <w:b/>
          <w:bCs/>
          <w:color w:val="00518E"/>
        </w:rPr>
        <w:t xml:space="preserve">1% </w:t>
      </w:r>
      <w:r w:rsidR="00755CDF">
        <w:t>respectively</w:t>
      </w:r>
      <w:r>
        <w:t xml:space="preserve">), while Western Australia recorded a </w:t>
      </w:r>
      <w:r w:rsidR="00755CDF" w:rsidRPr="00532C61">
        <w:rPr>
          <w:b/>
          <w:bCs/>
          <w:color w:val="B94F25"/>
        </w:rPr>
        <w:t>3</w:t>
      </w:r>
      <w:r w:rsidRPr="00532C61">
        <w:rPr>
          <w:b/>
          <w:bCs/>
          <w:color w:val="B94F25"/>
        </w:rPr>
        <w:t>% decrease</w:t>
      </w:r>
      <w:r>
        <w:t>.</w:t>
      </w:r>
    </w:p>
    <w:p w14:paraId="19106572" w14:textId="77777777" w:rsidR="00EE3284" w:rsidRPr="0087310A" w:rsidRDefault="00EE3284" w:rsidP="00B34D49">
      <w:pPr>
        <w:pStyle w:val="BodyJustified"/>
      </w:pPr>
      <w:r w:rsidRPr="0087310A">
        <w:t xml:space="preserve">Seacare and </w:t>
      </w:r>
      <w:r>
        <w:t xml:space="preserve">the </w:t>
      </w:r>
      <w:r w:rsidRPr="0087310A">
        <w:t xml:space="preserve">Australian Capital Territory schemes are privately underwritten, but no data </w:t>
      </w:r>
      <w:r>
        <w:t>is</w:t>
      </w:r>
      <w:r w:rsidRPr="0087310A">
        <w:t xml:space="preserve"> currently available for this </w:t>
      </w:r>
      <w:r>
        <w:t>I</w:t>
      </w:r>
      <w:r w:rsidRPr="0087310A">
        <w:t xml:space="preserve">ndicator. </w:t>
      </w:r>
    </w:p>
    <w:p w14:paraId="25107B3E" w14:textId="2D909BB4" w:rsidR="00EE3284" w:rsidRPr="00986D99" w:rsidRDefault="00EE3284" w:rsidP="002903E1">
      <w:pPr>
        <w:pStyle w:val="SWASectionnumberingheading"/>
        <w:numPr>
          <w:ilvl w:val="0"/>
          <w:numId w:val="0"/>
        </w:numPr>
        <w:spacing w:before="240"/>
        <w:rPr>
          <w:color w:val="00B050"/>
          <w:sz w:val="20"/>
          <w:szCs w:val="20"/>
        </w:rPr>
      </w:pPr>
      <w:bookmarkStart w:id="14" w:name="_Ref463956320"/>
      <w:bookmarkStart w:id="15" w:name="_Toc80975731"/>
      <w:r w:rsidRPr="00986D99">
        <w:rPr>
          <w:sz w:val="20"/>
          <w:szCs w:val="20"/>
        </w:rPr>
        <w:t xml:space="preserve">Indicator </w:t>
      </w:r>
      <w:r w:rsidRPr="00986D99">
        <w:rPr>
          <w:noProof/>
          <w:sz w:val="20"/>
          <w:szCs w:val="20"/>
        </w:rPr>
        <w:t>1</w:t>
      </w:r>
      <w:bookmarkEnd w:id="14"/>
      <w:r w:rsidRPr="00986D99">
        <w:rPr>
          <w:noProof/>
          <w:sz w:val="20"/>
          <w:szCs w:val="20"/>
        </w:rPr>
        <w:t>8</w:t>
      </w:r>
      <w:r w:rsidRPr="00986D99">
        <w:rPr>
          <w:sz w:val="20"/>
          <w:szCs w:val="20"/>
        </w:rPr>
        <w:t xml:space="preserve"> – Standardised ratio of assets to net outstanding claim liabilities for privately underwritten (PU) schemes</w:t>
      </w:r>
      <w:bookmarkEnd w:id="15"/>
      <w:r w:rsidRPr="00986D99">
        <w:rPr>
          <w:sz w:val="20"/>
          <w:szCs w:val="20"/>
        </w:rPr>
        <w:t xml:space="preserve"> </w:t>
      </w:r>
    </w:p>
    <w:p w14:paraId="3F82A271" w14:textId="27C90364" w:rsidR="00106011" w:rsidRDefault="00111FD7" w:rsidP="007224AB">
      <w:pPr>
        <w:jc w:val="center"/>
      </w:pPr>
      <w:r>
        <w:rPr>
          <w:noProof/>
        </w:rPr>
        <w:drawing>
          <wp:inline distT="0" distB="0" distL="0" distR="0" wp14:anchorId="332500A7" wp14:editId="0415E10A">
            <wp:extent cx="5319423" cy="26504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6338" cy="2658874"/>
                    </a:xfrm>
                    <a:prstGeom prst="rect">
                      <a:avLst/>
                    </a:prstGeom>
                    <a:noFill/>
                  </pic:spPr>
                </pic:pic>
              </a:graphicData>
            </a:graphic>
          </wp:inline>
        </w:drawing>
      </w:r>
    </w:p>
    <w:p w14:paraId="66FF3F7B" w14:textId="77777777" w:rsidR="00757FE0" w:rsidRDefault="00757FE0">
      <w:pPr>
        <w:spacing w:before="0" w:after="160" w:line="259" w:lineRule="auto"/>
        <w:jc w:val="left"/>
        <w:rPr>
          <w:rFonts w:eastAsiaTheme="majorEastAsia" w:cs="Arial"/>
          <w:b/>
          <w:color w:val="AF1E2D"/>
          <w:sz w:val="32"/>
          <w:szCs w:val="22"/>
        </w:rPr>
      </w:pPr>
      <w:bookmarkStart w:id="16" w:name="_Toc476564188"/>
      <w:bookmarkStart w:id="17" w:name="_Toc56776897"/>
      <w:bookmarkStart w:id="18" w:name="_Toc80975732"/>
      <w:bookmarkStart w:id="19" w:name="_Hlk53142742"/>
      <w:bookmarkStart w:id="20" w:name="_Toc476564200"/>
      <w:bookmarkStart w:id="21" w:name="_Toc56776904"/>
      <w:r>
        <w:br w:type="page"/>
      </w:r>
    </w:p>
    <w:p w14:paraId="713F4601" w14:textId="15EE033F" w:rsidR="00106011" w:rsidRPr="00FF028E" w:rsidRDefault="00106011" w:rsidP="002903E1">
      <w:pPr>
        <w:pStyle w:val="SWASectionnum2"/>
        <w:tabs>
          <w:tab w:val="clear" w:pos="360"/>
          <w:tab w:val="clear" w:pos="426"/>
          <w:tab w:val="left" w:pos="709"/>
        </w:tabs>
        <w:spacing w:before="0"/>
        <w:ind w:left="709" w:hanging="709"/>
      </w:pPr>
      <w:r w:rsidRPr="00FF028E">
        <w:lastRenderedPageBreak/>
        <w:t>Scheme expenditure</w:t>
      </w:r>
      <w:bookmarkEnd w:id="16"/>
      <w:bookmarkEnd w:id="17"/>
      <w:bookmarkEnd w:id="18"/>
      <w:r>
        <w:t xml:space="preserve"> </w:t>
      </w:r>
    </w:p>
    <w:p w14:paraId="236D9159" w14:textId="770E2D1A" w:rsidR="00106011" w:rsidRDefault="00106011" w:rsidP="00B34D49">
      <w:pPr>
        <w:pStyle w:val="BodyJustified"/>
      </w:pPr>
      <w:r>
        <w:t xml:space="preserve">This section </w:t>
      </w:r>
      <w:r w:rsidRPr="0087310A">
        <w:t xml:space="preserve">shows the amount and proportion of total scheme expenditure </w:t>
      </w:r>
      <w:r>
        <w:t xml:space="preserve">paid out </w:t>
      </w:r>
      <w:r w:rsidRPr="0087310A">
        <w:t xml:space="preserve">to injured </w:t>
      </w:r>
      <w:r>
        <w:t>workers,</w:t>
      </w:r>
      <w:r w:rsidRPr="0087310A">
        <w:t xml:space="preserve"> plus administrative costs</w:t>
      </w:r>
      <w:r>
        <w:t>,</w:t>
      </w:r>
      <w:r w:rsidRPr="0087310A">
        <w:t xml:space="preserve"> for the period </w:t>
      </w:r>
      <w:r>
        <w:t>201</w:t>
      </w:r>
      <w:r w:rsidR="00AE04E0">
        <w:t>5</w:t>
      </w:r>
      <w:r>
        <w:t>–1</w:t>
      </w:r>
      <w:r w:rsidR="00AE04E0">
        <w:t>6</w:t>
      </w:r>
      <w:r w:rsidR="007224AB">
        <w:t xml:space="preserve"> compared to</w:t>
      </w:r>
      <w:r>
        <w:t xml:space="preserve"> 2019–20</w:t>
      </w:r>
      <w:r w:rsidRPr="0087310A">
        <w:t>. Since centrally funded and privately</w:t>
      </w:r>
      <w:r>
        <w:t xml:space="preserve"> </w:t>
      </w:r>
      <w:r w:rsidRPr="0087310A">
        <w:t>underwritten schemes have different financial structures</w:t>
      </w:r>
      <w:r>
        <w:t>, this indicator</w:t>
      </w:r>
      <w:r w:rsidRPr="0087310A">
        <w:t xml:space="preserve"> </w:t>
      </w:r>
      <w:r w:rsidR="007224AB">
        <w:t>separates each jurisdiction</w:t>
      </w:r>
      <w:r w:rsidRPr="0087310A">
        <w:t xml:space="preserve"> in</w:t>
      </w:r>
      <w:r w:rsidR="007224AB">
        <w:t>to</w:t>
      </w:r>
      <w:r w:rsidRPr="0087310A">
        <w:t xml:space="preserve"> their respective funding arrangement group.</w:t>
      </w:r>
    </w:p>
    <w:p w14:paraId="2C617C94" w14:textId="77777777" w:rsidR="00106011" w:rsidRPr="00986D99" w:rsidRDefault="00106011" w:rsidP="002903E1">
      <w:pPr>
        <w:spacing w:before="240" w:after="240"/>
        <w:rPr>
          <w:b/>
          <w:bCs/>
          <w:sz w:val="28"/>
          <w:szCs w:val="28"/>
        </w:rPr>
      </w:pPr>
      <w:r w:rsidRPr="00986D99">
        <w:rPr>
          <w:b/>
          <w:bCs/>
          <w:sz w:val="28"/>
          <w:szCs w:val="28"/>
        </w:rPr>
        <w:t>National</w:t>
      </w:r>
    </w:p>
    <w:p w14:paraId="651BF929" w14:textId="250D98D9" w:rsidR="00AE04E0" w:rsidRDefault="00106011" w:rsidP="00986D99">
      <w:pPr>
        <w:spacing w:before="120"/>
      </w:pPr>
      <w:r w:rsidRPr="00A90EF2">
        <w:t xml:space="preserve">In </w:t>
      </w:r>
      <w:r w:rsidRPr="008E2F0F">
        <w:t>2019–20</w:t>
      </w:r>
      <w:r w:rsidRPr="00A90EF2">
        <w:t xml:space="preserve">, </w:t>
      </w:r>
      <w:r>
        <w:t>t</w:t>
      </w:r>
      <w:r w:rsidRPr="0087310A">
        <w:t>otal scheme expenditur</w:t>
      </w:r>
      <w:r>
        <w:t xml:space="preserve">e across Australia </w:t>
      </w:r>
      <w:r w:rsidR="00AE04E0">
        <w:t>was $9.</w:t>
      </w:r>
      <w:r w:rsidR="00A075BC">
        <w:t>9</w:t>
      </w:r>
      <w:r w:rsidR="00AE04E0">
        <w:t xml:space="preserve"> </w:t>
      </w:r>
      <w:r w:rsidR="00577002">
        <w:t>billion</w:t>
      </w:r>
      <w:r w:rsidR="00AE04E0">
        <w:t xml:space="preserve">. This </w:t>
      </w:r>
      <w:r w:rsidR="005C3EB9">
        <w:t xml:space="preserve">was </w:t>
      </w:r>
      <w:r w:rsidR="00AE04E0">
        <w:t xml:space="preserve">an </w:t>
      </w:r>
      <w:r w:rsidR="00AE04E0" w:rsidRPr="0085091F">
        <w:rPr>
          <w:b/>
          <w:bCs/>
          <w:color w:val="00518E"/>
        </w:rPr>
        <w:t>increase of 1</w:t>
      </w:r>
      <w:r w:rsidR="00356D02" w:rsidRPr="0085091F">
        <w:rPr>
          <w:b/>
          <w:bCs/>
          <w:color w:val="00518E"/>
        </w:rPr>
        <w:t>9</w:t>
      </w:r>
      <w:r w:rsidR="00AE04E0" w:rsidRPr="0085091F">
        <w:rPr>
          <w:b/>
          <w:bCs/>
          <w:color w:val="00518E"/>
        </w:rPr>
        <w:t>%</w:t>
      </w:r>
      <w:r w:rsidR="00AE04E0">
        <w:t xml:space="preserve"> over the period from 2015–16 and 2019–20.  The scheme expenditure consisted of:</w:t>
      </w:r>
    </w:p>
    <w:p w14:paraId="3B136617" w14:textId="4D40A7BC" w:rsidR="00AE04E0" w:rsidRPr="00AE04E0" w:rsidRDefault="00AE04E0"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AE04E0">
        <w:t>5</w:t>
      </w:r>
      <w:r w:rsidR="00356D02">
        <w:t>4</w:t>
      </w:r>
      <w:r w:rsidRPr="00AE04E0">
        <w:t>.</w:t>
      </w:r>
      <w:r w:rsidR="00356D02">
        <w:t>4</w:t>
      </w:r>
      <w:r w:rsidRPr="00AE04E0">
        <w:t xml:space="preserve">% provided </w:t>
      </w:r>
      <w:r w:rsidRPr="00B80675">
        <w:rPr>
          <w:b/>
          <w:bCs/>
        </w:rPr>
        <w:t>directly to claimants</w:t>
      </w:r>
      <w:r w:rsidRPr="00AE04E0">
        <w:t xml:space="preserve"> (</w:t>
      </w:r>
      <w:r w:rsidR="004135B6">
        <w:rPr>
          <w:rFonts w:ascii="Wingdings 3" w:hAnsi="Wingdings 3"/>
          <w:b/>
          <w:bCs/>
          <w:color w:val="00518E"/>
        </w:rPr>
        <w:t>h</w:t>
      </w:r>
      <w:r w:rsidR="004135B6">
        <w:rPr>
          <w:b/>
          <w:bCs/>
          <w:color w:val="00518E"/>
        </w:rPr>
        <w:t xml:space="preserve"> up </w:t>
      </w:r>
      <w:r w:rsidR="002037FB">
        <w:rPr>
          <w:b/>
          <w:bCs/>
          <w:color w:val="00518E"/>
        </w:rPr>
        <w:t>21%</w:t>
      </w:r>
      <w:r w:rsidRPr="00AE04E0">
        <w:t>).  Direct compensation is paid to injured employees either as weekly benefits, redemptions, common law settlements (excluding legal costs), and non-economic loss benefits.</w:t>
      </w:r>
    </w:p>
    <w:p w14:paraId="6077C44B" w14:textId="580552AF" w:rsidR="00AE04E0" w:rsidRPr="00AE04E0" w:rsidRDefault="00AE04E0"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AE04E0">
        <w:t>24.</w:t>
      </w:r>
      <w:r w:rsidR="00356D02">
        <w:t>1</w:t>
      </w:r>
      <w:r w:rsidRPr="00AE04E0">
        <w:t xml:space="preserve">% </w:t>
      </w:r>
      <w:r w:rsidR="005C3EB9">
        <w:t xml:space="preserve">in </w:t>
      </w:r>
      <w:r w:rsidRPr="00B80675">
        <w:rPr>
          <w:b/>
          <w:bCs/>
        </w:rPr>
        <w:t>services to claimants</w:t>
      </w:r>
      <w:r w:rsidRPr="00AE04E0">
        <w:t xml:space="preserve"> (</w:t>
      </w:r>
      <w:r w:rsidR="004135B6">
        <w:rPr>
          <w:rFonts w:ascii="Wingdings 3" w:hAnsi="Wingdings 3"/>
          <w:b/>
          <w:bCs/>
          <w:color w:val="00518E"/>
        </w:rPr>
        <w:t>h</w:t>
      </w:r>
      <w:r w:rsidR="004135B6">
        <w:rPr>
          <w:b/>
          <w:bCs/>
          <w:color w:val="00518E"/>
        </w:rPr>
        <w:t xml:space="preserve"> up</w:t>
      </w:r>
      <w:r w:rsidR="002037FB">
        <w:rPr>
          <w:b/>
          <w:bCs/>
          <w:color w:val="00518E"/>
        </w:rPr>
        <w:t xml:space="preserve"> 26%</w:t>
      </w:r>
      <w:r w:rsidRPr="00AE04E0">
        <w:t>)</w:t>
      </w:r>
      <w:r w:rsidR="00E06D84">
        <w:t xml:space="preserve">. </w:t>
      </w:r>
      <w:r w:rsidR="003643C7">
        <w:t>Services to claimant encompass c</w:t>
      </w:r>
      <w:r w:rsidR="00E06D84" w:rsidRPr="0087310A">
        <w:t xml:space="preserve">osts associated with </w:t>
      </w:r>
      <w:r w:rsidR="00E06D84">
        <w:t>s</w:t>
      </w:r>
      <w:r w:rsidR="00E06D84" w:rsidRPr="0087310A">
        <w:t>ervices to claimants include expenditures for medical and legal services plus expenditures for services like funeral, interpreting and transport services.</w:t>
      </w:r>
    </w:p>
    <w:p w14:paraId="3D586049" w14:textId="2279694F" w:rsidR="00AE04E0" w:rsidRPr="00AE04E0" w:rsidRDefault="00AE04E0"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AE04E0">
        <w:t>15.</w:t>
      </w:r>
      <w:r w:rsidR="001E0956">
        <w:t>2</w:t>
      </w:r>
      <w:r w:rsidRPr="00AE04E0">
        <w:t xml:space="preserve">% in </w:t>
      </w:r>
      <w:r w:rsidRPr="00B80675">
        <w:rPr>
          <w:b/>
          <w:bCs/>
        </w:rPr>
        <w:t>insurance operations</w:t>
      </w:r>
      <w:r w:rsidRPr="00AE04E0">
        <w:t xml:space="preserve"> (</w:t>
      </w:r>
      <w:r w:rsidR="00C846DE">
        <w:rPr>
          <w:rFonts w:ascii="Wingdings 3" w:hAnsi="Wingdings 3"/>
          <w:b/>
          <w:bCs/>
          <w:color w:val="B94F25"/>
        </w:rPr>
        <w:t>i</w:t>
      </w:r>
      <w:r w:rsidR="00C846DE">
        <w:rPr>
          <w:b/>
          <w:bCs/>
          <w:color w:val="B94F25"/>
        </w:rPr>
        <w:t xml:space="preserve"> down 3%</w:t>
      </w:r>
      <w:r w:rsidRPr="00AE04E0">
        <w:t>)</w:t>
      </w:r>
      <w:r w:rsidR="007224AB">
        <w:t xml:space="preserve">. </w:t>
      </w:r>
      <w:r w:rsidR="003643C7">
        <w:t xml:space="preserve"> Insurance operations encompass costs associated with claims management and premium collection functions of the scheme (e.g. premiums/levy management, feed paid to agents, medical reports, registration of employers etc).</w:t>
      </w:r>
    </w:p>
    <w:p w14:paraId="7C943D43" w14:textId="7E006D28" w:rsidR="00AE04E0" w:rsidRPr="00AE04E0" w:rsidRDefault="00AE04E0" w:rsidP="00AE04E0">
      <w:pPr>
        <w:pStyle w:val="ListParagraph"/>
        <w:numPr>
          <w:ilvl w:val="0"/>
          <w:numId w:val="8"/>
        </w:numPr>
        <w:overflowPunct w:val="0"/>
        <w:autoSpaceDE w:val="0"/>
        <w:autoSpaceDN w:val="0"/>
        <w:adjustRightInd w:val="0"/>
        <w:spacing w:before="100"/>
        <w:ind w:left="714" w:hanging="357"/>
        <w:contextualSpacing w:val="0"/>
        <w:textAlignment w:val="baseline"/>
      </w:pPr>
      <w:r w:rsidRPr="00AE04E0">
        <w:t xml:space="preserve">1.0% in </w:t>
      </w:r>
      <w:r w:rsidRPr="00B80675">
        <w:rPr>
          <w:b/>
          <w:bCs/>
        </w:rPr>
        <w:t>regulation</w:t>
      </w:r>
      <w:r w:rsidRPr="00AE04E0">
        <w:t xml:space="preserve"> (</w:t>
      </w:r>
      <w:r w:rsidR="00E81262">
        <w:rPr>
          <w:rFonts w:ascii="Wingdings 3" w:hAnsi="Wingdings 3"/>
          <w:b/>
          <w:bCs/>
          <w:color w:val="00518E"/>
        </w:rPr>
        <w:t>h</w:t>
      </w:r>
      <w:r w:rsidR="00E81262">
        <w:rPr>
          <w:b/>
          <w:bCs/>
          <w:color w:val="00518E"/>
        </w:rPr>
        <w:t xml:space="preserve"> up 35%</w:t>
      </w:r>
      <w:r w:rsidRPr="00AE04E0">
        <w:t>)</w:t>
      </w:r>
      <w:r w:rsidR="003643C7">
        <w:t xml:space="preserve">. Regulation costs include those for license and performance management, compliance activities (e.g. fraud investigations, litigation and prosecution), and services such as advertising, administration, IT costs, research, overseeing employers, etc. </w:t>
      </w:r>
    </w:p>
    <w:p w14:paraId="4CF79824" w14:textId="431D8263" w:rsidR="00AE04E0" w:rsidRPr="00AE04E0" w:rsidRDefault="001E0956" w:rsidP="00AE04E0">
      <w:pPr>
        <w:pStyle w:val="ListParagraph"/>
        <w:numPr>
          <w:ilvl w:val="0"/>
          <w:numId w:val="8"/>
        </w:numPr>
        <w:overflowPunct w:val="0"/>
        <w:autoSpaceDE w:val="0"/>
        <w:autoSpaceDN w:val="0"/>
        <w:adjustRightInd w:val="0"/>
        <w:spacing w:before="100"/>
        <w:ind w:left="714" w:hanging="357"/>
        <w:contextualSpacing w:val="0"/>
        <w:textAlignment w:val="baseline"/>
      </w:pPr>
      <w:r>
        <w:t>1</w:t>
      </w:r>
      <w:r w:rsidR="00AE04E0" w:rsidRPr="00AE04E0">
        <w:t xml:space="preserve">.7% in </w:t>
      </w:r>
      <w:r w:rsidR="00AE04E0" w:rsidRPr="00B80675">
        <w:rPr>
          <w:b/>
          <w:bCs/>
        </w:rPr>
        <w:t xml:space="preserve">dispute </w:t>
      </w:r>
      <w:r w:rsidR="00C04B3A">
        <w:rPr>
          <w:b/>
          <w:bCs/>
        </w:rPr>
        <w:t>resolution</w:t>
      </w:r>
      <w:r w:rsidR="00C04B3A" w:rsidRPr="00AE04E0">
        <w:t xml:space="preserve"> </w:t>
      </w:r>
      <w:r w:rsidR="00AE04E0" w:rsidRPr="00AE04E0">
        <w:t>(</w:t>
      </w:r>
      <w:r w:rsidR="003D33A7">
        <w:rPr>
          <w:rFonts w:ascii="Wingdings 3" w:hAnsi="Wingdings 3"/>
          <w:b/>
          <w:bCs/>
          <w:color w:val="00518E"/>
        </w:rPr>
        <w:t>h</w:t>
      </w:r>
      <w:r w:rsidR="003D33A7">
        <w:rPr>
          <w:b/>
          <w:bCs/>
          <w:color w:val="00518E"/>
        </w:rPr>
        <w:t xml:space="preserve"> up 21%</w:t>
      </w:r>
      <w:r w:rsidR="00AE04E0" w:rsidRPr="00AE04E0">
        <w:t>)</w:t>
      </w:r>
      <w:r w:rsidR="003643C7">
        <w:t xml:space="preserve">. Dispute </w:t>
      </w:r>
      <w:r w:rsidR="00C04B3A">
        <w:t xml:space="preserve">resolution </w:t>
      </w:r>
      <w:r w:rsidR="003643C7">
        <w:t xml:space="preserve">includes all activities associated with the finalisation of disputes other than the direct costs of a claim.  This includes costs associated with departments of justice/courts, conciliation, medical panels and workers’ compensation tribunals/courts. </w:t>
      </w:r>
    </w:p>
    <w:p w14:paraId="3FAA46D0" w14:textId="1CC24F2C" w:rsidR="00AE04E0" w:rsidRPr="00AE04E0" w:rsidRDefault="00AE04E0" w:rsidP="00910E8B">
      <w:pPr>
        <w:pStyle w:val="ListParagraph"/>
        <w:numPr>
          <w:ilvl w:val="0"/>
          <w:numId w:val="8"/>
        </w:numPr>
        <w:overflowPunct w:val="0"/>
        <w:autoSpaceDE w:val="0"/>
        <w:autoSpaceDN w:val="0"/>
        <w:adjustRightInd w:val="0"/>
        <w:spacing w:before="120" w:after="120" w:line="276" w:lineRule="auto"/>
        <w:ind w:left="714" w:hanging="357"/>
        <w:contextualSpacing w:val="0"/>
        <w:textAlignment w:val="baseline"/>
      </w:pPr>
      <w:r w:rsidRPr="00AE04E0">
        <w:t>3.</w:t>
      </w:r>
      <w:r w:rsidR="001E0956">
        <w:t>7</w:t>
      </w:r>
      <w:r w:rsidRPr="00AE04E0">
        <w:t xml:space="preserve">% in </w:t>
      </w:r>
      <w:r w:rsidRPr="00B80675">
        <w:rPr>
          <w:b/>
          <w:bCs/>
        </w:rPr>
        <w:t xml:space="preserve">other administration </w:t>
      </w:r>
      <w:r w:rsidRPr="00AE04E0">
        <w:t>(</w:t>
      </w:r>
      <w:r w:rsidR="0085091F">
        <w:rPr>
          <w:rFonts w:ascii="Wingdings 3" w:hAnsi="Wingdings 3"/>
          <w:b/>
          <w:bCs/>
          <w:color w:val="00518E"/>
        </w:rPr>
        <w:t>h</w:t>
      </w:r>
      <w:r w:rsidR="0085091F">
        <w:rPr>
          <w:b/>
          <w:bCs/>
          <w:color w:val="00518E"/>
        </w:rPr>
        <w:t xml:space="preserve"> </w:t>
      </w:r>
      <w:r w:rsidR="0085091F" w:rsidRPr="0085091F">
        <w:rPr>
          <w:b/>
          <w:bCs/>
          <w:color w:val="2F5496" w:themeColor="accent1" w:themeShade="BF"/>
        </w:rPr>
        <w:t>up</w:t>
      </w:r>
      <w:r w:rsidRPr="0085091F">
        <w:rPr>
          <w:b/>
          <w:bCs/>
          <w:color w:val="2F5496" w:themeColor="accent1" w:themeShade="BF"/>
        </w:rPr>
        <w:t xml:space="preserve"> </w:t>
      </w:r>
      <w:r w:rsidR="00A76C9A" w:rsidRPr="0085091F">
        <w:rPr>
          <w:b/>
          <w:bCs/>
          <w:color w:val="2F5496" w:themeColor="accent1" w:themeShade="BF"/>
        </w:rPr>
        <w:t>103</w:t>
      </w:r>
      <w:r w:rsidRPr="0085091F">
        <w:rPr>
          <w:b/>
          <w:bCs/>
          <w:color w:val="2F5496" w:themeColor="accent1" w:themeShade="BF"/>
        </w:rPr>
        <w:t>%</w:t>
      </w:r>
      <w:r w:rsidRPr="00AE04E0">
        <w:t>)</w:t>
      </w:r>
      <w:r w:rsidR="00E06D84">
        <w:t>. Other administration costs are generally expenditures for corporate administration purposes.</w:t>
      </w:r>
    </w:p>
    <w:p w14:paraId="40C1D9D6" w14:textId="06340EDE" w:rsidR="00AE04E0" w:rsidRPr="00986D99" w:rsidRDefault="00AE04E0" w:rsidP="002903E1">
      <w:pPr>
        <w:spacing w:before="240" w:after="240"/>
        <w:rPr>
          <w:b/>
          <w:bCs/>
          <w:sz w:val="28"/>
          <w:szCs w:val="28"/>
        </w:rPr>
      </w:pPr>
      <w:r w:rsidRPr="00986D99">
        <w:rPr>
          <w:b/>
          <w:bCs/>
          <w:sz w:val="28"/>
          <w:szCs w:val="28"/>
        </w:rPr>
        <w:t>Jurisdictions</w:t>
      </w:r>
    </w:p>
    <w:p w14:paraId="040A8638" w14:textId="19AEABC3" w:rsidR="00AE04E0" w:rsidRDefault="00AE04E0" w:rsidP="00106011">
      <w:pPr>
        <w:spacing w:before="120"/>
      </w:pPr>
      <w:r>
        <w:t xml:space="preserve">Overall </w:t>
      </w:r>
      <w:r w:rsidR="005C3EB9">
        <w:t xml:space="preserve">an increase in </w:t>
      </w:r>
      <w:r>
        <w:t xml:space="preserve">scheme costs </w:t>
      </w:r>
      <w:r w:rsidR="005C3EB9">
        <w:t xml:space="preserve">was recorded for seven of the nine jurisdictions </w:t>
      </w:r>
      <w:r w:rsidR="005C3EB9" w:rsidRPr="0087310A">
        <w:t xml:space="preserve">over the </w:t>
      </w:r>
      <w:r w:rsidR="005C3EB9">
        <w:t>period</w:t>
      </w:r>
      <w:r w:rsidR="005C3EB9" w:rsidRPr="0087310A">
        <w:t xml:space="preserve"> from </w:t>
      </w:r>
      <w:r w:rsidR="005C3EB9">
        <w:t>2015–1</w:t>
      </w:r>
      <w:r w:rsidR="00E06D84">
        <w:t>6</w:t>
      </w:r>
      <w:r w:rsidR="005C3EB9">
        <w:t xml:space="preserve"> to 201</w:t>
      </w:r>
      <w:r w:rsidR="00DC5DA9">
        <w:t>9–20</w:t>
      </w:r>
      <w:r w:rsidR="005C3EB9">
        <w:t>.</w:t>
      </w:r>
    </w:p>
    <w:p w14:paraId="7BA51B29" w14:textId="0BE6F55D" w:rsidR="00AE04E0" w:rsidRDefault="00DC5DA9" w:rsidP="00DC5DA9">
      <w:pPr>
        <w:pStyle w:val="ListParagraph"/>
        <w:numPr>
          <w:ilvl w:val="0"/>
          <w:numId w:val="9"/>
        </w:numPr>
        <w:spacing w:before="120"/>
      </w:pPr>
      <w:r>
        <w:t xml:space="preserve">While New South Wales recorded the </w:t>
      </w:r>
      <w:r w:rsidR="005C3EB9">
        <w:t xml:space="preserve">largest percentage increase </w:t>
      </w:r>
      <w:r w:rsidR="00F75A5C">
        <w:t xml:space="preserve">overall </w:t>
      </w:r>
      <w:r w:rsidR="00E06D84">
        <w:t>(</w:t>
      </w:r>
      <w:r w:rsidR="00A31AEC">
        <w:rPr>
          <w:rFonts w:ascii="Wingdings 3" w:hAnsi="Wingdings 3"/>
          <w:b/>
          <w:bCs/>
          <w:color w:val="00518E"/>
        </w:rPr>
        <w:t>h</w:t>
      </w:r>
      <w:r w:rsidR="00A31AEC">
        <w:rPr>
          <w:b/>
          <w:bCs/>
          <w:color w:val="00518E"/>
        </w:rPr>
        <w:t xml:space="preserve"> up 36%</w:t>
      </w:r>
      <w:r w:rsidR="00E06D84">
        <w:t>)</w:t>
      </w:r>
      <w:r>
        <w:t>, Queensland and Victoria experienced increases in all scheme expenditure categories</w:t>
      </w:r>
      <w:r w:rsidR="00E06D84">
        <w:t>.</w:t>
      </w:r>
    </w:p>
    <w:p w14:paraId="38222F4A" w14:textId="0922E62A" w:rsidR="00E06D84" w:rsidRDefault="00E06D84" w:rsidP="00106011">
      <w:pPr>
        <w:spacing w:before="120"/>
      </w:pPr>
      <w:r>
        <w:t>The two jurisdictions that experienced a decrease i</w:t>
      </w:r>
      <w:r w:rsidR="00F75A5C">
        <w:t>n</w:t>
      </w:r>
      <w:r>
        <w:t xml:space="preserve"> scheme costs between 2015–16 to 201</w:t>
      </w:r>
      <w:r w:rsidR="00F75A5C">
        <w:t>9</w:t>
      </w:r>
      <w:r>
        <w:t>–</w:t>
      </w:r>
      <w:r w:rsidR="00F75A5C">
        <w:t>20</w:t>
      </w:r>
      <w:r>
        <w:t xml:space="preserve"> </w:t>
      </w:r>
      <w:proofErr w:type="gramStart"/>
      <w:r>
        <w:t>were</w:t>
      </w:r>
      <w:proofErr w:type="gramEnd"/>
      <w:r>
        <w:t xml:space="preserve"> Comcare (</w:t>
      </w:r>
      <w:r w:rsidR="005A00FC">
        <w:rPr>
          <w:rFonts w:ascii="Wingdings 3" w:hAnsi="Wingdings 3"/>
          <w:b/>
          <w:bCs/>
          <w:color w:val="B94F25"/>
        </w:rPr>
        <w:t>i</w:t>
      </w:r>
      <w:r w:rsidR="005A00FC">
        <w:rPr>
          <w:b/>
          <w:bCs/>
          <w:color w:val="B94F25"/>
        </w:rPr>
        <w:t xml:space="preserve"> down 24%</w:t>
      </w:r>
      <w:r>
        <w:t>) and South Australia (</w:t>
      </w:r>
      <w:r w:rsidR="005A00FC">
        <w:rPr>
          <w:rFonts w:ascii="Wingdings 3" w:hAnsi="Wingdings 3"/>
          <w:b/>
          <w:bCs/>
          <w:color w:val="B94F25"/>
        </w:rPr>
        <w:t>i</w:t>
      </w:r>
      <w:r w:rsidR="005A00FC">
        <w:rPr>
          <w:b/>
          <w:bCs/>
          <w:color w:val="B94F25"/>
        </w:rPr>
        <w:t xml:space="preserve"> down</w:t>
      </w:r>
      <w:r>
        <w:t xml:space="preserve"> </w:t>
      </w:r>
      <w:r w:rsidR="00DC5DA9" w:rsidRPr="005A00FC">
        <w:rPr>
          <w:b/>
          <w:bCs/>
          <w:color w:val="B94F25"/>
        </w:rPr>
        <w:t>23%</w:t>
      </w:r>
      <w:r w:rsidR="00DC5DA9">
        <w:t>).</w:t>
      </w:r>
    </w:p>
    <w:p w14:paraId="4B11069F" w14:textId="5CC6066D" w:rsidR="00DC5DA9" w:rsidRDefault="00DC5DA9" w:rsidP="00DC5DA9">
      <w:pPr>
        <w:pStyle w:val="ListParagraph"/>
        <w:numPr>
          <w:ilvl w:val="0"/>
          <w:numId w:val="11"/>
        </w:numPr>
        <w:spacing w:before="120"/>
      </w:pPr>
      <w:r w:rsidRPr="00DC5DA9">
        <w:t xml:space="preserve">During </w:t>
      </w:r>
      <w:r>
        <w:t xml:space="preserve">these five years, both Comcare and South Australia recorded a decrease in </w:t>
      </w:r>
      <w:proofErr w:type="gramStart"/>
      <w:r>
        <w:t>all of</w:t>
      </w:r>
      <w:proofErr w:type="gramEnd"/>
      <w:r>
        <w:t xml:space="preserve"> the scheme expenditure categories.  </w:t>
      </w:r>
    </w:p>
    <w:p w14:paraId="33F168D4" w14:textId="6F3E67FA" w:rsidR="00347734" w:rsidRDefault="00A331B6" w:rsidP="00DC5DA9">
      <w:pPr>
        <w:pStyle w:val="ListParagraph"/>
        <w:numPr>
          <w:ilvl w:val="0"/>
          <w:numId w:val="11"/>
        </w:numPr>
        <w:spacing w:before="120"/>
      </w:pPr>
      <w:r>
        <w:t xml:space="preserve">The reductions in South Australia </w:t>
      </w:r>
      <w:r w:rsidR="00782811">
        <w:t xml:space="preserve">from 2015-16 </w:t>
      </w:r>
      <w:r>
        <w:t xml:space="preserve">were in part due to the </w:t>
      </w:r>
      <w:r w:rsidR="00216E7A">
        <w:t>cessation</w:t>
      </w:r>
      <w:r w:rsidR="00366682">
        <w:t xml:space="preserve"> of the </w:t>
      </w:r>
      <w:r w:rsidR="002D3051">
        <w:t>previous scheme</w:t>
      </w:r>
      <w:r w:rsidR="00782811">
        <w:t>, where $169 million was paid in redemptions, which are not a feature of the current scheme.</w:t>
      </w:r>
    </w:p>
    <w:p w14:paraId="608DD962" w14:textId="5E1FF8B7" w:rsidR="00DC5DA9" w:rsidRPr="00DC5DA9" w:rsidRDefault="00F75A5C" w:rsidP="00DC5DA9">
      <w:pPr>
        <w:spacing w:before="120"/>
      </w:pPr>
      <w:r>
        <w:t>Examining</w:t>
      </w:r>
      <w:r w:rsidR="00DC5DA9">
        <w:t xml:space="preserve"> the individual scheme expenditure categories</w:t>
      </w:r>
      <w:r w:rsidR="00A25760">
        <w:t xml:space="preserve"> between 2015–16 to 201</w:t>
      </w:r>
      <w:r>
        <w:t>9</w:t>
      </w:r>
      <w:r w:rsidR="00A25760">
        <w:t>–</w:t>
      </w:r>
      <w:r>
        <w:t>20</w:t>
      </w:r>
      <w:r w:rsidR="00DC5DA9">
        <w:t xml:space="preserve">, </w:t>
      </w:r>
      <w:r>
        <w:t>I</w:t>
      </w:r>
      <w:r w:rsidR="00DC5DA9">
        <w:t>ndicator 19</w:t>
      </w:r>
      <w:r w:rsidR="00951721">
        <w:t>a and 19b</w:t>
      </w:r>
      <w:r w:rsidR="00DC5DA9">
        <w:t xml:space="preserve"> show:</w:t>
      </w:r>
    </w:p>
    <w:p w14:paraId="3D356E01" w14:textId="77777777" w:rsidR="00F75A5C" w:rsidRDefault="00DC5DA9"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B80675">
        <w:t>Payments made</w:t>
      </w:r>
      <w:r w:rsidRPr="00B80675">
        <w:rPr>
          <w:b/>
          <w:bCs/>
        </w:rPr>
        <w:t xml:space="preserve"> directly to workers</w:t>
      </w:r>
      <w:r w:rsidR="00A25760">
        <w:t xml:space="preserve"> increased in six of the nine jurisdictions.  </w:t>
      </w:r>
    </w:p>
    <w:p w14:paraId="70E2AFF5" w14:textId="1A38413B" w:rsidR="00F75A5C"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increase was recorded by New South Wales (</w:t>
      </w:r>
      <w:r w:rsidR="00821930">
        <w:rPr>
          <w:rFonts w:ascii="Wingdings 3" w:hAnsi="Wingdings 3"/>
          <w:b/>
          <w:bCs/>
          <w:color w:val="00518E"/>
        </w:rPr>
        <w:t>h</w:t>
      </w:r>
      <w:r w:rsidR="00821930" w:rsidRPr="00B624BE">
        <w:rPr>
          <w:b/>
          <w:bCs/>
          <w:color w:val="00518E"/>
        </w:rPr>
        <w:t xml:space="preserve"> </w:t>
      </w:r>
      <w:r w:rsidRPr="00B624BE">
        <w:rPr>
          <w:b/>
          <w:bCs/>
          <w:color w:val="00518E"/>
        </w:rPr>
        <w:t>up 43%</w:t>
      </w:r>
      <w:r>
        <w:t xml:space="preserve">).  </w:t>
      </w:r>
    </w:p>
    <w:p w14:paraId="150E4571" w14:textId="0C2905E1" w:rsidR="00A25760"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decreas</w:t>
      </w:r>
      <w:r w:rsidR="007902E4">
        <w:t>e</w:t>
      </w:r>
      <w:r>
        <w:t xml:space="preserve"> was in South Australia (</w:t>
      </w:r>
      <w:r w:rsidR="00251CFD">
        <w:rPr>
          <w:rFonts w:ascii="Wingdings 3" w:hAnsi="Wingdings 3"/>
          <w:b/>
          <w:bCs/>
          <w:color w:val="B94F25"/>
        </w:rPr>
        <w:t>i</w:t>
      </w:r>
      <w:r w:rsidR="00251CFD">
        <w:rPr>
          <w:b/>
          <w:bCs/>
          <w:color w:val="B94F25"/>
        </w:rPr>
        <w:t xml:space="preserve"> </w:t>
      </w:r>
      <w:r w:rsidRPr="00B624BE">
        <w:rPr>
          <w:b/>
          <w:bCs/>
          <w:color w:val="B94F25"/>
        </w:rPr>
        <w:t>down 34%</w:t>
      </w:r>
      <w:r>
        <w:t>).</w:t>
      </w:r>
    </w:p>
    <w:p w14:paraId="19D9F1FB" w14:textId="77777777" w:rsidR="00F75A5C" w:rsidRPr="00B80675"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B80675">
        <w:t xml:space="preserve">Expenses paid to workers as </w:t>
      </w:r>
      <w:r w:rsidRPr="00B80675">
        <w:rPr>
          <w:b/>
          <w:bCs/>
        </w:rPr>
        <w:t>services to claimants</w:t>
      </w:r>
      <w:r w:rsidRPr="00B80675">
        <w:t xml:space="preserve"> increased in seven jurisdictions.  </w:t>
      </w:r>
    </w:p>
    <w:p w14:paraId="79D0A61A" w14:textId="247A586D" w:rsidR="00F75A5C"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increase was recorded by New South Wales (</w:t>
      </w:r>
      <w:r w:rsidR="00821930">
        <w:rPr>
          <w:rFonts w:ascii="Wingdings 3" w:hAnsi="Wingdings 3"/>
          <w:b/>
          <w:bCs/>
          <w:color w:val="00518E"/>
        </w:rPr>
        <w:t>h</w:t>
      </w:r>
      <w:r w:rsidR="00821930">
        <w:t xml:space="preserve"> </w:t>
      </w:r>
      <w:r w:rsidRPr="00F95449">
        <w:rPr>
          <w:b/>
          <w:bCs/>
          <w:color w:val="00518E"/>
        </w:rPr>
        <w:t>up 4</w:t>
      </w:r>
      <w:r w:rsidR="007D648C" w:rsidRPr="00F95449">
        <w:rPr>
          <w:b/>
          <w:bCs/>
          <w:color w:val="00518E"/>
        </w:rPr>
        <w:t>9</w:t>
      </w:r>
      <w:r w:rsidRPr="00F95449">
        <w:rPr>
          <w:b/>
          <w:bCs/>
          <w:color w:val="00518E"/>
        </w:rPr>
        <w:t>%</w:t>
      </w:r>
      <w:r>
        <w:t xml:space="preserve">).  </w:t>
      </w:r>
    </w:p>
    <w:p w14:paraId="5DE3CC2B" w14:textId="23783723" w:rsidR="00A25760" w:rsidRPr="00A25760"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decrease was in Comcare (</w:t>
      </w:r>
      <w:r w:rsidR="00821930">
        <w:rPr>
          <w:rFonts w:ascii="Wingdings 3" w:hAnsi="Wingdings 3"/>
          <w:b/>
          <w:bCs/>
          <w:color w:val="B94F25"/>
        </w:rPr>
        <w:t>i</w:t>
      </w:r>
      <w:r w:rsidR="00821930">
        <w:rPr>
          <w:b/>
          <w:bCs/>
          <w:color w:val="B94F25"/>
        </w:rPr>
        <w:t xml:space="preserve"> </w:t>
      </w:r>
      <w:r w:rsidRPr="00F95449">
        <w:rPr>
          <w:b/>
          <w:bCs/>
          <w:color w:val="B94F25"/>
        </w:rPr>
        <w:t>down 25%</w:t>
      </w:r>
      <w:r>
        <w:t>).</w:t>
      </w:r>
    </w:p>
    <w:p w14:paraId="7A7966B4" w14:textId="77777777" w:rsidR="00F75A5C" w:rsidRDefault="00A25760" w:rsidP="002903E1">
      <w:pPr>
        <w:pStyle w:val="ListParagraph"/>
        <w:keepNext/>
        <w:keepLines/>
        <w:numPr>
          <w:ilvl w:val="0"/>
          <w:numId w:val="8"/>
        </w:numPr>
        <w:overflowPunct w:val="0"/>
        <w:autoSpaceDE w:val="0"/>
        <w:autoSpaceDN w:val="0"/>
        <w:adjustRightInd w:val="0"/>
        <w:spacing w:before="100"/>
        <w:ind w:left="714" w:hanging="357"/>
        <w:contextualSpacing w:val="0"/>
        <w:textAlignment w:val="baseline"/>
      </w:pPr>
      <w:r w:rsidRPr="00B80675">
        <w:lastRenderedPageBreak/>
        <w:t>Costs associated with expenses for</w:t>
      </w:r>
      <w:r w:rsidRPr="00B80675">
        <w:rPr>
          <w:b/>
          <w:bCs/>
        </w:rPr>
        <w:t xml:space="preserve"> insurance operations</w:t>
      </w:r>
      <w:r>
        <w:t xml:space="preserve"> increased in five jurisdictions.  </w:t>
      </w:r>
    </w:p>
    <w:p w14:paraId="491EDC7C" w14:textId="57928F46" w:rsidR="00F75A5C" w:rsidRDefault="00A25760" w:rsidP="002903E1">
      <w:pPr>
        <w:pStyle w:val="ListParagraph"/>
        <w:keepNext/>
        <w:keepLines/>
        <w:numPr>
          <w:ilvl w:val="1"/>
          <w:numId w:val="8"/>
        </w:numPr>
        <w:overflowPunct w:val="0"/>
        <w:autoSpaceDE w:val="0"/>
        <w:autoSpaceDN w:val="0"/>
        <w:adjustRightInd w:val="0"/>
        <w:spacing w:before="100"/>
        <w:contextualSpacing w:val="0"/>
        <w:textAlignment w:val="baseline"/>
      </w:pPr>
      <w:r>
        <w:t>The largest increase was recorded by the Northern Territory (</w:t>
      </w:r>
      <w:r w:rsidR="00821930">
        <w:rPr>
          <w:rFonts w:ascii="Wingdings 3" w:hAnsi="Wingdings 3"/>
          <w:b/>
          <w:bCs/>
          <w:color w:val="00518E"/>
        </w:rPr>
        <w:t>h</w:t>
      </w:r>
      <w:r w:rsidR="00821930">
        <w:t xml:space="preserve"> </w:t>
      </w:r>
      <w:r w:rsidRPr="00F95449">
        <w:rPr>
          <w:b/>
          <w:bCs/>
          <w:color w:val="00518E"/>
        </w:rPr>
        <w:t>up 34%</w:t>
      </w:r>
      <w:r>
        <w:t xml:space="preserve">).  </w:t>
      </w:r>
    </w:p>
    <w:p w14:paraId="00DD77D1" w14:textId="55E7FF3F" w:rsidR="00A25760" w:rsidRDefault="00A25760" w:rsidP="002903E1">
      <w:pPr>
        <w:pStyle w:val="ListParagraph"/>
        <w:keepNext/>
        <w:keepLines/>
        <w:numPr>
          <w:ilvl w:val="1"/>
          <w:numId w:val="8"/>
        </w:numPr>
        <w:overflowPunct w:val="0"/>
        <w:autoSpaceDE w:val="0"/>
        <w:autoSpaceDN w:val="0"/>
        <w:adjustRightInd w:val="0"/>
        <w:spacing w:before="100"/>
        <w:contextualSpacing w:val="0"/>
        <w:textAlignment w:val="baseline"/>
      </w:pPr>
      <w:r>
        <w:t>The largest decrease was in New South Wales (</w:t>
      </w:r>
      <w:r w:rsidR="00821930">
        <w:rPr>
          <w:rFonts w:ascii="Wingdings 3" w:hAnsi="Wingdings 3"/>
          <w:b/>
          <w:bCs/>
          <w:color w:val="B94F25"/>
        </w:rPr>
        <w:t>i</w:t>
      </w:r>
      <w:r w:rsidR="00821930">
        <w:rPr>
          <w:b/>
          <w:bCs/>
          <w:color w:val="B94F25"/>
        </w:rPr>
        <w:t xml:space="preserve"> </w:t>
      </w:r>
      <w:r w:rsidRPr="00F95449">
        <w:rPr>
          <w:b/>
          <w:bCs/>
          <w:color w:val="B94F25"/>
        </w:rPr>
        <w:t>down 22%</w:t>
      </w:r>
      <w:r>
        <w:t>).</w:t>
      </w:r>
    </w:p>
    <w:p w14:paraId="7397BF06" w14:textId="2578BAAD" w:rsidR="00F75A5C"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B80675">
        <w:t>Costs in</w:t>
      </w:r>
      <w:r w:rsidRPr="00B80675">
        <w:rPr>
          <w:b/>
          <w:bCs/>
        </w:rPr>
        <w:t xml:space="preserve"> regulation</w:t>
      </w:r>
      <w:r>
        <w:t xml:space="preserve"> increased in four jurisdictions. </w:t>
      </w:r>
    </w:p>
    <w:p w14:paraId="4A76E625" w14:textId="2EF0951D" w:rsidR="00F75A5C"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increase was recorded by New South Wales (</w:t>
      </w:r>
      <w:r w:rsidR="0035492B">
        <w:rPr>
          <w:rFonts w:ascii="Wingdings 3" w:hAnsi="Wingdings 3"/>
          <w:b/>
          <w:bCs/>
          <w:color w:val="00518E"/>
        </w:rPr>
        <w:t>h</w:t>
      </w:r>
      <w:r w:rsidR="0035492B">
        <w:rPr>
          <w:b/>
          <w:bCs/>
          <w:color w:val="00518E"/>
        </w:rPr>
        <w:t xml:space="preserve"> </w:t>
      </w:r>
      <w:r w:rsidRPr="0059704D">
        <w:rPr>
          <w:b/>
          <w:bCs/>
          <w:color w:val="00518E"/>
        </w:rPr>
        <w:t>up 214%</w:t>
      </w:r>
      <w:r>
        <w:t xml:space="preserve">).  </w:t>
      </w:r>
    </w:p>
    <w:p w14:paraId="46D59340" w14:textId="4038034E" w:rsidR="00A25760" w:rsidRPr="00A25760"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decrease was in Comcare (</w:t>
      </w:r>
      <w:r w:rsidR="00821930">
        <w:rPr>
          <w:rFonts w:ascii="Wingdings 3" w:hAnsi="Wingdings 3"/>
          <w:b/>
          <w:bCs/>
          <w:color w:val="B94F25"/>
        </w:rPr>
        <w:t>i</w:t>
      </w:r>
      <w:r w:rsidR="00821930">
        <w:rPr>
          <w:b/>
          <w:bCs/>
          <w:color w:val="B94F25"/>
        </w:rPr>
        <w:t xml:space="preserve"> </w:t>
      </w:r>
      <w:r w:rsidRPr="0059704D">
        <w:rPr>
          <w:b/>
          <w:bCs/>
          <w:color w:val="B94F25"/>
        </w:rPr>
        <w:t>down 62%</w:t>
      </w:r>
      <w:r>
        <w:t>).</w:t>
      </w:r>
    </w:p>
    <w:p w14:paraId="043D8AB9" w14:textId="089214FA" w:rsidR="00F75A5C"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B80675">
        <w:t>Costs in</w:t>
      </w:r>
      <w:r w:rsidRPr="00B80675">
        <w:rPr>
          <w:b/>
          <w:bCs/>
        </w:rPr>
        <w:t xml:space="preserve"> dispute </w:t>
      </w:r>
      <w:r w:rsidR="00C04B3A">
        <w:rPr>
          <w:b/>
          <w:bCs/>
        </w:rPr>
        <w:t>resolution</w:t>
      </w:r>
      <w:r w:rsidR="00C04B3A">
        <w:t xml:space="preserve"> </w:t>
      </w:r>
      <w:r>
        <w:t xml:space="preserve">increased in four jurisdictions. </w:t>
      </w:r>
    </w:p>
    <w:p w14:paraId="2F6E1FA4" w14:textId="7826B00E" w:rsidR="00F75A5C"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increase was recorded by the Northern Territory (</w:t>
      </w:r>
      <w:r w:rsidR="0035492B">
        <w:rPr>
          <w:rFonts w:ascii="Wingdings 3" w:hAnsi="Wingdings 3"/>
          <w:b/>
          <w:bCs/>
          <w:color w:val="00518E"/>
        </w:rPr>
        <w:t>h</w:t>
      </w:r>
      <w:r w:rsidR="0035492B">
        <w:rPr>
          <w:b/>
          <w:bCs/>
          <w:color w:val="00518E"/>
        </w:rPr>
        <w:t xml:space="preserve"> </w:t>
      </w:r>
      <w:r w:rsidRPr="0059704D">
        <w:rPr>
          <w:b/>
          <w:bCs/>
          <w:color w:val="00518E"/>
        </w:rPr>
        <w:t>up 459%</w:t>
      </w:r>
      <w:r>
        <w:t xml:space="preserve">).  </w:t>
      </w:r>
    </w:p>
    <w:p w14:paraId="161A934D" w14:textId="2D30A948" w:rsidR="00A25760" w:rsidRDefault="00A25760" w:rsidP="00F75A5C">
      <w:pPr>
        <w:pStyle w:val="ListParagraph"/>
        <w:numPr>
          <w:ilvl w:val="1"/>
          <w:numId w:val="8"/>
        </w:numPr>
        <w:overflowPunct w:val="0"/>
        <w:autoSpaceDE w:val="0"/>
        <w:autoSpaceDN w:val="0"/>
        <w:adjustRightInd w:val="0"/>
        <w:spacing w:before="100"/>
        <w:contextualSpacing w:val="0"/>
        <w:textAlignment w:val="baseline"/>
      </w:pPr>
      <w:r>
        <w:t xml:space="preserve">The largest decrease was in </w:t>
      </w:r>
      <w:r w:rsidR="00B45016">
        <w:t>re</w:t>
      </w:r>
      <w:r w:rsidR="00532366">
        <w:t xml:space="preserve">corded by </w:t>
      </w:r>
      <w:r w:rsidR="00ED7E30">
        <w:t xml:space="preserve">Comcare </w:t>
      </w:r>
      <w:r>
        <w:t>(</w:t>
      </w:r>
      <w:r w:rsidR="00821930">
        <w:rPr>
          <w:rFonts w:ascii="Wingdings 3" w:hAnsi="Wingdings 3"/>
          <w:b/>
          <w:bCs/>
          <w:color w:val="B94F25"/>
        </w:rPr>
        <w:t>i</w:t>
      </w:r>
      <w:r w:rsidR="00821930">
        <w:rPr>
          <w:b/>
          <w:bCs/>
          <w:color w:val="B94F25"/>
        </w:rPr>
        <w:t xml:space="preserve"> </w:t>
      </w:r>
      <w:r w:rsidRPr="0059704D">
        <w:rPr>
          <w:b/>
          <w:bCs/>
          <w:color w:val="B94F25"/>
        </w:rPr>
        <w:t xml:space="preserve">down </w:t>
      </w:r>
      <w:r w:rsidR="00ED7E30">
        <w:rPr>
          <w:b/>
          <w:bCs/>
          <w:color w:val="B94F25"/>
        </w:rPr>
        <w:t>95</w:t>
      </w:r>
      <w:r w:rsidRPr="0059704D">
        <w:rPr>
          <w:b/>
          <w:bCs/>
          <w:color w:val="B94F25"/>
        </w:rPr>
        <w:t>%</w:t>
      </w:r>
      <w:r>
        <w:t>).</w:t>
      </w:r>
    </w:p>
    <w:p w14:paraId="2CD31D5F" w14:textId="77777777" w:rsidR="00F75A5C" w:rsidRDefault="00A25760" w:rsidP="00A25760">
      <w:pPr>
        <w:pStyle w:val="ListParagraph"/>
        <w:numPr>
          <w:ilvl w:val="0"/>
          <w:numId w:val="8"/>
        </w:numPr>
        <w:overflowPunct w:val="0"/>
        <w:autoSpaceDE w:val="0"/>
        <w:autoSpaceDN w:val="0"/>
        <w:adjustRightInd w:val="0"/>
        <w:spacing w:before="100"/>
        <w:ind w:left="714" w:hanging="357"/>
        <w:contextualSpacing w:val="0"/>
        <w:textAlignment w:val="baseline"/>
      </w:pPr>
      <w:r w:rsidRPr="00B80675">
        <w:t xml:space="preserve">Expenditures spent on </w:t>
      </w:r>
      <w:r w:rsidRPr="00B80675">
        <w:rPr>
          <w:b/>
          <w:bCs/>
        </w:rPr>
        <w:t>‘Other administration’</w:t>
      </w:r>
      <w:r>
        <w:t xml:space="preserve"> increased in six jurisdictions.  </w:t>
      </w:r>
    </w:p>
    <w:p w14:paraId="25CE2601" w14:textId="30812513" w:rsidR="00F75A5C"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increase was recorded by New South Wales (</w:t>
      </w:r>
      <w:r w:rsidR="0035492B">
        <w:rPr>
          <w:rFonts w:ascii="Wingdings 3" w:hAnsi="Wingdings 3"/>
          <w:b/>
          <w:bCs/>
          <w:color w:val="00518E"/>
        </w:rPr>
        <w:t>h</w:t>
      </w:r>
      <w:r w:rsidR="0035492B">
        <w:rPr>
          <w:b/>
          <w:bCs/>
          <w:color w:val="00518E"/>
        </w:rPr>
        <w:t xml:space="preserve"> </w:t>
      </w:r>
      <w:r w:rsidRPr="0059704D">
        <w:rPr>
          <w:b/>
          <w:bCs/>
          <w:color w:val="00518E"/>
        </w:rPr>
        <w:t xml:space="preserve">up </w:t>
      </w:r>
      <w:r w:rsidR="00532366" w:rsidRPr="0059704D">
        <w:rPr>
          <w:b/>
          <w:bCs/>
          <w:color w:val="00518E"/>
        </w:rPr>
        <w:t>932</w:t>
      </w:r>
      <w:r w:rsidRPr="0059704D">
        <w:rPr>
          <w:b/>
          <w:bCs/>
          <w:color w:val="00518E"/>
        </w:rPr>
        <w:t>%</w:t>
      </w:r>
      <w:r>
        <w:t xml:space="preserve">).  </w:t>
      </w:r>
    </w:p>
    <w:p w14:paraId="08461C1E" w14:textId="1B3DA66D" w:rsidR="00A25760" w:rsidRPr="00A25760" w:rsidRDefault="00A25760" w:rsidP="00F75A5C">
      <w:pPr>
        <w:pStyle w:val="ListParagraph"/>
        <w:numPr>
          <w:ilvl w:val="1"/>
          <w:numId w:val="8"/>
        </w:numPr>
        <w:overflowPunct w:val="0"/>
        <w:autoSpaceDE w:val="0"/>
        <w:autoSpaceDN w:val="0"/>
        <w:adjustRightInd w:val="0"/>
        <w:spacing w:before="100"/>
        <w:contextualSpacing w:val="0"/>
        <w:textAlignment w:val="baseline"/>
      </w:pPr>
      <w:r>
        <w:t>The largest decrease was in Western Australia (</w:t>
      </w:r>
      <w:r w:rsidR="00821930">
        <w:rPr>
          <w:rFonts w:ascii="Wingdings 3" w:hAnsi="Wingdings 3"/>
          <w:b/>
          <w:bCs/>
          <w:color w:val="B94F25"/>
        </w:rPr>
        <w:t>i</w:t>
      </w:r>
      <w:r w:rsidR="00821930">
        <w:rPr>
          <w:b/>
          <w:bCs/>
          <w:color w:val="B94F25"/>
        </w:rPr>
        <w:t xml:space="preserve"> </w:t>
      </w:r>
      <w:r w:rsidRPr="0059704D">
        <w:rPr>
          <w:b/>
          <w:bCs/>
          <w:color w:val="B94F25"/>
        </w:rPr>
        <w:t>down 10%</w:t>
      </w:r>
      <w:r>
        <w:t>).</w:t>
      </w:r>
    </w:p>
    <w:p w14:paraId="37645C33" w14:textId="77777777" w:rsidR="00106011" w:rsidRDefault="00106011" w:rsidP="00106011">
      <w:pPr>
        <w:pStyle w:val="BodyText"/>
        <w:sectPr w:rsidR="00106011" w:rsidSect="00106011">
          <w:footerReference w:type="default" r:id="rId21"/>
          <w:footerReference w:type="first" r:id="rId22"/>
          <w:pgSz w:w="11906" w:h="16838"/>
          <w:pgMar w:top="1134" w:right="1134" w:bottom="1134" w:left="1418" w:header="720" w:footer="720" w:gutter="0"/>
          <w:cols w:space="720"/>
          <w:noEndnote/>
          <w:titlePg/>
          <w:docGrid w:linePitch="299"/>
        </w:sectPr>
      </w:pPr>
    </w:p>
    <w:p w14:paraId="2031EF50" w14:textId="698F687E" w:rsidR="00106011" w:rsidRPr="00986D99" w:rsidRDefault="00106011" w:rsidP="00986D99">
      <w:pPr>
        <w:pStyle w:val="SWASectionnumberingheading"/>
        <w:numPr>
          <w:ilvl w:val="0"/>
          <w:numId w:val="0"/>
        </w:numPr>
        <w:spacing w:before="0"/>
        <w:rPr>
          <w:sz w:val="20"/>
          <w:szCs w:val="20"/>
        </w:rPr>
      </w:pPr>
      <w:bookmarkStart w:id="22" w:name="_Ref463960842"/>
      <w:bookmarkStart w:id="23" w:name="_Toc80975733"/>
      <w:r w:rsidRPr="00986D99">
        <w:rPr>
          <w:sz w:val="20"/>
          <w:szCs w:val="20"/>
        </w:rPr>
        <w:lastRenderedPageBreak/>
        <w:t xml:space="preserve">Indicator </w:t>
      </w:r>
      <w:bookmarkEnd w:id="22"/>
      <w:r w:rsidRPr="00986D99">
        <w:rPr>
          <w:noProof/>
          <w:sz w:val="20"/>
          <w:szCs w:val="20"/>
        </w:rPr>
        <w:t>19</w:t>
      </w:r>
      <w:r w:rsidR="00C312EE">
        <w:rPr>
          <w:noProof/>
          <w:sz w:val="20"/>
          <w:szCs w:val="20"/>
        </w:rPr>
        <w:t>a</w:t>
      </w:r>
      <w:r w:rsidRPr="00986D99">
        <w:rPr>
          <w:sz w:val="20"/>
          <w:szCs w:val="20"/>
        </w:rPr>
        <w:t xml:space="preserve"> – Scheme expenditure </w:t>
      </w:r>
      <w:r w:rsidR="006C40BE">
        <w:rPr>
          <w:sz w:val="20"/>
          <w:szCs w:val="20"/>
        </w:rPr>
        <w:t>($m)</w:t>
      </w:r>
      <w:bookmarkEnd w:id="23"/>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Indicator 19 - Scheme expenditure ($m)"/>
        <w:tblDescription w:val="This table show scheme expenditure (in millions) by type (direct to claimant, services to claimant, insurance operations, regulation, dispute resolution, and other administration costs) and jurisdiction for centrally funded and privately underwritten schemes, in 2015-16 and in 2019-20. "/>
      </w:tblPr>
      <w:tblGrid>
        <w:gridCol w:w="1809"/>
        <w:gridCol w:w="1022"/>
        <w:gridCol w:w="1131"/>
        <w:gridCol w:w="1136"/>
        <w:gridCol w:w="1134"/>
        <w:gridCol w:w="1276"/>
        <w:gridCol w:w="1134"/>
        <w:gridCol w:w="1276"/>
        <w:gridCol w:w="1208"/>
        <w:gridCol w:w="1065"/>
        <w:gridCol w:w="1031"/>
        <w:gridCol w:w="1054"/>
      </w:tblGrid>
      <w:tr w:rsidR="00106011" w:rsidRPr="00CA1F00" w14:paraId="27F035DB" w14:textId="77777777" w:rsidTr="00106011">
        <w:trPr>
          <w:cantSplit/>
          <w:trHeight w:val="491"/>
        </w:trPr>
        <w:tc>
          <w:tcPr>
            <w:tcW w:w="634" w:type="pct"/>
            <w:shd w:val="clear" w:color="auto" w:fill="AF1E2D"/>
            <w:vAlign w:val="center"/>
            <w:hideMark/>
          </w:tcPr>
          <w:p w14:paraId="36B6A149" w14:textId="77777777" w:rsidR="00106011" w:rsidRPr="00CA1F00" w:rsidRDefault="00106011" w:rsidP="00106011">
            <w:pPr>
              <w:spacing w:before="60" w:after="60"/>
              <w:jc w:val="left"/>
              <w:rPr>
                <w:rFonts w:cs="Arial"/>
                <w:b/>
                <w:bCs/>
                <w:color w:val="FFFFFF" w:themeColor="background1"/>
                <w:sz w:val="18"/>
                <w:szCs w:val="18"/>
              </w:rPr>
            </w:pPr>
            <w:r w:rsidRPr="00CA1F00">
              <w:rPr>
                <w:rFonts w:cs="Arial"/>
                <w:b/>
                <w:bCs/>
                <w:color w:val="FFFFFF" w:themeColor="background1"/>
                <w:sz w:val="18"/>
                <w:szCs w:val="18"/>
              </w:rPr>
              <w:t>Expenditure ($M)</w:t>
            </w:r>
          </w:p>
        </w:tc>
        <w:tc>
          <w:tcPr>
            <w:tcW w:w="1996" w:type="pct"/>
            <w:gridSpan w:val="5"/>
            <w:shd w:val="clear" w:color="auto" w:fill="AF1E2D"/>
            <w:vAlign w:val="center"/>
            <w:hideMark/>
          </w:tcPr>
          <w:p w14:paraId="17564377"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Centrally funded</w:t>
            </w:r>
          </w:p>
        </w:tc>
        <w:tc>
          <w:tcPr>
            <w:tcW w:w="1640" w:type="pct"/>
            <w:gridSpan w:val="4"/>
            <w:shd w:val="clear" w:color="auto" w:fill="AF1E2D"/>
            <w:vAlign w:val="center"/>
            <w:hideMark/>
          </w:tcPr>
          <w:p w14:paraId="6366ECD1"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Privately underwritten</w:t>
            </w:r>
          </w:p>
        </w:tc>
        <w:tc>
          <w:tcPr>
            <w:tcW w:w="730" w:type="pct"/>
            <w:gridSpan w:val="2"/>
            <w:shd w:val="clear" w:color="auto" w:fill="AF1E2D"/>
            <w:vAlign w:val="center"/>
            <w:hideMark/>
          </w:tcPr>
          <w:p w14:paraId="7E97FDCA"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Total</w:t>
            </w:r>
          </w:p>
        </w:tc>
      </w:tr>
      <w:tr w:rsidR="00106011" w:rsidRPr="00CA1F00" w14:paraId="4DAEAB81" w14:textId="77777777" w:rsidTr="00106011">
        <w:trPr>
          <w:cantSplit/>
          <w:trHeight w:val="437"/>
        </w:trPr>
        <w:tc>
          <w:tcPr>
            <w:tcW w:w="634" w:type="pct"/>
            <w:shd w:val="clear" w:color="auto" w:fill="AF1E2D"/>
            <w:vAlign w:val="center"/>
            <w:hideMark/>
          </w:tcPr>
          <w:p w14:paraId="454ED59F" w14:textId="77777777" w:rsidR="00106011" w:rsidRPr="00CA1F00" w:rsidRDefault="00106011" w:rsidP="00106011">
            <w:pPr>
              <w:spacing w:before="60" w:after="60"/>
              <w:jc w:val="left"/>
              <w:rPr>
                <w:rFonts w:cs="Arial"/>
                <w:b/>
                <w:bCs/>
                <w:color w:val="FFFFFF" w:themeColor="background1"/>
                <w:sz w:val="18"/>
                <w:szCs w:val="18"/>
              </w:rPr>
            </w:pPr>
            <w:r w:rsidRPr="00CA1F00">
              <w:rPr>
                <w:rFonts w:cs="Arial"/>
                <w:b/>
                <w:bCs/>
                <w:color w:val="FFFFFF" w:themeColor="background1"/>
                <w:sz w:val="18"/>
                <w:szCs w:val="18"/>
              </w:rPr>
              <w:t>Scheme costs</w:t>
            </w:r>
          </w:p>
        </w:tc>
        <w:tc>
          <w:tcPr>
            <w:tcW w:w="358" w:type="pct"/>
            <w:tcBorders>
              <w:bottom w:val="single" w:sz="4" w:space="0" w:color="FFFFFF" w:themeColor="background1"/>
            </w:tcBorders>
            <w:shd w:val="clear" w:color="auto" w:fill="AF1E2D"/>
            <w:vAlign w:val="center"/>
            <w:hideMark/>
          </w:tcPr>
          <w:p w14:paraId="7C65FE0A" w14:textId="77777777" w:rsidR="00106011" w:rsidRPr="00CA1F00" w:rsidRDefault="00106011" w:rsidP="00106011">
            <w:pPr>
              <w:spacing w:before="60" w:after="60"/>
              <w:jc w:val="center"/>
              <w:rPr>
                <w:rFonts w:cs="Arial"/>
                <w:b/>
                <w:bCs/>
                <w:color w:val="FF0000"/>
                <w:sz w:val="18"/>
                <w:szCs w:val="18"/>
              </w:rPr>
            </w:pPr>
            <w:r w:rsidRPr="00CA1F00">
              <w:rPr>
                <w:rFonts w:cs="Arial"/>
                <w:b/>
                <w:bCs/>
                <w:color w:val="FFFFFF" w:themeColor="background1"/>
                <w:sz w:val="18"/>
                <w:szCs w:val="18"/>
              </w:rPr>
              <w:t>NSW</w:t>
            </w:r>
          </w:p>
        </w:tc>
        <w:tc>
          <w:tcPr>
            <w:tcW w:w="396" w:type="pct"/>
            <w:tcBorders>
              <w:bottom w:val="single" w:sz="4" w:space="0" w:color="FFFFFF" w:themeColor="background1"/>
            </w:tcBorders>
            <w:shd w:val="clear" w:color="auto" w:fill="AF1E2D"/>
            <w:vAlign w:val="center"/>
            <w:hideMark/>
          </w:tcPr>
          <w:p w14:paraId="6FCFB832"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Vic</w:t>
            </w:r>
          </w:p>
        </w:tc>
        <w:tc>
          <w:tcPr>
            <w:tcW w:w="398" w:type="pct"/>
            <w:tcBorders>
              <w:bottom w:val="single" w:sz="4" w:space="0" w:color="FFFFFF" w:themeColor="background1"/>
            </w:tcBorders>
            <w:shd w:val="clear" w:color="auto" w:fill="AF1E2D"/>
            <w:vAlign w:val="center"/>
            <w:hideMark/>
          </w:tcPr>
          <w:p w14:paraId="0EDA4C08"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Qld</w:t>
            </w:r>
          </w:p>
        </w:tc>
        <w:tc>
          <w:tcPr>
            <w:tcW w:w="397" w:type="pct"/>
            <w:tcBorders>
              <w:bottom w:val="single" w:sz="4" w:space="0" w:color="FFFFFF" w:themeColor="background1"/>
            </w:tcBorders>
            <w:shd w:val="clear" w:color="auto" w:fill="AF1E2D"/>
            <w:vAlign w:val="center"/>
          </w:tcPr>
          <w:p w14:paraId="67A377BD"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SA</w:t>
            </w:r>
          </w:p>
        </w:tc>
        <w:tc>
          <w:tcPr>
            <w:tcW w:w="447" w:type="pct"/>
            <w:tcBorders>
              <w:bottom w:val="single" w:sz="4" w:space="0" w:color="FFFFFF" w:themeColor="background1"/>
            </w:tcBorders>
            <w:shd w:val="clear" w:color="auto" w:fill="AF1E2D"/>
            <w:vAlign w:val="center"/>
          </w:tcPr>
          <w:p w14:paraId="05358DA4" w14:textId="77777777" w:rsidR="00106011" w:rsidRPr="00CA1F00" w:rsidRDefault="00106011" w:rsidP="00106011">
            <w:pPr>
              <w:spacing w:before="60" w:after="60"/>
              <w:jc w:val="center"/>
              <w:rPr>
                <w:rFonts w:cs="Arial"/>
                <w:b/>
                <w:bCs/>
                <w:color w:val="FFFFFF" w:themeColor="background1"/>
                <w:sz w:val="18"/>
                <w:szCs w:val="18"/>
              </w:rPr>
            </w:pPr>
            <w:proofErr w:type="spellStart"/>
            <w:r w:rsidRPr="00CA1F00">
              <w:rPr>
                <w:rFonts w:cs="Arial"/>
                <w:b/>
                <w:bCs/>
                <w:color w:val="FFFFFF" w:themeColor="background1"/>
                <w:sz w:val="18"/>
                <w:szCs w:val="18"/>
              </w:rPr>
              <w:t>Aus</w:t>
            </w:r>
            <w:proofErr w:type="spellEnd"/>
            <w:r w:rsidRPr="00CA1F00">
              <w:rPr>
                <w:rFonts w:cs="Arial"/>
                <w:b/>
                <w:bCs/>
                <w:color w:val="FFFFFF" w:themeColor="background1"/>
                <w:sz w:val="18"/>
                <w:szCs w:val="18"/>
              </w:rPr>
              <w:t xml:space="preserve"> Gov</w:t>
            </w:r>
          </w:p>
        </w:tc>
        <w:tc>
          <w:tcPr>
            <w:tcW w:w="397" w:type="pct"/>
            <w:tcBorders>
              <w:bottom w:val="single" w:sz="4" w:space="0" w:color="FFFFFF" w:themeColor="background1"/>
            </w:tcBorders>
            <w:shd w:val="clear" w:color="auto" w:fill="AF1E2D"/>
            <w:vAlign w:val="center"/>
            <w:hideMark/>
          </w:tcPr>
          <w:p w14:paraId="72878958"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WA</w:t>
            </w:r>
          </w:p>
        </w:tc>
        <w:tc>
          <w:tcPr>
            <w:tcW w:w="447" w:type="pct"/>
            <w:tcBorders>
              <w:bottom w:val="single" w:sz="4" w:space="0" w:color="FFFFFF" w:themeColor="background1"/>
            </w:tcBorders>
            <w:shd w:val="clear" w:color="auto" w:fill="AF1E2D"/>
            <w:vAlign w:val="center"/>
            <w:hideMark/>
          </w:tcPr>
          <w:p w14:paraId="54ACDAB8"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Tas</w:t>
            </w:r>
          </w:p>
        </w:tc>
        <w:tc>
          <w:tcPr>
            <w:tcW w:w="423" w:type="pct"/>
            <w:tcBorders>
              <w:bottom w:val="single" w:sz="4" w:space="0" w:color="FFFFFF" w:themeColor="background1"/>
            </w:tcBorders>
            <w:shd w:val="clear" w:color="auto" w:fill="AF1E2D"/>
            <w:vAlign w:val="center"/>
            <w:hideMark/>
          </w:tcPr>
          <w:p w14:paraId="064FB876"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NT</w:t>
            </w:r>
          </w:p>
        </w:tc>
        <w:tc>
          <w:tcPr>
            <w:tcW w:w="373" w:type="pct"/>
            <w:tcBorders>
              <w:bottom w:val="single" w:sz="4" w:space="0" w:color="FFFFFF" w:themeColor="background1"/>
            </w:tcBorders>
            <w:shd w:val="clear" w:color="auto" w:fill="AF1E2D"/>
            <w:vAlign w:val="center"/>
          </w:tcPr>
          <w:p w14:paraId="3B6444C2"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Seacare</w:t>
            </w:r>
          </w:p>
        </w:tc>
        <w:tc>
          <w:tcPr>
            <w:tcW w:w="361" w:type="pct"/>
            <w:tcBorders>
              <w:bottom w:val="single" w:sz="4" w:space="0" w:color="FFFFFF" w:themeColor="background1"/>
            </w:tcBorders>
            <w:shd w:val="clear" w:color="auto" w:fill="AF1E2D"/>
            <w:vAlign w:val="center"/>
            <w:hideMark/>
          </w:tcPr>
          <w:p w14:paraId="10AEA1AB"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Australia</w:t>
            </w:r>
          </w:p>
        </w:tc>
        <w:tc>
          <w:tcPr>
            <w:tcW w:w="369" w:type="pct"/>
            <w:tcBorders>
              <w:bottom w:val="single" w:sz="4" w:space="0" w:color="FFFFFF" w:themeColor="background1"/>
            </w:tcBorders>
            <w:shd w:val="clear" w:color="auto" w:fill="AF1E2D"/>
            <w:vAlign w:val="center"/>
            <w:hideMark/>
          </w:tcPr>
          <w:p w14:paraId="167CD2C6" w14:textId="77777777" w:rsidR="00106011" w:rsidRPr="00CA1F00" w:rsidRDefault="00106011" w:rsidP="00106011">
            <w:pPr>
              <w:spacing w:before="60" w:after="60"/>
              <w:jc w:val="center"/>
              <w:rPr>
                <w:rFonts w:cs="Arial"/>
                <w:b/>
                <w:bCs/>
                <w:color w:val="FFFFFF" w:themeColor="background1"/>
                <w:sz w:val="18"/>
                <w:szCs w:val="18"/>
              </w:rPr>
            </w:pPr>
            <w:r w:rsidRPr="00CA1F00">
              <w:rPr>
                <w:rFonts w:cs="Arial"/>
                <w:b/>
                <w:bCs/>
                <w:color w:val="FFFFFF" w:themeColor="background1"/>
                <w:sz w:val="18"/>
                <w:szCs w:val="18"/>
              </w:rPr>
              <w:t>NZ</w:t>
            </w:r>
          </w:p>
        </w:tc>
      </w:tr>
      <w:tr w:rsidR="00106011" w:rsidRPr="00CA1F00" w14:paraId="59D11745" w14:textId="77777777" w:rsidTr="00106011">
        <w:trPr>
          <w:cantSplit/>
          <w:trHeight w:val="437"/>
        </w:trPr>
        <w:tc>
          <w:tcPr>
            <w:tcW w:w="634" w:type="pct"/>
            <w:tcBorders>
              <w:right w:val="nil"/>
            </w:tcBorders>
            <w:shd w:val="clear" w:color="auto" w:fill="E1AAA9"/>
            <w:noWrap/>
            <w:vAlign w:val="center"/>
            <w:hideMark/>
          </w:tcPr>
          <w:p w14:paraId="40F648D5" w14:textId="2969AEE8" w:rsidR="00106011" w:rsidRPr="00CA1F00" w:rsidRDefault="00106011" w:rsidP="00106011">
            <w:pPr>
              <w:spacing w:before="60" w:after="60"/>
              <w:jc w:val="left"/>
              <w:rPr>
                <w:rFonts w:cs="Arial"/>
                <w:b/>
                <w:color w:val="000000"/>
                <w:sz w:val="18"/>
                <w:szCs w:val="18"/>
              </w:rPr>
            </w:pPr>
            <w:r w:rsidRPr="00CA1F00">
              <w:rPr>
                <w:rFonts w:cs="Arial"/>
                <w:b/>
                <w:color w:val="000000"/>
                <w:sz w:val="18"/>
                <w:szCs w:val="18"/>
              </w:rPr>
              <w:t>201</w:t>
            </w:r>
            <w:r w:rsidR="00CA1F00" w:rsidRPr="00CA1F00">
              <w:rPr>
                <w:rFonts w:cs="Arial"/>
                <w:b/>
                <w:color w:val="000000"/>
                <w:sz w:val="18"/>
                <w:szCs w:val="18"/>
              </w:rPr>
              <w:t>5</w:t>
            </w:r>
            <w:r w:rsidRPr="00CA1F00">
              <w:rPr>
                <w:rFonts w:cs="Arial"/>
                <w:b/>
                <w:color w:val="000000"/>
                <w:sz w:val="18"/>
                <w:szCs w:val="18"/>
              </w:rPr>
              <w:t>–1</w:t>
            </w:r>
            <w:r w:rsidR="00CA1F00" w:rsidRPr="00CA1F00">
              <w:rPr>
                <w:rFonts w:cs="Arial"/>
                <w:b/>
                <w:color w:val="000000"/>
                <w:sz w:val="18"/>
                <w:szCs w:val="18"/>
              </w:rPr>
              <w:t>6</w:t>
            </w:r>
          </w:p>
        </w:tc>
        <w:tc>
          <w:tcPr>
            <w:tcW w:w="358" w:type="pct"/>
            <w:tcBorders>
              <w:left w:val="nil"/>
              <w:right w:val="nil"/>
            </w:tcBorders>
            <w:shd w:val="clear" w:color="auto" w:fill="E1AAA9"/>
            <w:noWrap/>
            <w:vAlign w:val="center"/>
            <w:hideMark/>
          </w:tcPr>
          <w:p w14:paraId="4354EC78" w14:textId="77777777" w:rsidR="00106011" w:rsidRPr="00CA1F00" w:rsidRDefault="00106011" w:rsidP="00106011">
            <w:pPr>
              <w:spacing w:before="60" w:after="60"/>
              <w:jc w:val="center"/>
              <w:rPr>
                <w:rFonts w:cs="Arial"/>
                <w:color w:val="FF0000"/>
                <w:sz w:val="18"/>
                <w:szCs w:val="18"/>
              </w:rPr>
            </w:pPr>
          </w:p>
        </w:tc>
        <w:tc>
          <w:tcPr>
            <w:tcW w:w="396" w:type="pct"/>
            <w:tcBorders>
              <w:left w:val="nil"/>
              <w:right w:val="nil"/>
            </w:tcBorders>
            <w:shd w:val="clear" w:color="auto" w:fill="E1AAA9"/>
            <w:noWrap/>
            <w:vAlign w:val="center"/>
            <w:hideMark/>
          </w:tcPr>
          <w:p w14:paraId="2C00904F" w14:textId="77777777" w:rsidR="00106011" w:rsidRPr="00CA1F00" w:rsidRDefault="00106011" w:rsidP="00106011">
            <w:pPr>
              <w:spacing w:before="60" w:after="60"/>
              <w:jc w:val="center"/>
              <w:rPr>
                <w:rFonts w:cs="Arial"/>
                <w:sz w:val="18"/>
                <w:szCs w:val="18"/>
              </w:rPr>
            </w:pPr>
          </w:p>
        </w:tc>
        <w:tc>
          <w:tcPr>
            <w:tcW w:w="398" w:type="pct"/>
            <w:tcBorders>
              <w:left w:val="nil"/>
              <w:right w:val="nil"/>
            </w:tcBorders>
            <w:shd w:val="clear" w:color="auto" w:fill="E1AAA9"/>
            <w:noWrap/>
            <w:vAlign w:val="center"/>
            <w:hideMark/>
          </w:tcPr>
          <w:p w14:paraId="2CAD02F0" w14:textId="77777777" w:rsidR="00106011" w:rsidRPr="00CA1F00" w:rsidRDefault="00106011" w:rsidP="00106011">
            <w:pPr>
              <w:spacing w:before="60" w:after="60"/>
              <w:jc w:val="center"/>
              <w:rPr>
                <w:rFonts w:cs="Arial"/>
                <w:b/>
                <w:sz w:val="18"/>
                <w:szCs w:val="18"/>
              </w:rPr>
            </w:pPr>
          </w:p>
        </w:tc>
        <w:tc>
          <w:tcPr>
            <w:tcW w:w="397" w:type="pct"/>
            <w:tcBorders>
              <w:left w:val="nil"/>
              <w:right w:val="nil"/>
            </w:tcBorders>
            <w:shd w:val="clear" w:color="auto" w:fill="E1AAA9"/>
            <w:vAlign w:val="center"/>
          </w:tcPr>
          <w:p w14:paraId="04567BAC"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vAlign w:val="center"/>
          </w:tcPr>
          <w:p w14:paraId="04D317BB" w14:textId="77777777" w:rsidR="00106011" w:rsidRPr="00CA1F00" w:rsidRDefault="00106011" w:rsidP="00106011">
            <w:pPr>
              <w:spacing w:before="60" w:after="60"/>
              <w:jc w:val="center"/>
              <w:rPr>
                <w:rFonts w:cs="Arial"/>
                <w:color w:val="000000"/>
                <w:sz w:val="18"/>
                <w:szCs w:val="18"/>
              </w:rPr>
            </w:pPr>
          </w:p>
        </w:tc>
        <w:tc>
          <w:tcPr>
            <w:tcW w:w="397" w:type="pct"/>
            <w:tcBorders>
              <w:left w:val="nil"/>
              <w:right w:val="nil"/>
            </w:tcBorders>
            <w:shd w:val="clear" w:color="auto" w:fill="E1AAA9"/>
            <w:noWrap/>
            <w:vAlign w:val="center"/>
            <w:hideMark/>
          </w:tcPr>
          <w:p w14:paraId="314214C9"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noWrap/>
            <w:vAlign w:val="center"/>
            <w:hideMark/>
          </w:tcPr>
          <w:p w14:paraId="4F24312B" w14:textId="77777777" w:rsidR="00106011" w:rsidRPr="00CA1F00" w:rsidRDefault="00106011" w:rsidP="00106011">
            <w:pPr>
              <w:spacing w:before="60" w:after="60"/>
              <w:jc w:val="center"/>
              <w:rPr>
                <w:rFonts w:cs="Arial"/>
                <w:color w:val="000000"/>
                <w:sz w:val="18"/>
                <w:szCs w:val="18"/>
              </w:rPr>
            </w:pPr>
          </w:p>
        </w:tc>
        <w:tc>
          <w:tcPr>
            <w:tcW w:w="423" w:type="pct"/>
            <w:tcBorders>
              <w:left w:val="nil"/>
              <w:right w:val="nil"/>
            </w:tcBorders>
            <w:shd w:val="clear" w:color="auto" w:fill="E1AAA9"/>
            <w:noWrap/>
            <w:vAlign w:val="center"/>
            <w:hideMark/>
          </w:tcPr>
          <w:p w14:paraId="3A7F29C5" w14:textId="77777777" w:rsidR="00106011" w:rsidRPr="00CA1F00" w:rsidRDefault="00106011" w:rsidP="00106011">
            <w:pPr>
              <w:spacing w:before="60" w:after="60"/>
              <w:jc w:val="center"/>
              <w:rPr>
                <w:rFonts w:cs="Arial"/>
                <w:b/>
                <w:color w:val="000000"/>
                <w:sz w:val="18"/>
                <w:szCs w:val="18"/>
              </w:rPr>
            </w:pPr>
          </w:p>
        </w:tc>
        <w:tc>
          <w:tcPr>
            <w:tcW w:w="373" w:type="pct"/>
            <w:tcBorders>
              <w:left w:val="nil"/>
              <w:right w:val="nil"/>
            </w:tcBorders>
            <w:shd w:val="clear" w:color="auto" w:fill="E1AAA9"/>
            <w:vAlign w:val="center"/>
          </w:tcPr>
          <w:p w14:paraId="3B723AAA" w14:textId="77777777" w:rsidR="00106011" w:rsidRPr="00CA1F00" w:rsidRDefault="00106011" w:rsidP="00106011">
            <w:pPr>
              <w:spacing w:before="60" w:after="60"/>
              <w:jc w:val="center"/>
              <w:rPr>
                <w:rFonts w:cs="Arial"/>
                <w:color w:val="000000"/>
                <w:sz w:val="18"/>
                <w:szCs w:val="18"/>
              </w:rPr>
            </w:pPr>
          </w:p>
        </w:tc>
        <w:tc>
          <w:tcPr>
            <w:tcW w:w="361" w:type="pct"/>
            <w:tcBorders>
              <w:left w:val="nil"/>
              <w:right w:val="nil"/>
            </w:tcBorders>
            <w:shd w:val="clear" w:color="auto" w:fill="E1AAA9"/>
            <w:noWrap/>
            <w:vAlign w:val="center"/>
            <w:hideMark/>
          </w:tcPr>
          <w:p w14:paraId="28416C44" w14:textId="77777777" w:rsidR="00106011" w:rsidRPr="00CA1F00" w:rsidRDefault="00106011" w:rsidP="00106011">
            <w:pPr>
              <w:spacing w:before="60" w:after="60"/>
              <w:jc w:val="center"/>
              <w:rPr>
                <w:rFonts w:cs="Arial"/>
                <w:color w:val="000000"/>
                <w:sz w:val="18"/>
                <w:szCs w:val="18"/>
              </w:rPr>
            </w:pPr>
          </w:p>
        </w:tc>
        <w:tc>
          <w:tcPr>
            <w:tcW w:w="369" w:type="pct"/>
            <w:tcBorders>
              <w:left w:val="nil"/>
              <w:right w:val="single" w:sz="4" w:space="0" w:color="FFFFFF" w:themeColor="background1"/>
            </w:tcBorders>
            <w:shd w:val="clear" w:color="auto" w:fill="E1AAA9"/>
            <w:noWrap/>
            <w:vAlign w:val="center"/>
            <w:hideMark/>
          </w:tcPr>
          <w:p w14:paraId="70E344BE" w14:textId="77777777" w:rsidR="00106011" w:rsidRPr="00CA1F00" w:rsidRDefault="00106011" w:rsidP="00106011">
            <w:pPr>
              <w:spacing w:before="60" w:after="60"/>
              <w:jc w:val="center"/>
              <w:rPr>
                <w:rFonts w:cs="Arial"/>
                <w:b/>
                <w:color w:val="000000"/>
                <w:sz w:val="18"/>
                <w:szCs w:val="18"/>
              </w:rPr>
            </w:pPr>
          </w:p>
        </w:tc>
      </w:tr>
      <w:tr w:rsidR="00CA1F00" w:rsidRPr="00CA1F00" w14:paraId="04F00127" w14:textId="77777777" w:rsidTr="00106011">
        <w:trPr>
          <w:cantSplit/>
          <w:trHeight w:val="437"/>
        </w:trPr>
        <w:tc>
          <w:tcPr>
            <w:tcW w:w="634" w:type="pct"/>
            <w:shd w:val="clear" w:color="auto" w:fill="auto"/>
            <w:noWrap/>
            <w:vAlign w:val="center"/>
            <w:hideMark/>
          </w:tcPr>
          <w:p w14:paraId="4576A1C9" w14:textId="4A7A1132" w:rsidR="00CA1F00" w:rsidRPr="00CA1F00" w:rsidRDefault="00CA1F00" w:rsidP="00CA1F00">
            <w:pPr>
              <w:spacing w:before="60" w:after="60"/>
              <w:jc w:val="left"/>
              <w:rPr>
                <w:rFonts w:cs="Arial"/>
                <w:color w:val="000000"/>
                <w:sz w:val="18"/>
                <w:szCs w:val="18"/>
              </w:rPr>
            </w:pPr>
            <w:r w:rsidRPr="00CA1F00">
              <w:rPr>
                <w:rFonts w:cs="Arial"/>
                <w:sz w:val="18"/>
                <w:szCs w:val="18"/>
              </w:rPr>
              <w:t>Direct to claimant</w:t>
            </w:r>
          </w:p>
        </w:tc>
        <w:tc>
          <w:tcPr>
            <w:tcW w:w="358" w:type="pct"/>
            <w:shd w:val="clear" w:color="auto" w:fill="auto"/>
            <w:noWrap/>
            <w:vAlign w:val="center"/>
          </w:tcPr>
          <w:p w14:paraId="73296F30" w14:textId="3F1E9AF0" w:rsidR="00CA1F00" w:rsidRPr="00CA1F00" w:rsidRDefault="00CA1F00" w:rsidP="00CA1F00">
            <w:pPr>
              <w:pStyle w:val="ForTable"/>
              <w:jc w:val="center"/>
              <w:rPr>
                <w:sz w:val="18"/>
                <w:szCs w:val="18"/>
              </w:rPr>
            </w:pPr>
            <w:r w:rsidRPr="00CA1F00">
              <w:rPr>
                <w:rFonts w:cs="Arial"/>
                <w:sz w:val="18"/>
                <w:szCs w:val="18"/>
              </w:rPr>
              <w:t>1,057.2</w:t>
            </w:r>
          </w:p>
        </w:tc>
        <w:tc>
          <w:tcPr>
            <w:tcW w:w="396" w:type="pct"/>
            <w:shd w:val="clear" w:color="auto" w:fill="auto"/>
            <w:noWrap/>
            <w:vAlign w:val="center"/>
          </w:tcPr>
          <w:p w14:paraId="179B761B" w14:textId="4923C2B9" w:rsidR="00CA1F00" w:rsidRPr="00CA1F00" w:rsidRDefault="00CA1F00" w:rsidP="00CA1F00">
            <w:pPr>
              <w:pStyle w:val="ForTable"/>
              <w:jc w:val="center"/>
              <w:rPr>
                <w:sz w:val="18"/>
                <w:szCs w:val="18"/>
              </w:rPr>
            </w:pPr>
            <w:r w:rsidRPr="00CA1F00">
              <w:rPr>
                <w:rFonts w:cs="Arial"/>
                <w:sz w:val="18"/>
                <w:szCs w:val="18"/>
              </w:rPr>
              <w:t>1,176.6</w:t>
            </w:r>
          </w:p>
        </w:tc>
        <w:tc>
          <w:tcPr>
            <w:tcW w:w="398" w:type="pct"/>
            <w:shd w:val="clear" w:color="auto" w:fill="auto"/>
            <w:noWrap/>
            <w:vAlign w:val="center"/>
          </w:tcPr>
          <w:p w14:paraId="420EB26A" w14:textId="0DC64FBC" w:rsidR="00CA1F00" w:rsidRPr="00CA1F00" w:rsidRDefault="00CA1F00" w:rsidP="00CA1F00">
            <w:pPr>
              <w:pStyle w:val="ForTable"/>
              <w:jc w:val="center"/>
              <w:rPr>
                <w:sz w:val="18"/>
                <w:szCs w:val="18"/>
              </w:rPr>
            </w:pPr>
            <w:r w:rsidRPr="00CA1F00">
              <w:rPr>
                <w:rFonts w:cs="Arial"/>
                <w:sz w:val="18"/>
                <w:szCs w:val="18"/>
              </w:rPr>
              <w:t>841.2</w:t>
            </w:r>
          </w:p>
        </w:tc>
        <w:tc>
          <w:tcPr>
            <w:tcW w:w="397" w:type="pct"/>
            <w:shd w:val="clear" w:color="auto" w:fill="auto"/>
            <w:vAlign w:val="center"/>
          </w:tcPr>
          <w:p w14:paraId="48DF66B9" w14:textId="370FE5FA" w:rsidR="00CA1F00" w:rsidRPr="00CA1F00" w:rsidRDefault="00CA1F00" w:rsidP="00CA1F00">
            <w:pPr>
              <w:pStyle w:val="ForTable"/>
              <w:jc w:val="center"/>
              <w:rPr>
                <w:color w:val="000000"/>
                <w:sz w:val="18"/>
                <w:szCs w:val="18"/>
              </w:rPr>
            </w:pPr>
            <w:r w:rsidRPr="00CA1F00">
              <w:rPr>
                <w:rFonts w:cs="Arial"/>
                <w:sz w:val="18"/>
                <w:szCs w:val="18"/>
              </w:rPr>
              <w:t>411.8</w:t>
            </w:r>
          </w:p>
        </w:tc>
        <w:tc>
          <w:tcPr>
            <w:tcW w:w="447" w:type="pct"/>
            <w:shd w:val="clear" w:color="auto" w:fill="auto"/>
            <w:vAlign w:val="center"/>
          </w:tcPr>
          <w:p w14:paraId="3D74955C" w14:textId="472F3E30" w:rsidR="00CA1F00" w:rsidRPr="00CA1F00" w:rsidRDefault="00CA1F00" w:rsidP="00CA1F00">
            <w:pPr>
              <w:pStyle w:val="ForTable"/>
              <w:jc w:val="center"/>
              <w:rPr>
                <w:color w:val="000000"/>
                <w:sz w:val="18"/>
                <w:szCs w:val="18"/>
              </w:rPr>
            </w:pPr>
            <w:r w:rsidRPr="00CA1F00">
              <w:rPr>
                <w:rFonts w:cs="Arial"/>
                <w:sz w:val="18"/>
                <w:szCs w:val="18"/>
              </w:rPr>
              <w:t>167.1</w:t>
            </w:r>
          </w:p>
        </w:tc>
        <w:tc>
          <w:tcPr>
            <w:tcW w:w="397" w:type="pct"/>
            <w:shd w:val="clear" w:color="auto" w:fill="auto"/>
            <w:noWrap/>
            <w:vAlign w:val="center"/>
          </w:tcPr>
          <w:p w14:paraId="3C92AF35" w14:textId="537BBD64" w:rsidR="00CA1F00" w:rsidRPr="00CA1F00" w:rsidRDefault="00CA1F00" w:rsidP="00CA1F00">
            <w:pPr>
              <w:pStyle w:val="ForTable"/>
              <w:jc w:val="center"/>
              <w:rPr>
                <w:color w:val="000000"/>
                <w:sz w:val="18"/>
                <w:szCs w:val="18"/>
              </w:rPr>
            </w:pPr>
            <w:r w:rsidRPr="00CA1F00">
              <w:rPr>
                <w:rFonts w:cs="Arial"/>
                <w:sz w:val="18"/>
                <w:szCs w:val="18"/>
              </w:rPr>
              <w:t>656.6</w:t>
            </w:r>
          </w:p>
        </w:tc>
        <w:tc>
          <w:tcPr>
            <w:tcW w:w="447" w:type="pct"/>
            <w:shd w:val="clear" w:color="auto" w:fill="auto"/>
            <w:noWrap/>
            <w:vAlign w:val="center"/>
          </w:tcPr>
          <w:p w14:paraId="6258545A" w14:textId="7EC9F01E" w:rsidR="00CA1F00" w:rsidRPr="00CA1F00" w:rsidRDefault="00CA1F00" w:rsidP="00CA1F00">
            <w:pPr>
              <w:pStyle w:val="ForTable"/>
              <w:jc w:val="center"/>
              <w:rPr>
                <w:color w:val="000000"/>
                <w:sz w:val="18"/>
                <w:szCs w:val="18"/>
              </w:rPr>
            </w:pPr>
            <w:r w:rsidRPr="00CA1F00">
              <w:rPr>
                <w:rFonts w:cs="Arial"/>
                <w:sz w:val="18"/>
                <w:szCs w:val="18"/>
              </w:rPr>
              <w:t>69.2</w:t>
            </w:r>
          </w:p>
        </w:tc>
        <w:tc>
          <w:tcPr>
            <w:tcW w:w="423" w:type="pct"/>
            <w:shd w:val="clear" w:color="auto" w:fill="auto"/>
            <w:noWrap/>
            <w:vAlign w:val="center"/>
          </w:tcPr>
          <w:p w14:paraId="71A8E133" w14:textId="3CE3801B" w:rsidR="00CA1F00" w:rsidRPr="00CA1F00" w:rsidRDefault="00CA1F00" w:rsidP="00CA1F00">
            <w:pPr>
              <w:pStyle w:val="ForTable"/>
              <w:jc w:val="center"/>
              <w:rPr>
                <w:color w:val="000000"/>
                <w:sz w:val="18"/>
                <w:szCs w:val="18"/>
              </w:rPr>
            </w:pPr>
            <w:r w:rsidRPr="00CA1F00">
              <w:rPr>
                <w:rFonts w:cs="Arial"/>
                <w:sz w:val="18"/>
                <w:szCs w:val="18"/>
              </w:rPr>
              <w:t>65.8</w:t>
            </w:r>
          </w:p>
        </w:tc>
        <w:tc>
          <w:tcPr>
            <w:tcW w:w="373" w:type="pct"/>
            <w:shd w:val="clear" w:color="auto" w:fill="auto"/>
            <w:vAlign w:val="center"/>
          </w:tcPr>
          <w:p w14:paraId="76D45FEE" w14:textId="3532D0D1" w:rsidR="00CA1F00" w:rsidRPr="00CA1F00" w:rsidRDefault="00CA1F00" w:rsidP="00CA1F00">
            <w:pPr>
              <w:pStyle w:val="ForTable"/>
              <w:jc w:val="center"/>
              <w:rPr>
                <w:color w:val="000000"/>
                <w:sz w:val="18"/>
                <w:szCs w:val="18"/>
              </w:rPr>
            </w:pPr>
            <w:r w:rsidRPr="00CA1F00">
              <w:rPr>
                <w:rFonts w:cs="Arial"/>
                <w:sz w:val="18"/>
                <w:szCs w:val="18"/>
              </w:rPr>
              <w:t>9.6</w:t>
            </w:r>
          </w:p>
        </w:tc>
        <w:tc>
          <w:tcPr>
            <w:tcW w:w="361" w:type="pct"/>
            <w:shd w:val="clear" w:color="auto" w:fill="auto"/>
            <w:noWrap/>
            <w:vAlign w:val="center"/>
          </w:tcPr>
          <w:p w14:paraId="4C7117C9" w14:textId="4E169484" w:rsidR="00CA1F00" w:rsidRPr="00CA1F00" w:rsidRDefault="00CA1F00" w:rsidP="00CA1F00">
            <w:pPr>
              <w:pStyle w:val="ForTable"/>
              <w:jc w:val="center"/>
              <w:rPr>
                <w:b/>
                <w:bCs w:val="0"/>
                <w:sz w:val="18"/>
                <w:szCs w:val="18"/>
              </w:rPr>
            </w:pPr>
            <w:r w:rsidRPr="00CA1F00">
              <w:rPr>
                <w:rFonts w:cs="Arial"/>
                <w:b/>
                <w:bCs w:val="0"/>
                <w:sz w:val="18"/>
                <w:szCs w:val="18"/>
              </w:rPr>
              <w:t>4,455.0</w:t>
            </w:r>
          </w:p>
        </w:tc>
        <w:tc>
          <w:tcPr>
            <w:tcW w:w="369" w:type="pct"/>
            <w:shd w:val="clear" w:color="auto" w:fill="auto"/>
            <w:noWrap/>
            <w:vAlign w:val="center"/>
          </w:tcPr>
          <w:p w14:paraId="29AA4A45" w14:textId="3781F08B" w:rsidR="00CA1F00" w:rsidRPr="00CA1F00" w:rsidRDefault="00CA1F00" w:rsidP="00CA1F00">
            <w:pPr>
              <w:pStyle w:val="ForTable"/>
              <w:jc w:val="center"/>
              <w:rPr>
                <w:color w:val="000000"/>
                <w:sz w:val="18"/>
                <w:szCs w:val="18"/>
              </w:rPr>
            </w:pPr>
            <w:r w:rsidRPr="00CA1F00">
              <w:rPr>
                <w:rFonts w:cs="Arial"/>
                <w:sz w:val="18"/>
                <w:szCs w:val="18"/>
              </w:rPr>
              <w:t>291.8</w:t>
            </w:r>
          </w:p>
        </w:tc>
      </w:tr>
      <w:tr w:rsidR="00CA1F00" w:rsidRPr="00CA1F00" w14:paraId="10432439" w14:textId="77777777" w:rsidTr="00106011">
        <w:trPr>
          <w:cantSplit/>
          <w:trHeight w:val="437"/>
        </w:trPr>
        <w:tc>
          <w:tcPr>
            <w:tcW w:w="634" w:type="pct"/>
            <w:shd w:val="clear" w:color="auto" w:fill="EFD3D2"/>
            <w:noWrap/>
            <w:vAlign w:val="center"/>
          </w:tcPr>
          <w:p w14:paraId="0668DE9B" w14:textId="5DC61F26" w:rsidR="00CA1F00" w:rsidRPr="00CA1F00" w:rsidRDefault="00CA1F00" w:rsidP="00CA1F00">
            <w:pPr>
              <w:spacing w:before="60" w:after="60"/>
              <w:jc w:val="left"/>
              <w:rPr>
                <w:rFonts w:cs="Arial"/>
                <w:color w:val="000000"/>
                <w:sz w:val="18"/>
                <w:szCs w:val="18"/>
              </w:rPr>
            </w:pPr>
            <w:r w:rsidRPr="00CA1F00">
              <w:rPr>
                <w:rFonts w:cs="Arial"/>
                <w:sz w:val="18"/>
                <w:szCs w:val="18"/>
              </w:rPr>
              <w:t>Services to claimant</w:t>
            </w:r>
          </w:p>
        </w:tc>
        <w:tc>
          <w:tcPr>
            <w:tcW w:w="358" w:type="pct"/>
            <w:shd w:val="clear" w:color="auto" w:fill="EFD3D2"/>
            <w:noWrap/>
            <w:vAlign w:val="center"/>
          </w:tcPr>
          <w:p w14:paraId="0030A4F2" w14:textId="376B67D2" w:rsidR="00CA1F00" w:rsidRPr="00CA1F00" w:rsidRDefault="00CA1F00" w:rsidP="00CA1F00">
            <w:pPr>
              <w:pStyle w:val="ForTable"/>
              <w:jc w:val="center"/>
              <w:rPr>
                <w:sz w:val="18"/>
                <w:szCs w:val="18"/>
              </w:rPr>
            </w:pPr>
            <w:r w:rsidRPr="00CA1F00">
              <w:rPr>
                <w:rFonts w:cs="Arial"/>
                <w:sz w:val="18"/>
                <w:szCs w:val="18"/>
              </w:rPr>
              <w:t>579.9</w:t>
            </w:r>
          </w:p>
        </w:tc>
        <w:tc>
          <w:tcPr>
            <w:tcW w:w="396" w:type="pct"/>
            <w:shd w:val="clear" w:color="auto" w:fill="EFD3D2"/>
            <w:noWrap/>
            <w:vAlign w:val="center"/>
          </w:tcPr>
          <w:p w14:paraId="65349A13" w14:textId="368B2317" w:rsidR="00CA1F00" w:rsidRPr="00CA1F00" w:rsidRDefault="00CA1F00" w:rsidP="00CA1F00">
            <w:pPr>
              <w:pStyle w:val="ForTable"/>
              <w:jc w:val="center"/>
              <w:rPr>
                <w:sz w:val="18"/>
                <w:szCs w:val="18"/>
              </w:rPr>
            </w:pPr>
            <w:r w:rsidRPr="00CA1F00">
              <w:rPr>
                <w:rFonts w:cs="Arial"/>
                <w:sz w:val="18"/>
                <w:szCs w:val="18"/>
              </w:rPr>
              <w:t>461.9</w:t>
            </w:r>
          </w:p>
        </w:tc>
        <w:tc>
          <w:tcPr>
            <w:tcW w:w="398" w:type="pct"/>
            <w:shd w:val="clear" w:color="auto" w:fill="EFD3D2"/>
            <w:noWrap/>
            <w:vAlign w:val="center"/>
          </w:tcPr>
          <w:p w14:paraId="2E07B3A8" w14:textId="0496E441" w:rsidR="00CA1F00" w:rsidRPr="00CA1F00" w:rsidRDefault="00CA1F00" w:rsidP="00CA1F00">
            <w:pPr>
              <w:pStyle w:val="ForTable"/>
              <w:jc w:val="center"/>
              <w:rPr>
                <w:sz w:val="18"/>
                <w:szCs w:val="18"/>
              </w:rPr>
            </w:pPr>
            <w:r w:rsidRPr="00CA1F00">
              <w:rPr>
                <w:rFonts w:cs="Arial"/>
                <w:sz w:val="18"/>
                <w:szCs w:val="18"/>
              </w:rPr>
              <w:t>284.9</w:t>
            </w:r>
          </w:p>
        </w:tc>
        <w:tc>
          <w:tcPr>
            <w:tcW w:w="397" w:type="pct"/>
            <w:shd w:val="clear" w:color="auto" w:fill="EFD3D2"/>
            <w:vAlign w:val="center"/>
          </w:tcPr>
          <w:p w14:paraId="7883F358" w14:textId="62DE9FA1" w:rsidR="00CA1F00" w:rsidRPr="00CA1F00" w:rsidRDefault="00CA1F00" w:rsidP="00CA1F00">
            <w:pPr>
              <w:pStyle w:val="ForTable"/>
              <w:jc w:val="center"/>
              <w:rPr>
                <w:color w:val="000000"/>
                <w:sz w:val="18"/>
                <w:szCs w:val="18"/>
              </w:rPr>
            </w:pPr>
            <w:r w:rsidRPr="00CA1F00">
              <w:rPr>
                <w:rFonts w:cs="Arial"/>
                <w:sz w:val="18"/>
                <w:szCs w:val="18"/>
              </w:rPr>
              <w:t>153.6</w:t>
            </w:r>
          </w:p>
        </w:tc>
        <w:tc>
          <w:tcPr>
            <w:tcW w:w="447" w:type="pct"/>
            <w:shd w:val="clear" w:color="auto" w:fill="EFD3D2"/>
            <w:vAlign w:val="center"/>
          </w:tcPr>
          <w:p w14:paraId="791B6376" w14:textId="1666DC6D" w:rsidR="00CA1F00" w:rsidRPr="00CA1F00" w:rsidRDefault="00CA1F00" w:rsidP="00CA1F00">
            <w:pPr>
              <w:pStyle w:val="ForTable"/>
              <w:jc w:val="center"/>
              <w:rPr>
                <w:color w:val="000000"/>
                <w:sz w:val="18"/>
                <w:szCs w:val="18"/>
              </w:rPr>
            </w:pPr>
            <w:r w:rsidRPr="00CA1F00">
              <w:rPr>
                <w:rFonts w:cs="Arial"/>
                <w:sz w:val="18"/>
                <w:szCs w:val="18"/>
              </w:rPr>
              <w:t>91.6</w:t>
            </w:r>
          </w:p>
        </w:tc>
        <w:tc>
          <w:tcPr>
            <w:tcW w:w="397" w:type="pct"/>
            <w:shd w:val="clear" w:color="auto" w:fill="EFD3D2"/>
            <w:noWrap/>
            <w:vAlign w:val="center"/>
          </w:tcPr>
          <w:p w14:paraId="2AC3A6AC" w14:textId="7E164203" w:rsidR="00CA1F00" w:rsidRPr="00CA1F00" w:rsidRDefault="00CA1F00" w:rsidP="00CA1F00">
            <w:pPr>
              <w:pStyle w:val="ForTable"/>
              <w:jc w:val="center"/>
              <w:rPr>
                <w:color w:val="000000"/>
                <w:sz w:val="18"/>
                <w:szCs w:val="18"/>
              </w:rPr>
            </w:pPr>
            <w:r w:rsidRPr="00CA1F00">
              <w:rPr>
                <w:rFonts w:cs="Arial"/>
                <w:sz w:val="18"/>
                <w:szCs w:val="18"/>
              </w:rPr>
              <w:t>242.8</w:t>
            </w:r>
          </w:p>
        </w:tc>
        <w:tc>
          <w:tcPr>
            <w:tcW w:w="447" w:type="pct"/>
            <w:shd w:val="clear" w:color="auto" w:fill="EFD3D2"/>
            <w:noWrap/>
            <w:vAlign w:val="center"/>
          </w:tcPr>
          <w:p w14:paraId="2EDDD141" w14:textId="1C4610B7" w:rsidR="00CA1F00" w:rsidRPr="00CA1F00" w:rsidRDefault="00CA1F00" w:rsidP="00CA1F00">
            <w:pPr>
              <w:pStyle w:val="ForTable"/>
              <w:jc w:val="center"/>
              <w:rPr>
                <w:color w:val="000000"/>
                <w:sz w:val="18"/>
                <w:szCs w:val="18"/>
              </w:rPr>
            </w:pPr>
            <w:r w:rsidRPr="00CA1F00">
              <w:rPr>
                <w:rFonts w:cs="Arial"/>
                <w:sz w:val="18"/>
                <w:szCs w:val="18"/>
              </w:rPr>
              <w:t>31.3</w:t>
            </w:r>
          </w:p>
        </w:tc>
        <w:tc>
          <w:tcPr>
            <w:tcW w:w="423" w:type="pct"/>
            <w:shd w:val="clear" w:color="auto" w:fill="EFD3D2"/>
            <w:noWrap/>
            <w:vAlign w:val="center"/>
          </w:tcPr>
          <w:p w14:paraId="0EB16A02" w14:textId="4EFCC474" w:rsidR="00CA1F00" w:rsidRPr="00CA1F00" w:rsidRDefault="00CA1F00" w:rsidP="00CA1F00">
            <w:pPr>
              <w:pStyle w:val="ForTable"/>
              <w:jc w:val="center"/>
              <w:rPr>
                <w:color w:val="000000"/>
                <w:sz w:val="18"/>
                <w:szCs w:val="18"/>
              </w:rPr>
            </w:pPr>
            <w:r w:rsidRPr="00CA1F00">
              <w:rPr>
                <w:rFonts w:cs="Arial"/>
                <w:sz w:val="18"/>
                <w:szCs w:val="18"/>
              </w:rPr>
              <w:t>33.3</w:t>
            </w:r>
          </w:p>
        </w:tc>
        <w:tc>
          <w:tcPr>
            <w:tcW w:w="373" w:type="pct"/>
            <w:shd w:val="clear" w:color="auto" w:fill="EFD3D2"/>
            <w:vAlign w:val="center"/>
          </w:tcPr>
          <w:p w14:paraId="473C7577" w14:textId="4FC919F7" w:rsidR="00CA1F00" w:rsidRPr="00CA1F00" w:rsidRDefault="00CA1F00" w:rsidP="00CA1F00">
            <w:pPr>
              <w:pStyle w:val="ForTable"/>
              <w:jc w:val="center"/>
              <w:rPr>
                <w:color w:val="000000"/>
                <w:sz w:val="18"/>
                <w:szCs w:val="18"/>
              </w:rPr>
            </w:pPr>
            <w:r w:rsidRPr="00CA1F00">
              <w:rPr>
                <w:rFonts w:cs="Arial"/>
                <w:sz w:val="18"/>
                <w:szCs w:val="18"/>
              </w:rPr>
              <w:t>2.4</w:t>
            </w:r>
          </w:p>
        </w:tc>
        <w:tc>
          <w:tcPr>
            <w:tcW w:w="361" w:type="pct"/>
            <w:shd w:val="clear" w:color="auto" w:fill="EFD3D2"/>
            <w:noWrap/>
            <w:vAlign w:val="center"/>
          </w:tcPr>
          <w:p w14:paraId="75732C8C" w14:textId="0A5F2F68" w:rsidR="00CA1F00" w:rsidRPr="00CA1F00" w:rsidRDefault="00CA1F00" w:rsidP="00CA1F00">
            <w:pPr>
              <w:pStyle w:val="ForTable"/>
              <w:jc w:val="center"/>
              <w:rPr>
                <w:b/>
                <w:bCs w:val="0"/>
                <w:sz w:val="18"/>
                <w:szCs w:val="18"/>
              </w:rPr>
            </w:pPr>
            <w:r w:rsidRPr="00CA1F00">
              <w:rPr>
                <w:rFonts w:cs="Arial"/>
                <w:b/>
                <w:bCs w:val="0"/>
                <w:sz w:val="18"/>
                <w:szCs w:val="18"/>
              </w:rPr>
              <w:t>1,881.8</w:t>
            </w:r>
          </w:p>
        </w:tc>
        <w:tc>
          <w:tcPr>
            <w:tcW w:w="369" w:type="pct"/>
            <w:shd w:val="clear" w:color="auto" w:fill="EFD3D2"/>
            <w:noWrap/>
            <w:vAlign w:val="center"/>
          </w:tcPr>
          <w:p w14:paraId="5E80DA4A" w14:textId="2517A554" w:rsidR="00CA1F00" w:rsidRPr="00CA1F00" w:rsidRDefault="00CA1F00" w:rsidP="00CA1F00">
            <w:pPr>
              <w:pStyle w:val="ForTable"/>
              <w:jc w:val="center"/>
              <w:rPr>
                <w:color w:val="000000"/>
                <w:sz w:val="18"/>
                <w:szCs w:val="18"/>
              </w:rPr>
            </w:pPr>
            <w:r w:rsidRPr="00CA1F00">
              <w:rPr>
                <w:rFonts w:cs="Arial"/>
                <w:sz w:val="18"/>
                <w:szCs w:val="18"/>
              </w:rPr>
              <w:t>207.7</w:t>
            </w:r>
          </w:p>
        </w:tc>
      </w:tr>
      <w:tr w:rsidR="00CA1F00" w:rsidRPr="00CA1F00" w14:paraId="72FB4C96" w14:textId="77777777" w:rsidTr="00106011">
        <w:trPr>
          <w:cantSplit/>
          <w:trHeight w:val="437"/>
        </w:trPr>
        <w:tc>
          <w:tcPr>
            <w:tcW w:w="634" w:type="pct"/>
            <w:shd w:val="clear" w:color="auto" w:fill="auto"/>
            <w:noWrap/>
            <w:vAlign w:val="center"/>
          </w:tcPr>
          <w:p w14:paraId="7AD1624A" w14:textId="665C67D6" w:rsidR="00CA1F00" w:rsidRPr="00CA1F00" w:rsidRDefault="00CA1F00" w:rsidP="00CA1F00">
            <w:pPr>
              <w:spacing w:before="60" w:after="60"/>
              <w:jc w:val="left"/>
              <w:rPr>
                <w:rFonts w:cs="Arial"/>
                <w:color w:val="000000"/>
                <w:sz w:val="18"/>
                <w:szCs w:val="18"/>
              </w:rPr>
            </w:pPr>
            <w:r w:rsidRPr="00CA1F00">
              <w:rPr>
                <w:rFonts w:cs="Arial"/>
                <w:sz w:val="18"/>
                <w:szCs w:val="18"/>
              </w:rPr>
              <w:t>Insurance operations</w:t>
            </w:r>
          </w:p>
        </w:tc>
        <w:tc>
          <w:tcPr>
            <w:tcW w:w="358" w:type="pct"/>
            <w:shd w:val="clear" w:color="auto" w:fill="auto"/>
            <w:noWrap/>
            <w:vAlign w:val="center"/>
          </w:tcPr>
          <w:p w14:paraId="4DB4AAF1" w14:textId="18B4385A" w:rsidR="00CA1F00" w:rsidRPr="00CA1F00" w:rsidRDefault="00CA1F00" w:rsidP="00CA1F00">
            <w:pPr>
              <w:pStyle w:val="ForTable"/>
              <w:jc w:val="center"/>
              <w:rPr>
                <w:sz w:val="18"/>
                <w:szCs w:val="18"/>
              </w:rPr>
            </w:pPr>
            <w:r w:rsidRPr="00CA1F00">
              <w:rPr>
                <w:rFonts w:cs="Arial"/>
                <w:sz w:val="18"/>
                <w:szCs w:val="18"/>
              </w:rPr>
              <w:t>510.3</w:t>
            </w:r>
          </w:p>
        </w:tc>
        <w:tc>
          <w:tcPr>
            <w:tcW w:w="396" w:type="pct"/>
            <w:shd w:val="clear" w:color="auto" w:fill="auto"/>
            <w:noWrap/>
            <w:vAlign w:val="center"/>
          </w:tcPr>
          <w:p w14:paraId="270EB558" w14:textId="10F3AFA5" w:rsidR="00CA1F00" w:rsidRPr="00CA1F00" w:rsidRDefault="00CA1F00" w:rsidP="00CA1F00">
            <w:pPr>
              <w:pStyle w:val="ForTable"/>
              <w:jc w:val="center"/>
              <w:rPr>
                <w:sz w:val="18"/>
                <w:szCs w:val="18"/>
              </w:rPr>
            </w:pPr>
            <w:r w:rsidRPr="00CA1F00">
              <w:rPr>
                <w:rFonts w:cs="Arial"/>
                <w:sz w:val="18"/>
                <w:szCs w:val="18"/>
              </w:rPr>
              <w:t>462.5</w:t>
            </w:r>
          </w:p>
        </w:tc>
        <w:tc>
          <w:tcPr>
            <w:tcW w:w="398" w:type="pct"/>
            <w:shd w:val="clear" w:color="auto" w:fill="auto"/>
            <w:noWrap/>
            <w:vAlign w:val="center"/>
          </w:tcPr>
          <w:p w14:paraId="7A4FC9FB" w14:textId="519855F1" w:rsidR="00CA1F00" w:rsidRPr="00CA1F00" w:rsidRDefault="00CA1F00" w:rsidP="00CA1F00">
            <w:pPr>
              <w:pStyle w:val="ForTable"/>
              <w:jc w:val="center"/>
              <w:rPr>
                <w:sz w:val="18"/>
                <w:szCs w:val="18"/>
              </w:rPr>
            </w:pPr>
            <w:r w:rsidRPr="00CA1F00">
              <w:rPr>
                <w:rFonts w:cs="Arial"/>
                <w:sz w:val="18"/>
                <w:szCs w:val="18"/>
              </w:rPr>
              <w:t>112.5</w:t>
            </w:r>
          </w:p>
        </w:tc>
        <w:tc>
          <w:tcPr>
            <w:tcW w:w="397" w:type="pct"/>
            <w:shd w:val="clear" w:color="auto" w:fill="auto"/>
            <w:vAlign w:val="center"/>
          </w:tcPr>
          <w:p w14:paraId="62049A4B" w14:textId="364F5EF2" w:rsidR="00CA1F00" w:rsidRPr="00CA1F00" w:rsidRDefault="00CA1F00" w:rsidP="00CA1F00">
            <w:pPr>
              <w:pStyle w:val="ForTable"/>
              <w:jc w:val="center"/>
              <w:rPr>
                <w:color w:val="000000"/>
                <w:sz w:val="18"/>
                <w:szCs w:val="18"/>
              </w:rPr>
            </w:pPr>
            <w:r w:rsidRPr="00CA1F00">
              <w:rPr>
                <w:rFonts w:cs="Arial"/>
                <w:sz w:val="18"/>
                <w:szCs w:val="18"/>
              </w:rPr>
              <w:t>114.8</w:t>
            </w:r>
          </w:p>
        </w:tc>
        <w:tc>
          <w:tcPr>
            <w:tcW w:w="447" w:type="pct"/>
            <w:shd w:val="clear" w:color="auto" w:fill="auto"/>
            <w:vAlign w:val="center"/>
          </w:tcPr>
          <w:p w14:paraId="65A00FAD" w14:textId="226B32CA" w:rsidR="00CA1F00" w:rsidRPr="00CA1F00" w:rsidRDefault="00CA1F00" w:rsidP="00CA1F00">
            <w:pPr>
              <w:pStyle w:val="ForTable"/>
              <w:jc w:val="center"/>
              <w:rPr>
                <w:color w:val="000000"/>
                <w:sz w:val="18"/>
                <w:szCs w:val="18"/>
              </w:rPr>
            </w:pPr>
            <w:r w:rsidRPr="00CA1F00">
              <w:rPr>
                <w:rFonts w:cs="Arial"/>
                <w:sz w:val="18"/>
                <w:szCs w:val="18"/>
              </w:rPr>
              <w:t>26.0</w:t>
            </w:r>
          </w:p>
        </w:tc>
        <w:tc>
          <w:tcPr>
            <w:tcW w:w="397" w:type="pct"/>
            <w:shd w:val="clear" w:color="auto" w:fill="auto"/>
            <w:noWrap/>
            <w:vAlign w:val="center"/>
          </w:tcPr>
          <w:p w14:paraId="48865748" w14:textId="28E89FDF" w:rsidR="00CA1F00" w:rsidRPr="00CA1F00" w:rsidRDefault="00CA1F00" w:rsidP="00CA1F00">
            <w:pPr>
              <w:pStyle w:val="ForTable"/>
              <w:jc w:val="center"/>
              <w:rPr>
                <w:color w:val="000000"/>
                <w:sz w:val="18"/>
                <w:szCs w:val="18"/>
              </w:rPr>
            </w:pPr>
            <w:r w:rsidRPr="00CA1F00">
              <w:rPr>
                <w:rFonts w:cs="Arial"/>
                <w:sz w:val="18"/>
                <w:szCs w:val="18"/>
              </w:rPr>
              <w:t>255.3</w:t>
            </w:r>
          </w:p>
        </w:tc>
        <w:tc>
          <w:tcPr>
            <w:tcW w:w="447" w:type="pct"/>
            <w:shd w:val="clear" w:color="auto" w:fill="auto"/>
            <w:noWrap/>
            <w:vAlign w:val="center"/>
          </w:tcPr>
          <w:p w14:paraId="64CF5386" w14:textId="564FC58A" w:rsidR="00CA1F00" w:rsidRPr="00CA1F00" w:rsidRDefault="00CA1F00" w:rsidP="00CA1F00">
            <w:pPr>
              <w:pStyle w:val="ForTable"/>
              <w:jc w:val="center"/>
              <w:rPr>
                <w:color w:val="000000"/>
                <w:sz w:val="18"/>
                <w:szCs w:val="18"/>
              </w:rPr>
            </w:pPr>
            <w:r w:rsidRPr="00CA1F00">
              <w:rPr>
                <w:rFonts w:cs="Arial"/>
                <w:sz w:val="18"/>
                <w:szCs w:val="18"/>
              </w:rPr>
              <w:t>38.4</w:t>
            </w:r>
          </w:p>
        </w:tc>
        <w:tc>
          <w:tcPr>
            <w:tcW w:w="423" w:type="pct"/>
            <w:shd w:val="clear" w:color="auto" w:fill="auto"/>
            <w:noWrap/>
            <w:vAlign w:val="center"/>
          </w:tcPr>
          <w:p w14:paraId="00C42AE1" w14:textId="14CD5683" w:rsidR="00CA1F00" w:rsidRPr="00CA1F00" w:rsidRDefault="00CA1F00" w:rsidP="00CA1F00">
            <w:pPr>
              <w:pStyle w:val="ForTable"/>
              <w:jc w:val="center"/>
              <w:rPr>
                <w:color w:val="000000"/>
                <w:sz w:val="18"/>
                <w:szCs w:val="18"/>
              </w:rPr>
            </w:pPr>
            <w:r w:rsidRPr="00CA1F00">
              <w:rPr>
                <w:rFonts w:cs="Arial"/>
                <w:sz w:val="18"/>
                <w:szCs w:val="18"/>
              </w:rPr>
              <w:t>23.6</w:t>
            </w:r>
          </w:p>
        </w:tc>
        <w:tc>
          <w:tcPr>
            <w:tcW w:w="373" w:type="pct"/>
            <w:shd w:val="clear" w:color="auto" w:fill="auto"/>
            <w:vAlign w:val="center"/>
          </w:tcPr>
          <w:p w14:paraId="00AD9C22" w14:textId="5A060624" w:rsidR="00CA1F00" w:rsidRPr="00CA1F00" w:rsidRDefault="00CA1F00" w:rsidP="00CA1F00">
            <w:pPr>
              <w:pStyle w:val="ForTable"/>
              <w:jc w:val="center"/>
              <w:rPr>
                <w:color w:val="000000"/>
                <w:sz w:val="18"/>
                <w:szCs w:val="18"/>
              </w:rPr>
            </w:pPr>
            <w:r w:rsidRPr="00CA1F00">
              <w:rPr>
                <w:rFonts w:cs="Arial"/>
                <w:sz w:val="18"/>
                <w:szCs w:val="18"/>
              </w:rPr>
              <w:t>1.4</w:t>
            </w:r>
          </w:p>
        </w:tc>
        <w:tc>
          <w:tcPr>
            <w:tcW w:w="361" w:type="pct"/>
            <w:shd w:val="clear" w:color="auto" w:fill="auto"/>
            <w:noWrap/>
            <w:vAlign w:val="center"/>
          </w:tcPr>
          <w:p w14:paraId="1F4B8624" w14:textId="664340CB" w:rsidR="00CA1F00" w:rsidRPr="00CA1F00" w:rsidRDefault="00CA1F00" w:rsidP="00CA1F00">
            <w:pPr>
              <w:pStyle w:val="ForTable"/>
              <w:jc w:val="center"/>
              <w:rPr>
                <w:b/>
                <w:bCs w:val="0"/>
                <w:sz w:val="18"/>
                <w:szCs w:val="18"/>
              </w:rPr>
            </w:pPr>
            <w:r w:rsidRPr="00CA1F00">
              <w:rPr>
                <w:rFonts w:cs="Arial"/>
                <w:b/>
                <w:bCs w:val="0"/>
                <w:sz w:val="18"/>
                <w:szCs w:val="18"/>
              </w:rPr>
              <w:t>1,544.7</w:t>
            </w:r>
          </w:p>
        </w:tc>
        <w:tc>
          <w:tcPr>
            <w:tcW w:w="369" w:type="pct"/>
            <w:shd w:val="clear" w:color="auto" w:fill="auto"/>
            <w:noWrap/>
            <w:vAlign w:val="center"/>
          </w:tcPr>
          <w:p w14:paraId="2F65E47D" w14:textId="1C6390CC" w:rsidR="00CA1F00" w:rsidRPr="00CA1F00" w:rsidRDefault="00CA1F00" w:rsidP="00CA1F00">
            <w:pPr>
              <w:pStyle w:val="ForTable"/>
              <w:jc w:val="center"/>
              <w:rPr>
                <w:color w:val="000000"/>
                <w:sz w:val="18"/>
                <w:szCs w:val="18"/>
              </w:rPr>
            </w:pPr>
            <w:r w:rsidRPr="00CA1F00">
              <w:rPr>
                <w:rFonts w:cs="Arial"/>
                <w:sz w:val="18"/>
                <w:szCs w:val="18"/>
              </w:rPr>
              <w:t>50.3</w:t>
            </w:r>
          </w:p>
        </w:tc>
      </w:tr>
      <w:tr w:rsidR="00CA1F00" w:rsidRPr="00CA1F00" w14:paraId="673EA837" w14:textId="77777777" w:rsidTr="00106011">
        <w:trPr>
          <w:cantSplit/>
          <w:trHeight w:val="437"/>
        </w:trPr>
        <w:tc>
          <w:tcPr>
            <w:tcW w:w="634" w:type="pct"/>
            <w:shd w:val="clear" w:color="auto" w:fill="EFD3D2"/>
            <w:noWrap/>
            <w:vAlign w:val="center"/>
          </w:tcPr>
          <w:p w14:paraId="2DB60F64" w14:textId="60676914" w:rsidR="00CA1F00" w:rsidRPr="00CA1F00" w:rsidRDefault="00CA1F00" w:rsidP="00CA1F00">
            <w:pPr>
              <w:spacing w:before="60" w:after="60"/>
              <w:jc w:val="left"/>
              <w:rPr>
                <w:rFonts w:cs="Arial"/>
                <w:color w:val="000000"/>
                <w:sz w:val="18"/>
                <w:szCs w:val="18"/>
              </w:rPr>
            </w:pPr>
            <w:r w:rsidRPr="00CA1F00">
              <w:rPr>
                <w:rFonts w:cs="Arial"/>
                <w:sz w:val="18"/>
                <w:szCs w:val="18"/>
              </w:rPr>
              <w:t>Regulation</w:t>
            </w:r>
          </w:p>
        </w:tc>
        <w:tc>
          <w:tcPr>
            <w:tcW w:w="358" w:type="pct"/>
            <w:shd w:val="clear" w:color="auto" w:fill="EFD3D2"/>
            <w:noWrap/>
            <w:vAlign w:val="center"/>
          </w:tcPr>
          <w:p w14:paraId="3C7938FC" w14:textId="2F81ECA6" w:rsidR="00CA1F00" w:rsidRPr="00CA1F00" w:rsidRDefault="00CA1F00" w:rsidP="00CA1F00">
            <w:pPr>
              <w:pStyle w:val="ForTable"/>
              <w:jc w:val="center"/>
              <w:rPr>
                <w:sz w:val="18"/>
                <w:szCs w:val="18"/>
              </w:rPr>
            </w:pPr>
            <w:r w:rsidRPr="00CA1F00">
              <w:rPr>
                <w:rFonts w:cs="Arial"/>
                <w:sz w:val="18"/>
                <w:szCs w:val="18"/>
              </w:rPr>
              <w:t>10.6</w:t>
            </w:r>
          </w:p>
        </w:tc>
        <w:tc>
          <w:tcPr>
            <w:tcW w:w="396" w:type="pct"/>
            <w:shd w:val="clear" w:color="auto" w:fill="EFD3D2"/>
            <w:noWrap/>
            <w:vAlign w:val="center"/>
          </w:tcPr>
          <w:p w14:paraId="118BE43B" w14:textId="5A70DFD7" w:rsidR="00CA1F00" w:rsidRPr="00CA1F00" w:rsidRDefault="00CA1F00" w:rsidP="00CA1F00">
            <w:pPr>
              <w:pStyle w:val="ForTable"/>
              <w:jc w:val="center"/>
              <w:rPr>
                <w:sz w:val="18"/>
                <w:szCs w:val="18"/>
              </w:rPr>
            </w:pPr>
            <w:r w:rsidRPr="00CA1F00">
              <w:rPr>
                <w:rFonts w:cs="Arial"/>
                <w:sz w:val="18"/>
                <w:szCs w:val="18"/>
              </w:rPr>
              <w:t>37.6</w:t>
            </w:r>
          </w:p>
        </w:tc>
        <w:tc>
          <w:tcPr>
            <w:tcW w:w="398" w:type="pct"/>
            <w:shd w:val="clear" w:color="auto" w:fill="EFD3D2"/>
            <w:noWrap/>
            <w:vAlign w:val="center"/>
          </w:tcPr>
          <w:p w14:paraId="3EBF6641" w14:textId="663278BC" w:rsidR="00CA1F00" w:rsidRPr="00CA1F00" w:rsidRDefault="00CA1F00" w:rsidP="00CA1F00">
            <w:pPr>
              <w:pStyle w:val="ForTable"/>
              <w:jc w:val="center"/>
              <w:rPr>
                <w:sz w:val="18"/>
                <w:szCs w:val="18"/>
              </w:rPr>
            </w:pPr>
            <w:r w:rsidRPr="00CA1F00">
              <w:rPr>
                <w:rFonts w:cs="Arial"/>
                <w:sz w:val="18"/>
                <w:szCs w:val="18"/>
              </w:rPr>
              <w:t>11.3</w:t>
            </w:r>
          </w:p>
        </w:tc>
        <w:tc>
          <w:tcPr>
            <w:tcW w:w="397" w:type="pct"/>
            <w:shd w:val="clear" w:color="auto" w:fill="EFD3D2"/>
            <w:vAlign w:val="center"/>
          </w:tcPr>
          <w:p w14:paraId="4FC295A4" w14:textId="1C2047D5" w:rsidR="00CA1F00" w:rsidRPr="00CA1F00" w:rsidRDefault="00CA1F00" w:rsidP="00CA1F00">
            <w:pPr>
              <w:pStyle w:val="ForTable"/>
              <w:jc w:val="center"/>
              <w:rPr>
                <w:color w:val="000000"/>
                <w:sz w:val="18"/>
                <w:szCs w:val="18"/>
              </w:rPr>
            </w:pPr>
            <w:r w:rsidRPr="00CA1F00">
              <w:rPr>
                <w:rFonts w:cs="Arial"/>
                <w:sz w:val="18"/>
                <w:szCs w:val="18"/>
              </w:rPr>
              <w:t>6.5</w:t>
            </w:r>
          </w:p>
        </w:tc>
        <w:tc>
          <w:tcPr>
            <w:tcW w:w="447" w:type="pct"/>
            <w:shd w:val="clear" w:color="auto" w:fill="EFD3D2"/>
            <w:vAlign w:val="center"/>
          </w:tcPr>
          <w:p w14:paraId="76F3A019" w14:textId="7E6B7347" w:rsidR="00CA1F00" w:rsidRPr="00CA1F00" w:rsidRDefault="00CA1F00" w:rsidP="00CA1F00">
            <w:pPr>
              <w:pStyle w:val="ForTable"/>
              <w:jc w:val="center"/>
              <w:rPr>
                <w:color w:val="000000"/>
                <w:sz w:val="18"/>
                <w:szCs w:val="18"/>
              </w:rPr>
            </w:pPr>
            <w:r w:rsidRPr="00CA1F00">
              <w:rPr>
                <w:rFonts w:cs="Arial"/>
                <w:sz w:val="18"/>
                <w:szCs w:val="18"/>
              </w:rPr>
              <w:t>2.1</w:t>
            </w:r>
          </w:p>
        </w:tc>
        <w:tc>
          <w:tcPr>
            <w:tcW w:w="397" w:type="pct"/>
            <w:shd w:val="clear" w:color="auto" w:fill="EFD3D2"/>
            <w:noWrap/>
            <w:vAlign w:val="center"/>
          </w:tcPr>
          <w:p w14:paraId="7B51D205" w14:textId="418940E8" w:rsidR="00CA1F00" w:rsidRPr="00CA1F00" w:rsidRDefault="00CA1F00" w:rsidP="00CA1F00">
            <w:pPr>
              <w:pStyle w:val="ForTable"/>
              <w:jc w:val="center"/>
              <w:rPr>
                <w:color w:val="000000"/>
                <w:sz w:val="18"/>
                <w:szCs w:val="18"/>
              </w:rPr>
            </w:pPr>
            <w:r w:rsidRPr="00CA1F00">
              <w:rPr>
                <w:rFonts w:cs="Arial"/>
                <w:sz w:val="18"/>
                <w:szCs w:val="18"/>
              </w:rPr>
              <w:t>4.2</w:t>
            </w:r>
          </w:p>
        </w:tc>
        <w:tc>
          <w:tcPr>
            <w:tcW w:w="447" w:type="pct"/>
            <w:shd w:val="clear" w:color="auto" w:fill="EFD3D2"/>
            <w:noWrap/>
            <w:vAlign w:val="center"/>
          </w:tcPr>
          <w:p w14:paraId="0CF2FC3C" w14:textId="133FFAAE" w:rsidR="00CA1F00" w:rsidRPr="00CA1F00" w:rsidRDefault="00CA1F00" w:rsidP="00CA1F00">
            <w:pPr>
              <w:pStyle w:val="ForTable"/>
              <w:jc w:val="center"/>
              <w:rPr>
                <w:color w:val="000000"/>
                <w:sz w:val="18"/>
                <w:szCs w:val="18"/>
              </w:rPr>
            </w:pPr>
            <w:r w:rsidRPr="00CA1F00">
              <w:rPr>
                <w:rFonts w:cs="Arial"/>
                <w:sz w:val="18"/>
                <w:szCs w:val="18"/>
              </w:rPr>
              <w:t>1.6</w:t>
            </w:r>
          </w:p>
        </w:tc>
        <w:tc>
          <w:tcPr>
            <w:tcW w:w="423" w:type="pct"/>
            <w:shd w:val="clear" w:color="auto" w:fill="EFD3D2"/>
            <w:noWrap/>
            <w:vAlign w:val="center"/>
          </w:tcPr>
          <w:p w14:paraId="60C34B5C" w14:textId="6853A858" w:rsidR="00CA1F00" w:rsidRPr="00CA1F00" w:rsidRDefault="00405544" w:rsidP="00CA1F00">
            <w:pPr>
              <w:pStyle w:val="ForTable"/>
              <w:jc w:val="center"/>
              <w:rPr>
                <w:color w:val="000000"/>
                <w:sz w:val="18"/>
                <w:szCs w:val="18"/>
              </w:rPr>
            </w:pPr>
            <w:r>
              <w:rPr>
                <w:rFonts w:cs="Arial"/>
                <w:sz w:val="18"/>
                <w:szCs w:val="18"/>
              </w:rPr>
              <w:t>u/a</w:t>
            </w:r>
          </w:p>
        </w:tc>
        <w:tc>
          <w:tcPr>
            <w:tcW w:w="373" w:type="pct"/>
            <w:shd w:val="clear" w:color="auto" w:fill="EFD3D2"/>
            <w:vAlign w:val="center"/>
          </w:tcPr>
          <w:p w14:paraId="3F2EDFCA" w14:textId="77293F38" w:rsidR="00CA1F00" w:rsidRPr="00CA1F00" w:rsidRDefault="00CA1F00" w:rsidP="00CA1F00">
            <w:pPr>
              <w:pStyle w:val="ForTable"/>
              <w:jc w:val="center"/>
              <w:rPr>
                <w:color w:val="000000"/>
                <w:sz w:val="18"/>
                <w:szCs w:val="18"/>
              </w:rPr>
            </w:pPr>
            <w:r w:rsidRPr="00CA1F00">
              <w:rPr>
                <w:rFonts w:cs="Arial"/>
                <w:sz w:val="18"/>
                <w:szCs w:val="18"/>
              </w:rPr>
              <w:t>0.0</w:t>
            </w:r>
          </w:p>
        </w:tc>
        <w:tc>
          <w:tcPr>
            <w:tcW w:w="361" w:type="pct"/>
            <w:shd w:val="clear" w:color="auto" w:fill="EFD3D2"/>
            <w:noWrap/>
            <w:vAlign w:val="center"/>
          </w:tcPr>
          <w:p w14:paraId="044C1A49" w14:textId="2618F92D" w:rsidR="00CA1F00" w:rsidRPr="00CA1F00" w:rsidRDefault="00CA1F00" w:rsidP="00CA1F00">
            <w:pPr>
              <w:pStyle w:val="ForTable"/>
              <w:jc w:val="center"/>
              <w:rPr>
                <w:b/>
                <w:bCs w:val="0"/>
                <w:sz w:val="18"/>
                <w:szCs w:val="18"/>
              </w:rPr>
            </w:pPr>
            <w:r w:rsidRPr="00CA1F00">
              <w:rPr>
                <w:rFonts w:cs="Arial"/>
                <w:b/>
                <w:bCs w:val="0"/>
                <w:sz w:val="18"/>
                <w:szCs w:val="18"/>
              </w:rPr>
              <w:t>74.0</w:t>
            </w:r>
          </w:p>
        </w:tc>
        <w:tc>
          <w:tcPr>
            <w:tcW w:w="369" w:type="pct"/>
            <w:shd w:val="clear" w:color="auto" w:fill="EFD3D2"/>
            <w:noWrap/>
            <w:vAlign w:val="center"/>
          </w:tcPr>
          <w:p w14:paraId="76990416" w14:textId="7913490A" w:rsidR="00CA1F00" w:rsidRPr="00CA1F00" w:rsidRDefault="00CA1F00" w:rsidP="00CA1F00">
            <w:pPr>
              <w:pStyle w:val="ForTable"/>
              <w:jc w:val="center"/>
              <w:rPr>
                <w:color w:val="000000"/>
                <w:sz w:val="18"/>
                <w:szCs w:val="18"/>
              </w:rPr>
            </w:pPr>
            <w:r w:rsidRPr="00CA1F00">
              <w:rPr>
                <w:rFonts w:cs="Arial"/>
                <w:sz w:val="18"/>
                <w:szCs w:val="18"/>
              </w:rPr>
              <w:t>22.4</w:t>
            </w:r>
          </w:p>
        </w:tc>
      </w:tr>
      <w:tr w:rsidR="00CA1F00" w:rsidRPr="00CA1F00" w14:paraId="3073F40D" w14:textId="77777777" w:rsidTr="00106011">
        <w:trPr>
          <w:cantSplit/>
          <w:trHeight w:val="437"/>
        </w:trPr>
        <w:tc>
          <w:tcPr>
            <w:tcW w:w="634" w:type="pct"/>
            <w:shd w:val="clear" w:color="auto" w:fill="auto"/>
            <w:noWrap/>
            <w:vAlign w:val="center"/>
          </w:tcPr>
          <w:p w14:paraId="69C8394B" w14:textId="5FB73ED3" w:rsidR="00CA1F00" w:rsidRPr="00CA1F00" w:rsidRDefault="00CA1F00" w:rsidP="00CA1F00">
            <w:pPr>
              <w:spacing w:before="60" w:after="60"/>
              <w:jc w:val="left"/>
              <w:rPr>
                <w:rFonts w:cs="Arial"/>
                <w:color w:val="000000"/>
                <w:sz w:val="18"/>
                <w:szCs w:val="18"/>
              </w:rPr>
            </w:pPr>
            <w:r w:rsidRPr="00CA1F00">
              <w:rPr>
                <w:rFonts w:cs="Arial"/>
                <w:sz w:val="18"/>
                <w:szCs w:val="18"/>
              </w:rPr>
              <w:t>Dispute resolution</w:t>
            </w:r>
          </w:p>
        </w:tc>
        <w:tc>
          <w:tcPr>
            <w:tcW w:w="358" w:type="pct"/>
            <w:shd w:val="clear" w:color="auto" w:fill="auto"/>
            <w:noWrap/>
            <w:vAlign w:val="center"/>
          </w:tcPr>
          <w:p w14:paraId="414AE0FE" w14:textId="4A8E21F7" w:rsidR="00CA1F00" w:rsidRPr="00CA1F00" w:rsidRDefault="00CA1F00" w:rsidP="00CA1F00">
            <w:pPr>
              <w:pStyle w:val="ForTable"/>
              <w:jc w:val="center"/>
              <w:rPr>
                <w:sz w:val="18"/>
                <w:szCs w:val="18"/>
              </w:rPr>
            </w:pPr>
            <w:r w:rsidRPr="00CA1F00">
              <w:rPr>
                <w:rFonts w:cs="Arial"/>
                <w:sz w:val="18"/>
                <w:szCs w:val="18"/>
              </w:rPr>
              <w:t>68.9</w:t>
            </w:r>
          </w:p>
        </w:tc>
        <w:tc>
          <w:tcPr>
            <w:tcW w:w="396" w:type="pct"/>
            <w:shd w:val="clear" w:color="auto" w:fill="auto"/>
            <w:noWrap/>
            <w:vAlign w:val="center"/>
          </w:tcPr>
          <w:p w14:paraId="70A63594" w14:textId="79760B0B" w:rsidR="00CA1F00" w:rsidRPr="00CA1F00" w:rsidRDefault="00CA1F00" w:rsidP="00CA1F00">
            <w:pPr>
              <w:pStyle w:val="ForTable"/>
              <w:jc w:val="center"/>
              <w:rPr>
                <w:sz w:val="18"/>
                <w:szCs w:val="18"/>
              </w:rPr>
            </w:pPr>
            <w:r w:rsidRPr="00CA1F00">
              <w:rPr>
                <w:rFonts w:cs="Arial"/>
                <w:sz w:val="18"/>
                <w:szCs w:val="18"/>
              </w:rPr>
              <w:t>36.6</w:t>
            </w:r>
          </w:p>
        </w:tc>
        <w:tc>
          <w:tcPr>
            <w:tcW w:w="398" w:type="pct"/>
            <w:shd w:val="clear" w:color="auto" w:fill="auto"/>
            <w:noWrap/>
            <w:vAlign w:val="center"/>
          </w:tcPr>
          <w:p w14:paraId="33626FA5" w14:textId="564B3684" w:rsidR="00CA1F00" w:rsidRPr="00CA1F00" w:rsidRDefault="00CA1F00" w:rsidP="00CA1F00">
            <w:pPr>
              <w:pStyle w:val="ForTable"/>
              <w:jc w:val="center"/>
              <w:rPr>
                <w:sz w:val="18"/>
                <w:szCs w:val="18"/>
              </w:rPr>
            </w:pPr>
            <w:r w:rsidRPr="00CA1F00">
              <w:rPr>
                <w:rFonts w:cs="Arial"/>
                <w:sz w:val="18"/>
                <w:szCs w:val="18"/>
              </w:rPr>
              <w:t>13.4</w:t>
            </w:r>
          </w:p>
        </w:tc>
        <w:tc>
          <w:tcPr>
            <w:tcW w:w="397" w:type="pct"/>
            <w:shd w:val="clear" w:color="auto" w:fill="auto"/>
            <w:vAlign w:val="center"/>
          </w:tcPr>
          <w:p w14:paraId="6261D09A" w14:textId="6097B7C0" w:rsidR="00CA1F00" w:rsidRPr="00CA1F00" w:rsidRDefault="00CA1F00" w:rsidP="00CA1F00">
            <w:pPr>
              <w:pStyle w:val="ForTable"/>
              <w:jc w:val="center"/>
              <w:rPr>
                <w:color w:val="000000"/>
                <w:sz w:val="18"/>
                <w:szCs w:val="18"/>
              </w:rPr>
            </w:pPr>
            <w:r w:rsidRPr="00CA1F00">
              <w:rPr>
                <w:rFonts w:cs="Arial"/>
                <w:sz w:val="18"/>
                <w:szCs w:val="18"/>
              </w:rPr>
              <w:t>9.3</w:t>
            </w:r>
          </w:p>
        </w:tc>
        <w:tc>
          <w:tcPr>
            <w:tcW w:w="447" w:type="pct"/>
            <w:shd w:val="clear" w:color="auto" w:fill="auto"/>
            <w:vAlign w:val="center"/>
          </w:tcPr>
          <w:p w14:paraId="5D8C7E9B" w14:textId="0DA21027" w:rsidR="00CA1F00" w:rsidRPr="00CA1F00" w:rsidRDefault="00CA1F00" w:rsidP="00CA1F00">
            <w:pPr>
              <w:pStyle w:val="ForTable"/>
              <w:jc w:val="center"/>
              <w:rPr>
                <w:color w:val="000000"/>
                <w:sz w:val="18"/>
                <w:szCs w:val="18"/>
              </w:rPr>
            </w:pPr>
            <w:r w:rsidRPr="00CA1F00">
              <w:rPr>
                <w:rFonts w:cs="Arial"/>
                <w:sz w:val="18"/>
                <w:szCs w:val="18"/>
              </w:rPr>
              <w:t>3.1</w:t>
            </w:r>
          </w:p>
        </w:tc>
        <w:tc>
          <w:tcPr>
            <w:tcW w:w="397" w:type="pct"/>
            <w:shd w:val="clear" w:color="auto" w:fill="auto"/>
            <w:noWrap/>
            <w:vAlign w:val="center"/>
          </w:tcPr>
          <w:p w14:paraId="71E1F844" w14:textId="225F9AB6" w:rsidR="00CA1F00" w:rsidRPr="00CA1F00" w:rsidRDefault="00CA1F00" w:rsidP="00CA1F00">
            <w:pPr>
              <w:pStyle w:val="ForTable"/>
              <w:jc w:val="center"/>
              <w:rPr>
                <w:color w:val="000000"/>
                <w:sz w:val="18"/>
                <w:szCs w:val="18"/>
              </w:rPr>
            </w:pPr>
            <w:r w:rsidRPr="00CA1F00">
              <w:rPr>
                <w:rFonts w:cs="Arial"/>
                <w:sz w:val="18"/>
                <w:szCs w:val="18"/>
              </w:rPr>
              <w:t>4.7</w:t>
            </w:r>
          </w:p>
        </w:tc>
        <w:tc>
          <w:tcPr>
            <w:tcW w:w="447" w:type="pct"/>
            <w:shd w:val="clear" w:color="auto" w:fill="auto"/>
            <w:noWrap/>
            <w:vAlign w:val="center"/>
          </w:tcPr>
          <w:p w14:paraId="04FE417E" w14:textId="63ADE65B" w:rsidR="00CA1F00" w:rsidRPr="00CA1F00" w:rsidRDefault="00CA1F00" w:rsidP="00CA1F00">
            <w:pPr>
              <w:pStyle w:val="ForTable"/>
              <w:jc w:val="center"/>
              <w:rPr>
                <w:color w:val="000000"/>
                <w:sz w:val="18"/>
                <w:szCs w:val="18"/>
              </w:rPr>
            </w:pPr>
            <w:r w:rsidRPr="00CA1F00">
              <w:rPr>
                <w:rFonts w:cs="Arial"/>
                <w:sz w:val="18"/>
                <w:szCs w:val="18"/>
              </w:rPr>
              <w:t>1.2</w:t>
            </w:r>
          </w:p>
        </w:tc>
        <w:tc>
          <w:tcPr>
            <w:tcW w:w="423" w:type="pct"/>
            <w:shd w:val="clear" w:color="auto" w:fill="auto"/>
            <w:noWrap/>
            <w:vAlign w:val="center"/>
          </w:tcPr>
          <w:p w14:paraId="29232AC2" w14:textId="276A933B" w:rsidR="00CA1F00" w:rsidRPr="00CA1F00" w:rsidRDefault="00CA1F00" w:rsidP="00CA1F00">
            <w:pPr>
              <w:pStyle w:val="ForTable"/>
              <w:jc w:val="center"/>
              <w:rPr>
                <w:color w:val="000000"/>
                <w:sz w:val="18"/>
                <w:szCs w:val="18"/>
              </w:rPr>
            </w:pPr>
            <w:r w:rsidRPr="00CA1F00">
              <w:rPr>
                <w:rFonts w:cs="Arial"/>
                <w:sz w:val="18"/>
                <w:szCs w:val="18"/>
              </w:rPr>
              <w:t>0.2</w:t>
            </w:r>
          </w:p>
        </w:tc>
        <w:tc>
          <w:tcPr>
            <w:tcW w:w="373" w:type="pct"/>
            <w:shd w:val="clear" w:color="auto" w:fill="auto"/>
            <w:vAlign w:val="center"/>
          </w:tcPr>
          <w:p w14:paraId="452C1FDB" w14:textId="756DC9E3" w:rsidR="00CA1F00" w:rsidRPr="00CA1F00" w:rsidRDefault="00CA1F00" w:rsidP="00CA1F00">
            <w:pPr>
              <w:pStyle w:val="ForTable"/>
              <w:jc w:val="center"/>
              <w:rPr>
                <w:color w:val="000000"/>
                <w:sz w:val="18"/>
                <w:szCs w:val="18"/>
              </w:rPr>
            </w:pPr>
            <w:r w:rsidRPr="00CA1F00">
              <w:rPr>
                <w:rFonts w:cs="Arial"/>
                <w:sz w:val="18"/>
                <w:szCs w:val="18"/>
              </w:rPr>
              <w:t>0.0</w:t>
            </w:r>
          </w:p>
        </w:tc>
        <w:tc>
          <w:tcPr>
            <w:tcW w:w="361" w:type="pct"/>
            <w:shd w:val="clear" w:color="auto" w:fill="auto"/>
            <w:noWrap/>
            <w:vAlign w:val="center"/>
          </w:tcPr>
          <w:p w14:paraId="48CEE40F" w14:textId="58C7A956" w:rsidR="00CA1F00" w:rsidRPr="00CA1F00" w:rsidRDefault="00CA1F00" w:rsidP="00CA1F00">
            <w:pPr>
              <w:pStyle w:val="ForTable"/>
              <w:jc w:val="center"/>
              <w:rPr>
                <w:b/>
                <w:bCs w:val="0"/>
                <w:sz w:val="18"/>
                <w:szCs w:val="18"/>
              </w:rPr>
            </w:pPr>
            <w:r w:rsidRPr="00CA1F00">
              <w:rPr>
                <w:rFonts w:cs="Arial"/>
                <w:b/>
                <w:bCs w:val="0"/>
                <w:sz w:val="18"/>
                <w:szCs w:val="18"/>
              </w:rPr>
              <w:t>137.3</w:t>
            </w:r>
          </w:p>
        </w:tc>
        <w:tc>
          <w:tcPr>
            <w:tcW w:w="369" w:type="pct"/>
            <w:shd w:val="clear" w:color="auto" w:fill="auto"/>
            <w:noWrap/>
            <w:vAlign w:val="center"/>
          </w:tcPr>
          <w:p w14:paraId="440FE293" w14:textId="78FA918E" w:rsidR="00CA1F00" w:rsidRPr="00CA1F00" w:rsidRDefault="00CA1F00" w:rsidP="00CA1F00">
            <w:pPr>
              <w:pStyle w:val="ForTable"/>
              <w:jc w:val="center"/>
              <w:rPr>
                <w:color w:val="000000"/>
                <w:sz w:val="18"/>
                <w:szCs w:val="18"/>
              </w:rPr>
            </w:pPr>
            <w:r w:rsidRPr="00CA1F00">
              <w:rPr>
                <w:rFonts w:cs="Arial"/>
                <w:sz w:val="18"/>
                <w:szCs w:val="18"/>
              </w:rPr>
              <w:t>0.0</w:t>
            </w:r>
          </w:p>
        </w:tc>
      </w:tr>
      <w:tr w:rsidR="00CA1F00" w:rsidRPr="00CA1F00" w14:paraId="3F9A3F0E" w14:textId="77777777" w:rsidTr="00106011">
        <w:trPr>
          <w:cantSplit/>
          <w:trHeight w:val="437"/>
        </w:trPr>
        <w:tc>
          <w:tcPr>
            <w:tcW w:w="634" w:type="pct"/>
            <w:shd w:val="clear" w:color="auto" w:fill="EFD3D2"/>
            <w:noWrap/>
            <w:vAlign w:val="center"/>
          </w:tcPr>
          <w:p w14:paraId="6B66579C" w14:textId="00BD92D5" w:rsidR="00CA1F00" w:rsidRPr="00CA1F00" w:rsidRDefault="00CA1F00" w:rsidP="00CA1F00">
            <w:pPr>
              <w:spacing w:before="60" w:after="60"/>
              <w:jc w:val="left"/>
              <w:rPr>
                <w:rFonts w:cs="Arial"/>
                <w:color w:val="000000"/>
                <w:sz w:val="18"/>
                <w:szCs w:val="18"/>
              </w:rPr>
            </w:pPr>
            <w:r w:rsidRPr="00CA1F00">
              <w:rPr>
                <w:rFonts w:cs="Arial"/>
                <w:sz w:val="18"/>
                <w:szCs w:val="18"/>
              </w:rPr>
              <w:t>Other administration</w:t>
            </w:r>
          </w:p>
        </w:tc>
        <w:tc>
          <w:tcPr>
            <w:tcW w:w="358" w:type="pct"/>
            <w:shd w:val="clear" w:color="auto" w:fill="EFD3D2"/>
            <w:noWrap/>
            <w:vAlign w:val="center"/>
          </w:tcPr>
          <w:p w14:paraId="503BE10D" w14:textId="129AFE2C" w:rsidR="00CA1F00" w:rsidRPr="00CA1F00" w:rsidRDefault="00CA1F00" w:rsidP="00CA1F00">
            <w:pPr>
              <w:pStyle w:val="ForTable"/>
              <w:jc w:val="center"/>
              <w:rPr>
                <w:sz w:val="18"/>
                <w:szCs w:val="18"/>
              </w:rPr>
            </w:pPr>
            <w:r w:rsidRPr="00CA1F00">
              <w:rPr>
                <w:rFonts w:cs="Arial"/>
                <w:sz w:val="18"/>
                <w:szCs w:val="18"/>
              </w:rPr>
              <w:t>15.5</w:t>
            </w:r>
          </w:p>
        </w:tc>
        <w:tc>
          <w:tcPr>
            <w:tcW w:w="396" w:type="pct"/>
            <w:shd w:val="clear" w:color="auto" w:fill="EFD3D2"/>
            <w:noWrap/>
            <w:vAlign w:val="center"/>
          </w:tcPr>
          <w:p w14:paraId="2435806C" w14:textId="5BFF5284" w:rsidR="00CA1F00" w:rsidRPr="00CA1F00" w:rsidRDefault="00CA1F00" w:rsidP="00CA1F00">
            <w:pPr>
              <w:pStyle w:val="ForTable"/>
              <w:jc w:val="center"/>
              <w:rPr>
                <w:sz w:val="18"/>
                <w:szCs w:val="18"/>
              </w:rPr>
            </w:pPr>
            <w:r w:rsidRPr="00CA1F00">
              <w:rPr>
                <w:rFonts w:cs="Arial"/>
                <w:sz w:val="18"/>
                <w:szCs w:val="18"/>
              </w:rPr>
              <w:t>48.2</w:t>
            </w:r>
          </w:p>
        </w:tc>
        <w:tc>
          <w:tcPr>
            <w:tcW w:w="398" w:type="pct"/>
            <w:shd w:val="clear" w:color="auto" w:fill="EFD3D2"/>
            <w:noWrap/>
            <w:vAlign w:val="center"/>
          </w:tcPr>
          <w:p w14:paraId="338C7AC3" w14:textId="3A9BF200" w:rsidR="00CA1F00" w:rsidRPr="00CA1F00" w:rsidRDefault="00CA1F00" w:rsidP="00CA1F00">
            <w:pPr>
              <w:pStyle w:val="ForTable"/>
              <w:jc w:val="center"/>
              <w:rPr>
                <w:sz w:val="18"/>
                <w:szCs w:val="18"/>
              </w:rPr>
            </w:pPr>
            <w:r w:rsidRPr="00CA1F00">
              <w:rPr>
                <w:rFonts w:cs="Arial"/>
                <w:sz w:val="18"/>
                <w:szCs w:val="18"/>
              </w:rPr>
              <w:t>43.7</w:t>
            </w:r>
          </w:p>
        </w:tc>
        <w:tc>
          <w:tcPr>
            <w:tcW w:w="397" w:type="pct"/>
            <w:shd w:val="clear" w:color="auto" w:fill="EFD3D2"/>
            <w:vAlign w:val="center"/>
          </w:tcPr>
          <w:p w14:paraId="2F4E6847" w14:textId="09C470D1" w:rsidR="00CA1F00" w:rsidRPr="00CA1F00" w:rsidRDefault="00CA1F00" w:rsidP="00CA1F00">
            <w:pPr>
              <w:pStyle w:val="ForTable"/>
              <w:jc w:val="center"/>
              <w:rPr>
                <w:color w:val="000000"/>
                <w:sz w:val="18"/>
                <w:szCs w:val="18"/>
              </w:rPr>
            </w:pPr>
            <w:r w:rsidRPr="00CA1F00">
              <w:rPr>
                <w:rFonts w:cs="Arial"/>
                <w:sz w:val="18"/>
                <w:szCs w:val="18"/>
              </w:rPr>
              <w:t>35.8</w:t>
            </w:r>
          </w:p>
        </w:tc>
        <w:tc>
          <w:tcPr>
            <w:tcW w:w="447" w:type="pct"/>
            <w:shd w:val="clear" w:color="auto" w:fill="EFD3D2"/>
            <w:vAlign w:val="center"/>
          </w:tcPr>
          <w:p w14:paraId="6E0332AC" w14:textId="468A2DA8" w:rsidR="00CA1F00" w:rsidRPr="00CA1F00" w:rsidRDefault="00CA1F00" w:rsidP="00CA1F00">
            <w:pPr>
              <w:pStyle w:val="ForTable"/>
              <w:jc w:val="center"/>
              <w:rPr>
                <w:color w:val="000000"/>
                <w:sz w:val="18"/>
                <w:szCs w:val="18"/>
              </w:rPr>
            </w:pPr>
            <w:r w:rsidRPr="00CA1F00">
              <w:rPr>
                <w:rFonts w:cs="Arial"/>
                <w:sz w:val="18"/>
                <w:szCs w:val="18"/>
              </w:rPr>
              <w:t>23.8</w:t>
            </w:r>
          </w:p>
        </w:tc>
        <w:tc>
          <w:tcPr>
            <w:tcW w:w="397" w:type="pct"/>
            <w:shd w:val="clear" w:color="auto" w:fill="EFD3D2"/>
            <w:noWrap/>
            <w:vAlign w:val="center"/>
          </w:tcPr>
          <w:p w14:paraId="0BBBEA3F" w14:textId="2CC11E6D" w:rsidR="00CA1F00" w:rsidRPr="00CA1F00" w:rsidRDefault="00CA1F00" w:rsidP="00CA1F00">
            <w:pPr>
              <w:pStyle w:val="ForTable"/>
              <w:jc w:val="center"/>
              <w:rPr>
                <w:color w:val="000000"/>
                <w:sz w:val="18"/>
                <w:szCs w:val="18"/>
              </w:rPr>
            </w:pPr>
            <w:r w:rsidRPr="00CA1F00">
              <w:rPr>
                <w:rFonts w:cs="Arial"/>
                <w:sz w:val="18"/>
                <w:szCs w:val="18"/>
              </w:rPr>
              <w:t>9.5</w:t>
            </w:r>
          </w:p>
        </w:tc>
        <w:tc>
          <w:tcPr>
            <w:tcW w:w="447" w:type="pct"/>
            <w:shd w:val="clear" w:color="auto" w:fill="EFD3D2"/>
            <w:noWrap/>
            <w:vAlign w:val="center"/>
          </w:tcPr>
          <w:p w14:paraId="43162CCE" w14:textId="5E9887FA" w:rsidR="00CA1F00" w:rsidRPr="00CA1F00" w:rsidRDefault="00CA1F00" w:rsidP="00CA1F00">
            <w:pPr>
              <w:pStyle w:val="ForTable"/>
              <w:jc w:val="center"/>
              <w:rPr>
                <w:color w:val="000000"/>
                <w:sz w:val="18"/>
                <w:szCs w:val="18"/>
              </w:rPr>
            </w:pPr>
            <w:r w:rsidRPr="00CA1F00">
              <w:rPr>
                <w:rFonts w:cs="Arial"/>
                <w:sz w:val="18"/>
                <w:szCs w:val="18"/>
              </w:rPr>
              <w:t>0.9</w:t>
            </w:r>
          </w:p>
        </w:tc>
        <w:tc>
          <w:tcPr>
            <w:tcW w:w="423" w:type="pct"/>
            <w:shd w:val="clear" w:color="auto" w:fill="EFD3D2"/>
            <w:noWrap/>
            <w:vAlign w:val="center"/>
          </w:tcPr>
          <w:p w14:paraId="44C1C456" w14:textId="0F0210D6" w:rsidR="00CA1F00" w:rsidRPr="00CA1F00" w:rsidRDefault="00CA1F00" w:rsidP="00CA1F00">
            <w:pPr>
              <w:pStyle w:val="ForTable"/>
              <w:jc w:val="center"/>
              <w:rPr>
                <w:color w:val="000000"/>
                <w:sz w:val="18"/>
                <w:szCs w:val="18"/>
              </w:rPr>
            </w:pPr>
            <w:r w:rsidRPr="00CA1F00">
              <w:rPr>
                <w:rFonts w:cs="Arial"/>
                <w:sz w:val="18"/>
                <w:szCs w:val="18"/>
              </w:rPr>
              <w:t>1.4</w:t>
            </w:r>
          </w:p>
        </w:tc>
        <w:tc>
          <w:tcPr>
            <w:tcW w:w="373" w:type="pct"/>
            <w:shd w:val="clear" w:color="auto" w:fill="EFD3D2"/>
            <w:vAlign w:val="center"/>
          </w:tcPr>
          <w:p w14:paraId="5895E77D" w14:textId="5FC2E2F8" w:rsidR="00CA1F00" w:rsidRPr="00CA1F00" w:rsidRDefault="00CA1F00" w:rsidP="00CA1F00">
            <w:pPr>
              <w:pStyle w:val="ForTable"/>
              <w:jc w:val="center"/>
              <w:rPr>
                <w:color w:val="000000"/>
                <w:sz w:val="18"/>
                <w:szCs w:val="18"/>
              </w:rPr>
            </w:pPr>
            <w:r w:rsidRPr="00CA1F00">
              <w:rPr>
                <w:rFonts w:cs="Arial"/>
                <w:sz w:val="18"/>
                <w:szCs w:val="18"/>
              </w:rPr>
              <w:t>1.0</w:t>
            </w:r>
          </w:p>
        </w:tc>
        <w:tc>
          <w:tcPr>
            <w:tcW w:w="361" w:type="pct"/>
            <w:shd w:val="clear" w:color="auto" w:fill="EFD3D2"/>
            <w:noWrap/>
            <w:vAlign w:val="center"/>
          </w:tcPr>
          <w:p w14:paraId="09DE94DC" w14:textId="371CADAE" w:rsidR="00CA1F00" w:rsidRPr="00CA1F00" w:rsidRDefault="00CA1F00" w:rsidP="00CA1F00">
            <w:pPr>
              <w:pStyle w:val="ForTable"/>
              <w:jc w:val="center"/>
              <w:rPr>
                <w:b/>
                <w:bCs w:val="0"/>
                <w:sz w:val="18"/>
                <w:szCs w:val="18"/>
              </w:rPr>
            </w:pPr>
            <w:r w:rsidRPr="00CA1F00">
              <w:rPr>
                <w:rFonts w:cs="Arial"/>
                <w:b/>
                <w:bCs w:val="0"/>
                <w:sz w:val="18"/>
                <w:szCs w:val="18"/>
              </w:rPr>
              <w:t>180.0</w:t>
            </w:r>
          </w:p>
        </w:tc>
        <w:tc>
          <w:tcPr>
            <w:tcW w:w="369" w:type="pct"/>
            <w:shd w:val="clear" w:color="auto" w:fill="EFD3D2"/>
            <w:noWrap/>
            <w:vAlign w:val="center"/>
          </w:tcPr>
          <w:p w14:paraId="3B01655C" w14:textId="439AD286" w:rsidR="00CA1F00" w:rsidRPr="00CA1F00" w:rsidRDefault="00CA1F00" w:rsidP="00CA1F00">
            <w:pPr>
              <w:pStyle w:val="ForTable"/>
              <w:jc w:val="center"/>
              <w:rPr>
                <w:color w:val="000000"/>
                <w:sz w:val="18"/>
                <w:szCs w:val="18"/>
              </w:rPr>
            </w:pPr>
            <w:r w:rsidRPr="00CA1F00">
              <w:rPr>
                <w:rFonts w:cs="Arial"/>
                <w:sz w:val="18"/>
                <w:szCs w:val="18"/>
              </w:rPr>
              <w:t>36.1</w:t>
            </w:r>
          </w:p>
        </w:tc>
      </w:tr>
      <w:tr w:rsidR="00CA1F00" w:rsidRPr="00CA1F00" w14:paraId="05224EE7" w14:textId="77777777" w:rsidTr="00106011">
        <w:trPr>
          <w:cantSplit/>
          <w:trHeight w:val="437"/>
        </w:trPr>
        <w:tc>
          <w:tcPr>
            <w:tcW w:w="634" w:type="pct"/>
            <w:shd w:val="clear" w:color="auto" w:fill="808080" w:themeFill="background1" w:themeFillShade="80"/>
            <w:noWrap/>
            <w:vAlign w:val="center"/>
          </w:tcPr>
          <w:p w14:paraId="1B71E49D" w14:textId="7EC57EB6" w:rsidR="00CA1F00" w:rsidRPr="00CA1F00" w:rsidRDefault="00CA1F00" w:rsidP="00CA1F00">
            <w:pPr>
              <w:spacing w:before="60" w:after="60"/>
              <w:jc w:val="left"/>
              <w:rPr>
                <w:rFonts w:cs="Arial"/>
                <w:b/>
                <w:color w:val="FFFFFF" w:themeColor="background1"/>
                <w:sz w:val="18"/>
                <w:szCs w:val="18"/>
              </w:rPr>
            </w:pPr>
            <w:r w:rsidRPr="00CA1F00">
              <w:rPr>
                <w:rFonts w:cs="Arial"/>
                <w:b/>
                <w:bCs/>
                <w:color w:val="FFFFFF" w:themeColor="background1"/>
                <w:sz w:val="18"/>
                <w:szCs w:val="18"/>
              </w:rPr>
              <w:t>Total</w:t>
            </w:r>
          </w:p>
        </w:tc>
        <w:tc>
          <w:tcPr>
            <w:tcW w:w="358" w:type="pct"/>
            <w:tcBorders>
              <w:bottom w:val="single" w:sz="4" w:space="0" w:color="FFFFFF" w:themeColor="background1"/>
            </w:tcBorders>
            <w:shd w:val="clear" w:color="auto" w:fill="808080" w:themeFill="background1" w:themeFillShade="80"/>
            <w:noWrap/>
            <w:vAlign w:val="center"/>
          </w:tcPr>
          <w:p w14:paraId="7B5C1D6B" w14:textId="4974374C"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2,242.4</w:t>
            </w:r>
          </w:p>
        </w:tc>
        <w:tc>
          <w:tcPr>
            <w:tcW w:w="396" w:type="pct"/>
            <w:tcBorders>
              <w:bottom w:val="single" w:sz="4" w:space="0" w:color="FFFFFF" w:themeColor="background1"/>
            </w:tcBorders>
            <w:shd w:val="clear" w:color="auto" w:fill="808080" w:themeFill="background1" w:themeFillShade="80"/>
            <w:noWrap/>
            <w:vAlign w:val="center"/>
          </w:tcPr>
          <w:p w14:paraId="17E18F87" w14:textId="0BF17B2E"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2,223.5</w:t>
            </w:r>
          </w:p>
        </w:tc>
        <w:tc>
          <w:tcPr>
            <w:tcW w:w="398" w:type="pct"/>
            <w:tcBorders>
              <w:bottom w:val="single" w:sz="4" w:space="0" w:color="FFFFFF" w:themeColor="background1"/>
            </w:tcBorders>
            <w:shd w:val="clear" w:color="auto" w:fill="808080" w:themeFill="background1" w:themeFillShade="80"/>
            <w:noWrap/>
            <w:vAlign w:val="center"/>
          </w:tcPr>
          <w:p w14:paraId="434BF90C" w14:textId="475E8BC8"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1,307.1</w:t>
            </w:r>
          </w:p>
        </w:tc>
        <w:tc>
          <w:tcPr>
            <w:tcW w:w="397" w:type="pct"/>
            <w:tcBorders>
              <w:bottom w:val="single" w:sz="4" w:space="0" w:color="FFFFFF" w:themeColor="background1"/>
            </w:tcBorders>
            <w:shd w:val="clear" w:color="auto" w:fill="808080" w:themeFill="background1" w:themeFillShade="80"/>
            <w:vAlign w:val="center"/>
          </w:tcPr>
          <w:p w14:paraId="549E1461" w14:textId="6004C330"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731.8</w:t>
            </w:r>
          </w:p>
        </w:tc>
        <w:tc>
          <w:tcPr>
            <w:tcW w:w="447" w:type="pct"/>
            <w:tcBorders>
              <w:bottom w:val="single" w:sz="4" w:space="0" w:color="FFFFFF" w:themeColor="background1"/>
            </w:tcBorders>
            <w:shd w:val="clear" w:color="auto" w:fill="808080" w:themeFill="background1" w:themeFillShade="80"/>
            <w:vAlign w:val="center"/>
          </w:tcPr>
          <w:p w14:paraId="4F80B0F8" w14:textId="4F98D0C2"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313.7</w:t>
            </w:r>
          </w:p>
        </w:tc>
        <w:tc>
          <w:tcPr>
            <w:tcW w:w="397" w:type="pct"/>
            <w:tcBorders>
              <w:bottom w:val="single" w:sz="4" w:space="0" w:color="FFFFFF" w:themeColor="background1"/>
            </w:tcBorders>
            <w:shd w:val="clear" w:color="auto" w:fill="808080" w:themeFill="background1" w:themeFillShade="80"/>
            <w:noWrap/>
            <w:vAlign w:val="center"/>
          </w:tcPr>
          <w:p w14:paraId="1711EADF" w14:textId="199C7520"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1,173.1</w:t>
            </w:r>
          </w:p>
        </w:tc>
        <w:tc>
          <w:tcPr>
            <w:tcW w:w="447" w:type="pct"/>
            <w:tcBorders>
              <w:bottom w:val="single" w:sz="4" w:space="0" w:color="FFFFFF" w:themeColor="background1"/>
            </w:tcBorders>
            <w:shd w:val="clear" w:color="auto" w:fill="808080" w:themeFill="background1" w:themeFillShade="80"/>
            <w:noWrap/>
            <w:vAlign w:val="center"/>
          </w:tcPr>
          <w:p w14:paraId="256C1925" w14:textId="74D1BC58"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142.7</w:t>
            </w:r>
          </w:p>
        </w:tc>
        <w:tc>
          <w:tcPr>
            <w:tcW w:w="423" w:type="pct"/>
            <w:tcBorders>
              <w:bottom w:val="single" w:sz="4" w:space="0" w:color="FFFFFF" w:themeColor="background1"/>
            </w:tcBorders>
            <w:shd w:val="clear" w:color="auto" w:fill="808080" w:themeFill="background1" w:themeFillShade="80"/>
            <w:noWrap/>
            <w:vAlign w:val="center"/>
          </w:tcPr>
          <w:p w14:paraId="3F0D79C2" w14:textId="29C26615"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124.2</w:t>
            </w:r>
          </w:p>
        </w:tc>
        <w:tc>
          <w:tcPr>
            <w:tcW w:w="373" w:type="pct"/>
            <w:tcBorders>
              <w:bottom w:val="single" w:sz="4" w:space="0" w:color="FFFFFF" w:themeColor="background1"/>
            </w:tcBorders>
            <w:shd w:val="clear" w:color="auto" w:fill="808080" w:themeFill="background1" w:themeFillShade="80"/>
            <w:vAlign w:val="center"/>
          </w:tcPr>
          <w:p w14:paraId="0304CEBD" w14:textId="36993EB6"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14.4</w:t>
            </w:r>
          </w:p>
        </w:tc>
        <w:tc>
          <w:tcPr>
            <w:tcW w:w="361" w:type="pct"/>
            <w:tcBorders>
              <w:bottom w:val="single" w:sz="4" w:space="0" w:color="FFFFFF" w:themeColor="background1"/>
            </w:tcBorders>
            <w:shd w:val="clear" w:color="auto" w:fill="808080" w:themeFill="background1" w:themeFillShade="80"/>
            <w:noWrap/>
            <w:vAlign w:val="center"/>
          </w:tcPr>
          <w:p w14:paraId="6A7BD22B" w14:textId="6990F1A6" w:rsidR="00CA1F00" w:rsidRPr="00CA1F00" w:rsidRDefault="00CA1F00" w:rsidP="00CA1F00">
            <w:pPr>
              <w:pStyle w:val="ForTable"/>
              <w:jc w:val="center"/>
              <w:rPr>
                <w:b/>
                <w:bCs w:val="0"/>
                <w:color w:val="FFFFFF" w:themeColor="background1"/>
                <w:sz w:val="18"/>
                <w:szCs w:val="18"/>
              </w:rPr>
            </w:pPr>
            <w:r w:rsidRPr="00CA1F00">
              <w:rPr>
                <w:rFonts w:cs="Arial"/>
                <w:b/>
                <w:bCs w:val="0"/>
                <w:color w:val="FFFFFF" w:themeColor="background1"/>
                <w:sz w:val="18"/>
                <w:szCs w:val="18"/>
              </w:rPr>
              <w:t>8,272.9</w:t>
            </w:r>
          </w:p>
        </w:tc>
        <w:tc>
          <w:tcPr>
            <w:tcW w:w="369" w:type="pct"/>
            <w:tcBorders>
              <w:bottom w:val="single" w:sz="4" w:space="0" w:color="FFFFFF" w:themeColor="background1"/>
            </w:tcBorders>
            <w:shd w:val="clear" w:color="auto" w:fill="808080" w:themeFill="background1" w:themeFillShade="80"/>
            <w:noWrap/>
            <w:vAlign w:val="center"/>
          </w:tcPr>
          <w:p w14:paraId="2B3AAD97" w14:textId="49479822" w:rsidR="00CA1F00" w:rsidRPr="00CA1F00" w:rsidRDefault="00CA1F00" w:rsidP="00CA1F00">
            <w:pPr>
              <w:pStyle w:val="ForTable"/>
              <w:jc w:val="center"/>
              <w:rPr>
                <w:b/>
                <w:color w:val="FFFFFF" w:themeColor="background1"/>
                <w:sz w:val="18"/>
                <w:szCs w:val="18"/>
              </w:rPr>
            </w:pPr>
            <w:r w:rsidRPr="00CA1F00">
              <w:rPr>
                <w:rFonts w:cs="Arial"/>
                <w:b/>
                <w:bCs w:val="0"/>
                <w:color w:val="FFFFFF" w:themeColor="background1"/>
                <w:sz w:val="18"/>
                <w:szCs w:val="18"/>
              </w:rPr>
              <w:t>608.2</w:t>
            </w:r>
          </w:p>
        </w:tc>
      </w:tr>
      <w:tr w:rsidR="00106011" w:rsidRPr="00CA1F00" w14:paraId="4FB945BB" w14:textId="77777777" w:rsidTr="00106011">
        <w:trPr>
          <w:cantSplit/>
          <w:trHeight w:val="437"/>
        </w:trPr>
        <w:tc>
          <w:tcPr>
            <w:tcW w:w="634" w:type="pct"/>
            <w:tcBorders>
              <w:right w:val="nil"/>
            </w:tcBorders>
            <w:shd w:val="clear" w:color="auto" w:fill="E1AAA9"/>
            <w:noWrap/>
            <w:vAlign w:val="center"/>
            <w:hideMark/>
          </w:tcPr>
          <w:p w14:paraId="1039AD9E" w14:textId="34F19940" w:rsidR="00106011" w:rsidRPr="00CA1F00" w:rsidRDefault="00106011" w:rsidP="00106011">
            <w:pPr>
              <w:spacing w:before="60" w:after="60"/>
              <w:jc w:val="left"/>
              <w:rPr>
                <w:rFonts w:cs="Arial"/>
                <w:b/>
                <w:color w:val="000000"/>
                <w:sz w:val="18"/>
                <w:szCs w:val="18"/>
              </w:rPr>
            </w:pPr>
            <w:r w:rsidRPr="00CA1F00">
              <w:rPr>
                <w:rFonts w:cs="Arial"/>
                <w:b/>
                <w:color w:val="000000"/>
                <w:sz w:val="18"/>
                <w:szCs w:val="18"/>
              </w:rPr>
              <w:t>201</w:t>
            </w:r>
            <w:r w:rsidR="00CA1F00" w:rsidRPr="00CA1F00">
              <w:rPr>
                <w:rFonts w:cs="Arial"/>
                <w:b/>
                <w:color w:val="000000"/>
                <w:sz w:val="18"/>
                <w:szCs w:val="18"/>
              </w:rPr>
              <w:t>9</w:t>
            </w:r>
            <w:r w:rsidRPr="00CA1F00">
              <w:rPr>
                <w:rFonts w:cs="Arial"/>
                <w:b/>
                <w:color w:val="000000"/>
                <w:sz w:val="18"/>
                <w:szCs w:val="18"/>
              </w:rPr>
              <w:t>–</w:t>
            </w:r>
            <w:r w:rsidR="00CA1F00" w:rsidRPr="00CA1F00">
              <w:rPr>
                <w:rFonts w:cs="Arial"/>
                <w:b/>
                <w:color w:val="000000"/>
                <w:sz w:val="18"/>
                <w:szCs w:val="18"/>
              </w:rPr>
              <w:t>20</w:t>
            </w:r>
          </w:p>
        </w:tc>
        <w:tc>
          <w:tcPr>
            <w:tcW w:w="358" w:type="pct"/>
            <w:tcBorders>
              <w:left w:val="nil"/>
              <w:right w:val="nil"/>
            </w:tcBorders>
            <w:shd w:val="clear" w:color="auto" w:fill="E1AAA9"/>
            <w:noWrap/>
            <w:vAlign w:val="center"/>
            <w:hideMark/>
          </w:tcPr>
          <w:p w14:paraId="0FC634A2" w14:textId="77777777" w:rsidR="00106011" w:rsidRPr="00CA1F00" w:rsidRDefault="00106011" w:rsidP="00106011">
            <w:pPr>
              <w:spacing w:before="60" w:after="60"/>
              <w:jc w:val="center"/>
              <w:rPr>
                <w:rFonts w:cs="Arial"/>
                <w:sz w:val="18"/>
                <w:szCs w:val="18"/>
              </w:rPr>
            </w:pPr>
          </w:p>
        </w:tc>
        <w:tc>
          <w:tcPr>
            <w:tcW w:w="396" w:type="pct"/>
            <w:tcBorders>
              <w:left w:val="nil"/>
              <w:right w:val="nil"/>
            </w:tcBorders>
            <w:shd w:val="clear" w:color="auto" w:fill="E1AAA9"/>
            <w:noWrap/>
            <w:vAlign w:val="center"/>
            <w:hideMark/>
          </w:tcPr>
          <w:p w14:paraId="41DDE11A" w14:textId="77777777" w:rsidR="00106011" w:rsidRPr="00CA1F00" w:rsidRDefault="00106011" w:rsidP="00106011">
            <w:pPr>
              <w:spacing w:before="60" w:after="60"/>
              <w:jc w:val="center"/>
              <w:rPr>
                <w:rFonts w:cs="Arial"/>
                <w:sz w:val="18"/>
                <w:szCs w:val="18"/>
              </w:rPr>
            </w:pPr>
          </w:p>
        </w:tc>
        <w:tc>
          <w:tcPr>
            <w:tcW w:w="398" w:type="pct"/>
            <w:tcBorders>
              <w:left w:val="nil"/>
              <w:right w:val="nil"/>
            </w:tcBorders>
            <w:shd w:val="clear" w:color="auto" w:fill="E1AAA9"/>
            <w:noWrap/>
            <w:vAlign w:val="center"/>
            <w:hideMark/>
          </w:tcPr>
          <w:p w14:paraId="78116966" w14:textId="77777777" w:rsidR="00106011" w:rsidRPr="00CA1F00" w:rsidRDefault="00106011" w:rsidP="00106011">
            <w:pPr>
              <w:spacing w:before="60" w:after="60"/>
              <w:jc w:val="center"/>
              <w:rPr>
                <w:rFonts w:cs="Arial"/>
                <w:b/>
                <w:sz w:val="18"/>
                <w:szCs w:val="18"/>
              </w:rPr>
            </w:pPr>
          </w:p>
        </w:tc>
        <w:tc>
          <w:tcPr>
            <w:tcW w:w="397" w:type="pct"/>
            <w:tcBorders>
              <w:left w:val="nil"/>
              <w:right w:val="nil"/>
            </w:tcBorders>
            <w:shd w:val="clear" w:color="auto" w:fill="E1AAA9"/>
            <w:vAlign w:val="center"/>
          </w:tcPr>
          <w:p w14:paraId="4F056EC8"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vAlign w:val="center"/>
          </w:tcPr>
          <w:p w14:paraId="1E77CAE5" w14:textId="77777777" w:rsidR="00106011" w:rsidRPr="00CA1F00" w:rsidRDefault="00106011" w:rsidP="00106011">
            <w:pPr>
              <w:spacing w:before="60" w:after="60"/>
              <w:jc w:val="center"/>
              <w:rPr>
                <w:rFonts w:cs="Arial"/>
                <w:color w:val="000000"/>
                <w:sz w:val="18"/>
                <w:szCs w:val="18"/>
              </w:rPr>
            </w:pPr>
          </w:p>
        </w:tc>
        <w:tc>
          <w:tcPr>
            <w:tcW w:w="397" w:type="pct"/>
            <w:tcBorders>
              <w:left w:val="nil"/>
              <w:right w:val="nil"/>
            </w:tcBorders>
            <w:shd w:val="clear" w:color="auto" w:fill="E1AAA9"/>
            <w:noWrap/>
            <w:vAlign w:val="center"/>
            <w:hideMark/>
          </w:tcPr>
          <w:p w14:paraId="74AF7DAB" w14:textId="77777777" w:rsidR="00106011" w:rsidRPr="00CA1F00" w:rsidRDefault="00106011" w:rsidP="00106011">
            <w:pPr>
              <w:spacing w:before="60" w:after="60"/>
              <w:jc w:val="center"/>
              <w:rPr>
                <w:rFonts w:cs="Arial"/>
                <w:color w:val="000000"/>
                <w:sz w:val="18"/>
                <w:szCs w:val="18"/>
              </w:rPr>
            </w:pPr>
          </w:p>
        </w:tc>
        <w:tc>
          <w:tcPr>
            <w:tcW w:w="447" w:type="pct"/>
            <w:tcBorders>
              <w:left w:val="nil"/>
              <w:right w:val="nil"/>
            </w:tcBorders>
            <w:shd w:val="clear" w:color="auto" w:fill="E1AAA9"/>
            <w:noWrap/>
            <w:vAlign w:val="center"/>
            <w:hideMark/>
          </w:tcPr>
          <w:p w14:paraId="0B74F818" w14:textId="77777777" w:rsidR="00106011" w:rsidRPr="00CA1F00" w:rsidRDefault="00106011" w:rsidP="00106011">
            <w:pPr>
              <w:spacing w:before="60" w:after="60"/>
              <w:jc w:val="center"/>
              <w:rPr>
                <w:rFonts w:cs="Arial"/>
                <w:color w:val="000000"/>
                <w:sz w:val="18"/>
                <w:szCs w:val="18"/>
              </w:rPr>
            </w:pPr>
          </w:p>
        </w:tc>
        <w:tc>
          <w:tcPr>
            <w:tcW w:w="423" w:type="pct"/>
            <w:tcBorders>
              <w:left w:val="nil"/>
              <w:right w:val="nil"/>
            </w:tcBorders>
            <w:shd w:val="clear" w:color="auto" w:fill="E1AAA9"/>
            <w:noWrap/>
            <w:vAlign w:val="center"/>
            <w:hideMark/>
          </w:tcPr>
          <w:p w14:paraId="215E64A5" w14:textId="77777777" w:rsidR="00106011" w:rsidRPr="00CA1F00" w:rsidRDefault="00106011" w:rsidP="00106011">
            <w:pPr>
              <w:spacing w:before="60" w:after="60"/>
              <w:jc w:val="center"/>
              <w:rPr>
                <w:rFonts w:cs="Arial"/>
                <w:b/>
                <w:color w:val="000000"/>
                <w:sz w:val="18"/>
                <w:szCs w:val="18"/>
              </w:rPr>
            </w:pPr>
          </w:p>
        </w:tc>
        <w:tc>
          <w:tcPr>
            <w:tcW w:w="373" w:type="pct"/>
            <w:tcBorders>
              <w:left w:val="nil"/>
              <w:right w:val="nil"/>
            </w:tcBorders>
            <w:shd w:val="clear" w:color="auto" w:fill="E1AAA9"/>
            <w:vAlign w:val="center"/>
          </w:tcPr>
          <w:p w14:paraId="3D47E30F" w14:textId="77777777" w:rsidR="00106011" w:rsidRPr="00CA1F00" w:rsidRDefault="00106011" w:rsidP="00106011">
            <w:pPr>
              <w:spacing w:before="60" w:after="60"/>
              <w:jc w:val="center"/>
              <w:rPr>
                <w:rFonts w:cs="Arial"/>
                <w:color w:val="000000"/>
                <w:sz w:val="18"/>
                <w:szCs w:val="18"/>
              </w:rPr>
            </w:pPr>
          </w:p>
        </w:tc>
        <w:tc>
          <w:tcPr>
            <w:tcW w:w="361" w:type="pct"/>
            <w:tcBorders>
              <w:left w:val="nil"/>
              <w:right w:val="nil"/>
            </w:tcBorders>
            <w:shd w:val="clear" w:color="auto" w:fill="E1AAA9"/>
            <w:noWrap/>
            <w:vAlign w:val="center"/>
            <w:hideMark/>
          </w:tcPr>
          <w:p w14:paraId="09DE9D7B" w14:textId="77777777" w:rsidR="00106011" w:rsidRPr="00CA1F00" w:rsidRDefault="00106011" w:rsidP="00106011">
            <w:pPr>
              <w:spacing w:before="60" w:after="60"/>
              <w:jc w:val="center"/>
              <w:rPr>
                <w:rFonts w:cs="Arial"/>
                <w:color w:val="FF0000"/>
                <w:sz w:val="18"/>
                <w:szCs w:val="18"/>
              </w:rPr>
            </w:pPr>
          </w:p>
        </w:tc>
        <w:tc>
          <w:tcPr>
            <w:tcW w:w="369" w:type="pct"/>
            <w:tcBorders>
              <w:left w:val="nil"/>
            </w:tcBorders>
            <w:shd w:val="clear" w:color="auto" w:fill="E1AAA9"/>
            <w:noWrap/>
            <w:vAlign w:val="center"/>
            <w:hideMark/>
          </w:tcPr>
          <w:p w14:paraId="3C4C21CB" w14:textId="77777777" w:rsidR="00106011" w:rsidRPr="00CA1F00" w:rsidRDefault="00106011" w:rsidP="00106011">
            <w:pPr>
              <w:spacing w:before="60" w:after="60"/>
              <w:jc w:val="center"/>
              <w:rPr>
                <w:rFonts w:cs="Arial"/>
                <w:b/>
                <w:color w:val="000000"/>
                <w:sz w:val="18"/>
                <w:szCs w:val="18"/>
              </w:rPr>
            </w:pPr>
          </w:p>
        </w:tc>
      </w:tr>
      <w:tr w:rsidR="00024EDB" w:rsidRPr="00CA1F00" w14:paraId="3BD6BE89" w14:textId="77777777" w:rsidTr="00106011">
        <w:trPr>
          <w:cantSplit/>
          <w:trHeight w:val="437"/>
        </w:trPr>
        <w:tc>
          <w:tcPr>
            <w:tcW w:w="634" w:type="pct"/>
            <w:shd w:val="clear" w:color="auto" w:fill="auto"/>
            <w:noWrap/>
            <w:vAlign w:val="center"/>
            <w:hideMark/>
          </w:tcPr>
          <w:p w14:paraId="11B500BC" w14:textId="45578F16" w:rsidR="00024EDB" w:rsidRPr="00CA1F00" w:rsidRDefault="00024EDB" w:rsidP="00024EDB">
            <w:pPr>
              <w:spacing w:before="60" w:after="60"/>
              <w:jc w:val="left"/>
              <w:rPr>
                <w:rFonts w:cs="Arial"/>
                <w:color w:val="000000"/>
                <w:sz w:val="18"/>
                <w:szCs w:val="18"/>
              </w:rPr>
            </w:pPr>
            <w:r w:rsidRPr="00CA1F00">
              <w:rPr>
                <w:rFonts w:cs="Arial"/>
                <w:sz w:val="18"/>
                <w:szCs w:val="18"/>
              </w:rPr>
              <w:t>Direct to claimant</w:t>
            </w:r>
          </w:p>
        </w:tc>
        <w:tc>
          <w:tcPr>
            <w:tcW w:w="358" w:type="pct"/>
            <w:shd w:val="clear" w:color="auto" w:fill="auto"/>
            <w:noWrap/>
            <w:vAlign w:val="center"/>
          </w:tcPr>
          <w:p w14:paraId="67E9F20E" w14:textId="2885F22A" w:rsidR="00024EDB" w:rsidRPr="00CA1F00" w:rsidRDefault="00024EDB" w:rsidP="00024EDB">
            <w:pPr>
              <w:pStyle w:val="ForTable"/>
              <w:jc w:val="center"/>
              <w:rPr>
                <w:rFonts w:cs="Arial"/>
                <w:sz w:val="18"/>
                <w:szCs w:val="18"/>
              </w:rPr>
            </w:pPr>
            <w:r w:rsidRPr="00024EDB">
              <w:rPr>
                <w:rFonts w:cs="Arial"/>
                <w:sz w:val="18"/>
                <w:szCs w:val="18"/>
              </w:rPr>
              <w:t>1,507.9</w:t>
            </w:r>
          </w:p>
        </w:tc>
        <w:tc>
          <w:tcPr>
            <w:tcW w:w="396" w:type="pct"/>
            <w:shd w:val="clear" w:color="auto" w:fill="auto"/>
            <w:noWrap/>
            <w:vAlign w:val="center"/>
          </w:tcPr>
          <w:p w14:paraId="14F7E10D" w14:textId="7B8F6166" w:rsidR="00024EDB" w:rsidRPr="00CA1F00" w:rsidRDefault="00024EDB" w:rsidP="00024EDB">
            <w:pPr>
              <w:pStyle w:val="ForTable"/>
              <w:jc w:val="center"/>
              <w:rPr>
                <w:rFonts w:cs="Arial"/>
                <w:sz w:val="18"/>
                <w:szCs w:val="18"/>
              </w:rPr>
            </w:pPr>
            <w:r w:rsidRPr="00CA1F00">
              <w:rPr>
                <w:rFonts w:cs="Arial"/>
                <w:sz w:val="18"/>
                <w:szCs w:val="18"/>
              </w:rPr>
              <w:t>1,577.2</w:t>
            </w:r>
          </w:p>
        </w:tc>
        <w:tc>
          <w:tcPr>
            <w:tcW w:w="398" w:type="pct"/>
            <w:shd w:val="clear" w:color="auto" w:fill="auto"/>
            <w:noWrap/>
            <w:vAlign w:val="center"/>
          </w:tcPr>
          <w:p w14:paraId="04815AA9" w14:textId="625DFB00" w:rsidR="00024EDB" w:rsidRPr="00CA1F00" w:rsidRDefault="00024EDB" w:rsidP="00024EDB">
            <w:pPr>
              <w:pStyle w:val="ForTable"/>
              <w:jc w:val="center"/>
              <w:rPr>
                <w:rFonts w:cs="Arial"/>
                <w:sz w:val="18"/>
                <w:szCs w:val="18"/>
              </w:rPr>
            </w:pPr>
            <w:r w:rsidRPr="00CA1F00">
              <w:rPr>
                <w:rFonts w:cs="Arial"/>
                <w:sz w:val="18"/>
                <w:szCs w:val="18"/>
              </w:rPr>
              <w:t>1,090.9</w:t>
            </w:r>
          </w:p>
        </w:tc>
        <w:tc>
          <w:tcPr>
            <w:tcW w:w="397" w:type="pct"/>
            <w:shd w:val="clear" w:color="auto" w:fill="auto"/>
            <w:vAlign w:val="center"/>
          </w:tcPr>
          <w:p w14:paraId="717FBBF1" w14:textId="3D0F7048" w:rsidR="00024EDB" w:rsidRPr="00CA1F00" w:rsidRDefault="00024EDB" w:rsidP="00024EDB">
            <w:pPr>
              <w:pStyle w:val="ForTable"/>
              <w:jc w:val="center"/>
              <w:rPr>
                <w:rFonts w:cs="Arial"/>
                <w:sz w:val="18"/>
                <w:szCs w:val="18"/>
              </w:rPr>
            </w:pPr>
            <w:r w:rsidRPr="00CA1F00">
              <w:rPr>
                <w:rFonts w:cs="Arial"/>
                <w:sz w:val="18"/>
                <w:szCs w:val="18"/>
              </w:rPr>
              <w:t>271.0</w:t>
            </w:r>
          </w:p>
        </w:tc>
        <w:tc>
          <w:tcPr>
            <w:tcW w:w="447" w:type="pct"/>
            <w:shd w:val="clear" w:color="auto" w:fill="auto"/>
            <w:vAlign w:val="center"/>
          </w:tcPr>
          <w:p w14:paraId="4C59EF61" w14:textId="5CBE8450" w:rsidR="00024EDB" w:rsidRPr="00CA1F00" w:rsidRDefault="00024EDB" w:rsidP="00024EDB">
            <w:pPr>
              <w:pStyle w:val="ForTable"/>
              <w:jc w:val="center"/>
              <w:rPr>
                <w:rFonts w:cs="Arial"/>
                <w:sz w:val="18"/>
                <w:szCs w:val="18"/>
              </w:rPr>
            </w:pPr>
            <w:r w:rsidRPr="00CA1F00">
              <w:rPr>
                <w:rFonts w:cs="Arial"/>
                <w:sz w:val="18"/>
                <w:szCs w:val="18"/>
              </w:rPr>
              <w:t>121.9</w:t>
            </w:r>
          </w:p>
        </w:tc>
        <w:tc>
          <w:tcPr>
            <w:tcW w:w="397" w:type="pct"/>
            <w:shd w:val="clear" w:color="auto" w:fill="auto"/>
            <w:noWrap/>
            <w:vAlign w:val="center"/>
          </w:tcPr>
          <w:p w14:paraId="31414C8F" w14:textId="5EEF41B8" w:rsidR="00024EDB" w:rsidRPr="00CA1F00" w:rsidRDefault="00024EDB" w:rsidP="00024EDB">
            <w:pPr>
              <w:pStyle w:val="ForTable"/>
              <w:jc w:val="center"/>
              <w:rPr>
                <w:rFonts w:cs="Arial"/>
                <w:sz w:val="18"/>
                <w:szCs w:val="18"/>
              </w:rPr>
            </w:pPr>
            <w:r w:rsidRPr="00CA1F00">
              <w:rPr>
                <w:rFonts w:cs="Arial"/>
                <w:sz w:val="18"/>
                <w:szCs w:val="18"/>
              </w:rPr>
              <w:t>641.6</w:t>
            </w:r>
          </w:p>
        </w:tc>
        <w:tc>
          <w:tcPr>
            <w:tcW w:w="447" w:type="pct"/>
            <w:shd w:val="clear" w:color="auto" w:fill="auto"/>
            <w:noWrap/>
            <w:vAlign w:val="center"/>
          </w:tcPr>
          <w:p w14:paraId="3122C824" w14:textId="258FC66B" w:rsidR="00024EDB" w:rsidRPr="00CA1F00" w:rsidRDefault="00024EDB" w:rsidP="00024EDB">
            <w:pPr>
              <w:pStyle w:val="ForTable"/>
              <w:jc w:val="center"/>
              <w:rPr>
                <w:rFonts w:cs="Arial"/>
                <w:sz w:val="18"/>
                <w:szCs w:val="18"/>
              </w:rPr>
            </w:pPr>
            <w:r w:rsidRPr="00CA1F00">
              <w:rPr>
                <w:rFonts w:cs="Arial"/>
                <w:sz w:val="18"/>
                <w:szCs w:val="18"/>
              </w:rPr>
              <w:t>81.5</w:t>
            </w:r>
          </w:p>
        </w:tc>
        <w:tc>
          <w:tcPr>
            <w:tcW w:w="423" w:type="pct"/>
            <w:shd w:val="clear" w:color="auto" w:fill="auto"/>
            <w:noWrap/>
            <w:vAlign w:val="center"/>
          </w:tcPr>
          <w:p w14:paraId="1E64DDC7" w14:textId="1A3FF36E" w:rsidR="00024EDB" w:rsidRPr="00CA1F00" w:rsidRDefault="00024EDB" w:rsidP="00024EDB">
            <w:pPr>
              <w:pStyle w:val="ForTable"/>
              <w:jc w:val="center"/>
              <w:rPr>
                <w:rFonts w:cs="Arial"/>
                <w:sz w:val="18"/>
                <w:szCs w:val="18"/>
              </w:rPr>
            </w:pPr>
            <w:r w:rsidRPr="00CA1F00">
              <w:rPr>
                <w:rFonts w:cs="Arial"/>
                <w:sz w:val="18"/>
                <w:szCs w:val="18"/>
              </w:rPr>
              <w:t>69.5</w:t>
            </w:r>
          </w:p>
        </w:tc>
        <w:tc>
          <w:tcPr>
            <w:tcW w:w="373" w:type="pct"/>
            <w:shd w:val="clear" w:color="auto" w:fill="auto"/>
            <w:vAlign w:val="center"/>
          </w:tcPr>
          <w:p w14:paraId="1E9CE6D3" w14:textId="6D144CE7" w:rsidR="00024EDB" w:rsidRPr="00CA1F00" w:rsidRDefault="00024EDB" w:rsidP="00024EDB">
            <w:pPr>
              <w:pStyle w:val="ForTable"/>
              <w:jc w:val="center"/>
              <w:rPr>
                <w:rFonts w:cs="Arial"/>
                <w:sz w:val="18"/>
                <w:szCs w:val="18"/>
              </w:rPr>
            </w:pPr>
            <w:r w:rsidRPr="00CA1F00">
              <w:rPr>
                <w:rFonts w:cs="Arial"/>
                <w:sz w:val="18"/>
                <w:szCs w:val="18"/>
              </w:rPr>
              <w:t>10.6</w:t>
            </w:r>
          </w:p>
        </w:tc>
        <w:tc>
          <w:tcPr>
            <w:tcW w:w="361" w:type="pct"/>
            <w:shd w:val="clear" w:color="auto" w:fill="auto"/>
            <w:noWrap/>
            <w:vAlign w:val="center"/>
          </w:tcPr>
          <w:p w14:paraId="044FE3BB" w14:textId="0597AC70" w:rsidR="00024EDB" w:rsidRPr="00D170E0" w:rsidRDefault="00024EDB" w:rsidP="00024EDB">
            <w:pPr>
              <w:pStyle w:val="ForTable"/>
              <w:jc w:val="center"/>
              <w:rPr>
                <w:rFonts w:cs="Arial"/>
                <w:b/>
                <w:bCs w:val="0"/>
                <w:sz w:val="18"/>
                <w:szCs w:val="18"/>
              </w:rPr>
            </w:pPr>
            <w:r w:rsidRPr="00D170E0">
              <w:rPr>
                <w:rFonts w:cs="Arial"/>
                <w:b/>
                <w:bCs w:val="0"/>
                <w:sz w:val="18"/>
                <w:szCs w:val="18"/>
              </w:rPr>
              <w:t>5,372.1</w:t>
            </w:r>
          </w:p>
        </w:tc>
        <w:tc>
          <w:tcPr>
            <w:tcW w:w="369" w:type="pct"/>
            <w:shd w:val="clear" w:color="auto" w:fill="auto"/>
            <w:noWrap/>
            <w:vAlign w:val="center"/>
          </w:tcPr>
          <w:p w14:paraId="07E01D75" w14:textId="6A9738B3" w:rsidR="00024EDB" w:rsidRPr="00CA1F00" w:rsidRDefault="00024EDB" w:rsidP="00024EDB">
            <w:pPr>
              <w:pStyle w:val="ForTable"/>
              <w:jc w:val="center"/>
              <w:rPr>
                <w:rFonts w:cs="Arial"/>
                <w:sz w:val="18"/>
                <w:szCs w:val="18"/>
              </w:rPr>
            </w:pPr>
            <w:r w:rsidRPr="00CA1F00">
              <w:rPr>
                <w:rFonts w:cs="Arial"/>
                <w:sz w:val="18"/>
                <w:szCs w:val="18"/>
              </w:rPr>
              <w:t>428.7</w:t>
            </w:r>
          </w:p>
        </w:tc>
      </w:tr>
      <w:tr w:rsidR="00024EDB" w:rsidRPr="00CA1F00" w14:paraId="38B634DE" w14:textId="77777777" w:rsidTr="00106011">
        <w:trPr>
          <w:cantSplit/>
          <w:trHeight w:val="437"/>
        </w:trPr>
        <w:tc>
          <w:tcPr>
            <w:tcW w:w="634" w:type="pct"/>
            <w:shd w:val="clear" w:color="auto" w:fill="EFD3D2"/>
            <w:noWrap/>
            <w:vAlign w:val="center"/>
          </w:tcPr>
          <w:p w14:paraId="38586DFA" w14:textId="7659985A" w:rsidR="00024EDB" w:rsidRPr="00CA1F00" w:rsidRDefault="00024EDB" w:rsidP="00024EDB">
            <w:pPr>
              <w:spacing w:before="60" w:after="60"/>
              <w:jc w:val="left"/>
              <w:rPr>
                <w:rFonts w:cs="Arial"/>
                <w:color w:val="000000"/>
                <w:sz w:val="18"/>
                <w:szCs w:val="18"/>
              </w:rPr>
            </w:pPr>
            <w:r w:rsidRPr="00CA1F00">
              <w:rPr>
                <w:rFonts w:cs="Arial"/>
                <w:sz w:val="18"/>
                <w:szCs w:val="18"/>
              </w:rPr>
              <w:t>Services to claimant</w:t>
            </w:r>
          </w:p>
        </w:tc>
        <w:tc>
          <w:tcPr>
            <w:tcW w:w="358" w:type="pct"/>
            <w:shd w:val="clear" w:color="auto" w:fill="EFD3D2"/>
            <w:noWrap/>
            <w:vAlign w:val="center"/>
          </w:tcPr>
          <w:p w14:paraId="337FF25A" w14:textId="086125E6" w:rsidR="00024EDB" w:rsidRPr="00CA1F00" w:rsidRDefault="00024EDB" w:rsidP="00024EDB">
            <w:pPr>
              <w:pStyle w:val="ForTable"/>
              <w:jc w:val="center"/>
              <w:rPr>
                <w:rFonts w:cs="Arial"/>
                <w:sz w:val="18"/>
                <w:szCs w:val="18"/>
              </w:rPr>
            </w:pPr>
            <w:r w:rsidRPr="00024EDB">
              <w:rPr>
                <w:rFonts w:cs="Arial"/>
                <w:sz w:val="18"/>
                <w:szCs w:val="18"/>
              </w:rPr>
              <w:t>862.1</w:t>
            </w:r>
          </w:p>
        </w:tc>
        <w:tc>
          <w:tcPr>
            <w:tcW w:w="396" w:type="pct"/>
            <w:shd w:val="clear" w:color="auto" w:fill="EFD3D2"/>
            <w:noWrap/>
            <w:vAlign w:val="center"/>
          </w:tcPr>
          <w:p w14:paraId="4E813B10" w14:textId="161F14CC" w:rsidR="00024EDB" w:rsidRPr="00CA1F00" w:rsidRDefault="00024EDB" w:rsidP="00024EDB">
            <w:pPr>
              <w:pStyle w:val="ForTable"/>
              <w:jc w:val="center"/>
              <w:rPr>
                <w:rFonts w:cs="Arial"/>
                <w:sz w:val="18"/>
                <w:szCs w:val="18"/>
              </w:rPr>
            </w:pPr>
            <w:r w:rsidRPr="00CA1F00">
              <w:rPr>
                <w:rFonts w:cs="Arial"/>
                <w:sz w:val="18"/>
                <w:szCs w:val="18"/>
              </w:rPr>
              <w:t>577.6</w:t>
            </w:r>
          </w:p>
        </w:tc>
        <w:tc>
          <w:tcPr>
            <w:tcW w:w="398" w:type="pct"/>
            <w:shd w:val="clear" w:color="auto" w:fill="EFD3D2"/>
            <w:noWrap/>
            <w:vAlign w:val="center"/>
          </w:tcPr>
          <w:p w14:paraId="4EC3C2E2" w14:textId="2554CDDC" w:rsidR="00024EDB" w:rsidRPr="00CA1F00" w:rsidRDefault="00024EDB" w:rsidP="00024EDB">
            <w:pPr>
              <w:pStyle w:val="ForTable"/>
              <w:jc w:val="center"/>
              <w:rPr>
                <w:rFonts w:cs="Arial"/>
                <w:sz w:val="18"/>
                <w:szCs w:val="18"/>
              </w:rPr>
            </w:pPr>
            <w:r w:rsidRPr="00CA1F00">
              <w:rPr>
                <w:rFonts w:cs="Arial"/>
                <w:sz w:val="18"/>
                <w:szCs w:val="18"/>
              </w:rPr>
              <w:t>397.2</w:t>
            </w:r>
          </w:p>
        </w:tc>
        <w:tc>
          <w:tcPr>
            <w:tcW w:w="397" w:type="pct"/>
            <w:shd w:val="clear" w:color="auto" w:fill="EFD3D2"/>
            <w:vAlign w:val="center"/>
          </w:tcPr>
          <w:p w14:paraId="47182B6C" w14:textId="23D1A2E3" w:rsidR="00024EDB" w:rsidRPr="00CA1F00" w:rsidRDefault="00024EDB" w:rsidP="00024EDB">
            <w:pPr>
              <w:pStyle w:val="ForTable"/>
              <w:jc w:val="center"/>
              <w:rPr>
                <w:rFonts w:cs="Arial"/>
                <w:sz w:val="18"/>
                <w:szCs w:val="18"/>
              </w:rPr>
            </w:pPr>
            <w:r w:rsidRPr="00CA1F00">
              <w:rPr>
                <w:rFonts w:cs="Arial"/>
                <w:sz w:val="18"/>
                <w:szCs w:val="18"/>
              </w:rPr>
              <w:t>146.5</w:t>
            </w:r>
          </w:p>
        </w:tc>
        <w:tc>
          <w:tcPr>
            <w:tcW w:w="447" w:type="pct"/>
            <w:shd w:val="clear" w:color="auto" w:fill="EFD3D2"/>
            <w:vAlign w:val="center"/>
          </w:tcPr>
          <w:p w14:paraId="0546A77A" w14:textId="2FCFD655" w:rsidR="00024EDB" w:rsidRPr="00CA1F00" w:rsidRDefault="00024EDB" w:rsidP="00024EDB">
            <w:pPr>
              <w:pStyle w:val="ForTable"/>
              <w:jc w:val="center"/>
              <w:rPr>
                <w:rFonts w:cs="Arial"/>
                <w:sz w:val="18"/>
                <w:szCs w:val="18"/>
              </w:rPr>
            </w:pPr>
            <w:r w:rsidRPr="00CA1F00">
              <w:rPr>
                <w:rFonts w:cs="Arial"/>
                <w:sz w:val="18"/>
                <w:szCs w:val="18"/>
              </w:rPr>
              <w:t>68.8</w:t>
            </w:r>
          </w:p>
        </w:tc>
        <w:tc>
          <w:tcPr>
            <w:tcW w:w="397" w:type="pct"/>
            <w:shd w:val="clear" w:color="auto" w:fill="EFD3D2"/>
            <w:noWrap/>
            <w:vAlign w:val="center"/>
          </w:tcPr>
          <w:p w14:paraId="0293B39D" w14:textId="61424FFE" w:rsidR="00024EDB" w:rsidRPr="00CA1F00" w:rsidRDefault="00024EDB" w:rsidP="00024EDB">
            <w:pPr>
              <w:pStyle w:val="ForTable"/>
              <w:jc w:val="center"/>
              <w:rPr>
                <w:rFonts w:cs="Arial"/>
                <w:sz w:val="18"/>
                <w:szCs w:val="18"/>
              </w:rPr>
            </w:pPr>
            <w:r w:rsidRPr="00CA1F00">
              <w:rPr>
                <w:rFonts w:cs="Arial"/>
                <w:sz w:val="18"/>
                <w:szCs w:val="18"/>
              </w:rPr>
              <w:t>252.3</w:t>
            </w:r>
          </w:p>
        </w:tc>
        <w:tc>
          <w:tcPr>
            <w:tcW w:w="447" w:type="pct"/>
            <w:shd w:val="clear" w:color="auto" w:fill="EFD3D2"/>
            <w:noWrap/>
            <w:vAlign w:val="center"/>
          </w:tcPr>
          <w:p w14:paraId="775E3BAA" w14:textId="4D841525" w:rsidR="00024EDB" w:rsidRPr="00CA1F00" w:rsidRDefault="00024EDB" w:rsidP="00024EDB">
            <w:pPr>
              <w:pStyle w:val="ForTable"/>
              <w:jc w:val="center"/>
              <w:rPr>
                <w:rFonts w:cs="Arial"/>
                <w:sz w:val="18"/>
                <w:szCs w:val="18"/>
              </w:rPr>
            </w:pPr>
            <w:r w:rsidRPr="00CA1F00">
              <w:rPr>
                <w:rFonts w:cs="Arial"/>
                <w:sz w:val="18"/>
                <w:szCs w:val="18"/>
              </w:rPr>
              <w:t>34.2</w:t>
            </w:r>
          </w:p>
        </w:tc>
        <w:tc>
          <w:tcPr>
            <w:tcW w:w="423" w:type="pct"/>
            <w:shd w:val="clear" w:color="auto" w:fill="EFD3D2"/>
            <w:noWrap/>
            <w:vAlign w:val="center"/>
          </w:tcPr>
          <w:p w14:paraId="7523DA59" w14:textId="3A6C4220" w:rsidR="00024EDB" w:rsidRPr="00CA1F00" w:rsidRDefault="00024EDB" w:rsidP="00024EDB">
            <w:pPr>
              <w:pStyle w:val="ForTable"/>
              <w:jc w:val="center"/>
              <w:rPr>
                <w:rFonts w:cs="Arial"/>
                <w:sz w:val="18"/>
                <w:szCs w:val="18"/>
              </w:rPr>
            </w:pPr>
            <w:r w:rsidRPr="00CA1F00">
              <w:rPr>
                <w:rFonts w:cs="Arial"/>
                <w:sz w:val="18"/>
                <w:szCs w:val="18"/>
              </w:rPr>
              <w:t>36.8</w:t>
            </w:r>
          </w:p>
        </w:tc>
        <w:tc>
          <w:tcPr>
            <w:tcW w:w="373" w:type="pct"/>
            <w:shd w:val="clear" w:color="auto" w:fill="EFD3D2"/>
            <w:vAlign w:val="center"/>
          </w:tcPr>
          <w:p w14:paraId="7B7C8755" w14:textId="18CDC942" w:rsidR="00024EDB" w:rsidRPr="00CA1F00" w:rsidRDefault="00024EDB" w:rsidP="00024EDB">
            <w:pPr>
              <w:pStyle w:val="ForTable"/>
              <w:jc w:val="center"/>
              <w:rPr>
                <w:rFonts w:cs="Arial"/>
                <w:sz w:val="18"/>
                <w:szCs w:val="18"/>
              </w:rPr>
            </w:pPr>
            <w:r w:rsidRPr="00CA1F00">
              <w:rPr>
                <w:rFonts w:cs="Arial"/>
                <w:sz w:val="18"/>
                <w:szCs w:val="18"/>
              </w:rPr>
              <w:t>2.9</w:t>
            </w:r>
          </w:p>
        </w:tc>
        <w:tc>
          <w:tcPr>
            <w:tcW w:w="361" w:type="pct"/>
            <w:shd w:val="clear" w:color="auto" w:fill="EFD3D2"/>
            <w:noWrap/>
            <w:vAlign w:val="center"/>
          </w:tcPr>
          <w:p w14:paraId="7360C395" w14:textId="0817EB5D" w:rsidR="00024EDB" w:rsidRPr="00D170E0" w:rsidRDefault="00024EDB" w:rsidP="00024EDB">
            <w:pPr>
              <w:pStyle w:val="ForTable"/>
              <w:jc w:val="center"/>
              <w:rPr>
                <w:rFonts w:cs="Arial"/>
                <w:b/>
                <w:bCs w:val="0"/>
                <w:sz w:val="18"/>
                <w:szCs w:val="18"/>
              </w:rPr>
            </w:pPr>
            <w:r w:rsidRPr="00D170E0">
              <w:rPr>
                <w:rFonts w:cs="Arial"/>
                <w:b/>
                <w:bCs w:val="0"/>
                <w:sz w:val="18"/>
                <w:szCs w:val="18"/>
              </w:rPr>
              <w:t>2,378.5</w:t>
            </w:r>
          </w:p>
        </w:tc>
        <w:tc>
          <w:tcPr>
            <w:tcW w:w="369" w:type="pct"/>
            <w:shd w:val="clear" w:color="auto" w:fill="EFD3D2"/>
            <w:noWrap/>
            <w:vAlign w:val="center"/>
          </w:tcPr>
          <w:p w14:paraId="623C2722" w14:textId="6E74EFD8" w:rsidR="00024EDB" w:rsidRPr="00CA1F00" w:rsidRDefault="00024EDB" w:rsidP="00024EDB">
            <w:pPr>
              <w:pStyle w:val="ForTable"/>
              <w:jc w:val="center"/>
              <w:rPr>
                <w:rFonts w:cs="Arial"/>
                <w:sz w:val="18"/>
                <w:szCs w:val="18"/>
              </w:rPr>
            </w:pPr>
            <w:r w:rsidRPr="00CA1F00">
              <w:rPr>
                <w:rFonts w:cs="Arial"/>
                <w:sz w:val="18"/>
                <w:szCs w:val="18"/>
              </w:rPr>
              <w:t>253.4</w:t>
            </w:r>
          </w:p>
        </w:tc>
      </w:tr>
      <w:tr w:rsidR="00024EDB" w:rsidRPr="00CA1F00" w14:paraId="7A41A4D2" w14:textId="77777777" w:rsidTr="00106011">
        <w:trPr>
          <w:cantSplit/>
          <w:trHeight w:val="437"/>
        </w:trPr>
        <w:tc>
          <w:tcPr>
            <w:tcW w:w="634" w:type="pct"/>
            <w:shd w:val="clear" w:color="auto" w:fill="auto"/>
            <w:noWrap/>
            <w:vAlign w:val="center"/>
          </w:tcPr>
          <w:p w14:paraId="4117099B" w14:textId="52FBD22D" w:rsidR="00024EDB" w:rsidRPr="00CA1F00" w:rsidRDefault="00024EDB" w:rsidP="00024EDB">
            <w:pPr>
              <w:spacing w:before="60" w:after="60"/>
              <w:jc w:val="left"/>
              <w:rPr>
                <w:rFonts w:cs="Arial"/>
                <w:color w:val="000000"/>
                <w:sz w:val="18"/>
                <w:szCs w:val="18"/>
              </w:rPr>
            </w:pPr>
            <w:r w:rsidRPr="00CA1F00">
              <w:rPr>
                <w:rFonts w:cs="Arial"/>
                <w:sz w:val="18"/>
                <w:szCs w:val="18"/>
              </w:rPr>
              <w:t>Insurance operations</w:t>
            </w:r>
          </w:p>
        </w:tc>
        <w:tc>
          <w:tcPr>
            <w:tcW w:w="358" w:type="pct"/>
            <w:shd w:val="clear" w:color="auto" w:fill="auto"/>
            <w:noWrap/>
            <w:vAlign w:val="center"/>
          </w:tcPr>
          <w:p w14:paraId="2BD85ACC" w14:textId="6529598E" w:rsidR="00024EDB" w:rsidRPr="00CA1F00" w:rsidRDefault="00024EDB" w:rsidP="00024EDB">
            <w:pPr>
              <w:pStyle w:val="ForTable"/>
              <w:jc w:val="center"/>
              <w:rPr>
                <w:rFonts w:cs="Arial"/>
                <w:sz w:val="18"/>
                <w:szCs w:val="18"/>
              </w:rPr>
            </w:pPr>
            <w:r w:rsidRPr="00024EDB">
              <w:rPr>
                <w:rFonts w:cs="Arial"/>
                <w:sz w:val="18"/>
                <w:szCs w:val="18"/>
              </w:rPr>
              <w:t>396.7</w:t>
            </w:r>
          </w:p>
        </w:tc>
        <w:tc>
          <w:tcPr>
            <w:tcW w:w="396" w:type="pct"/>
            <w:shd w:val="clear" w:color="auto" w:fill="auto"/>
            <w:noWrap/>
            <w:vAlign w:val="center"/>
          </w:tcPr>
          <w:p w14:paraId="262015A2" w14:textId="3FEC5E85" w:rsidR="00024EDB" w:rsidRPr="00CA1F00" w:rsidRDefault="00024EDB" w:rsidP="00024EDB">
            <w:pPr>
              <w:pStyle w:val="ForTable"/>
              <w:jc w:val="center"/>
              <w:rPr>
                <w:rFonts w:cs="Arial"/>
                <w:sz w:val="18"/>
                <w:szCs w:val="18"/>
              </w:rPr>
            </w:pPr>
            <w:r w:rsidRPr="00CA1F00">
              <w:rPr>
                <w:rFonts w:cs="Arial"/>
                <w:sz w:val="18"/>
                <w:szCs w:val="18"/>
              </w:rPr>
              <w:t>503.1</w:t>
            </w:r>
          </w:p>
        </w:tc>
        <w:tc>
          <w:tcPr>
            <w:tcW w:w="398" w:type="pct"/>
            <w:shd w:val="clear" w:color="auto" w:fill="auto"/>
            <w:noWrap/>
            <w:vAlign w:val="center"/>
          </w:tcPr>
          <w:p w14:paraId="37EAB34E" w14:textId="27E9633B" w:rsidR="00024EDB" w:rsidRPr="00CA1F00" w:rsidRDefault="00024EDB" w:rsidP="00024EDB">
            <w:pPr>
              <w:pStyle w:val="ForTable"/>
              <w:jc w:val="center"/>
              <w:rPr>
                <w:rFonts w:cs="Arial"/>
                <w:sz w:val="18"/>
                <w:szCs w:val="18"/>
              </w:rPr>
            </w:pPr>
            <w:r w:rsidRPr="00CA1F00">
              <w:rPr>
                <w:rFonts w:cs="Arial"/>
                <w:sz w:val="18"/>
                <w:szCs w:val="18"/>
              </w:rPr>
              <w:t>114.6</w:t>
            </w:r>
          </w:p>
        </w:tc>
        <w:tc>
          <w:tcPr>
            <w:tcW w:w="397" w:type="pct"/>
            <w:shd w:val="clear" w:color="auto" w:fill="auto"/>
            <w:vAlign w:val="center"/>
          </w:tcPr>
          <w:p w14:paraId="41ED8DCE" w14:textId="28CE570C" w:rsidR="00024EDB" w:rsidRPr="00CA1F00" w:rsidRDefault="00024EDB" w:rsidP="00024EDB">
            <w:pPr>
              <w:pStyle w:val="ForTable"/>
              <w:jc w:val="center"/>
              <w:rPr>
                <w:rFonts w:cs="Arial"/>
                <w:sz w:val="18"/>
                <w:szCs w:val="18"/>
              </w:rPr>
            </w:pPr>
            <w:r w:rsidRPr="00CA1F00">
              <w:rPr>
                <w:rFonts w:cs="Arial"/>
                <w:sz w:val="18"/>
                <w:szCs w:val="18"/>
              </w:rPr>
              <w:t>101.1</w:t>
            </w:r>
          </w:p>
        </w:tc>
        <w:tc>
          <w:tcPr>
            <w:tcW w:w="447" w:type="pct"/>
            <w:shd w:val="clear" w:color="auto" w:fill="auto"/>
            <w:vAlign w:val="center"/>
          </w:tcPr>
          <w:p w14:paraId="5165E2D7" w14:textId="6287D2E2" w:rsidR="00024EDB" w:rsidRPr="00CA1F00" w:rsidRDefault="00024EDB" w:rsidP="00024EDB">
            <w:pPr>
              <w:pStyle w:val="ForTable"/>
              <w:jc w:val="center"/>
              <w:rPr>
                <w:rFonts w:cs="Arial"/>
                <w:sz w:val="18"/>
                <w:szCs w:val="18"/>
              </w:rPr>
            </w:pPr>
            <w:r w:rsidRPr="00CA1F00">
              <w:rPr>
                <w:rFonts w:cs="Arial"/>
                <w:sz w:val="18"/>
                <w:szCs w:val="18"/>
              </w:rPr>
              <w:t>22.2</w:t>
            </w:r>
          </w:p>
        </w:tc>
        <w:tc>
          <w:tcPr>
            <w:tcW w:w="397" w:type="pct"/>
            <w:shd w:val="clear" w:color="auto" w:fill="auto"/>
            <w:noWrap/>
            <w:vAlign w:val="center"/>
          </w:tcPr>
          <w:p w14:paraId="4CBC2520" w14:textId="2D4CE1F1" w:rsidR="00024EDB" w:rsidRPr="00CA1F00" w:rsidRDefault="00024EDB" w:rsidP="00024EDB">
            <w:pPr>
              <w:pStyle w:val="ForTable"/>
              <w:jc w:val="center"/>
              <w:rPr>
                <w:rFonts w:cs="Arial"/>
                <w:sz w:val="18"/>
                <w:szCs w:val="18"/>
              </w:rPr>
            </w:pPr>
            <w:r w:rsidRPr="00CA1F00">
              <w:rPr>
                <w:rFonts w:cs="Arial"/>
                <w:sz w:val="18"/>
                <w:szCs w:val="18"/>
              </w:rPr>
              <w:t>293.5</w:t>
            </w:r>
          </w:p>
        </w:tc>
        <w:tc>
          <w:tcPr>
            <w:tcW w:w="447" w:type="pct"/>
            <w:shd w:val="clear" w:color="auto" w:fill="auto"/>
            <w:noWrap/>
            <w:vAlign w:val="center"/>
          </w:tcPr>
          <w:p w14:paraId="68E9205A" w14:textId="6E4948B4" w:rsidR="00024EDB" w:rsidRPr="00CA1F00" w:rsidRDefault="00024EDB" w:rsidP="00024EDB">
            <w:pPr>
              <w:pStyle w:val="ForTable"/>
              <w:jc w:val="center"/>
              <w:rPr>
                <w:rFonts w:cs="Arial"/>
                <w:sz w:val="18"/>
                <w:szCs w:val="18"/>
              </w:rPr>
            </w:pPr>
            <w:r w:rsidRPr="00CA1F00">
              <w:rPr>
                <w:rFonts w:cs="Arial"/>
                <w:sz w:val="18"/>
                <w:szCs w:val="18"/>
              </w:rPr>
              <w:t>38.6</w:t>
            </w:r>
          </w:p>
        </w:tc>
        <w:tc>
          <w:tcPr>
            <w:tcW w:w="423" w:type="pct"/>
            <w:shd w:val="clear" w:color="auto" w:fill="auto"/>
            <w:noWrap/>
            <w:vAlign w:val="center"/>
          </w:tcPr>
          <w:p w14:paraId="528B13D5" w14:textId="4E093BBA" w:rsidR="00024EDB" w:rsidRPr="00CA1F00" w:rsidRDefault="00024EDB" w:rsidP="00024EDB">
            <w:pPr>
              <w:pStyle w:val="ForTable"/>
              <w:jc w:val="center"/>
              <w:rPr>
                <w:rFonts w:cs="Arial"/>
                <w:sz w:val="18"/>
                <w:szCs w:val="18"/>
              </w:rPr>
            </w:pPr>
            <w:r w:rsidRPr="00CA1F00">
              <w:rPr>
                <w:rFonts w:cs="Arial"/>
                <w:sz w:val="18"/>
                <w:szCs w:val="18"/>
              </w:rPr>
              <w:t>31.5</w:t>
            </w:r>
          </w:p>
        </w:tc>
        <w:tc>
          <w:tcPr>
            <w:tcW w:w="373" w:type="pct"/>
            <w:shd w:val="clear" w:color="auto" w:fill="auto"/>
            <w:vAlign w:val="center"/>
          </w:tcPr>
          <w:p w14:paraId="3C84A4E0" w14:textId="22429241" w:rsidR="00024EDB" w:rsidRPr="00CA1F00" w:rsidRDefault="00024EDB" w:rsidP="00024EDB">
            <w:pPr>
              <w:pStyle w:val="ForTable"/>
              <w:jc w:val="center"/>
              <w:rPr>
                <w:rFonts w:cs="Arial"/>
                <w:sz w:val="18"/>
                <w:szCs w:val="18"/>
              </w:rPr>
            </w:pPr>
            <w:r w:rsidRPr="00CA1F00">
              <w:rPr>
                <w:rFonts w:cs="Arial"/>
                <w:sz w:val="18"/>
                <w:szCs w:val="18"/>
              </w:rPr>
              <w:t>1.4</w:t>
            </w:r>
          </w:p>
        </w:tc>
        <w:tc>
          <w:tcPr>
            <w:tcW w:w="361" w:type="pct"/>
            <w:shd w:val="clear" w:color="auto" w:fill="auto"/>
            <w:noWrap/>
            <w:vAlign w:val="center"/>
          </w:tcPr>
          <w:p w14:paraId="47B5FEB0" w14:textId="4076136D" w:rsidR="00024EDB" w:rsidRPr="00D170E0" w:rsidRDefault="00024EDB" w:rsidP="00024EDB">
            <w:pPr>
              <w:pStyle w:val="ForTable"/>
              <w:jc w:val="center"/>
              <w:rPr>
                <w:rFonts w:cs="Arial"/>
                <w:b/>
                <w:bCs w:val="0"/>
                <w:sz w:val="18"/>
                <w:szCs w:val="18"/>
              </w:rPr>
            </w:pPr>
            <w:r w:rsidRPr="00D170E0">
              <w:rPr>
                <w:rFonts w:cs="Arial"/>
                <w:b/>
                <w:bCs w:val="0"/>
                <w:sz w:val="18"/>
                <w:szCs w:val="18"/>
              </w:rPr>
              <w:t>1,502.8</w:t>
            </w:r>
          </w:p>
        </w:tc>
        <w:tc>
          <w:tcPr>
            <w:tcW w:w="369" w:type="pct"/>
            <w:shd w:val="clear" w:color="auto" w:fill="auto"/>
            <w:noWrap/>
            <w:vAlign w:val="center"/>
          </w:tcPr>
          <w:p w14:paraId="2BF8938F" w14:textId="73F86201" w:rsidR="00024EDB" w:rsidRPr="00CA1F00" w:rsidRDefault="00024EDB" w:rsidP="00024EDB">
            <w:pPr>
              <w:pStyle w:val="ForTable"/>
              <w:jc w:val="center"/>
              <w:rPr>
                <w:rFonts w:cs="Arial"/>
                <w:sz w:val="18"/>
                <w:szCs w:val="18"/>
              </w:rPr>
            </w:pPr>
            <w:r w:rsidRPr="00CA1F00">
              <w:rPr>
                <w:rFonts w:cs="Arial"/>
                <w:sz w:val="18"/>
                <w:szCs w:val="18"/>
              </w:rPr>
              <w:t>62.8</w:t>
            </w:r>
          </w:p>
        </w:tc>
      </w:tr>
      <w:tr w:rsidR="00024EDB" w:rsidRPr="00CA1F00" w14:paraId="07DBCC2C" w14:textId="77777777" w:rsidTr="00106011">
        <w:trPr>
          <w:cantSplit/>
          <w:trHeight w:val="437"/>
        </w:trPr>
        <w:tc>
          <w:tcPr>
            <w:tcW w:w="634" w:type="pct"/>
            <w:shd w:val="clear" w:color="auto" w:fill="EFD3D2"/>
            <w:noWrap/>
            <w:vAlign w:val="center"/>
          </w:tcPr>
          <w:p w14:paraId="435CFE41" w14:textId="67180924" w:rsidR="00024EDB" w:rsidRPr="00CA1F00" w:rsidRDefault="00024EDB" w:rsidP="00024EDB">
            <w:pPr>
              <w:spacing w:before="60" w:after="60"/>
              <w:jc w:val="left"/>
              <w:rPr>
                <w:rFonts w:cs="Arial"/>
                <w:color w:val="000000"/>
                <w:sz w:val="18"/>
                <w:szCs w:val="18"/>
              </w:rPr>
            </w:pPr>
            <w:r w:rsidRPr="00CA1F00">
              <w:rPr>
                <w:rFonts w:cs="Arial"/>
                <w:sz w:val="18"/>
                <w:szCs w:val="18"/>
              </w:rPr>
              <w:t>Regulation</w:t>
            </w:r>
          </w:p>
        </w:tc>
        <w:tc>
          <w:tcPr>
            <w:tcW w:w="358" w:type="pct"/>
            <w:shd w:val="clear" w:color="auto" w:fill="EFD3D2"/>
            <w:noWrap/>
            <w:vAlign w:val="center"/>
          </w:tcPr>
          <w:p w14:paraId="6192E817" w14:textId="67914BD9" w:rsidR="00024EDB" w:rsidRPr="00CA1F00" w:rsidRDefault="00024EDB" w:rsidP="00024EDB">
            <w:pPr>
              <w:pStyle w:val="ForTable"/>
              <w:jc w:val="center"/>
              <w:rPr>
                <w:rFonts w:cs="Arial"/>
                <w:sz w:val="18"/>
                <w:szCs w:val="18"/>
              </w:rPr>
            </w:pPr>
            <w:r w:rsidRPr="00024EDB">
              <w:rPr>
                <w:rFonts w:cs="Arial"/>
                <w:sz w:val="18"/>
                <w:szCs w:val="18"/>
              </w:rPr>
              <w:t>33.1</w:t>
            </w:r>
          </w:p>
        </w:tc>
        <w:tc>
          <w:tcPr>
            <w:tcW w:w="396" w:type="pct"/>
            <w:shd w:val="clear" w:color="auto" w:fill="EFD3D2"/>
            <w:noWrap/>
            <w:vAlign w:val="center"/>
          </w:tcPr>
          <w:p w14:paraId="5BDEAA72" w14:textId="1A27493D" w:rsidR="00024EDB" w:rsidRPr="00CA1F00" w:rsidRDefault="00024EDB" w:rsidP="00024EDB">
            <w:pPr>
              <w:pStyle w:val="ForTable"/>
              <w:jc w:val="center"/>
              <w:rPr>
                <w:rFonts w:cs="Arial"/>
                <w:sz w:val="18"/>
                <w:szCs w:val="18"/>
              </w:rPr>
            </w:pPr>
            <w:r w:rsidRPr="00CA1F00">
              <w:rPr>
                <w:rFonts w:cs="Arial"/>
                <w:sz w:val="18"/>
                <w:szCs w:val="18"/>
              </w:rPr>
              <w:t>43.1</w:t>
            </w:r>
          </w:p>
        </w:tc>
        <w:tc>
          <w:tcPr>
            <w:tcW w:w="398" w:type="pct"/>
            <w:shd w:val="clear" w:color="auto" w:fill="EFD3D2"/>
            <w:noWrap/>
            <w:vAlign w:val="center"/>
          </w:tcPr>
          <w:p w14:paraId="083DCD6E" w14:textId="3364EC3D" w:rsidR="00024EDB" w:rsidRPr="00CA1F00" w:rsidRDefault="00024EDB" w:rsidP="00024EDB">
            <w:pPr>
              <w:pStyle w:val="ForTable"/>
              <w:jc w:val="center"/>
              <w:rPr>
                <w:rFonts w:cs="Arial"/>
                <w:sz w:val="18"/>
                <w:szCs w:val="18"/>
              </w:rPr>
            </w:pPr>
            <w:r w:rsidRPr="00CA1F00">
              <w:rPr>
                <w:rFonts w:cs="Arial"/>
                <w:sz w:val="18"/>
                <w:szCs w:val="18"/>
              </w:rPr>
              <w:t>11.8</w:t>
            </w:r>
          </w:p>
        </w:tc>
        <w:tc>
          <w:tcPr>
            <w:tcW w:w="397" w:type="pct"/>
            <w:shd w:val="clear" w:color="auto" w:fill="EFD3D2"/>
            <w:vAlign w:val="center"/>
          </w:tcPr>
          <w:p w14:paraId="45FEABA9" w14:textId="238582B6" w:rsidR="00024EDB" w:rsidRPr="00CA1F00" w:rsidRDefault="00024EDB" w:rsidP="00024EDB">
            <w:pPr>
              <w:pStyle w:val="ForTable"/>
              <w:jc w:val="center"/>
              <w:rPr>
                <w:rFonts w:cs="Arial"/>
                <w:sz w:val="18"/>
                <w:szCs w:val="18"/>
              </w:rPr>
            </w:pPr>
            <w:r w:rsidRPr="00CA1F00">
              <w:rPr>
                <w:rFonts w:cs="Arial"/>
                <w:sz w:val="18"/>
                <w:szCs w:val="18"/>
              </w:rPr>
              <w:t>5.2</w:t>
            </w:r>
          </w:p>
        </w:tc>
        <w:tc>
          <w:tcPr>
            <w:tcW w:w="447" w:type="pct"/>
            <w:shd w:val="clear" w:color="auto" w:fill="EFD3D2"/>
            <w:vAlign w:val="center"/>
          </w:tcPr>
          <w:p w14:paraId="560C3CCC" w14:textId="5ED8ACEF" w:rsidR="00024EDB" w:rsidRPr="00CA1F00" w:rsidRDefault="00024EDB" w:rsidP="00024EDB">
            <w:pPr>
              <w:pStyle w:val="ForTable"/>
              <w:jc w:val="center"/>
              <w:rPr>
                <w:rFonts w:cs="Arial"/>
                <w:sz w:val="18"/>
                <w:szCs w:val="18"/>
              </w:rPr>
            </w:pPr>
            <w:r w:rsidRPr="00CA1F00">
              <w:rPr>
                <w:rFonts w:cs="Arial"/>
                <w:sz w:val="18"/>
                <w:szCs w:val="18"/>
              </w:rPr>
              <w:t>0.8</w:t>
            </w:r>
          </w:p>
        </w:tc>
        <w:tc>
          <w:tcPr>
            <w:tcW w:w="397" w:type="pct"/>
            <w:shd w:val="clear" w:color="auto" w:fill="EFD3D2"/>
            <w:noWrap/>
            <w:vAlign w:val="center"/>
          </w:tcPr>
          <w:p w14:paraId="2E85461C" w14:textId="439E3569" w:rsidR="00024EDB" w:rsidRPr="00CA1F00" w:rsidRDefault="00024EDB" w:rsidP="00024EDB">
            <w:pPr>
              <w:pStyle w:val="ForTable"/>
              <w:jc w:val="center"/>
              <w:rPr>
                <w:rFonts w:cs="Arial"/>
                <w:sz w:val="18"/>
                <w:szCs w:val="18"/>
              </w:rPr>
            </w:pPr>
            <w:r w:rsidRPr="00CA1F00">
              <w:rPr>
                <w:rFonts w:cs="Arial"/>
                <w:sz w:val="18"/>
                <w:szCs w:val="18"/>
              </w:rPr>
              <w:t>4.6</w:t>
            </w:r>
          </w:p>
        </w:tc>
        <w:tc>
          <w:tcPr>
            <w:tcW w:w="447" w:type="pct"/>
            <w:shd w:val="clear" w:color="auto" w:fill="EFD3D2"/>
            <w:noWrap/>
            <w:vAlign w:val="center"/>
          </w:tcPr>
          <w:p w14:paraId="49DF7E82" w14:textId="244A395B" w:rsidR="00024EDB" w:rsidRPr="00CA1F00" w:rsidRDefault="00024EDB" w:rsidP="00024EDB">
            <w:pPr>
              <w:pStyle w:val="ForTable"/>
              <w:jc w:val="center"/>
              <w:rPr>
                <w:rFonts w:cs="Arial"/>
                <w:sz w:val="18"/>
                <w:szCs w:val="18"/>
              </w:rPr>
            </w:pPr>
            <w:r w:rsidRPr="00CA1F00">
              <w:rPr>
                <w:rFonts w:cs="Arial"/>
                <w:sz w:val="18"/>
                <w:szCs w:val="18"/>
              </w:rPr>
              <w:t>1.1</w:t>
            </w:r>
          </w:p>
        </w:tc>
        <w:tc>
          <w:tcPr>
            <w:tcW w:w="423" w:type="pct"/>
            <w:shd w:val="clear" w:color="auto" w:fill="EFD3D2"/>
            <w:noWrap/>
            <w:vAlign w:val="center"/>
          </w:tcPr>
          <w:p w14:paraId="1E050F01" w14:textId="4947D91F" w:rsidR="00024EDB" w:rsidRPr="00CA1F00" w:rsidRDefault="00024EDB" w:rsidP="00024EDB">
            <w:pPr>
              <w:pStyle w:val="ForTable"/>
              <w:jc w:val="center"/>
              <w:rPr>
                <w:rFonts w:cs="Arial"/>
                <w:sz w:val="18"/>
                <w:szCs w:val="18"/>
              </w:rPr>
            </w:pPr>
            <w:r>
              <w:rPr>
                <w:rFonts w:cs="Arial"/>
                <w:sz w:val="18"/>
                <w:szCs w:val="18"/>
              </w:rPr>
              <w:t>u/a</w:t>
            </w:r>
          </w:p>
        </w:tc>
        <w:tc>
          <w:tcPr>
            <w:tcW w:w="373" w:type="pct"/>
            <w:shd w:val="clear" w:color="auto" w:fill="EFD3D2"/>
            <w:vAlign w:val="center"/>
          </w:tcPr>
          <w:p w14:paraId="431D61AB" w14:textId="20A75198" w:rsidR="00024EDB" w:rsidRPr="00CA1F00" w:rsidRDefault="00024EDB" w:rsidP="00024EDB">
            <w:pPr>
              <w:pStyle w:val="ForTable"/>
              <w:jc w:val="center"/>
              <w:rPr>
                <w:rFonts w:cs="Arial"/>
                <w:sz w:val="18"/>
                <w:szCs w:val="18"/>
              </w:rPr>
            </w:pPr>
            <w:r w:rsidRPr="00CA1F00">
              <w:rPr>
                <w:rFonts w:cs="Arial"/>
                <w:sz w:val="18"/>
                <w:szCs w:val="18"/>
              </w:rPr>
              <w:t>0.0</w:t>
            </w:r>
          </w:p>
        </w:tc>
        <w:tc>
          <w:tcPr>
            <w:tcW w:w="361" w:type="pct"/>
            <w:shd w:val="clear" w:color="auto" w:fill="EFD3D2"/>
            <w:noWrap/>
            <w:vAlign w:val="center"/>
          </w:tcPr>
          <w:p w14:paraId="5938C1D3" w14:textId="3E81E2F7" w:rsidR="00024EDB" w:rsidRPr="00D170E0" w:rsidRDefault="00024EDB" w:rsidP="00024EDB">
            <w:pPr>
              <w:pStyle w:val="ForTable"/>
              <w:jc w:val="center"/>
              <w:rPr>
                <w:rFonts w:cs="Arial"/>
                <w:b/>
                <w:bCs w:val="0"/>
                <w:sz w:val="18"/>
                <w:szCs w:val="18"/>
              </w:rPr>
            </w:pPr>
            <w:r w:rsidRPr="00D170E0">
              <w:rPr>
                <w:rFonts w:cs="Arial"/>
                <w:b/>
                <w:bCs w:val="0"/>
                <w:sz w:val="18"/>
                <w:szCs w:val="18"/>
              </w:rPr>
              <w:t>99.6</w:t>
            </w:r>
          </w:p>
        </w:tc>
        <w:tc>
          <w:tcPr>
            <w:tcW w:w="369" w:type="pct"/>
            <w:shd w:val="clear" w:color="auto" w:fill="EFD3D2"/>
            <w:noWrap/>
            <w:vAlign w:val="center"/>
          </w:tcPr>
          <w:p w14:paraId="71709A49" w14:textId="1EB93AAE" w:rsidR="00024EDB" w:rsidRPr="00CA1F00" w:rsidRDefault="00024EDB" w:rsidP="00024EDB">
            <w:pPr>
              <w:pStyle w:val="ForTable"/>
              <w:jc w:val="center"/>
              <w:rPr>
                <w:rFonts w:cs="Arial"/>
                <w:sz w:val="18"/>
                <w:szCs w:val="18"/>
              </w:rPr>
            </w:pPr>
            <w:r w:rsidRPr="00CA1F00">
              <w:rPr>
                <w:rFonts w:cs="Arial"/>
                <w:sz w:val="18"/>
                <w:szCs w:val="18"/>
              </w:rPr>
              <w:t>19.1</w:t>
            </w:r>
          </w:p>
        </w:tc>
      </w:tr>
      <w:tr w:rsidR="00024EDB" w:rsidRPr="00CA1F00" w14:paraId="33E3EE0A" w14:textId="77777777" w:rsidTr="00106011">
        <w:trPr>
          <w:cantSplit/>
          <w:trHeight w:val="437"/>
        </w:trPr>
        <w:tc>
          <w:tcPr>
            <w:tcW w:w="634" w:type="pct"/>
            <w:shd w:val="clear" w:color="auto" w:fill="auto"/>
            <w:noWrap/>
            <w:vAlign w:val="center"/>
          </w:tcPr>
          <w:p w14:paraId="16346BF5" w14:textId="2999010E" w:rsidR="00024EDB" w:rsidRPr="00CA1F00" w:rsidRDefault="00024EDB" w:rsidP="00024EDB">
            <w:pPr>
              <w:spacing w:before="60" w:after="60"/>
              <w:jc w:val="left"/>
              <w:rPr>
                <w:rFonts w:cs="Arial"/>
                <w:color w:val="000000"/>
                <w:sz w:val="18"/>
                <w:szCs w:val="18"/>
              </w:rPr>
            </w:pPr>
            <w:r w:rsidRPr="00CA1F00">
              <w:rPr>
                <w:rFonts w:cs="Arial"/>
                <w:sz w:val="18"/>
                <w:szCs w:val="18"/>
              </w:rPr>
              <w:t>Dispute resolution</w:t>
            </w:r>
          </w:p>
        </w:tc>
        <w:tc>
          <w:tcPr>
            <w:tcW w:w="358" w:type="pct"/>
            <w:shd w:val="clear" w:color="auto" w:fill="auto"/>
            <w:noWrap/>
            <w:vAlign w:val="center"/>
          </w:tcPr>
          <w:p w14:paraId="741E63C7" w14:textId="42BD8D80" w:rsidR="00024EDB" w:rsidRPr="00CA1F00" w:rsidRDefault="00024EDB" w:rsidP="00024EDB">
            <w:pPr>
              <w:pStyle w:val="ForTable"/>
              <w:jc w:val="center"/>
              <w:rPr>
                <w:rFonts w:cs="Arial"/>
                <w:sz w:val="18"/>
                <w:szCs w:val="18"/>
              </w:rPr>
            </w:pPr>
            <w:r w:rsidRPr="00024EDB">
              <w:rPr>
                <w:rFonts w:cs="Arial"/>
                <w:sz w:val="18"/>
                <w:szCs w:val="18"/>
              </w:rPr>
              <w:t>95.9</w:t>
            </w:r>
          </w:p>
        </w:tc>
        <w:tc>
          <w:tcPr>
            <w:tcW w:w="396" w:type="pct"/>
            <w:shd w:val="clear" w:color="auto" w:fill="auto"/>
            <w:noWrap/>
            <w:vAlign w:val="center"/>
          </w:tcPr>
          <w:p w14:paraId="4CE6B7F6" w14:textId="57ED88CC" w:rsidR="00024EDB" w:rsidRPr="00CA1F00" w:rsidRDefault="00024EDB" w:rsidP="00024EDB">
            <w:pPr>
              <w:pStyle w:val="ForTable"/>
              <w:jc w:val="center"/>
              <w:rPr>
                <w:rFonts w:cs="Arial"/>
                <w:sz w:val="18"/>
                <w:szCs w:val="18"/>
              </w:rPr>
            </w:pPr>
            <w:r w:rsidRPr="00CA1F00">
              <w:rPr>
                <w:rFonts w:cs="Arial"/>
                <w:sz w:val="18"/>
                <w:szCs w:val="18"/>
              </w:rPr>
              <w:t>40.3</w:t>
            </w:r>
          </w:p>
        </w:tc>
        <w:tc>
          <w:tcPr>
            <w:tcW w:w="398" w:type="pct"/>
            <w:shd w:val="clear" w:color="auto" w:fill="auto"/>
            <w:noWrap/>
            <w:vAlign w:val="center"/>
          </w:tcPr>
          <w:p w14:paraId="4A2C3D25" w14:textId="4B64BB94" w:rsidR="00024EDB" w:rsidRPr="00CA1F00" w:rsidRDefault="00024EDB" w:rsidP="00024EDB">
            <w:pPr>
              <w:pStyle w:val="ForTable"/>
              <w:jc w:val="center"/>
              <w:rPr>
                <w:rFonts w:cs="Arial"/>
                <w:sz w:val="18"/>
                <w:szCs w:val="18"/>
              </w:rPr>
            </w:pPr>
            <w:r w:rsidRPr="00CA1F00">
              <w:rPr>
                <w:rFonts w:cs="Arial"/>
                <w:sz w:val="18"/>
                <w:szCs w:val="18"/>
              </w:rPr>
              <w:t>15.7</w:t>
            </w:r>
          </w:p>
        </w:tc>
        <w:tc>
          <w:tcPr>
            <w:tcW w:w="397" w:type="pct"/>
            <w:shd w:val="clear" w:color="auto" w:fill="auto"/>
            <w:vAlign w:val="center"/>
          </w:tcPr>
          <w:p w14:paraId="1E329A0C" w14:textId="3E4712E8" w:rsidR="00024EDB" w:rsidRPr="00CA1F00" w:rsidRDefault="00024EDB" w:rsidP="00024EDB">
            <w:pPr>
              <w:pStyle w:val="ForTable"/>
              <w:jc w:val="center"/>
              <w:rPr>
                <w:rFonts w:cs="Arial"/>
                <w:sz w:val="18"/>
                <w:szCs w:val="18"/>
              </w:rPr>
            </w:pPr>
            <w:r w:rsidRPr="00CA1F00">
              <w:rPr>
                <w:rFonts w:cs="Arial"/>
                <w:sz w:val="18"/>
                <w:szCs w:val="18"/>
              </w:rPr>
              <w:t>6.7</w:t>
            </w:r>
          </w:p>
        </w:tc>
        <w:tc>
          <w:tcPr>
            <w:tcW w:w="447" w:type="pct"/>
            <w:shd w:val="clear" w:color="auto" w:fill="auto"/>
            <w:vAlign w:val="center"/>
          </w:tcPr>
          <w:p w14:paraId="164C7D87" w14:textId="55796682" w:rsidR="00024EDB" w:rsidRPr="00CA1F00" w:rsidRDefault="00024EDB" w:rsidP="00024EDB">
            <w:pPr>
              <w:pStyle w:val="ForTable"/>
              <w:jc w:val="center"/>
              <w:rPr>
                <w:rFonts w:cs="Arial"/>
                <w:sz w:val="18"/>
                <w:szCs w:val="18"/>
              </w:rPr>
            </w:pPr>
            <w:r w:rsidRPr="00CA1F00">
              <w:rPr>
                <w:rFonts w:cs="Arial"/>
                <w:sz w:val="18"/>
                <w:szCs w:val="18"/>
              </w:rPr>
              <w:t>0.1</w:t>
            </w:r>
          </w:p>
        </w:tc>
        <w:tc>
          <w:tcPr>
            <w:tcW w:w="397" w:type="pct"/>
            <w:shd w:val="clear" w:color="auto" w:fill="auto"/>
            <w:noWrap/>
            <w:vAlign w:val="center"/>
          </w:tcPr>
          <w:p w14:paraId="0F785C3E" w14:textId="5407ACB3" w:rsidR="00024EDB" w:rsidRPr="00CA1F00" w:rsidRDefault="00024EDB" w:rsidP="00024EDB">
            <w:pPr>
              <w:pStyle w:val="ForTable"/>
              <w:jc w:val="center"/>
              <w:rPr>
                <w:rFonts w:cs="Arial"/>
                <w:sz w:val="18"/>
                <w:szCs w:val="18"/>
              </w:rPr>
            </w:pPr>
            <w:r w:rsidRPr="00CA1F00">
              <w:rPr>
                <w:rFonts w:cs="Arial"/>
                <w:sz w:val="18"/>
                <w:szCs w:val="18"/>
              </w:rPr>
              <w:t>5.2</w:t>
            </w:r>
          </w:p>
        </w:tc>
        <w:tc>
          <w:tcPr>
            <w:tcW w:w="447" w:type="pct"/>
            <w:shd w:val="clear" w:color="auto" w:fill="auto"/>
            <w:noWrap/>
            <w:vAlign w:val="center"/>
          </w:tcPr>
          <w:p w14:paraId="177772D8" w14:textId="52DFACCE" w:rsidR="00024EDB" w:rsidRPr="00CA1F00" w:rsidRDefault="00024EDB" w:rsidP="00024EDB">
            <w:pPr>
              <w:pStyle w:val="ForTable"/>
              <w:jc w:val="center"/>
              <w:rPr>
                <w:rFonts w:cs="Arial"/>
                <w:sz w:val="18"/>
                <w:szCs w:val="18"/>
              </w:rPr>
            </w:pPr>
            <w:r w:rsidRPr="00CA1F00">
              <w:rPr>
                <w:rFonts w:cs="Arial"/>
                <w:sz w:val="18"/>
                <w:szCs w:val="18"/>
              </w:rPr>
              <w:t>1.1</w:t>
            </w:r>
          </w:p>
        </w:tc>
        <w:tc>
          <w:tcPr>
            <w:tcW w:w="423" w:type="pct"/>
            <w:shd w:val="clear" w:color="auto" w:fill="auto"/>
            <w:noWrap/>
            <w:vAlign w:val="center"/>
          </w:tcPr>
          <w:p w14:paraId="5C7D8469" w14:textId="7F0F6139" w:rsidR="00024EDB" w:rsidRPr="00CA1F00" w:rsidRDefault="00024EDB" w:rsidP="00024EDB">
            <w:pPr>
              <w:pStyle w:val="ForTable"/>
              <w:jc w:val="center"/>
              <w:rPr>
                <w:rFonts w:cs="Arial"/>
                <w:sz w:val="18"/>
                <w:szCs w:val="18"/>
              </w:rPr>
            </w:pPr>
            <w:r w:rsidRPr="00CA1F00">
              <w:rPr>
                <w:rFonts w:cs="Arial"/>
                <w:sz w:val="18"/>
                <w:szCs w:val="18"/>
              </w:rPr>
              <w:t>0.9</w:t>
            </w:r>
          </w:p>
        </w:tc>
        <w:tc>
          <w:tcPr>
            <w:tcW w:w="373" w:type="pct"/>
            <w:shd w:val="clear" w:color="auto" w:fill="auto"/>
            <w:vAlign w:val="center"/>
          </w:tcPr>
          <w:p w14:paraId="564D95F9" w14:textId="20B08D15" w:rsidR="00024EDB" w:rsidRPr="00CA1F00" w:rsidRDefault="00024EDB" w:rsidP="00024EDB">
            <w:pPr>
              <w:pStyle w:val="ForTable"/>
              <w:jc w:val="center"/>
              <w:rPr>
                <w:rFonts w:cs="Arial"/>
                <w:sz w:val="18"/>
                <w:szCs w:val="18"/>
              </w:rPr>
            </w:pPr>
            <w:r w:rsidRPr="00CA1F00">
              <w:rPr>
                <w:rFonts w:cs="Arial"/>
                <w:sz w:val="18"/>
                <w:szCs w:val="18"/>
              </w:rPr>
              <w:t>0.0</w:t>
            </w:r>
          </w:p>
        </w:tc>
        <w:tc>
          <w:tcPr>
            <w:tcW w:w="361" w:type="pct"/>
            <w:shd w:val="clear" w:color="auto" w:fill="auto"/>
            <w:noWrap/>
            <w:vAlign w:val="center"/>
          </w:tcPr>
          <w:p w14:paraId="797F4586" w14:textId="77B77B28" w:rsidR="00024EDB" w:rsidRPr="00D170E0" w:rsidRDefault="00024EDB" w:rsidP="00024EDB">
            <w:pPr>
              <w:pStyle w:val="ForTable"/>
              <w:jc w:val="center"/>
              <w:rPr>
                <w:rFonts w:cs="Arial"/>
                <w:b/>
                <w:bCs w:val="0"/>
                <w:sz w:val="18"/>
                <w:szCs w:val="18"/>
              </w:rPr>
            </w:pPr>
            <w:r w:rsidRPr="00D170E0">
              <w:rPr>
                <w:rFonts w:cs="Arial"/>
                <w:b/>
                <w:bCs w:val="0"/>
                <w:sz w:val="18"/>
                <w:szCs w:val="18"/>
              </w:rPr>
              <w:t>166.0</w:t>
            </w:r>
          </w:p>
        </w:tc>
        <w:tc>
          <w:tcPr>
            <w:tcW w:w="369" w:type="pct"/>
            <w:shd w:val="clear" w:color="auto" w:fill="auto"/>
            <w:noWrap/>
            <w:vAlign w:val="center"/>
          </w:tcPr>
          <w:p w14:paraId="229B1E3E" w14:textId="1EDD2876" w:rsidR="00024EDB" w:rsidRPr="00CA1F00" w:rsidRDefault="00024EDB" w:rsidP="00024EDB">
            <w:pPr>
              <w:pStyle w:val="ForTable"/>
              <w:jc w:val="center"/>
              <w:rPr>
                <w:rFonts w:cs="Arial"/>
                <w:sz w:val="18"/>
                <w:szCs w:val="18"/>
              </w:rPr>
            </w:pPr>
            <w:r w:rsidRPr="00CA1F00">
              <w:rPr>
                <w:rFonts w:cs="Arial"/>
                <w:sz w:val="18"/>
                <w:szCs w:val="18"/>
              </w:rPr>
              <w:t>0.0</w:t>
            </w:r>
          </w:p>
        </w:tc>
      </w:tr>
      <w:tr w:rsidR="00024EDB" w:rsidRPr="00CA1F00" w14:paraId="3B882D47" w14:textId="77777777" w:rsidTr="00106011">
        <w:trPr>
          <w:cantSplit/>
          <w:trHeight w:val="437"/>
        </w:trPr>
        <w:tc>
          <w:tcPr>
            <w:tcW w:w="634" w:type="pct"/>
            <w:shd w:val="clear" w:color="auto" w:fill="EFD3D2"/>
            <w:noWrap/>
            <w:vAlign w:val="center"/>
          </w:tcPr>
          <w:p w14:paraId="4A2FD458" w14:textId="16AF2194" w:rsidR="00024EDB" w:rsidRPr="00CA1F00" w:rsidRDefault="00024EDB" w:rsidP="00024EDB">
            <w:pPr>
              <w:spacing w:before="60" w:after="60"/>
              <w:jc w:val="left"/>
              <w:rPr>
                <w:rFonts w:cs="Arial"/>
                <w:color w:val="000000"/>
                <w:sz w:val="18"/>
                <w:szCs w:val="18"/>
              </w:rPr>
            </w:pPr>
            <w:r w:rsidRPr="00CA1F00">
              <w:rPr>
                <w:rFonts w:cs="Arial"/>
                <w:sz w:val="18"/>
                <w:szCs w:val="18"/>
              </w:rPr>
              <w:t>Other administration</w:t>
            </w:r>
          </w:p>
        </w:tc>
        <w:tc>
          <w:tcPr>
            <w:tcW w:w="358" w:type="pct"/>
            <w:shd w:val="clear" w:color="auto" w:fill="EFD3D2"/>
            <w:noWrap/>
            <w:vAlign w:val="center"/>
          </w:tcPr>
          <w:p w14:paraId="27F1FE39" w14:textId="3FE54EC8" w:rsidR="00024EDB" w:rsidRPr="00CA1F00" w:rsidRDefault="00024EDB" w:rsidP="00024EDB">
            <w:pPr>
              <w:pStyle w:val="ForTable"/>
              <w:jc w:val="center"/>
              <w:rPr>
                <w:rFonts w:cs="Arial"/>
                <w:sz w:val="18"/>
                <w:szCs w:val="18"/>
              </w:rPr>
            </w:pPr>
            <w:r w:rsidRPr="00024EDB">
              <w:rPr>
                <w:rFonts w:cs="Arial"/>
                <w:sz w:val="18"/>
                <w:szCs w:val="18"/>
              </w:rPr>
              <w:t>160.4</w:t>
            </w:r>
          </w:p>
        </w:tc>
        <w:tc>
          <w:tcPr>
            <w:tcW w:w="396" w:type="pct"/>
            <w:shd w:val="clear" w:color="auto" w:fill="EFD3D2"/>
            <w:noWrap/>
            <w:vAlign w:val="center"/>
          </w:tcPr>
          <w:p w14:paraId="09B2AAC6" w14:textId="4A24E1B0" w:rsidR="00024EDB" w:rsidRPr="00CA1F00" w:rsidRDefault="00024EDB" w:rsidP="00024EDB">
            <w:pPr>
              <w:pStyle w:val="ForTable"/>
              <w:jc w:val="center"/>
              <w:rPr>
                <w:rFonts w:cs="Arial"/>
                <w:sz w:val="18"/>
                <w:szCs w:val="18"/>
              </w:rPr>
            </w:pPr>
            <w:r w:rsidRPr="00CA1F00">
              <w:rPr>
                <w:rFonts w:cs="Arial"/>
                <w:sz w:val="18"/>
                <w:szCs w:val="18"/>
              </w:rPr>
              <w:t>75.0</w:t>
            </w:r>
          </w:p>
        </w:tc>
        <w:tc>
          <w:tcPr>
            <w:tcW w:w="398" w:type="pct"/>
            <w:shd w:val="clear" w:color="auto" w:fill="EFD3D2"/>
            <w:noWrap/>
            <w:vAlign w:val="center"/>
          </w:tcPr>
          <w:p w14:paraId="264E2E25" w14:textId="1A81E703" w:rsidR="00024EDB" w:rsidRPr="00CA1F00" w:rsidRDefault="00024EDB" w:rsidP="00024EDB">
            <w:pPr>
              <w:pStyle w:val="ForTable"/>
              <w:jc w:val="center"/>
              <w:rPr>
                <w:rFonts w:cs="Arial"/>
                <w:sz w:val="18"/>
                <w:szCs w:val="18"/>
              </w:rPr>
            </w:pPr>
            <w:r w:rsidRPr="00CA1F00">
              <w:rPr>
                <w:rFonts w:cs="Arial"/>
                <w:sz w:val="18"/>
                <w:szCs w:val="18"/>
              </w:rPr>
              <w:t>53.7</w:t>
            </w:r>
          </w:p>
        </w:tc>
        <w:tc>
          <w:tcPr>
            <w:tcW w:w="397" w:type="pct"/>
            <w:shd w:val="clear" w:color="auto" w:fill="EFD3D2"/>
            <w:vAlign w:val="center"/>
          </w:tcPr>
          <w:p w14:paraId="204D0E78" w14:textId="741C4D93" w:rsidR="00024EDB" w:rsidRPr="00CA1F00" w:rsidRDefault="00024EDB" w:rsidP="00024EDB">
            <w:pPr>
              <w:pStyle w:val="ForTable"/>
              <w:jc w:val="center"/>
              <w:rPr>
                <w:rFonts w:cs="Arial"/>
                <w:sz w:val="18"/>
                <w:szCs w:val="18"/>
              </w:rPr>
            </w:pPr>
            <w:r w:rsidRPr="00CA1F00">
              <w:rPr>
                <w:rFonts w:cs="Arial"/>
                <w:sz w:val="18"/>
                <w:szCs w:val="18"/>
              </w:rPr>
              <w:t>33.5</w:t>
            </w:r>
          </w:p>
        </w:tc>
        <w:tc>
          <w:tcPr>
            <w:tcW w:w="447" w:type="pct"/>
            <w:shd w:val="clear" w:color="auto" w:fill="EFD3D2"/>
            <w:vAlign w:val="center"/>
          </w:tcPr>
          <w:p w14:paraId="4730E0F1" w14:textId="2D325DE3" w:rsidR="00024EDB" w:rsidRPr="00CA1F00" w:rsidRDefault="00024EDB" w:rsidP="00024EDB">
            <w:pPr>
              <w:pStyle w:val="ForTable"/>
              <w:jc w:val="center"/>
              <w:rPr>
                <w:rFonts w:cs="Arial"/>
                <w:sz w:val="18"/>
                <w:szCs w:val="18"/>
              </w:rPr>
            </w:pPr>
            <w:r w:rsidRPr="00CA1F00">
              <w:rPr>
                <w:rFonts w:cs="Arial"/>
                <w:sz w:val="18"/>
                <w:szCs w:val="18"/>
              </w:rPr>
              <w:t>23.6</w:t>
            </w:r>
          </w:p>
        </w:tc>
        <w:tc>
          <w:tcPr>
            <w:tcW w:w="397" w:type="pct"/>
            <w:shd w:val="clear" w:color="auto" w:fill="EFD3D2"/>
            <w:noWrap/>
            <w:vAlign w:val="center"/>
          </w:tcPr>
          <w:p w14:paraId="3932651A" w14:textId="04E7CC20" w:rsidR="00024EDB" w:rsidRPr="00CA1F00" w:rsidRDefault="00024EDB" w:rsidP="00024EDB">
            <w:pPr>
              <w:pStyle w:val="ForTable"/>
              <w:jc w:val="center"/>
              <w:rPr>
                <w:rFonts w:cs="Arial"/>
                <w:sz w:val="18"/>
                <w:szCs w:val="18"/>
              </w:rPr>
            </w:pPr>
            <w:r w:rsidRPr="00CA1F00">
              <w:rPr>
                <w:rFonts w:cs="Arial"/>
                <w:sz w:val="18"/>
                <w:szCs w:val="18"/>
              </w:rPr>
              <w:t>8.6</w:t>
            </w:r>
          </w:p>
        </w:tc>
        <w:tc>
          <w:tcPr>
            <w:tcW w:w="447" w:type="pct"/>
            <w:shd w:val="clear" w:color="auto" w:fill="EFD3D2"/>
            <w:noWrap/>
            <w:vAlign w:val="center"/>
          </w:tcPr>
          <w:p w14:paraId="5D5D7155" w14:textId="370C7B33" w:rsidR="00024EDB" w:rsidRPr="00CA1F00" w:rsidRDefault="00024EDB" w:rsidP="00024EDB">
            <w:pPr>
              <w:pStyle w:val="ForTable"/>
              <w:jc w:val="center"/>
              <w:rPr>
                <w:rFonts w:cs="Arial"/>
                <w:sz w:val="18"/>
                <w:szCs w:val="18"/>
              </w:rPr>
            </w:pPr>
            <w:r w:rsidRPr="00CA1F00">
              <w:rPr>
                <w:rFonts w:cs="Arial"/>
                <w:sz w:val="18"/>
                <w:szCs w:val="18"/>
              </w:rPr>
              <w:t>1.5</w:t>
            </w:r>
          </w:p>
        </w:tc>
        <w:tc>
          <w:tcPr>
            <w:tcW w:w="423" w:type="pct"/>
            <w:shd w:val="clear" w:color="auto" w:fill="EFD3D2"/>
            <w:noWrap/>
            <w:vAlign w:val="center"/>
          </w:tcPr>
          <w:p w14:paraId="64D1B061" w14:textId="2DF9820F" w:rsidR="00024EDB" w:rsidRPr="00CA1F00" w:rsidRDefault="00024EDB" w:rsidP="00024EDB">
            <w:pPr>
              <w:pStyle w:val="ForTable"/>
              <w:jc w:val="center"/>
              <w:rPr>
                <w:rFonts w:cs="Arial"/>
                <w:sz w:val="18"/>
                <w:szCs w:val="18"/>
              </w:rPr>
            </w:pPr>
            <w:r w:rsidRPr="00CA1F00">
              <w:rPr>
                <w:rFonts w:cs="Arial"/>
                <w:sz w:val="18"/>
                <w:szCs w:val="18"/>
              </w:rPr>
              <w:t>6.9</w:t>
            </w:r>
          </w:p>
        </w:tc>
        <w:tc>
          <w:tcPr>
            <w:tcW w:w="373" w:type="pct"/>
            <w:shd w:val="clear" w:color="auto" w:fill="EFD3D2"/>
            <w:vAlign w:val="center"/>
          </w:tcPr>
          <w:p w14:paraId="5B6865A8" w14:textId="76DAEA31" w:rsidR="00024EDB" w:rsidRPr="00CA1F00" w:rsidRDefault="00024EDB" w:rsidP="00024EDB">
            <w:pPr>
              <w:pStyle w:val="ForTable"/>
              <w:jc w:val="center"/>
              <w:rPr>
                <w:rFonts w:cs="Arial"/>
                <w:sz w:val="18"/>
                <w:szCs w:val="18"/>
              </w:rPr>
            </w:pPr>
            <w:r w:rsidRPr="00CA1F00">
              <w:rPr>
                <w:rFonts w:cs="Arial"/>
                <w:sz w:val="18"/>
                <w:szCs w:val="18"/>
              </w:rPr>
              <w:t>1.4</w:t>
            </w:r>
          </w:p>
        </w:tc>
        <w:tc>
          <w:tcPr>
            <w:tcW w:w="361" w:type="pct"/>
            <w:shd w:val="clear" w:color="auto" w:fill="EFD3D2"/>
            <w:noWrap/>
            <w:vAlign w:val="center"/>
          </w:tcPr>
          <w:p w14:paraId="4F10D7DD" w14:textId="7D8D8C6F" w:rsidR="00024EDB" w:rsidRPr="00D170E0" w:rsidRDefault="00024EDB" w:rsidP="00024EDB">
            <w:pPr>
              <w:pStyle w:val="ForTable"/>
              <w:jc w:val="center"/>
              <w:rPr>
                <w:rFonts w:cs="Arial"/>
                <w:b/>
                <w:bCs w:val="0"/>
                <w:sz w:val="18"/>
                <w:szCs w:val="18"/>
              </w:rPr>
            </w:pPr>
            <w:r w:rsidRPr="00D170E0">
              <w:rPr>
                <w:rFonts w:cs="Arial"/>
                <w:b/>
                <w:bCs w:val="0"/>
                <w:sz w:val="18"/>
                <w:szCs w:val="18"/>
              </w:rPr>
              <w:t>364.6</w:t>
            </w:r>
          </w:p>
        </w:tc>
        <w:tc>
          <w:tcPr>
            <w:tcW w:w="369" w:type="pct"/>
            <w:shd w:val="clear" w:color="auto" w:fill="EFD3D2"/>
            <w:noWrap/>
            <w:vAlign w:val="center"/>
          </w:tcPr>
          <w:p w14:paraId="54362076" w14:textId="6649FE4E" w:rsidR="00024EDB" w:rsidRPr="00CA1F00" w:rsidRDefault="00024EDB" w:rsidP="00024EDB">
            <w:pPr>
              <w:pStyle w:val="ForTable"/>
              <w:jc w:val="center"/>
              <w:rPr>
                <w:rFonts w:cs="Arial"/>
                <w:sz w:val="18"/>
                <w:szCs w:val="18"/>
              </w:rPr>
            </w:pPr>
            <w:r w:rsidRPr="00CA1F00">
              <w:rPr>
                <w:rFonts w:cs="Arial"/>
                <w:sz w:val="18"/>
                <w:szCs w:val="18"/>
              </w:rPr>
              <w:t>55.5</w:t>
            </w:r>
          </w:p>
        </w:tc>
      </w:tr>
      <w:tr w:rsidR="00024EDB" w:rsidRPr="00CA1F00" w14:paraId="26714930" w14:textId="77777777" w:rsidTr="00106011">
        <w:trPr>
          <w:cantSplit/>
          <w:trHeight w:val="437"/>
        </w:trPr>
        <w:tc>
          <w:tcPr>
            <w:tcW w:w="634" w:type="pct"/>
            <w:shd w:val="clear" w:color="auto" w:fill="808080" w:themeFill="background1" w:themeFillShade="80"/>
            <w:noWrap/>
            <w:vAlign w:val="center"/>
          </w:tcPr>
          <w:p w14:paraId="723DD189" w14:textId="643A47E5" w:rsidR="00024EDB" w:rsidRPr="00CA1F00" w:rsidRDefault="00024EDB" w:rsidP="00024EDB">
            <w:pPr>
              <w:spacing w:before="60" w:after="60"/>
              <w:jc w:val="left"/>
              <w:rPr>
                <w:rFonts w:cs="Arial"/>
                <w:b/>
                <w:color w:val="FFFFFF" w:themeColor="background1"/>
                <w:sz w:val="18"/>
                <w:szCs w:val="18"/>
              </w:rPr>
            </w:pPr>
            <w:r w:rsidRPr="00CA1F00">
              <w:rPr>
                <w:rFonts w:cs="Arial"/>
                <w:b/>
                <w:bCs/>
                <w:color w:val="FFFFFF" w:themeColor="background1"/>
                <w:sz w:val="18"/>
                <w:szCs w:val="18"/>
              </w:rPr>
              <w:t>Total</w:t>
            </w:r>
          </w:p>
        </w:tc>
        <w:tc>
          <w:tcPr>
            <w:tcW w:w="358" w:type="pct"/>
            <w:shd w:val="clear" w:color="auto" w:fill="808080" w:themeFill="background1" w:themeFillShade="80"/>
            <w:noWrap/>
            <w:vAlign w:val="center"/>
          </w:tcPr>
          <w:p w14:paraId="489C5F51" w14:textId="7AA2F704"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3,056.2</w:t>
            </w:r>
          </w:p>
        </w:tc>
        <w:tc>
          <w:tcPr>
            <w:tcW w:w="396" w:type="pct"/>
            <w:shd w:val="clear" w:color="auto" w:fill="808080" w:themeFill="background1" w:themeFillShade="80"/>
            <w:noWrap/>
            <w:vAlign w:val="center"/>
          </w:tcPr>
          <w:p w14:paraId="32018BA8" w14:textId="4B1ED2B2"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2,816.3</w:t>
            </w:r>
          </w:p>
        </w:tc>
        <w:tc>
          <w:tcPr>
            <w:tcW w:w="398" w:type="pct"/>
            <w:shd w:val="clear" w:color="auto" w:fill="808080" w:themeFill="background1" w:themeFillShade="80"/>
            <w:noWrap/>
            <w:vAlign w:val="center"/>
          </w:tcPr>
          <w:p w14:paraId="00576EB9" w14:textId="4293BFE7"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1,683.9</w:t>
            </w:r>
          </w:p>
        </w:tc>
        <w:tc>
          <w:tcPr>
            <w:tcW w:w="397" w:type="pct"/>
            <w:shd w:val="clear" w:color="auto" w:fill="808080" w:themeFill="background1" w:themeFillShade="80"/>
            <w:vAlign w:val="center"/>
          </w:tcPr>
          <w:p w14:paraId="353F55A5" w14:textId="632FC979"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564.0</w:t>
            </w:r>
          </w:p>
        </w:tc>
        <w:tc>
          <w:tcPr>
            <w:tcW w:w="447" w:type="pct"/>
            <w:shd w:val="clear" w:color="auto" w:fill="808080" w:themeFill="background1" w:themeFillShade="80"/>
            <w:vAlign w:val="center"/>
          </w:tcPr>
          <w:p w14:paraId="59C57BC0" w14:textId="303EC543"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237.6</w:t>
            </w:r>
          </w:p>
        </w:tc>
        <w:tc>
          <w:tcPr>
            <w:tcW w:w="397" w:type="pct"/>
            <w:shd w:val="clear" w:color="auto" w:fill="808080" w:themeFill="background1" w:themeFillShade="80"/>
            <w:noWrap/>
            <w:vAlign w:val="center"/>
          </w:tcPr>
          <w:p w14:paraId="082950B1" w14:textId="7DD12259"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1,205.7</w:t>
            </w:r>
          </w:p>
        </w:tc>
        <w:tc>
          <w:tcPr>
            <w:tcW w:w="447" w:type="pct"/>
            <w:shd w:val="clear" w:color="auto" w:fill="808080" w:themeFill="background1" w:themeFillShade="80"/>
            <w:noWrap/>
            <w:vAlign w:val="center"/>
          </w:tcPr>
          <w:p w14:paraId="340944E8" w14:textId="682EFBD3"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158.0</w:t>
            </w:r>
          </w:p>
        </w:tc>
        <w:tc>
          <w:tcPr>
            <w:tcW w:w="423" w:type="pct"/>
            <w:shd w:val="clear" w:color="auto" w:fill="808080" w:themeFill="background1" w:themeFillShade="80"/>
            <w:noWrap/>
            <w:vAlign w:val="center"/>
          </w:tcPr>
          <w:p w14:paraId="62A5515F" w14:textId="0711F909"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145.6</w:t>
            </w:r>
          </w:p>
        </w:tc>
        <w:tc>
          <w:tcPr>
            <w:tcW w:w="373" w:type="pct"/>
            <w:shd w:val="clear" w:color="auto" w:fill="808080" w:themeFill="background1" w:themeFillShade="80"/>
            <w:vAlign w:val="center"/>
          </w:tcPr>
          <w:p w14:paraId="7B2F8239" w14:textId="7266B4A2"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16.4</w:t>
            </w:r>
          </w:p>
        </w:tc>
        <w:tc>
          <w:tcPr>
            <w:tcW w:w="361" w:type="pct"/>
            <w:shd w:val="clear" w:color="auto" w:fill="808080" w:themeFill="background1" w:themeFillShade="80"/>
            <w:noWrap/>
            <w:vAlign w:val="center"/>
          </w:tcPr>
          <w:p w14:paraId="68A3C74E" w14:textId="65839ACA"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9,883.6</w:t>
            </w:r>
          </w:p>
        </w:tc>
        <w:tc>
          <w:tcPr>
            <w:tcW w:w="369" w:type="pct"/>
            <w:shd w:val="clear" w:color="auto" w:fill="808080" w:themeFill="background1" w:themeFillShade="80"/>
            <w:noWrap/>
            <w:vAlign w:val="center"/>
          </w:tcPr>
          <w:p w14:paraId="6E21EC40" w14:textId="2B4F2E03" w:rsidR="00024EDB" w:rsidRPr="00024EDB" w:rsidRDefault="00024EDB" w:rsidP="00024EDB">
            <w:pPr>
              <w:pStyle w:val="ForTable"/>
              <w:jc w:val="center"/>
              <w:rPr>
                <w:rFonts w:cs="Arial"/>
                <w:b/>
                <w:bCs w:val="0"/>
                <w:color w:val="FFFFFF" w:themeColor="background1"/>
                <w:sz w:val="18"/>
                <w:szCs w:val="18"/>
              </w:rPr>
            </w:pPr>
            <w:r w:rsidRPr="00024EDB">
              <w:rPr>
                <w:rFonts w:cs="Arial"/>
                <w:b/>
                <w:bCs w:val="0"/>
                <w:color w:val="FFFFFF" w:themeColor="background1"/>
                <w:sz w:val="18"/>
                <w:szCs w:val="18"/>
              </w:rPr>
              <w:t>819.5</w:t>
            </w:r>
          </w:p>
        </w:tc>
      </w:tr>
    </w:tbl>
    <w:p w14:paraId="63118CAE" w14:textId="33FD07B3" w:rsidR="00106011" w:rsidRPr="006B3982" w:rsidRDefault="00106011" w:rsidP="00106011">
      <w:pPr>
        <w:spacing w:before="120"/>
        <w:rPr>
          <w:sz w:val="16"/>
        </w:rPr>
        <w:sectPr w:rsidR="00106011" w:rsidRPr="006B3982" w:rsidSect="00106011">
          <w:headerReference w:type="even" r:id="rId23"/>
          <w:footerReference w:type="even" r:id="rId24"/>
          <w:footerReference w:type="default" r:id="rId25"/>
          <w:pgSz w:w="16838" w:h="11906" w:orient="landscape"/>
          <w:pgMar w:top="1134" w:right="1134" w:bottom="1134" w:left="1418" w:header="720" w:footer="720" w:gutter="0"/>
          <w:cols w:space="720"/>
          <w:noEndnote/>
          <w:docGrid w:linePitch="299"/>
        </w:sectPr>
      </w:pPr>
      <w:r w:rsidRPr="001251A8">
        <w:rPr>
          <w:i/>
          <w:sz w:val="16"/>
        </w:rPr>
        <w:t>Note: Figures are rounded to the nearest one decimal place and therefore the rows and columns ma</w:t>
      </w:r>
      <w:r>
        <w:rPr>
          <w:i/>
          <w:sz w:val="16"/>
        </w:rPr>
        <w:t>y</w:t>
      </w:r>
      <w:r w:rsidRPr="001251A8">
        <w:rPr>
          <w:i/>
          <w:sz w:val="16"/>
        </w:rPr>
        <w:t xml:space="preserve"> not add to the respective totals.</w:t>
      </w:r>
      <w:r w:rsidR="00405544">
        <w:rPr>
          <w:i/>
          <w:sz w:val="16"/>
        </w:rPr>
        <w:t xml:space="preserve"> </w:t>
      </w:r>
      <w:r w:rsidR="00405544" w:rsidRPr="00405544">
        <w:rPr>
          <w:i/>
          <w:sz w:val="16"/>
        </w:rPr>
        <w:t>u/a – Data is unavailable or not collected</w:t>
      </w:r>
      <w:r w:rsidR="00405544">
        <w:rPr>
          <w:i/>
          <w:sz w:val="16"/>
        </w:rPr>
        <w:t>.</w:t>
      </w:r>
    </w:p>
    <w:p w14:paraId="334ECBAC" w14:textId="37DF9E02" w:rsidR="00106011" w:rsidRPr="00986D99" w:rsidRDefault="00106011" w:rsidP="00986D99">
      <w:pPr>
        <w:pStyle w:val="SWASectionnumberingheading"/>
        <w:numPr>
          <w:ilvl w:val="0"/>
          <w:numId w:val="0"/>
        </w:numPr>
        <w:spacing w:before="0"/>
        <w:rPr>
          <w:color w:val="00B050"/>
          <w:sz w:val="20"/>
          <w:szCs w:val="20"/>
        </w:rPr>
      </w:pPr>
      <w:bookmarkStart w:id="24" w:name="_Toc80975734"/>
      <w:r w:rsidRPr="00986D99">
        <w:rPr>
          <w:sz w:val="20"/>
          <w:szCs w:val="20"/>
        </w:rPr>
        <w:lastRenderedPageBreak/>
        <w:t xml:space="preserve">Indicator </w:t>
      </w:r>
      <w:r w:rsidRPr="00986D99">
        <w:rPr>
          <w:noProof/>
          <w:sz w:val="20"/>
          <w:szCs w:val="20"/>
        </w:rPr>
        <w:t>19</w:t>
      </w:r>
      <w:r w:rsidR="00951721">
        <w:rPr>
          <w:noProof/>
          <w:sz w:val="20"/>
          <w:szCs w:val="20"/>
        </w:rPr>
        <w:t>b</w:t>
      </w:r>
      <w:r w:rsidRPr="00986D99">
        <w:rPr>
          <w:noProof/>
          <w:sz w:val="20"/>
          <w:szCs w:val="20"/>
        </w:rPr>
        <w:t xml:space="preserve"> </w:t>
      </w:r>
      <w:r w:rsidRPr="00986D99">
        <w:rPr>
          <w:sz w:val="20"/>
          <w:szCs w:val="20"/>
        </w:rPr>
        <w:t>– Scheme expenditure (</w:t>
      </w:r>
      <w:r w:rsidR="006C40BE">
        <w:rPr>
          <w:sz w:val="20"/>
          <w:szCs w:val="20"/>
        </w:rPr>
        <w:t>%</w:t>
      </w:r>
      <w:r w:rsidRPr="00986D99">
        <w:rPr>
          <w:sz w:val="20"/>
          <w:szCs w:val="20"/>
        </w:rPr>
        <w:t>)</w:t>
      </w:r>
      <w:bookmarkEnd w:id="24"/>
      <w:r w:rsidRPr="00986D99">
        <w:rPr>
          <w:sz w:val="20"/>
          <w:szCs w:val="20"/>
        </w:rPr>
        <w:t xml:space="preserve">  </w:t>
      </w:r>
    </w:p>
    <w:tbl>
      <w:tblPr>
        <w:tblW w:w="14474" w:type="dxa"/>
        <w:tblInd w:w="93" w:type="dxa"/>
        <w:tblLayout w:type="fixed"/>
        <w:tblLook w:val="04A0" w:firstRow="1" w:lastRow="0" w:firstColumn="1" w:lastColumn="0" w:noHBand="0" w:noVBand="1"/>
        <w:tblCaption w:val="Indicator 19 - Scheme expenditure (%)"/>
        <w:tblDescription w:val="This table show scheme expenditure (as a percentage of total) by type (direct to claimant, services to claimant, insurance operations, regulation, dispute resolution, and other administration costs) and jurisdiction for centrally funded and privately underwritten schemes, in 2015-16 and in 2019-20. "/>
      </w:tblPr>
      <w:tblGrid>
        <w:gridCol w:w="2000"/>
        <w:gridCol w:w="1099"/>
        <w:gridCol w:w="1100"/>
        <w:gridCol w:w="1099"/>
        <w:gridCol w:w="1100"/>
        <w:gridCol w:w="1100"/>
        <w:gridCol w:w="1141"/>
        <w:gridCol w:w="1142"/>
        <w:gridCol w:w="1141"/>
        <w:gridCol w:w="1142"/>
        <w:gridCol w:w="1276"/>
        <w:gridCol w:w="1134"/>
      </w:tblGrid>
      <w:tr w:rsidR="00106011" w:rsidRPr="00CA1F00" w14:paraId="12C2C7C5" w14:textId="77777777" w:rsidTr="00106011">
        <w:trPr>
          <w:cantSplit/>
          <w:trHeight w:val="510"/>
          <w:tblHeader/>
        </w:trPr>
        <w:tc>
          <w:tcPr>
            <w:tcW w:w="2000" w:type="dxa"/>
            <w:tcBorders>
              <w:top w:val="single" w:sz="8" w:space="0" w:color="FFFFFF"/>
              <w:left w:val="single" w:sz="8" w:space="0" w:color="FFFFFF"/>
              <w:bottom w:val="single" w:sz="8" w:space="0" w:color="FFFFFF"/>
              <w:right w:val="single" w:sz="8" w:space="0" w:color="FFFFFF"/>
            </w:tcBorders>
            <w:shd w:val="clear" w:color="000000" w:fill="AF1E2D"/>
            <w:vAlign w:val="center"/>
            <w:hideMark/>
          </w:tcPr>
          <w:p w14:paraId="70E864DE" w14:textId="77777777" w:rsidR="00106011" w:rsidRPr="00CA1F00" w:rsidRDefault="00106011" w:rsidP="00106011">
            <w:pPr>
              <w:spacing w:before="0"/>
              <w:jc w:val="left"/>
              <w:rPr>
                <w:rFonts w:cs="Arial"/>
                <w:b/>
                <w:bCs/>
                <w:color w:val="FFFFFF"/>
                <w:sz w:val="18"/>
                <w:szCs w:val="18"/>
              </w:rPr>
            </w:pPr>
            <w:r w:rsidRPr="00CA1F00">
              <w:rPr>
                <w:rFonts w:cs="Arial"/>
                <w:b/>
                <w:bCs/>
                <w:color w:val="FFFFFF"/>
                <w:sz w:val="18"/>
                <w:szCs w:val="18"/>
              </w:rPr>
              <w:t>Percentage of total expenditure (%)</w:t>
            </w:r>
          </w:p>
        </w:tc>
        <w:tc>
          <w:tcPr>
            <w:tcW w:w="5498" w:type="dxa"/>
            <w:gridSpan w:val="5"/>
            <w:tcBorders>
              <w:top w:val="single" w:sz="8" w:space="0" w:color="FFFFFF"/>
              <w:left w:val="nil"/>
              <w:bottom w:val="single" w:sz="8" w:space="0" w:color="FFFFFF"/>
              <w:right w:val="single" w:sz="8" w:space="0" w:color="FFFFFF"/>
            </w:tcBorders>
            <w:shd w:val="clear" w:color="000000" w:fill="AF1E2D"/>
            <w:vAlign w:val="center"/>
            <w:hideMark/>
          </w:tcPr>
          <w:p w14:paraId="1E727B42"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Centrally funded</w:t>
            </w:r>
          </w:p>
        </w:tc>
        <w:tc>
          <w:tcPr>
            <w:tcW w:w="4566" w:type="dxa"/>
            <w:gridSpan w:val="4"/>
            <w:tcBorders>
              <w:top w:val="single" w:sz="8" w:space="0" w:color="FFFFFF"/>
              <w:left w:val="nil"/>
              <w:bottom w:val="single" w:sz="8" w:space="0" w:color="FFFFFF"/>
              <w:right w:val="single" w:sz="8" w:space="0" w:color="FFFFFF"/>
            </w:tcBorders>
            <w:shd w:val="clear" w:color="000000" w:fill="AF1E2D"/>
            <w:vAlign w:val="center"/>
            <w:hideMark/>
          </w:tcPr>
          <w:p w14:paraId="28EF47F4"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Privately underwritten</w:t>
            </w:r>
          </w:p>
        </w:tc>
        <w:tc>
          <w:tcPr>
            <w:tcW w:w="2410" w:type="dxa"/>
            <w:gridSpan w:val="2"/>
            <w:tcBorders>
              <w:top w:val="single" w:sz="8" w:space="0" w:color="FFFFFF"/>
              <w:left w:val="nil"/>
              <w:bottom w:val="single" w:sz="8" w:space="0" w:color="FFFFFF"/>
              <w:right w:val="single" w:sz="8" w:space="0" w:color="FFFFFF"/>
            </w:tcBorders>
            <w:shd w:val="clear" w:color="000000" w:fill="AF1E2D"/>
            <w:vAlign w:val="center"/>
            <w:hideMark/>
          </w:tcPr>
          <w:p w14:paraId="7EA81F39"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Total</w:t>
            </w:r>
          </w:p>
        </w:tc>
      </w:tr>
      <w:tr w:rsidR="00106011" w:rsidRPr="00CA1F00" w14:paraId="2E08737F" w14:textId="77777777" w:rsidTr="00106011">
        <w:trPr>
          <w:cantSplit/>
          <w:trHeight w:val="454"/>
          <w:tblHeader/>
        </w:trPr>
        <w:tc>
          <w:tcPr>
            <w:tcW w:w="2000" w:type="dxa"/>
            <w:tcBorders>
              <w:top w:val="nil"/>
              <w:left w:val="single" w:sz="8" w:space="0" w:color="FFFFFF"/>
              <w:bottom w:val="single" w:sz="8" w:space="0" w:color="FFFFFF"/>
              <w:right w:val="single" w:sz="8" w:space="0" w:color="FFFFFF"/>
            </w:tcBorders>
            <w:shd w:val="clear" w:color="000000" w:fill="AF1E2D"/>
            <w:vAlign w:val="center"/>
            <w:hideMark/>
          </w:tcPr>
          <w:p w14:paraId="55767FFF" w14:textId="77777777" w:rsidR="00106011" w:rsidRPr="00CA1F00" w:rsidRDefault="00106011" w:rsidP="00106011">
            <w:pPr>
              <w:spacing w:before="0"/>
              <w:rPr>
                <w:rFonts w:cs="Arial"/>
                <w:b/>
                <w:bCs/>
                <w:color w:val="FFFFFF"/>
                <w:sz w:val="18"/>
                <w:szCs w:val="18"/>
              </w:rPr>
            </w:pPr>
            <w:r w:rsidRPr="00CA1F00">
              <w:rPr>
                <w:rFonts w:cs="Arial"/>
                <w:b/>
                <w:bCs/>
                <w:color w:val="FFFFFF"/>
                <w:sz w:val="18"/>
                <w:szCs w:val="18"/>
              </w:rPr>
              <w:t>Scheme costs</w:t>
            </w:r>
          </w:p>
        </w:tc>
        <w:tc>
          <w:tcPr>
            <w:tcW w:w="1099" w:type="dxa"/>
            <w:tcBorders>
              <w:top w:val="nil"/>
              <w:left w:val="nil"/>
              <w:bottom w:val="single" w:sz="8" w:space="0" w:color="FFFFFF"/>
              <w:right w:val="single" w:sz="8" w:space="0" w:color="FFFFFF"/>
            </w:tcBorders>
            <w:shd w:val="clear" w:color="000000" w:fill="AF1E2D"/>
            <w:vAlign w:val="center"/>
            <w:hideMark/>
          </w:tcPr>
          <w:p w14:paraId="3E1932A7"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NSW</w:t>
            </w:r>
          </w:p>
        </w:tc>
        <w:tc>
          <w:tcPr>
            <w:tcW w:w="1100" w:type="dxa"/>
            <w:tcBorders>
              <w:top w:val="nil"/>
              <w:left w:val="nil"/>
              <w:bottom w:val="single" w:sz="8" w:space="0" w:color="FFFFFF"/>
              <w:right w:val="single" w:sz="8" w:space="0" w:color="FFFFFF"/>
            </w:tcBorders>
            <w:shd w:val="clear" w:color="000000" w:fill="AF1E2D"/>
            <w:vAlign w:val="center"/>
            <w:hideMark/>
          </w:tcPr>
          <w:p w14:paraId="67B9026A"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Vic</w:t>
            </w:r>
          </w:p>
        </w:tc>
        <w:tc>
          <w:tcPr>
            <w:tcW w:w="1099" w:type="dxa"/>
            <w:tcBorders>
              <w:top w:val="nil"/>
              <w:left w:val="nil"/>
              <w:bottom w:val="single" w:sz="8" w:space="0" w:color="FFFFFF"/>
              <w:right w:val="single" w:sz="8" w:space="0" w:color="FFFFFF"/>
            </w:tcBorders>
            <w:shd w:val="clear" w:color="000000" w:fill="AF1E2D"/>
            <w:vAlign w:val="center"/>
            <w:hideMark/>
          </w:tcPr>
          <w:p w14:paraId="3F9E7CDE"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Qld</w:t>
            </w:r>
          </w:p>
        </w:tc>
        <w:tc>
          <w:tcPr>
            <w:tcW w:w="1100" w:type="dxa"/>
            <w:tcBorders>
              <w:top w:val="nil"/>
              <w:left w:val="nil"/>
              <w:bottom w:val="single" w:sz="8" w:space="0" w:color="FFFFFF"/>
              <w:right w:val="single" w:sz="8" w:space="0" w:color="FFFFFF"/>
            </w:tcBorders>
            <w:shd w:val="clear" w:color="000000" w:fill="AF1E2D"/>
            <w:vAlign w:val="center"/>
            <w:hideMark/>
          </w:tcPr>
          <w:p w14:paraId="3E291AC1"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SA</w:t>
            </w:r>
          </w:p>
        </w:tc>
        <w:tc>
          <w:tcPr>
            <w:tcW w:w="1100" w:type="dxa"/>
            <w:tcBorders>
              <w:top w:val="nil"/>
              <w:left w:val="nil"/>
              <w:bottom w:val="single" w:sz="8" w:space="0" w:color="FFFFFF"/>
              <w:right w:val="single" w:sz="8" w:space="0" w:color="FFFFFF"/>
            </w:tcBorders>
            <w:shd w:val="clear" w:color="000000" w:fill="AF1E2D"/>
            <w:vAlign w:val="center"/>
            <w:hideMark/>
          </w:tcPr>
          <w:p w14:paraId="49F42A3D" w14:textId="77777777" w:rsidR="00106011" w:rsidRPr="00CA1F00" w:rsidRDefault="00106011" w:rsidP="00106011">
            <w:pPr>
              <w:spacing w:before="0"/>
              <w:jc w:val="center"/>
              <w:rPr>
                <w:rFonts w:cs="Arial"/>
                <w:b/>
                <w:bCs/>
                <w:color w:val="FFFFFF"/>
                <w:sz w:val="18"/>
                <w:szCs w:val="18"/>
              </w:rPr>
            </w:pPr>
            <w:proofErr w:type="spellStart"/>
            <w:r w:rsidRPr="00CA1F00">
              <w:rPr>
                <w:rFonts w:cs="Arial"/>
                <w:b/>
                <w:bCs/>
                <w:color w:val="FFFFFF"/>
                <w:sz w:val="18"/>
                <w:szCs w:val="18"/>
              </w:rPr>
              <w:t>Aus</w:t>
            </w:r>
            <w:proofErr w:type="spellEnd"/>
            <w:r w:rsidRPr="00CA1F00">
              <w:rPr>
                <w:rFonts w:cs="Arial"/>
                <w:b/>
                <w:bCs/>
                <w:color w:val="FFFFFF"/>
                <w:sz w:val="18"/>
                <w:szCs w:val="18"/>
              </w:rPr>
              <w:t xml:space="preserve"> Gov</w:t>
            </w:r>
          </w:p>
        </w:tc>
        <w:tc>
          <w:tcPr>
            <w:tcW w:w="1141" w:type="dxa"/>
            <w:tcBorders>
              <w:top w:val="nil"/>
              <w:left w:val="nil"/>
              <w:bottom w:val="single" w:sz="8" w:space="0" w:color="FFFFFF"/>
              <w:right w:val="single" w:sz="8" w:space="0" w:color="FFFFFF"/>
            </w:tcBorders>
            <w:shd w:val="clear" w:color="000000" w:fill="AF1E2D"/>
            <w:vAlign w:val="center"/>
            <w:hideMark/>
          </w:tcPr>
          <w:p w14:paraId="370554FB"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WA</w:t>
            </w:r>
          </w:p>
        </w:tc>
        <w:tc>
          <w:tcPr>
            <w:tcW w:w="1142" w:type="dxa"/>
            <w:tcBorders>
              <w:top w:val="nil"/>
              <w:left w:val="nil"/>
              <w:bottom w:val="single" w:sz="8" w:space="0" w:color="FFFFFF"/>
              <w:right w:val="single" w:sz="8" w:space="0" w:color="FFFFFF"/>
            </w:tcBorders>
            <w:shd w:val="clear" w:color="000000" w:fill="AF1E2D"/>
            <w:vAlign w:val="center"/>
            <w:hideMark/>
          </w:tcPr>
          <w:p w14:paraId="6299ED75"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Tas</w:t>
            </w:r>
          </w:p>
        </w:tc>
        <w:tc>
          <w:tcPr>
            <w:tcW w:w="1141" w:type="dxa"/>
            <w:tcBorders>
              <w:top w:val="nil"/>
              <w:left w:val="nil"/>
              <w:bottom w:val="single" w:sz="8" w:space="0" w:color="FFFFFF"/>
              <w:right w:val="single" w:sz="8" w:space="0" w:color="FFFFFF"/>
            </w:tcBorders>
            <w:shd w:val="clear" w:color="000000" w:fill="AF1E2D"/>
            <w:vAlign w:val="center"/>
            <w:hideMark/>
          </w:tcPr>
          <w:p w14:paraId="46379E42"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NT</w:t>
            </w:r>
          </w:p>
        </w:tc>
        <w:tc>
          <w:tcPr>
            <w:tcW w:w="1142" w:type="dxa"/>
            <w:tcBorders>
              <w:top w:val="nil"/>
              <w:left w:val="nil"/>
              <w:bottom w:val="single" w:sz="8" w:space="0" w:color="FFFFFF"/>
              <w:right w:val="single" w:sz="8" w:space="0" w:color="FFFFFF"/>
            </w:tcBorders>
            <w:shd w:val="clear" w:color="000000" w:fill="AF1E2D"/>
            <w:vAlign w:val="center"/>
            <w:hideMark/>
          </w:tcPr>
          <w:p w14:paraId="5EBF3460"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Seacare</w:t>
            </w:r>
          </w:p>
        </w:tc>
        <w:tc>
          <w:tcPr>
            <w:tcW w:w="1276" w:type="dxa"/>
            <w:tcBorders>
              <w:top w:val="nil"/>
              <w:left w:val="nil"/>
              <w:bottom w:val="single" w:sz="8" w:space="0" w:color="FFFFFF"/>
              <w:right w:val="single" w:sz="8" w:space="0" w:color="FFFFFF"/>
            </w:tcBorders>
            <w:shd w:val="clear" w:color="000000" w:fill="AF1E2D"/>
            <w:vAlign w:val="center"/>
            <w:hideMark/>
          </w:tcPr>
          <w:p w14:paraId="68491E04"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Australia</w:t>
            </w:r>
          </w:p>
        </w:tc>
        <w:tc>
          <w:tcPr>
            <w:tcW w:w="1134" w:type="dxa"/>
            <w:tcBorders>
              <w:top w:val="nil"/>
              <w:left w:val="nil"/>
              <w:bottom w:val="single" w:sz="8" w:space="0" w:color="FFFFFF"/>
              <w:right w:val="single" w:sz="8" w:space="0" w:color="FFFFFF"/>
            </w:tcBorders>
            <w:shd w:val="clear" w:color="000000" w:fill="AF1E2D"/>
            <w:vAlign w:val="center"/>
            <w:hideMark/>
          </w:tcPr>
          <w:p w14:paraId="581162CF" w14:textId="77777777" w:rsidR="00106011" w:rsidRPr="00CA1F00" w:rsidRDefault="00106011" w:rsidP="00106011">
            <w:pPr>
              <w:spacing w:before="0"/>
              <w:jc w:val="center"/>
              <w:rPr>
                <w:rFonts w:cs="Arial"/>
                <w:b/>
                <w:bCs/>
                <w:color w:val="FFFFFF"/>
                <w:sz w:val="18"/>
                <w:szCs w:val="18"/>
              </w:rPr>
            </w:pPr>
            <w:r w:rsidRPr="00CA1F00">
              <w:rPr>
                <w:rFonts w:cs="Arial"/>
                <w:b/>
                <w:bCs/>
                <w:color w:val="FFFFFF"/>
                <w:sz w:val="18"/>
                <w:szCs w:val="18"/>
              </w:rPr>
              <w:t>NZ</w:t>
            </w:r>
          </w:p>
        </w:tc>
      </w:tr>
      <w:tr w:rsidR="00106011" w:rsidRPr="00CA1F00" w14:paraId="7453ABE3" w14:textId="77777777" w:rsidTr="00106011">
        <w:trPr>
          <w:cantSplit/>
          <w:trHeight w:val="454"/>
        </w:trPr>
        <w:tc>
          <w:tcPr>
            <w:tcW w:w="2000" w:type="dxa"/>
            <w:tcBorders>
              <w:top w:val="nil"/>
              <w:left w:val="single" w:sz="8" w:space="0" w:color="FFFFFF"/>
              <w:bottom w:val="single" w:sz="8" w:space="0" w:color="FFFFFF"/>
              <w:right w:val="nil"/>
            </w:tcBorders>
            <w:shd w:val="clear" w:color="000000" w:fill="E1AAA9"/>
            <w:noWrap/>
            <w:vAlign w:val="center"/>
            <w:hideMark/>
          </w:tcPr>
          <w:p w14:paraId="15438FE1" w14:textId="566F19FF" w:rsidR="00106011" w:rsidRPr="00CA1F00" w:rsidRDefault="00106011" w:rsidP="00106011">
            <w:pPr>
              <w:spacing w:before="0"/>
              <w:jc w:val="left"/>
              <w:rPr>
                <w:rFonts w:cs="Arial"/>
                <w:b/>
                <w:bCs/>
                <w:color w:val="000000"/>
                <w:sz w:val="18"/>
                <w:szCs w:val="18"/>
              </w:rPr>
            </w:pPr>
            <w:r w:rsidRPr="00CA1F00">
              <w:rPr>
                <w:rFonts w:cs="Arial"/>
                <w:b/>
                <w:bCs/>
                <w:color w:val="000000"/>
                <w:sz w:val="18"/>
                <w:szCs w:val="18"/>
              </w:rPr>
              <w:t>201</w:t>
            </w:r>
            <w:r w:rsidR="00CA1F00">
              <w:rPr>
                <w:rFonts w:cs="Arial"/>
                <w:b/>
                <w:bCs/>
                <w:color w:val="000000"/>
                <w:sz w:val="18"/>
                <w:szCs w:val="18"/>
              </w:rPr>
              <w:t>5</w:t>
            </w:r>
            <w:r w:rsidRPr="00CA1F00">
              <w:rPr>
                <w:rFonts w:cs="Arial"/>
                <w:b/>
                <w:bCs/>
                <w:color w:val="000000"/>
                <w:sz w:val="18"/>
                <w:szCs w:val="18"/>
              </w:rPr>
              <w:t>–1</w:t>
            </w:r>
            <w:r w:rsidR="00CA1F00">
              <w:rPr>
                <w:rFonts w:cs="Arial"/>
                <w:b/>
                <w:bCs/>
                <w:color w:val="000000"/>
                <w:sz w:val="18"/>
                <w:szCs w:val="18"/>
              </w:rPr>
              <w:t>6</w:t>
            </w:r>
          </w:p>
        </w:tc>
        <w:tc>
          <w:tcPr>
            <w:tcW w:w="1099" w:type="dxa"/>
            <w:tcBorders>
              <w:top w:val="nil"/>
              <w:left w:val="nil"/>
              <w:bottom w:val="single" w:sz="8" w:space="0" w:color="FFFFFF"/>
              <w:right w:val="nil"/>
            </w:tcBorders>
            <w:shd w:val="clear" w:color="000000" w:fill="E1AAA9"/>
            <w:noWrap/>
            <w:vAlign w:val="center"/>
            <w:hideMark/>
          </w:tcPr>
          <w:p w14:paraId="5BF35BD1"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noWrap/>
            <w:vAlign w:val="center"/>
            <w:hideMark/>
          </w:tcPr>
          <w:p w14:paraId="221639CB"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099" w:type="dxa"/>
            <w:tcBorders>
              <w:top w:val="nil"/>
              <w:left w:val="nil"/>
              <w:bottom w:val="single" w:sz="8" w:space="0" w:color="FFFFFF"/>
              <w:right w:val="nil"/>
            </w:tcBorders>
            <w:shd w:val="clear" w:color="000000" w:fill="E1AAA9"/>
            <w:noWrap/>
            <w:vAlign w:val="center"/>
            <w:hideMark/>
          </w:tcPr>
          <w:p w14:paraId="49B3E48E"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15540430"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53316ECB"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2A7434EB"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noWrap/>
            <w:vAlign w:val="center"/>
            <w:hideMark/>
          </w:tcPr>
          <w:p w14:paraId="471EE6AD"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07844362"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vAlign w:val="center"/>
            <w:hideMark/>
          </w:tcPr>
          <w:p w14:paraId="7819B37B"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276" w:type="dxa"/>
            <w:tcBorders>
              <w:top w:val="nil"/>
              <w:left w:val="nil"/>
              <w:bottom w:val="single" w:sz="8" w:space="0" w:color="FFFFFF"/>
              <w:right w:val="nil"/>
            </w:tcBorders>
            <w:shd w:val="clear" w:color="000000" w:fill="E1AAA9"/>
            <w:noWrap/>
            <w:vAlign w:val="center"/>
            <w:hideMark/>
          </w:tcPr>
          <w:p w14:paraId="0D076E52"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34" w:type="dxa"/>
            <w:tcBorders>
              <w:top w:val="nil"/>
              <w:left w:val="nil"/>
              <w:bottom w:val="single" w:sz="8" w:space="0" w:color="FFFFFF"/>
              <w:right w:val="single" w:sz="8" w:space="0" w:color="FFFFFF"/>
            </w:tcBorders>
            <w:shd w:val="clear" w:color="000000" w:fill="E1AAA9"/>
            <w:noWrap/>
            <w:vAlign w:val="center"/>
            <w:hideMark/>
          </w:tcPr>
          <w:p w14:paraId="71200459"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r>
      <w:tr w:rsidR="00CA1F00" w:rsidRPr="00CA1F00" w14:paraId="485A8358"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48F6107C" w14:textId="77777777" w:rsidR="00CA1F00" w:rsidRPr="00CA1F00" w:rsidRDefault="00CA1F00" w:rsidP="00CA1F00">
            <w:pPr>
              <w:spacing w:before="0"/>
              <w:jc w:val="left"/>
              <w:rPr>
                <w:rFonts w:cs="Arial"/>
                <w:color w:val="000000"/>
                <w:sz w:val="18"/>
                <w:szCs w:val="18"/>
              </w:rPr>
            </w:pPr>
            <w:r w:rsidRPr="00CA1F00">
              <w:rPr>
                <w:rFonts w:cs="Arial"/>
                <w:color w:val="000000"/>
                <w:sz w:val="18"/>
                <w:szCs w:val="18"/>
              </w:rPr>
              <w:t>Direct to claimant</w:t>
            </w:r>
          </w:p>
        </w:tc>
        <w:tc>
          <w:tcPr>
            <w:tcW w:w="1099" w:type="dxa"/>
            <w:tcBorders>
              <w:top w:val="nil"/>
              <w:left w:val="nil"/>
              <w:bottom w:val="single" w:sz="8" w:space="0" w:color="FFFFFF"/>
              <w:right w:val="single" w:sz="8" w:space="0" w:color="FFFFFF"/>
            </w:tcBorders>
            <w:shd w:val="clear" w:color="auto" w:fill="auto"/>
            <w:noWrap/>
            <w:vAlign w:val="center"/>
            <w:hideMark/>
          </w:tcPr>
          <w:p w14:paraId="22E349FA" w14:textId="50214140" w:rsidR="00CA1F00" w:rsidRPr="00CA1F00" w:rsidRDefault="00CA1F00" w:rsidP="00CA1F00">
            <w:pPr>
              <w:spacing w:before="0"/>
              <w:jc w:val="center"/>
              <w:rPr>
                <w:rFonts w:cs="Arial"/>
                <w:sz w:val="18"/>
                <w:szCs w:val="18"/>
              </w:rPr>
            </w:pPr>
            <w:r w:rsidRPr="00CA1F00">
              <w:rPr>
                <w:rFonts w:cs="Arial"/>
                <w:sz w:val="18"/>
                <w:szCs w:val="18"/>
              </w:rPr>
              <w:t>47.1</w:t>
            </w:r>
          </w:p>
        </w:tc>
        <w:tc>
          <w:tcPr>
            <w:tcW w:w="1100" w:type="dxa"/>
            <w:tcBorders>
              <w:top w:val="nil"/>
              <w:left w:val="nil"/>
              <w:bottom w:val="single" w:sz="8" w:space="0" w:color="FFFFFF"/>
              <w:right w:val="single" w:sz="8" w:space="0" w:color="FFFFFF"/>
            </w:tcBorders>
            <w:shd w:val="clear" w:color="auto" w:fill="auto"/>
            <w:noWrap/>
            <w:vAlign w:val="center"/>
            <w:hideMark/>
          </w:tcPr>
          <w:p w14:paraId="0499C900" w14:textId="409FD14A" w:rsidR="00CA1F00" w:rsidRPr="00CA1F00" w:rsidRDefault="00CA1F00" w:rsidP="00CA1F00">
            <w:pPr>
              <w:spacing w:before="0"/>
              <w:jc w:val="center"/>
              <w:rPr>
                <w:rFonts w:cs="Arial"/>
                <w:color w:val="000000"/>
                <w:sz w:val="18"/>
                <w:szCs w:val="18"/>
              </w:rPr>
            </w:pPr>
            <w:r w:rsidRPr="00CA1F00">
              <w:rPr>
                <w:rFonts w:cs="Arial"/>
                <w:sz w:val="18"/>
                <w:szCs w:val="18"/>
              </w:rPr>
              <w:t>52.9</w:t>
            </w:r>
          </w:p>
        </w:tc>
        <w:tc>
          <w:tcPr>
            <w:tcW w:w="1099" w:type="dxa"/>
            <w:tcBorders>
              <w:top w:val="nil"/>
              <w:left w:val="nil"/>
              <w:bottom w:val="single" w:sz="8" w:space="0" w:color="FFFFFF"/>
              <w:right w:val="single" w:sz="8" w:space="0" w:color="FFFFFF"/>
            </w:tcBorders>
            <w:shd w:val="clear" w:color="auto" w:fill="auto"/>
            <w:noWrap/>
            <w:vAlign w:val="center"/>
            <w:hideMark/>
          </w:tcPr>
          <w:p w14:paraId="1AC0BBED" w14:textId="2B2029EC" w:rsidR="00CA1F00" w:rsidRPr="00CA1F00" w:rsidRDefault="00CA1F00" w:rsidP="00CA1F00">
            <w:pPr>
              <w:spacing w:before="0"/>
              <w:jc w:val="center"/>
              <w:rPr>
                <w:rFonts w:cs="Arial"/>
                <w:color w:val="000000"/>
                <w:sz w:val="18"/>
                <w:szCs w:val="18"/>
              </w:rPr>
            </w:pPr>
            <w:r w:rsidRPr="00CA1F00">
              <w:rPr>
                <w:rFonts w:cs="Arial"/>
                <w:sz w:val="18"/>
                <w:szCs w:val="18"/>
              </w:rPr>
              <w:t>64.4</w:t>
            </w:r>
          </w:p>
        </w:tc>
        <w:tc>
          <w:tcPr>
            <w:tcW w:w="1100" w:type="dxa"/>
            <w:tcBorders>
              <w:top w:val="nil"/>
              <w:left w:val="nil"/>
              <w:bottom w:val="single" w:sz="8" w:space="0" w:color="FFFFFF"/>
              <w:right w:val="single" w:sz="8" w:space="0" w:color="FFFFFF"/>
            </w:tcBorders>
            <w:shd w:val="clear" w:color="auto" w:fill="auto"/>
            <w:vAlign w:val="center"/>
            <w:hideMark/>
          </w:tcPr>
          <w:p w14:paraId="6EF62C0A" w14:textId="53B537D3" w:rsidR="00CA1F00" w:rsidRPr="00CA1F00" w:rsidRDefault="00CA1F00" w:rsidP="00CA1F00">
            <w:pPr>
              <w:spacing w:before="0"/>
              <w:jc w:val="center"/>
              <w:rPr>
                <w:rFonts w:cs="Arial"/>
                <w:color w:val="000000"/>
                <w:sz w:val="18"/>
                <w:szCs w:val="18"/>
              </w:rPr>
            </w:pPr>
            <w:r w:rsidRPr="00CA1F00">
              <w:rPr>
                <w:rFonts w:cs="Arial"/>
                <w:sz w:val="18"/>
                <w:szCs w:val="18"/>
              </w:rPr>
              <w:t>56.3</w:t>
            </w:r>
          </w:p>
        </w:tc>
        <w:tc>
          <w:tcPr>
            <w:tcW w:w="1100" w:type="dxa"/>
            <w:tcBorders>
              <w:top w:val="nil"/>
              <w:left w:val="nil"/>
              <w:bottom w:val="single" w:sz="8" w:space="0" w:color="FFFFFF"/>
              <w:right w:val="single" w:sz="8" w:space="0" w:color="FFFFFF"/>
            </w:tcBorders>
            <w:shd w:val="clear" w:color="auto" w:fill="auto"/>
            <w:vAlign w:val="center"/>
            <w:hideMark/>
          </w:tcPr>
          <w:p w14:paraId="75047DA1" w14:textId="23393512" w:rsidR="00CA1F00" w:rsidRPr="00CA1F00" w:rsidRDefault="00CA1F00" w:rsidP="00CA1F00">
            <w:pPr>
              <w:spacing w:before="0"/>
              <w:jc w:val="center"/>
              <w:rPr>
                <w:rFonts w:cs="Arial"/>
                <w:color w:val="000000"/>
                <w:sz w:val="18"/>
                <w:szCs w:val="18"/>
              </w:rPr>
            </w:pPr>
            <w:r w:rsidRPr="00CA1F00">
              <w:rPr>
                <w:rFonts w:cs="Arial"/>
                <w:sz w:val="18"/>
                <w:szCs w:val="18"/>
              </w:rPr>
              <w:t>53.3</w:t>
            </w:r>
          </w:p>
        </w:tc>
        <w:tc>
          <w:tcPr>
            <w:tcW w:w="1141" w:type="dxa"/>
            <w:tcBorders>
              <w:top w:val="nil"/>
              <w:left w:val="nil"/>
              <w:bottom w:val="single" w:sz="8" w:space="0" w:color="FFFFFF"/>
              <w:right w:val="single" w:sz="8" w:space="0" w:color="FFFFFF"/>
            </w:tcBorders>
            <w:shd w:val="clear" w:color="auto" w:fill="auto"/>
            <w:noWrap/>
            <w:vAlign w:val="center"/>
            <w:hideMark/>
          </w:tcPr>
          <w:p w14:paraId="48548F63" w14:textId="7D8B8997" w:rsidR="00CA1F00" w:rsidRPr="00CA1F00" w:rsidRDefault="00CA1F00" w:rsidP="00CA1F00">
            <w:pPr>
              <w:spacing w:before="0"/>
              <w:jc w:val="center"/>
              <w:rPr>
                <w:rFonts w:cs="Arial"/>
                <w:color w:val="000000"/>
                <w:sz w:val="18"/>
                <w:szCs w:val="18"/>
              </w:rPr>
            </w:pPr>
            <w:r w:rsidRPr="00CA1F00">
              <w:rPr>
                <w:rFonts w:cs="Arial"/>
                <w:sz w:val="18"/>
                <w:szCs w:val="18"/>
              </w:rPr>
              <w:t>56.0</w:t>
            </w:r>
          </w:p>
        </w:tc>
        <w:tc>
          <w:tcPr>
            <w:tcW w:w="1142" w:type="dxa"/>
            <w:tcBorders>
              <w:top w:val="nil"/>
              <w:left w:val="nil"/>
              <w:bottom w:val="single" w:sz="8" w:space="0" w:color="FFFFFF"/>
              <w:right w:val="single" w:sz="8" w:space="0" w:color="FFFFFF"/>
            </w:tcBorders>
            <w:shd w:val="clear" w:color="auto" w:fill="auto"/>
            <w:noWrap/>
            <w:vAlign w:val="center"/>
            <w:hideMark/>
          </w:tcPr>
          <w:p w14:paraId="6F0D9337" w14:textId="1054CB48" w:rsidR="00CA1F00" w:rsidRPr="00CA1F00" w:rsidRDefault="00CA1F00" w:rsidP="00CA1F00">
            <w:pPr>
              <w:spacing w:before="0"/>
              <w:jc w:val="center"/>
              <w:rPr>
                <w:rFonts w:cs="Arial"/>
                <w:color w:val="000000"/>
                <w:sz w:val="18"/>
                <w:szCs w:val="18"/>
              </w:rPr>
            </w:pPr>
            <w:r w:rsidRPr="00CA1F00">
              <w:rPr>
                <w:rFonts w:cs="Arial"/>
                <w:sz w:val="18"/>
                <w:szCs w:val="18"/>
              </w:rPr>
              <w:t>48.5</w:t>
            </w:r>
          </w:p>
        </w:tc>
        <w:tc>
          <w:tcPr>
            <w:tcW w:w="1141" w:type="dxa"/>
            <w:tcBorders>
              <w:top w:val="nil"/>
              <w:left w:val="nil"/>
              <w:bottom w:val="single" w:sz="8" w:space="0" w:color="FFFFFF"/>
              <w:right w:val="single" w:sz="8" w:space="0" w:color="FFFFFF"/>
            </w:tcBorders>
            <w:shd w:val="clear" w:color="auto" w:fill="auto"/>
            <w:noWrap/>
            <w:vAlign w:val="center"/>
            <w:hideMark/>
          </w:tcPr>
          <w:p w14:paraId="76D5A568" w14:textId="544B7AE1" w:rsidR="00CA1F00" w:rsidRPr="00CA1F00" w:rsidRDefault="00CA1F00" w:rsidP="00CA1F00">
            <w:pPr>
              <w:spacing w:before="0"/>
              <w:jc w:val="center"/>
              <w:rPr>
                <w:rFonts w:cs="Arial"/>
                <w:color w:val="000000"/>
                <w:sz w:val="18"/>
                <w:szCs w:val="18"/>
              </w:rPr>
            </w:pPr>
            <w:r w:rsidRPr="00CA1F00">
              <w:rPr>
                <w:rFonts w:cs="Arial"/>
                <w:sz w:val="18"/>
                <w:szCs w:val="18"/>
              </w:rPr>
              <w:t>53.0</w:t>
            </w:r>
          </w:p>
        </w:tc>
        <w:tc>
          <w:tcPr>
            <w:tcW w:w="1142" w:type="dxa"/>
            <w:tcBorders>
              <w:top w:val="nil"/>
              <w:left w:val="nil"/>
              <w:bottom w:val="single" w:sz="8" w:space="0" w:color="FFFFFF"/>
              <w:right w:val="single" w:sz="8" w:space="0" w:color="FFFFFF"/>
            </w:tcBorders>
            <w:shd w:val="clear" w:color="auto" w:fill="auto"/>
            <w:vAlign w:val="center"/>
            <w:hideMark/>
          </w:tcPr>
          <w:p w14:paraId="7D376D81" w14:textId="5532DC0E" w:rsidR="00CA1F00" w:rsidRPr="00CA1F00" w:rsidRDefault="00CA1F00" w:rsidP="00CA1F00">
            <w:pPr>
              <w:spacing w:before="0"/>
              <w:jc w:val="center"/>
              <w:rPr>
                <w:rFonts w:cs="Arial"/>
                <w:color w:val="000000"/>
                <w:sz w:val="18"/>
                <w:szCs w:val="18"/>
              </w:rPr>
            </w:pPr>
            <w:r w:rsidRPr="00CA1F00">
              <w:rPr>
                <w:rFonts w:cs="Arial"/>
                <w:sz w:val="18"/>
                <w:szCs w:val="18"/>
              </w:rPr>
              <w:t>66.5</w:t>
            </w:r>
          </w:p>
        </w:tc>
        <w:tc>
          <w:tcPr>
            <w:tcW w:w="1276" w:type="dxa"/>
            <w:tcBorders>
              <w:top w:val="nil"/>
              <w:left w:val="nil"/>
              <w:bottom w:val="single" w:sz="8" w:space="0" w:color="FFFFFF"/>
              <w:right w:val="single" w:sz="8" w:space="0" w:color="FFFFFF"/>
            </w:tcBorders>
            <w:shd w:val="clear" w:color="auto" w:fill="auto"/>
            <w:noWrap/>
            <w:vAlign w:val="center"/>
            <w:hideMark/>
          </w:tcPr>
          <w:p w14:paraId="5270EF43" w14:textId="26389ABE" w:rsidR="00CA1F00" w:rsidRPr="00CA1F00" w:rsidRDefault="00CA1F00" w:rsidP="00CA1F00">
            <w:pPr>
              <w:spacing w:before="0"/>
              <w:jc w:val="center"/>
              <w:rPr>
                <w:rFonts w:cs="Arial"/>
                <w:b/>
                <w:bCs/>
                <w:sz w:val="18"/>
                <w:szCs w:val="18"/>
              </w:rPr>
            </w:pPr>
            <w:r w:rsidRPr="00CA1F00">
              <w:rPr>
                <w:rFonts w:cs="Arial"/>
                <w:b/>
                <w:bCs/>
                <w:sz w:val="18"/>
                <w:szCs w:val="18"/>
              </w:rPr>
              <w:t>53.9</w:t>
            </w:r>
          </w:p>
        </w:tc>
        <w:tc>
          <w:tcPr>
            <w:tcW w:w="1134" w:type="dxa"/>
            <w:tcBorders>
              <w:top w:val="nil"/>
              <w:left w:val="nil"/>
              <w:bottom w:val="single" w:sz="8" w:space="0" w:color="FFFFFF"/>
              <w:right w:val="single" w:sz="8" w:space="0" w:color="FFFFFF"/>
            </w:tcBorders>
            <w:shd w:val="clear" w:color="auto" w:fill="auto"/>
            <w:noWrap/>
            <w:vAlign w:val="center"/>
            <w:hideMark/>
          </w:tcPr>
          <w:p w14:paraId="5197D1DA" w14:textId="48CB3A25" w:rsidR="00CA1F00" w:rsidRPr="00CA1F00" w:rsidRDefault="00CA1F00" w:rsidP="00CA1F00">
            <w:pPr>
              <w:spacing w:before="0"/>
              <w:jc w:val="center"/>
              <w:rPr>
                <w:rFonts w:cs="Arial"/>
                <w:sz w:val="18"/>
                <w:szCs w:val="18"/>
              </w:rPr>
            </w:pPr>
            <w:r w:rsidRPr="00CA1F00">
              <w:rPr>
                <w:rFonts w:cs="Arial"/>
                <w:sz w:val="18"/>
                <w:szCs w:val="18"/>
              </w:rPr>
              <w:t>48.0</w:t>
            </w:r>
          </w:p>
        </w:tc>
      </w:tr>
      <w:tr w:rsidR="00CA1F00" w:rsidRPr="00CA1F00" w14:paraId="13368443"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536D9711" w14:textId="77777777" w:rsidR="00CA1F00" w:rsidRPr="00CA1F00" w:rsidRDefault="00CA1F00" w:rsidP="00CA1F00">
            <w:pPr>
              <w:spacing w:before="0"/>
              <w:jc w:val="left"/>
              <w:rPr>
                <w:rFonts w:cs="Arial"/>
                <w:color w:val="000000"/>
                <w:sz w:val="18"/>
                <w:szCs w:val="18"/>
              </w:rPr>
            </w:pPr>
            <w:r w:rsidRPr="00CA1F00">
              <w:rPr>
                <w:rFonts w:cs="Arial"/>
                <w:color w:val="000000"/>
                <w:sz w:val="18"/>
                <w:szCs w:val="18"/>
              </w:rPr>
              <w:t>Services to claimant</w:t>
            </w:r>
          </w:p>
        </w:tc>
        <w:tc>
          <w:tcPr>
            <w:tcW w:w="1099" w:type="dxa"/>
            <w:tcBorders>
              <w:top w:val="nil"/>
              <w:left w:val="nil"/>
              <w:bottom w:val="single" w:sz="8" w:space="0" w:color="FFFFFF"/>
              <w:right w:val="single" w:sz="8" w:space="0" w:color="FFFFFF"/>
            </w:tcBorders>
            <w:shd w:val="clear" w:color="000000" w:fill="EFD3D2"/>
            <w:noWrap/>
            <w:vAlign w:val="center"/>
            <w:hideMark/>
          </w:tcPr>
          <w:p w14:paraId="2E4947AF" w14:textId="2D4177A9" w:rsidR="00CA1F00" w:rsidRPr="00CA1F00" w:rsidRDefault="00CA1F00" w:rsidP="00CA1F00">
            <w:pPr>
              <w:spacing w:before="0"/>
              <w:jc w:val="center"/>
              <w:rPr>
                <w:rFonts w:cs="Arial"/>
                <w:sz w:val="18"/>
                <w:szCs w:val="18"/>
              </w:rPr>
            </w:pPr>
            <w:r w:rsidRPr="00CA1F00">
              <w:rPr>
                <w:rFonts w:cs="Arial"/>
                <w:sz w:val="18"/>
                <w:szCs w:val="18"/>
              </w:rPr>
              <w:t>25.9</w:t>
            </w:r>
          </w:p>
        </w:tc>
        <w:tc>
          <w:tcPr>
            <w:tcW w:w="1100" w:type="dxa"/>
            <w:tcBorders>
              <w:top w:val="nil"/>
              <w:left w:val="nil"/>
              <w:bottom w:val="single" w:sz="8" w:space="0" w:color="FFFFFF"/>
              <w:right w:val="single" w:sz="8" w:space="0" w:color="FFFFFF"/>
            </w:tcBorders>
            <w:shd w:val="clear" w:color="000000" w:fill="EFD3D2"/>
            <w:noWrap/>
            <w:vAlign w:val="center"/>
            <w:hideMark/>
          </w:tcPr>
          <w:p w14:paraId="4C4FDC9D" w14:textId="497BF09D" w:rsidR="00CA1F00" w:rsidRPr="00CA1F00" w:rsidRDefault="00CA1F00" w:rsidP="00CA1F00">
            <w:pPr>
              <w:spacing w:before="0"/>
              <w:jc w:val="center"/>
              <w:rPr>
                <w:rFonts w:cs="Arial"/>
                <w:color w:val="000000"/>
                <w:sz w:val="18"/>
                <w:szCs w:val="18"/>
              </w:rPr>
            </w:pPr>
            <w:r w:rsidRPr="00CA1F00">
              <w:rPr>
                <w:rFonts w:cs="Arial"/>
                <w:sz w:val="18"/>
                <w:szCs w:val="18"/>
              </w:rPr>
              <w:t>20.8</w:t>
            </w:r>
          </w:p>
        </w:tc>
        <w:tc>
          <w:tcPr>
            <w:tcW w:w="1099" w:type="dxa"/>
            <w:tcBorders>
              <w:top w:val="nil"/>
              <w:left w:val="nil"/>
              <w:bottom w:val="single" w:sz="8" w:space="0" w:color="FFFFFF"/>
              <w:right w:val="single" w:sz="8" w:space="0" w:color="FFFFFF"/>
            </w:tcBorders>
            <w:shd w:val="clear" w:color="000000" w:fill="EFD3D2"/>
            <w:noWrap/>
            <w:vAlign w:val="center"/>
            <w:hideMark/>
          </w:tcPr>
          <w:p w14:paraId="2ECF5D49" w14:textId="21D6BF85" w:rsidR="00CA1F00" w:rsidRPr="00CA1F00" w:rsidRDefault="00CA1F00" w:rsidP="00CA1F00">
            <w:pPr>
              <w:spacing w:before="0"/>
              <w:jc w:val="center"/>
              <w:rPr>
                <w:rFonts w:cs="Arial"/>
                <w:color w:val="000000"/>
                <w:sz w:val="18"/>
                <w:szCs w:val="18"/>
              </w:rPr>
            </w:pPr>
            <w:r w:rsidRPr="00CA1F00">
              <w:rPr>
                <w:rFonts w:cs="Arial"/>
                <w:sz w:val="18"/>
                <w:szCs w:val="18"/>
              </w:rPr>
              <w:t>21.8</w:t>
            </w:r>
          </w:p>
        </w:tc>
        <w:tc>
          <w:tcPr>
            <w:tcW w:w="1100" w:type="dxa"/>
            <w:tcBorders>
              <w:top w:val="nil"/>
              <w:left w:val="nil"/>
              <w:bottom w:val="single" w:sz="8" w:space="0" w:color="FFFFFF"/>
              <w:right w:val="single" w:sz="8" w:space="0" w:color="FFFFFF"/>
            </w:tcBorders>
            <w:shd w:val="clear" w:color="000000" w:fill="EFD3D2"/>
            <w:vAlign w:val="center"/>
            <w:hideMark/>
          </w:tcPr>
          <w:p w14:paraId="643A82B9" w14:textId="6FF45E97" w:rsidR="00CA1F00" w:rsidRPr="00CA1F00" w:rsidRDefault="00CA1F00" w:rsidP="00CA1F00">
            <w:pPr>
              <w:spacing w:before="0"/>
              <w:jc w:val="center"/>
              <w:rPr>
                <w:rFonts w:cs="Arial"/>
                <w:color w:val="000000"/>
                <w:sz w:val="18"/>
                <w:szCs w:val="18"/>
              </w:rPr>
            </w:pPr>
            <w:r w:rsidRPr="00CA1F00">
              <w:rPr>
                <w:rFonts w:cs="Arial"/>
                <w:sz w:val="18"/>
                <w:szCs w:val="18"/>
              </w:rPr>
              <w:t>21.0</w:t>
            </w:r>
          </w:p>
        </w:tc>
        <w:tc>
          <w:tcPr>
            <w:tcW w:w="1100" w:type="dxa"/>
            <w:tcBorders>
              <w:top w:val="nil"/>
              <w:left w:val="nil"/>
              <w:bottom w:val="single" w:sz="8" w:space="0" w:color="FFFFFF"/>
              <w:right w:val="single" w:sz="8" w:space="0" w:color="FFFFFF"/>
            </w:tcBorders>
            <w:shd w:val="clear" w:color="000000" w:fill="EFD3D2"/>
            <w:vAlign w:val="center"/>
            <w:hideMark/>
          </w:tcPr>
          <w:p w14:paraId="33B5DECE" w14:textId="31DA0B67" w:rsidR="00CA1F00" w:rsidRPr="00CA1F00" w:rsidRDefault="00CA1F00" w:rsidP="00CA1F00">
            <w:pPr>
              <w:spacing w:before="0"/>
              <w:jc w:val="center"/>
              <w:rPr>
                <w:rFonts w:cs="Arial"/>
                <w:color w:val="000000"/>
                <w:sz w:val="18"/>
                <w:szCs w:val="18"/>
              </w:rPr>
            </w:pPr>
            <w:r w:rsidRPr="00CA1F00">
              <w:rPr>
                <w:rFonts w:cs="Arial"/>
                <w:sz w:val="18"/>
                <w:szCs w:val="18"/>
              </w:rPr>
              <w:t>29.2</w:t>
            </w:r>
          </w:p>
        </w:tc>
        <w:tc>
          <w:tcPr>
            <w:tcW w:w="1141" w:type="dxa"/>
            <w:tcBorders>
              <w:top w:val="nil"/>
              <w:left w:val="nil"/>
              <w:bottom w:val="single" w:sz="8" w:space="0" w:color="FFFFFF"/>
              <w:right w:val="single" w:sz="8" w:space="0" w:color="FFFFFF"/>
            </w:tcBorders>
            <w:shd w:val="clear" w:color="000000" w:fill="EFD3D2"/>
            <w:noWrap/>
            <w:vAlign w:val="center"/>
            <w:hideMark/>
          </w:tcPr>
          <w:p w14:paraId="63315861" w14:textId="3D57F699" w:rsidR="00CA1F00" w:rsidRPr="00CA1F00" w:rsidRDefault="00CA1F00" w:rsidP="00CA1F00">
            <w:pPr>
              <w:spacing w:before="0"/>
              <w:jc w:val="center"/>
              <w:rPr>
                <w:rFonts w:cs="Arial"/>
                <w:color w:val="000000"/>
                <w:sz w:val="18"/>
                <w:szCs w:val="18"/>
              </w:rPr>
            </w:pPr>
            <w:r w:rsidRPr="00CA1F00">
              <w:rPr>
                <w:rFonts w:cs="Arial"/>
                <w:sz w:val="18"/>
                <w:szCs w:val="18"/>
              </w:rPr>
              <w:t>20.7</w:t>
            </w:r>
          </w:p>
        </w:tc>
        <w:tc>
          <w:tcPr>
            <w:tcW w:w="1142" w:type="dxa"/>
            <w:tcBorders>
              <w:top w:val="nil"/>
              <w:left w:val="nil"/>
              <w:bottom w:val="single" w:sz="8" w:space="0" w:color="FFFFFF"/>
              <w:right w:val="single" w:sz="8" w:space="0" w:color="FFFFFF"/>
            </w:tcBorders>
            <w:shd w:val="clear" w:color="000000" w:fill="EFD3D2"/>
            <w:noWrap/>
            <w:vAlign w:val="center"/>
            <w:hideMark/>
          </w:tcPr>
          <w:p w14:paraId="77186F61" w14:textId="698E4656" w:rsidR="00CA1F00" w:rsidRPr="00CA1F00" w:rsidRDefault="00CA1F00" w:rsidP="00CA1F00">
            <w:pPr>
              <w:spacing w:before="0"/>
              <w:jc w:val="center"/>
              <w:rPr>
                <w:rFonts w:cs="Arial"/>
                <w:color w:val="000000"/>
                <w:sz w:val="18"/>
                <w:szCs w:val="18"/>
              </w:rPr>
            </w:pPr>
            <w:r w:rsidRPr="00CA1F00">
              <w:rPr>
                <w:rFonts w:cs="Arial"/>
                <w:sz w:val="18"/>
                <w:szCs w:val="18"/>
              </w:rPr>
              <w:t>22.0</w:t>
            </w:r>
          </w:p>
        </w:tc>
        <w:tc>
          <w:tcPr>
            <w:tcW w:w="1141" w:type="dxa"/>
            <w:tcBorders>
              <w:top w:val="nil"/>
              <w:left w:val="nil"/>
              <w:bottom w:val="single" w:sz="8" w:space="0" w:color="FFFFFF"/>
              <w:right w:val="single" w:sz="8" w:space="0" w:color="FFFFFF"/>
            </w:tcBorders>
            <w:shd w:val="clear" w:color="000000" w:fill="EFD3D2"/>
            <w:noWrap/>
            <w:vAlign w:val="center"/>
            <w:hideMark/>
          </w:tcPr>
          <w:p w14:paraId="7F75DCE3" w14:textId="6F60D6AB" w:rsidR="00CA1F00" w:rsidRPr="00CA1F00" w:rsidRDefault="00CA1F00" w:rsidP="00CA1F00">
            <w:pPr>
              <w:spacing w:before="0"/>
              <w:jc w:val="center"/>
              <w:rPr>
                <w:rFonts w:cs="Arial"/>
                <w:color w:val="000000"/>
                <w:sz w:val="18"/>
                <w:szCs w:val="18"/>
              </w:rPr>
            </w:pPr>
            <w:r w:rsidRPr="00CA1F00">
              <w:rPr>
                <w:rFonts w:cs="Arial"/>
                <w:sz w:val="18"/>
                <w:szCs w:val="18"/>
              </w:rPr>
              <w:t>26.8</w:t>
            </w:r>
          </w:p>
        </w:tc>
        <w:tc>
          <w:tcPr>
            <w:tcW w:w="1142" w:type="dxa"/>
            <w:tcBorders>
              <w:top w:val="nil"/>
              <w:left w:val="nil"/>
              <w:bottom w:val="single" w:sz="8" w:space="0" w:color="FFFFFF"/>
              <w:right w:val="single" w:sz="8" w:space="0" w:color="FFFFFF"/>
            </w:tcBorders>
            <w:shd w:val="clear" w:color="000000" w:fill="EFD3D2"/>
            <w:vAlign w:val="center"/>
            <w:hideMark/>
          </w:tcPr>
          <w:p w14:paraId="67A7EC05" w14:textId="4FB09ED8" w:rsidR="00CA1F00" w:rsidRPr="00CA1F00" w:rsidRDefault="00CA1F00" w:rsidP="00CA1F00">
            <w:pPr>
              <w:spacing w:before="0"/>
              <w:jc w:val="center"/>
              <w:rPr>
                <w:rFonts w:cs="Arial"/>
                <w:color w:val="000000"/>
                <w:sz w:val="18"/>
                <w:szCs w:val="18"/>
              </w:rPr>
            </w:pPr>
            <w:r w:rsidRPr="00CA1F00">
              <w:rPr>
                <w:rFonts w:cs="Arial"/>
                <w:sz w:val="18"/>
                <w:szCs w:val="18"/>
              </w:rPr>
              <w:t>17.0</w:t>
            </w:r>
          </w:p>
        </w:tc>
        <w:tc>
          <w:tcPr>
            <w:tcW w:w="1276" w:type="dxa"/>
            <w:tcBorders>
              <w:top w:val="nil"/>
              <w:left w:val="nil"/>
              <w:bottom w:val="single" w:sz="8" w:space="0" w:color="FFFFFF"/>
              <w:right w:val="single" w:sz="8" w:space="0" w:color="FFFFFF"/>
            </w:tcBorders>
            <w:shd w:val="clear" w:color="000000" w:fill="EFD3D2"/>
            <w:noWrap/>
            <w:vAlign w:val="center"/>
            <w:hideMark/>
          </w:tcPr>
          <w:p w14:paraId="301669E3" w14:textId="2323F6F6" w:rsidR="00CA1F00" w:rsidRPr="00CA1F00" w:rsidRDefault="00CA1F00" w:rsidP="00CA1F00">
            <w:pPr>
              <w:spacing w:before="0"/>
              <w:jc w:val="center"/>
              <w:rPr>
                <w:rFonts w:cs="Arial"/>
                <w:b/>
                <w:bCs/>
                <w:sz w:val="18"/>
                <w:szCs w:val="18"/>
              </w:rPr>
            </w:pPr>
            <w:r w:rsidRPr="00CA1F00">
              <w:rPr>
                <w:rFonts w:cs="Arial"/>
                <w:b/>
                <w:bCs/>
                <w:sz w:val="18"/>
                <w:szCs w:val="18"/>
              </w:rPr>
              <w:t>22.7</w:t>
            </w:r>
          </w:p>
        </w:tc>
        <w:tc>
          <w:tcPr>
            <w:tcW w:w="1134" w:type="dxa"/>
            <w:tcBorders>
              <w:top w:val="nil"/>
              <w:left w:val="nil"/>
              <w:bottom w:val="single" w:sz="8" w:space="0" w:color="FFFFFF"/>
              <w:right w:val="single" w:sz="8" w:space="0" w:color="FFFFFF"/>
            </w:tcBorders>
            <w:shd w:val="clear" w:color="000000" w:fill="EFD3D2"/>
            <w:noWrap/>
            <w:vAlign w:val="center"/>
            <w:hideMark/>
          </w:tcPr>
          <w:p w14:paraId="66E8FCC8" w14:textId="05F57FCF" w:rsidR="00CA1F00" w:rsidRPr="00CA1F00" w:rsidRDefault="00CA1F00" w:rsidP="00CA1F00">
            <w:pPr>
              <w:spacing w:before="0"/>
              <w:jc w:val="center"/>
              <w:rPr>
                <w:rFonts w:cs="Arial"/>
                <w:sz w:val="18"/>
                <w:szCs w:val="18"/>
              </w:rPr>
            </w:pPr>
            <w:r w:rsidRPr="00CA1F00">
              <w:rPr>
                <w:rFonts w:cs="Arial"/>
                <w:sz w:val="18"/>
                <w:szCs w:val="18"/>
              </w:rPr>
              <w:t>34.2</w:t>
            </w:r>
          </w:p>
        </w:tc>
      </w:tr>
      <w:tr w:rsidR="00CA1F00" w:rsidRPr="00CA1F00" w14:paraId="55F394BE"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2D7CBEA1" w14:textId="77777777" w:rsidR="00CA1F00" w:rsidRPr="00CA1F00" w:rsidRDefault="00CA1F00" w:rsidP="00CA1F00">
            <w:pPr>
              <w:spacing w:before="0"/>
              <w:jc w:val="left"/>
              <w:rPr>
                <w:rFonts w:cs="Arial"/>
                <w:color w:val="000000"/>
                <w:sz w:val="18"/>
                <w:szCs w:val="18"/>
              </w:rPr>
            </w:pPr>
            <w:r w:rsidRPr="00CA1F00">
              <w:rPr>
                <w:rFonts w:cs="Arial"/>
                <w:color w:val="000000"/>
                <w:sz w:val="18"/>
                <w:szCs w:val="18"/>
              </w:rPr>
              <w:t>Insurance operations</w:t>
            </w:r>
          </w:p>
        </w:tc>
        <w:tc>
          <w:tcPr>
            <w:tcW w:w="1099" w:type="dxa"/>
            <w:tcBorders>
              <w:top w:val="nil"/>
              <w:left w:val="nil"/>
              <w:bottom w:val="single" w:sz="8" w:space="0" w:color="FFFFFF"/>
              <w:right w:val="single" w:sz="8" w:space="0" w:color="FFFFFF"/>
            </w:tcBorders>
            <w:shd w:val="clear" w:color="auto" w:fill="auto"/>
            <w:noWrap/>
            <w:vAlign w:val="center"/>
            <w:hideMark/>
          </w:tcPr>
          <w:p w14:paraId="25A9FA7C" w14:textId="7A0F02F3" w:rsidR="00CA1F00" w:rsidRPr="00CA1F00" w:rsidRDefault="00CA1F00" w:rsidP="00CA1F00">
            <w:pPr>
              <w:spacing w:before="0"/>
              <w:jc w:val="center"/>
              <w:rPr>
                <w:rFonts w:cs="Arial"/>
                <w:sz w:val="18"/>
                <w:szCs w:val="18"/>
              </w:rPr>
            </w:pPr>
            <w:r w:rsidRPr="00CA1F00">
              <w:rPr>
                <w:rFonts w:cs="Arial"/>
                <w:sz w:val="18"/>
                <w:szCs w:val="18"/>
              </w:rPr>
              <w:t>22.8</w:t>
            </w:r>
          </w:p>
        </w:tc>
        <w:tc>
          <w:tcPr>
            <w:tcW w:w="1100" w:type="dxa"/>
            <w:tcBorders>
              <w:top w:val="nil"/>
              <w:left w:val="nil"/>
              <w:bottom w:val="single" w:sz="8" w:space="0" w:color="FFFFFF"/>
              <w:right w:val="single" w:sz="8" w:space="0" w:color="FFFFFF"/>
            </w:tcBorders>
            <w:shd w:val="clear" w:color="auto" w:fill="auto"/>
            <w:noWrap/>
            <w:vAlign w:val="center"/>
            <w:hideMark/>
          </w:tcPr>
          <w:p w14:paraId="04FB3247" w14:textId="36935C94" w:rsidR="00CA1F00" w:rsidRPr="00CA1F00" w:rsidRDefault="00CA1F00" w:rsidP="00CA1F00">
            <w:pPr>
              <w:spacing w:before="0"/>
              <w:jc w:val="center"/>
              <w:rPr>
                <w:rFonts w:cs="Arial"/>
                <w:color w:val="000000"/>
                <w:sz w:val="18"/>
                <w:szCs w:val="18"/>
              </w:rPr>
            </w:pPr>
            <w:r w:rsidRPr="00CA1F00">
              <w:rPr>
                <w:rFonts w:cs="Arial"/>
                <w:sz w:val="18"/>
                <w:szCs w:val="18"/>
              </w:rPr>
              <w:t>20.8</w:t>
            </w:r>
          </w:p>
        </w:tc>
        <w:tc>
          <w:tcPr>
            <w:tcW w:w="1099" w:type="dxa"/>
            <w:tcBorders>
              <w:top w:val="nil"/>
              <w:left w:val="nil"/>
              <w:bottom w:val="single" w:sz="8" w:space="0" w:color="FFFFFF"/>
              <w:right w:val="single" w:sz="8" w:space="0" w:color="FFFFFF"/>
            </w:tcBorders>
            <w:shd w:val="clear" w:color="auto" w:fill="auto"/>
            <w:noWrap/>
            <w:vAlign w:val="center"/>
            <w:hideMark/>
          </w:tcPr>
          <w:p w14:paraId="33C48F5B" w14:textId="6F0E9AF1" w:rsidR="00CA1F00" w:rsidRPr="00CA1F00" w:rsidRDefault="00CA1F00" w:rsidP="00CA1F00">
            <w:pPr>
              <w:spacing w:before="0"/>
              <w:jc w:val="center"/>
              <w:rPr>
                <w:rFonts w:cs="Arial"/>
                <w:color w:val="000000"/>
                <w:sz w:val="18"/>
                <w:szCs w:val="18"/>
              </w:rPr>
            </w:pPr>
            <w:r w:rsidRPr="00CA1F00">
              <w:rPr>
                <w:rFonts w:cs="Arial"/>
                <w:sz w:val="18"/>
                <w:szCs w:val="18"/>
              </w:rPr>
              <w:t>8.6</w:t>
            </w:r>
          </w:p>
        </w:tc>
        <w:tc>
          <w:tcPr>
            <w:tcW w:w="1100" w:type="dxa"/>
            <w:tcBorders>
              <w:top w:val="nil"/>
              <w:left w:val="nil"/>
              <w:bottom w:val="single" w:sz="8" w:space="0" w:color="FFFFFF"/>
              <w:right w:val="single" w:sz="8" w:space="0" w:color="FFFFFF"/>
            </w:tcBorders>
            <w:shd w:val="clear" w:color="auto" w:fill="auto"/>
            <w:vAlign w:val="center"/>
            <w:hideMark/>
          </w:tcPr>
          <w:p w14:paraId="16BC6D6E" w14:textId="21C3C6FA" w:rsidR="00CA1F00" w:rsidRPr="00CA1F00" w:rsidRDefault="00CA1F00" w:rsidP="00CA1F00">
            <w:pPr>
              <w:spacing w:before="0"/>
              <w:jc w:val="center"/>
              <w:rPr>
                <w:rFonts w:cs="Arial"/>
                <w:color w:val="000000"/>
                <w:sz w:val="18"/>
                <w:szCs w:val="18"/>
              </w:rPr>
            </w:pPr>
            <w:r w:rsidRPr="00CA1F00">
              <w:rPr>
                <w:rFonts w:cs="Arial"/>
                <w:sz w:val="18"/>
                <w:szCs w:val="18"/>
              </w:rPr>
              <w:t>15.7</w:t>
            </w:r>
          </w:p>
        </w:tc>
        <w:tc>
          <w:tcPr>
            <w:tcW w:w="1100" w:type="dxa"/>
            <w:tcBorders>
              <w:top w:val="nil"/>
              <w:left w:val="nil"/>
              <w:bottom w:val="single" w:sz="8" w:space="0" w:color="FFFFFF"/>
              <w:right w:val="single" w:sz="8" w:space="0" w:color="FFFFFF"/>
            </w:tcBorders>
            <w:shd w:val="clear" w:color="auto" w:fill="auto"/>
            <w:vAlign w:val="center"/>
            <w:hideMark/>
          </w:tcPr>
          <w:p w14:paraId="55BEC07E" w14:textId="346F0D69" w:rsidR="00CA1F00" w:rsidRPr="00CA1F00" w:rsidRDefault="00CA1F00" w:rsidP="00CA1F00">
            <w:pPr>
              <w:spacing w:before="0"/>
              <w:jc w:val="center"/>
              <w:rPr>
                <w:rFonts w:cs="Arial"/>
                <w:color w:val="000000"/>
                <w:sz w:val="18"/>
                <w:szCs w:val="18"/>
              </w:rPr>
            </w:pPr>
            <w:r w:rsidRPr="00CA1F00">
              <w:rPr>
                <w:rFonts w:cs="Arial"/>
                <w:sz w:val="18"/>
                <w:szCs w:val="18"/>
              </w:rPr>
              <w:t>8.3</w:t>
            </w:r>
          </w:p>
        </w:tc>
        <w:tc>
          <w:tcPr>
            <w:tcW w:w="1141" w:type="dxa"/>
            <w:tcBorders>
              <w:top w:val="nil"/>
              <w:left w:val="nil"/>
              <w:bottom w:val="single" w:sz="8" w:space="0" w:color="FFFFFF"/>
              <w:right w:val="single" w:sz="8" w:space="0" w:color="FFFFFF"/>
            </w:tcBorders>
            <w:shd w:val="clear" w:color="auto" w:fill="auto"/>
            <w:noWrap/>
            <w:vAlign w:val="center"/>
            <w:hideMark/>
          </w:tcPr>
          <w:p w14:paraId="11EB9012" w14:textId="0CE8232E" w:rsidR="00CA1F00" w:rsidRPr="00CA1F00" w:rsidRDefault="00CA1F00" w:rsidP="00CA1F00">
            <w:pPr>
              <w:spacing w:before="0"/>
              <w:jc w:val="center"/>
              <w:rPr>
                <w:rFonts w:cs="Arial"/>
                <w:color w:val="000000"/>
                <w:sz w:val="18"/>
                <w:szCs w:val="18"/>
              </w:rPr>
            </w:pPr>
            <w:r w:rsidRPr="00CA1F00">
              <w:rPr>
                <w:rFonts w:cs="Arial"/>
                <w:sz w:val="18"/>
                <w:szCs w:val="18"/>
              </w:rPr>
              <w:t>21.8</w:t>
            </w:r>
          </w:p>
        </w:tc>
        <w:tc>
          <w:tcPr>
            <w:tcW w:w="1142" w:type="dxa"/>
            <w:tcBorders>
              <w:top w:val="nil"/>
              <w:left w:val="nil"/>
              <w:bottom w:val="single" w:sz="8" w:space="0" w:color="FFFFFF"/>
              <w:right w:val="single" w:sz="8" w:space="0" w:color="FFFFFF"/>
            </w:tcBorders>
            <w:shd w:val="clear" w:color="auto" w:fill="auto"/>
            <w:noWrap/>
            <w:vAlign w:val="center"/>
            <w:hideMark/>
          </w:tcPr>
          <w:p w14:paraId="1502C467" w14:textId="7B7DAEDD" w:rsidR="00CA1F00" w:rsidRPr="00CA1F00" w:rsidRDefault="00CA1F00" w:rsidP="00CA1F00">
            <w:pPr>
              <w:spacing w:before="0"/>
              <w:jc w:val="center"/>
              <w:rPr>
                <w:rFonts w:cs="Arial"/>
                <w:color w:val="000000"/>
                <w:sz w:val="18"/>
                <w:szCs w:val="18"/>
              </w:rPr>
            </w:pPr>
            <w:r w:rsidRPr="00CA1F00">
              <w:rPr>
                <w:rFonts w:cs="Arial"/>
                <w:sz w:val="18"/>
                <w:szCs w:val="18"/>
              </w:rPr>
              <w:t>26.9</w:t>
            </w:r>
          </w:p>
        </w:tc>
        <w:tc>
          <w:tcPr>
            <w:tcW w:w="1141" w:type="dxa"/>
            <w:tcBorders>
              <w:top w:val="nil"/>
              <w:left w:val="nil"/>
              <w:bottom w:val="single" w:sz="8" w:space="0" w:color="FFFFFF"/>
              <w:right w:val="single" w:sz="8" w:space="0" w:color="FFFFFF"/>
            </w:tcBorders>
            <w:shd w:val="clear" w:color="auto" w:fill="auto"/>
            <w:noWrap/>
            <w:vAlign w:val="center"/>
            <w:hideMark/>
          </w:tcPr>
          <w:p w14:paraId="2635704C" w14:textId="644FD2F7" w:rsidR="00CA1F00" w:rsidRPr="00CA1F00" w:rsidRDefault="00CA1F00" w:rsidP="00CA1F00">
            <w:pPr>
              <w:spacing w:before="0"/>
              <w:jc w:val="center"/>
              <w:rPr>
                <w:rFonts w:cs="Arial"/>
                <w:color w:val="000000"/>
                <w:sz w:val="18"/>
                <w:szCs w:val="18"/>
              </w:rPr>
            </w:pPr>
            <w:r w:rsidRPr="00CA1F00">
              <w:rPr>
                <w:rFonts w:cs="Arial"/>
                <w:sz w:val="18"/>
                <w:szCs w:val="18"/>
              </w:rPr>
              <w:t>19.0</w:t>
            </w:r>
          </w:p>
        </w:tc>
        <w:tc>
          <w:tcPr>
            <w:tcW w:w="1142" w:type="dxa"/>
            <w:tcBorders>
              <w:top w:val="nil"/>
              <w:left w:val="nil"/>
              <w:bottom w:val="single" w:sz="8" w:space="0" w:color="FFFFFF"/>
              <w:right w:val="single" w:sz="8" w:space="0" w:color="FFFFFF"/>
            </w:tcBorders>
            <w:shd w:val="clear" w:color="auto" w:fill="auto"/>
            <w:vAlign w:val="center"/>
            <w:hideMark/>
          </w:tcPr>
          <w:p w14:paraId="6B21D505" w14:textId="45A39118" w:rsidR="00CA1F00" w:rsidRPr="00CA1F00" w:rsidRDefault="00CA1F00" w:rsidP="00CA1F00">
            <w:pPr>
              <w:spacing w:before="0"/>
              <w:jc w:val="center"/>
              <w:rPr>
                <w:rFonts w:cs="Arial"/>
                <w:color w:val="000000"/>
                <w:sz w:val="18"/>
                <w:szCs w:val="18"/>
              </w:rPr>
            </w:pPr>
            <w:r w:rsidRPr="00CA1F00">
              <w:rPr>
                <w:rFonts w:cs="Arial"/>
                <w:sz w:val="18"/>
                <w:szCs w:val="18"/>
              </w:rPr>
              <w:t>9.5</w:t>
            </w:r>
          </w:p>
        </w:tc>
        <w:tc>
          <w:tcPr>
            <w:tcW w:w="1276" w:type="dxa"/>
            <w:tcBorders>
              <w:top w:val="nil"/>
              <w:left w:val="nil"/>
              <w:bottom w:val="single" w:sz="8" w:space="0" w:color="FFFFFF"/>
              <w:right w:val="single" w:sz="8" w:space="0" w:color="FFFFFF"/>
            </w:tcBorders>
            <w:shd w:val="clear" w:color="auto" w:fill="auto"/>
            <w:noWrap/>
            <w:vAlign w:val="center"/>
            <w:hideMark/>
          </w:tcPr>
          <w:p w14:paraId="0BF6109D" w14:textId="2346FFC2" w:rsidR="00CA1F00" w:rsidRPr="00CA1F00" w:rsidRDefault="00CA1F00" w:rsidP="00CA1F00">
            <w:pPr>
              <w:spacing w:before="0"/>
              <w:jc w:val="center"/>
              <w:rPr>
                <w:rFonts w:cs="Arial"/>
                <w:b/>
                <w:bCs/>
                <w:sz w:val="18"/>
                <w:szCs w:val="18"/>
              </w:rPr>
            </w:pPr>
            <w:r w:rsidRPr="00CA1F00">
              <w:rPr>
                <w:rFonts w:cs="Arial"/>
                <w:b/>
                <w:bCs/>
                <w:sz w:val="18"/>
                <w:szCs w:val="18"/>
              </w:rPr>
              <w:t>18.7</w:t>
            </w:r>
          </w:p>
        </w:tc>
        <w:tc>
          <w:tcPr>
            <w:tcW w:w="1134" w:type="dxa"/>
            <w:tcBorders>
              <w:top w:val="nil"/>
              <w:left w:val="nil"/>
              <w:bottom w:val="single" w:sz="8" w:space="0" w:color="FFFFFF"/>
              <w:right w:val="single" w:sz="8" w:space="0" w:color="FFFFFF"/>
            </w:tcBorders>
            <w:shd w:val="clear" w:color="auto" w:fill="auto"/>
            <w:noWrap/>
            <w:vAlign w:val="center"/>
            <w:hideMark/>
          </w:tcPr>
          <w:p w14:paraId="79E80ACF" w14:textId="0B638164" w:rsidR="00CA1F00" w:rsidRPr="00CA1F00" w:rsidRDefault="00CA1F00" w:rsidP="00CA1F00">
            <w:pPr>
              <w:spacing w:before="0"/>
              <w:jc w:val="center"/>
              <w:rPr>
                <w:rFonts w:cs="Arial"/>
                <w:sz w:val="18"/>
                <w:szCs w:val="18"/>
              </w:rPr>
            </w:pPr>
            <w:r w:rsidRPr="00CA1F00">
              <w:rPr>
                <w:rFonts w:cs="Arial"/>
                <w:sz w:val="18"/>
                <w:szCs w:val="18"/>
              </w:rPr>
              <w:t>8.3</w:t>
            </w:r>
          </w:p>
        </w:tc>
      </w:tr>
      <w:tr w:rsidR="00CA1F00" w:rsidRPr="00CA1F00" w14:paraId="5345DC67"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7C9E2C70" w14:textId="77777777" w:rsidR="00CA1F00" w:rsidRPr="00CA1F00" w:rsidRDefault="00CA1F00" w:rsidP="00CA1F00">
            <w:pPr>
              <w:spacing w:before="0"/>
              <w:jc w:val="left"/>
              <w:rPr>
                <w:rFonts w:cs="Arial"/>
                <w:color w:val="000000"/>
                <w:sz w:val="18"/>
                <w:szCs w:val="18"/>
              </w:rPr>
            </w:pPr>
            <w:r w:rsidRPr="00CA1F00">
              <w:rPr>
                <w:rFonts w:cs="Arial"/>
                <w:color w:val="000000"/>
                <w:sz w:val="18"/>
                <w:szCs w:val="18"/>
              </w:rPr>
              <w:t>Regulation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5B1BC8B6" w14:textId="0E0CA4C1" w:rsidR="00CA1F00" w:rsidRPr="00CA1F00" w:rsidRDefault="00CA1F00" w:rsidP="00CA1F00">
            <w:pPr>
              <w:spacing w:before="0"/>
              <w:jc w:val="center"/>
              <w:rPr>
                <w:rFonts w:cs="Arial"/>
                <w:sz w:val="18"/>
                <w:szCs w:val="18"/>
              </w:rPr>
            </w:pPr>
            <w:r w:rsidRPr="00CA1F00">
              <w:rPr>
                <w:rFonts w:cs="Arial"/>
                <w:sz w:val="18"/>
                <w:szCs w:val="18"/>
              </w:rPr>
              <w:t>0.5</w:t>
            </w:r>
          </w:p>
        </w:tc>
        <w:tc>
          <w:tcPr>
            <w:tcW w:w="1100" w:type="dxa"/>
            <w:tcBorders>
              <w:top w:val="nil"/>
              <w:left w:val="nil"/>
              <w:bottom w:val="single" w:sz="8" w:space="0" w:color="FFFFFF"/>
              <w:right w:val="single" w:sz="8" w:space="0" w:color="FFFFFF"/>
            </w:tcBorders>
            <w:shd w:val="clear" w:color="000000" w:fill="EFD3D2"/>
            <w:noWrap/>
            <w:vAlign w:val="center"/>
            <w:hideMark/>
          </w:tcPr>
          <w:p w14:paraId="53EFCA0E" w14:textId="636950A9" w:rsidR="00CA1F00" w:rsidRPr="00CA1F00" w:rsidRDefault="00CA1F00" w:rsidP="00CA1F00">
            <w:pPr>
              <w:spacing w:before="0"/>
              <w:jc w:val="center"/>
              <w:rPr>
                <w:rFonts w:cs="Arial"/>
                <w:color w:val="000000"/>
                <w:sz w:val="18"/>
                <w:szCs w:val="18"/>
              </w:rPr>
            </w:pPr>
            <w:r w:rsidRPr="00CA1F00">
              <w:rPr>
                <w:rFonts w:cs="Arial"/>
                <w:sz w:val="18"/>
                <w:szCs w:val="18"/>
              </w:rPr>
              <w:t>1.7</w:t>
            </w:r>
          </w:p>
        </w:tc>
        <w:tc>
          <w:tcPr>
            <w:tcW w:w="1099" w:type="dxa"/>
            <w:tcBorders>
              <w:top w:val="nil"/>
              <w:left w:val="nil"/>
              <w:bottom w:val="single" w:sz="8" w:space="0" w:color="FFFFFF"/>
              <w:right w:val="single" w:sz="8" w:space="0" w:color="FFFFFF"/>
            </w:tcBorders>
            <w:shd w:val="clear" w:color="000000" w:fill="EFD3D2"/>
            <w:noWrap/>
            <w:vAlign w:val="center"/>
            <w:hideMark/>
          </w:tcPr>
          <w:p w14:paraId="3127500E" w14:textId="20A135A0" w:rsidR="00CA1F00" w:rsidRPr="00CA1F00" w:rsidRDefault="00CA1F00" w:rsidP="00CA1F00">
            <w:pPr>
              <w:spacing w:before="0"/>
              <w:jc w:val="center"/>
              <w:rPr>
                <w:rFonts w:cs="Arial"/>
                <w:color w:val="000000"/>
                <w:sz w:val="18"/>
                <w:szCs w:val="18"/>
              </w:rPr>
            </w:pPr>
            <w:r w:rsidRPr="00CA1F00">
              <w:rPr>
                <w:rFonts w:cs="Arial"/>
                <w:sz w:val="18"/>
                <w:szCs w:val="18"/>
              </w:rPr>
              <w:t>0.9</w:t>
            </w:r>
          </w:p>
        </w:tc>
        <w:tc>
          <w:tcPr>
            <w:tcW w:w="1100" w:type="dxa"/>
            <w:tcBorders>
              <w:top w:val="nil"/>
              <w:left w:val="nil"/>
              <w:bottom w:val="single" w:sz="8" w:space="0" w:color="FFFFFF"/>
              <w:right w:val="single" w:sz="8" w:space="0" w:color="FFFFFF"/>
            </w:tcBorders>
            <w:shd w:val="clear" w:color="000000" w:fill="EFD3D2"/>
            <w:vAlign w:val="center"/>
            <w:hideMark/>
          </w:tcPr>
          <w:p w14:paraId="4C37022D" w14:textId="1A70323C" w:rsidR="00CA1F00" w:rsidRPr="00CA1F00" w:rsidRDefault="00CA1F00" w:rsidP="00CA1F00">
            <w:pPr>
              <w:spacing w:before="0"/>
              <w:jc w:val="center"/>
              <w:rPr>
                <w:rFonts w:cs="Arial"/>
                <w:color w:val="000000"/>
                <w:sz w:val="18"/>
                <w:szCs w:val="18"/>
              </w:rPr>
            </w:pPr>
            <w:r w:rsidRPr="00CA1F00">
              <w:rPr>
                <w:rFonts w:cs="Arial"/>
                <w:sz w:val="18"/>
                <w:szCs w:val="18"/>
              </w:rPr>
              <w:t>0.9</w:t>
            </w:r>
          </w:p>
        </w:tc>
        <w:tc>
          <w:tcPr>
            <w:tcW w:w="1100" w:type="dxa"/>
            <w:tcBorders>
              <w:top w:val="nil"/>
              <w:left w:val="nil"/>
              <w:bottom w:val="single" w:sz="8" w:space="0" w:color="FFFFFF"/>
              <w:right w:val="single" w:sz="8" w:space="0" w:color="FFFFFF"/>
            </w:tcBorders>
            <w:shd w:val="clear" w:color="000000" w:fill="EFD3D2"/>
            <w:vAlign w:val="center"/>
            <w:hideMark/>
          </w:tcPr>
          <w:p w14:paraId="755B510F" w14:textId="12C6757F" w:rsidR="00CA1F00" w:rsidRPr="00CA1F00" w:rsidRDefault="00CA1F00" w:rsidP="00CA1F00">
            <w:pPr>
              <w:spacing w:before="0"/>
              <w:jc w:val="center"/>
              <w:rPr>
                <w:rFonts w:cs="Arial"/>
                <w:color w:val="000000"/>
                <w:sz w:val="18"/>
                <w:szCs w:val="18"/>
              </w:rPr>
            </w:pPr>
            <w:r w:rsidRPr="00CA1F00">
              <w:rPr>
                <w:rFonts w:cs="Arial"/>
                <w:sz w:val="18"/>
                <w:szCs w:val="18"/>
              </w:rPr>
              <w:t>0.7</w:t>
            </w:r>
          </w:p>
        </w:tc>
        <w:tc>
          <w:tcPr>
            <w:tcW w:w="1141" w:type="dxa"/>
            <w:tcBorders>
              <w:top w:val="nil"/>
              <w:left w:val="nil"/>
              <w:bottom w:val="single" w:sz="8" w:space="0" w:color="FFFFFF"/>
              <w:right w:val="single" w:sz="8" w:space="0" w:color="FFFFFF"/>
            </w:tcBorders>
            <w:shd w:val="clear" w:color="000000" w:fill="EFD3D2"/>
            <w:noWrap/>
            <w:vAlign w:val="center"/>
            <w:hideMark/>
          </w:tcPr>
          <w:p w14:paraId="4B41AF0D" w14:textId="7F172767" w:rsidR="00CA1F00" w:rsidRPr="00CA1F00" w:rsidRDefault="00CA1F00" w:rsidP="00CA1F00">
            <w:pPr>
              <w:spacing w:before="0"/>
              <w:jc w:val="center"/>
              <w:rPr>
                <w:rFonts w:cs="Arial"/>
                <w:color w:val="000000"/>
                <w:sz w:val="18"/>
                <w:szCs w:val="18"/>
              </w:rPr>
            </w:pPr>
            <w:r w:rsidRPr="00CA1F00">
              <w:rPr>
                <w:rFonts w:cs="Arial"/>
                <w:sz w:val="18"/>
                <w:szCs w:val="18"/>
              </w:rPr>
              <w:t>0.4</w:t>
            </w:r>
          </w:p>
        </w:tc>
        <w:tc>
          <w:tcPr>
            <w:tcW w:w="1142" w:type="dxa"/>
            <w:tcBorders>
              <w:top w:val="nil"/>
              <w:left w:val="nil"/>
              <w:bottom w:val="single" w:sz="8" w:space="0" w:color="FFFFFF"/>
              <w:right w:val="single" w:sz="8" w:space="0" w:color="FFFFFF"/>
            </w:tcBorders>
            <w:shd w:val="clear" w:color="000000" w:fill="EFD3D2"/>
            <w:noWrap/>
            <w:vAlign w:val="center"/>
            <w:hideMark/>
          </w:tcPr>
          <w:p w14:paraId="31E55047" w14:textId="26B4F9E5" w:rsidR="00CA1F00" w:rsidRPr="00CA1F00" w:rsidRDefault="00CA1F00" w:rsidP="00CA1F00">
            <w:pPr>
              <w:spacing w:before="0"/>
              <w:jc w:val="center"/>
              <w:rPr>
                <w:rFonts w:cs="Arial"/>
                <w:color w:val="000000"/>
                <w:sz w:val="18"/>
                <w:szCs w:val="18"/>
              </w:rPr>
            </w:pPr>
            <w:r w:rsidRPr="00CA1F00">
              <w:rPr>
                <w:rFonts w:cs="Arial"/>
                <w:sz w:val="18"/>
                <w:szCs w:val="18"/>
              </w:rPr>
              <w:t>1.1</w:t>
            </w:r>
          </w:p>
        </w:tc>
        <w:tc>
          <w:tcPr>
            <w:tcW w:w="1141" w:type="dxa"/>
            <w:tcBorders>
              <w:top w:val="nil"/>
              <w:left w:val="nil"/>
              <w:bottom w:val="single" w:sz="8" w:space="0" w:color="FFFFFF"/>
              <w:right w:val="single" w:sz="8" w:space="0" w:color="FFFFFF"/>
            </w:tcBorders>
            <w:shd w:val="clear" w:color="000000" w:fill="EFD3D2"/>
            <w:noWrap/>
            <w:vAlign w:val="center"/>
            <w:hideMark/>
          </w:tcPr>
          <w:p w14:paraId="4545835E" w14:textId="578B7E5F" w:rsidR="00CA1F00" w:rsidRPr="00CA1F00" w:rsidRDefault="00405544" w:rsidP="00CA1F00">
            <w:pPr>
              <w:spacing w:before="0"/>
              <w:jc w:val="center"/>
              <w:rPr>
                <w:rFonts w:cs="Arial"/>
                <w:color w:val="000000"/>
                <w:sz w:val="18"/>
                <w:szCs w:val="18"/>
              </w:rPr>
            </w:pPr>
            <w:r>
              <w:rPr>
                <w:rFonts w:cs="Arial"/>
                <w:sz w:val="18"/>
                <w:szCs w:val="18"/>
              </w:rPr>
              <w:t>u/a</w:t>
            </w:r>
          </w:p>
        </w:tc>
        <w:tc>
          <w:tcPr>
            <w:tcW w:w="1142" w:type="dxa"/>
            <w:tcBorders>
              <w:top w:val="nil"/>
              <w:left w:val="nil"/>
              <w:bottom w:val="single" w:sz="8" w:space="0" w:color="FFFFFF"/>
              <w:right w:val="single" w:sz="8" w:space="0" w:color="FFFFFF"/>
            </w:tcBorders>
            <w:shd w:val="clear" w:color="000000" w:fill="EFD3D2"/>
            <w:vAlign w:val="center"/>
            <w:hideMark/>
          </w:tcPr>
          <w:p w14:paraId="16CD833E" w14:textId="3215E6FC" w:rsidR="00CA1F00" w:rsidRPr="00CA1F00" w:rsidRDefault="00CA1F00" w:rsidP="00CA1F00">
            <w:pPr>
              <w:spacing w:before="0"/>
              <w:jc w:val="center"/>
              <w:rPr>
                <w:rFonts w:cs="Arial"/>
                <w:color w:val="000000"/>
                <w:sz w:val="18"/>
                <w:szCs w:val="18"/>
              </w:rPr>
            </w:pPr>
            <w:r w:rsidRPr="00CA1F00">
              <w:rPr>
                <w:rFonts w:cs="Arial"/>
                <w:sz w:val="18"/>
                <w:szCs w:val="18"/>
              </w:rPr>
              <w:t>0.1</w:t>
            </w:r>
          </w:p>
        </w:tc>
        <w:tc>
          <w:tcPr>
            <w:tcW w:w="1276" w:type="dxa"/>
            <w:tcBorders>
              <w:top w:val="nil"/>
              <w:left w:val="nil"/>
              <w:bottom w:val="single" w:sz="8" w:space="0" w:color="FFFFFF"/>
              <w:right w:val="single" w:sz="8" w:space="0" w:color="FFFFFF"/>
            </w:tcBorders>
            <w:shd w:val="clear" w:color="000000" w:fill="EFD3D2"/>
            <w:noWrap/>
            <w:vAlign w:val="center"/>
            <w:hideMark/>
          </w:tcPr>
          <w:p w14:paraId="6530B00C" w14:textId="39E4663A" w:rsidR="00CA1F00" w:rsidRPr="00CA1F00" w:rsidRDefault="00CA1F00" w:rsidP="00CA1F00">
            <w:pPr>
              <w:spacing w:before="0"/>
              <w:jc w:val="center"/>
              <w:rPr>
                <w:rFonts w:cs="Arial"/>
                <w:b/>
                <w:bCs/>
                <w:sz w:val="18"/>
                <w:szCs w:val="18"/>
              </w:rPr>
            </w:pPr>
            <w:r w:rsidRPr="00CA1F00">
              <w:rPr>
                <w:rFonts w:cs="Arial"/>
                <w:b/>
                <w:bCs/>
                <w:sz w:val="18"/>
                <w:szCs w:val="18"/>
              </w:rPr>
              <w:t>0.9</w:t>
            </w:r>
          </w:p>
        </w:tc>
        <w:tc>
          <w:tcPr>
            <w:tcW w:w="1134" w:type="dxa"/>
            <w:tcBorders>
              <w:top w:val="nil"/>
              <w:left w:val="nil"/>
              <w:bottom w:val="single" w:sz="8" w:space="0" w:color="FFFFFF"/>
              <w:right w:val="single" w:sz="8" w:space="0" w:color="FFFFFF"/>
            </w:tcBorders>
            <w:shd w:val="clear" w:color="000000" w:fill="EFD3D2"/>
            <w:noWrap/>
            <w:vAlign w:val="center"/>
            <w:hideMark/>
          </w:tcPr>
          <w:p w14:paraId="17DEA3FD" w14:textId="533AA7A4" w:rsidR="00CA1F00" w:rsidRPr="00CA1F00" w:rsidRDefault="00CA1F00" w:rsidP="00CA1F00">
            <w:pPr>
              <w:spacing w:before="0"/>
              <w:jc w:val="center"/>
              <w:rPr>
                <w:rFonts w:cs="Arial"/>
                <w:sz w:val="18"/>
                <w:szCs w:val="18"/>
              </w:rPr>
            </w:pPr>
            <w:r w:rsidRPr="00CA1F00">
              <w:rPr>
                <w:rFonts w:cs="Arial"/>
                <w:sz w:val="18"/>
                <w:szCs w:val="18"/>
              </w:rPr>
              <w:t>3.7</w:t>
            </w:r>
          </w:p>
        </w:tc>
      </w:tr>
      <w:tr w:rsidR="00CA1F00" w:rsidRPr="00CA1F00" w14:paraId="32223DD2"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3A253DCD" w14:textId="77777777" w:rsidR="00CA1F00" w:rsidRPr="00CA1F00" w:rsidRDefault="00CA1F00" w:rsidP="00CA1F00">
            <w:pPr>
              <w:spacing w:before="0"/>
              <w:jc w:val="left"/>
              <w:rPr>
                <w:rFonts w:cs="Arial"/>
                <w:color w:val="000000"/>
                <w:sz w:val="18"/>
                <w:szCs w:val="18"/>
              </w:rPr>
            </w:pPr>
            <w:r w:rsidRPr="00CA1F00">
              <w:rPr>
                <w:rFonts w:cs="Arial"/>
                <w:color w:val="000000"/>
                <w:sz w:val="18"/>
                <w:szCs w:val="18"/>
              </w:rPr>
              <w:t>Dispute resolution</w:t>
            </w:r>
          </w:p>
        </w:tc>
        <w:tc>
          <w:tcPr>
            <w:tcW w:w="1099" w:type="dxa"/>
            <w:tcBorders>
              <w:top w:val="nil"/>
              <w:left w:val="nil"/>
              <w:bottom w:val="single" w:sz="8" w:space="0" w:color="FFFFFF"/>
              <w:right w:val="single" w:sz="8" w:space="0" w:color="FFFFFF"/>
            </w:tcBorders>
            <w:shd w:val="clear" w:color="auto" w:fill="auto"/>
            <w:noWrap/>
            <w:vAlign w:val="center"/>
            <w:hideMark/>
          </w:tcPr>
          <w:p w14:paraId="41C0A7E8" w14:textId="3A1B93A3" w:rsidR="00CA1F00" w:rsidRPr="00CA1F00" w:rsidRDefault="00CA1F00" w:rsidP="00CA1F00">
            <w:pPr>
              <w:spacing w:before="0"/>
              <w:jc w:val="center"/>
              <w:rPr>
                <w:rFonts w:cs="Arial"/>
                <w:sz w:val="18"/>
                <w:szCs w:val="18"/>
              </w:rPr>
            </w:pPr>
            <w:r w:rsidRPr="00CA1F00">
              <w:rPr>
                <w:rFonts w:cs="Arial"/>
                <w:sz w:val="18"/>
                <w:szCs w:val="18"/>
              </w:rPr>
              <w:t>3.1</w:t>
            </w:r>
          </w:p>
        </w:tc>
        <w:tc>
          <w:tcPr>
            <w:tcW w:w="1100" w:type="dxa"/>
            <w:tcBorders>
              <w:top w:val="nil"/>
              <w:left w:val="nil"/>
              <w:bottom w:val="single" w:sz="8" w:space="0" w:color="FFFFFF"/>
              <w:right w:val="single" w:sz="8" w:space="0" w:color="FFFFFF"/>
            </w:tcBorders>
            <w:shd w:val="clear" w:color="auto" w:fill="auto"/>
            <w:noWrap/>
            <w:vAlign w:val="center"/>
            <w:hideMark/>
          </w:tcPr>
          <w:p w14:paraId="16F63F3C" w14:textId="27376D6F" w:rsidR="00CA1F00" w:rsidRPr="00CA1F00" w:rsidRDefault="00CA1F00" w:rsidP="00CA1F00">
            <w:pPr>
              <w:spacing w:before="0"/>
              <w:jc w:val="center"/>
              <w:rPr>
                <w:rFonts w:cs="Arial"/>
                <w:color w:val="000000"/>
                <w:sz w:val="18"/>
                <w:szCs w:val="18"/>
              </w:rPr>
            </w:pPr>
            <w:r w:rsidRPr="00CA1F00">
              <w:rPr>
                <w:rFonts w:cs="Arial"/>
                <w:sz w:val="18"/>
                <w:szCs w:val="18"/>
              </w:rPr>
              <w:t>1.6</w:t>
            </w:r>
          </w:p>
        </w:tc>
        <w:tc>
          <w:tcPr>
            <w:tcW w:w="1099" w:type="dxa"/>
            <w:tcBorders>
              <w:top w:val="nil"/>
              <w:left w:val="nil"/>
              <w:bottom w:val="single" w:sz="8" w:space="0" w:color="FFFFFF"/>
              <w:right w:val="single" w:sz="8" w:space="0" w:color="FFFFFF"/>
            </w:tcBorders>
            <w:shd w:val="clear" w:color="auto" w:fill="auto"/>
            <w:noWrap/>
            <w:vAlign w:val="center"/>
            <w:hideMark/>
          </w:tcPr>
          <w:p w14:paraId="7FE48D00" w14:textId="5B65DE00" w:rsidR="00CA1F00" w:rsidRPr="00CA1F00" w:rsidRDefault="00CA1F00" w:rsidP="00CA1F00">
            <w:pPr>
              <w:spacing w:before="0"/>
              <w:jc w:val="center"/>
              <w:rPr>
                <w:rFonts w:cs="Arial"/>
                <w:color w:val="000000"/>
                <w:sz w:val="18"/>
                <w:szCs w:val="18"/>
              </w:rPr>
            </w:pPr>
            <w:r w:rsidRPr="00CA1F00">
              <w:rPr>
                <w:rFonts w:cs="Arial"/>
                <w:sz w:val="18"/>
                <w:szCs w:val="18"/>
              </w:rPr>
              <w:t>1.0</w:t>
            </w:r>
          </w:p>
        </w:tc>
        <w:tc>
          <w:tcPr>
            <w:tcW w:w="1100" w:type="dxa"/>
            <w:tcBorders>
              <w:top w:val="nil"/>
              <w:left w:val="nil"/>
              <w:bottom w:val="single" w:sz="8" w:space="0" w:color="FFFFFF"/>
              <w:right w:val="single" w:sz="8" w:space="0" w:color="FFFFFF"/>
            </w:tcBorders>
            <w:shd w:val="clear" w:color="auto" w:fill="auto"/>
            <w:vAlign w:val="center"/>
            <w:hideMark/>
          </w:tcPr>
          <w:p w14:paraId="7E023FA5" w14:textId="748CC322" w:rsidR="00CA1F00" w:rsidRPr="00CA1F00" w:rsidRDefault="00CA1F00" w:rsidP="00CA1F00">
            <w:pPr>
              <w:spacing w:before="0"/>
              <w:jc w:val="center"/>
              <w:rPr>
                <w:rFonts w:cs="Arial"/>
                <w:color w:val="000000"/>
                <w:sz w:val="18"/>
                <w:szCs w:val="18"/>
              </w:rPr>
            </w:pPr>
            <w:r w:rsidRPr="00CA1F00">
              <w:rPr>
                <w:rFonts w:cs="Arial"/>
                <w:sz w:val="18"/>
                <w:szCs w:val="18"/>
              </w:rPr>
              <w:t>1.3</w:t>
            </w:r>
          </w:p>
        </w:tc>
        <w:tc>
          <w:tcPr>
            <w:tcW w:w="1100" w:type="dxa"/>
            <w:tcBorders>
              <w:top w:val="nil"/>
              <w:left w:val="nil"/>
              <w:bottom w:val="single" w:sz="8" w:space="0" w:color="FFFFFF"/>
              <w:right w:val="single" w:sz="8" w:space="0" w:color="FFFFFF"/>
            </w:tcBorders>
            <w:shd w:val="clear" w:color="auto" w:fill="auto"/>
            <w:vAlign w:val="center"/>
            <w:hideMark/>
          </w:tcPr>
          <w:p w14:paraId="37508684" w14:textId="084B942B" w:rsidR="00CA1F00" w:rsidRPr="00CA1F00" w:rsidRDefault="00CA1F00" w:rsidP="00CA1F00">
            <w:pPr>
              <w:spacing w:before="0"/>
              <w:jc w:val="center"/>
              <w:rPr>
                <w:rFonts w:cs="Arial"/>
                <w:color w:val="000000"/>
                <w:sz w:val="18"/>
                <w:szCs w:val="18"/>
              </w:rPr>
            </w:pPr>
            <w:r w:rsidRPr="00CA1F00">
              <w:rPr>
                <w:rFonts w:cs="Arial"/>
                <w:sz w:val="18"/>
                <w:szCs w:val="18"/>
              </w:rPr>
              <w:t>1.0</w:t>
            </w:r>
          </w:p>
        </w:tc>
        <w:tc>
          <w:tcPr>
            <w:tcW w:w="1141" w:type="dxa"/>
            <w:tcBorders>
              <w:top w:val="nil"/>
              <w:left w:val="nil"/>
              <w:bottom w:val="single" w:sz="8" w:space="0" w:color="FFFFFF"/>
              <w:right w:val="single" w:sz="8" w:space="0" w:color="FFFFFF"/>
            </w:tcBorders>
            <w:shd w:val="clear" w:color="auto" w:fill="auto"/>
            <w:noWrap/>
            <w:vAlign w:val="center"/>
            <w:hideMark/>
          </w:tcPr>
          <w:p w14:paraId="27454D3F" w14:textId="138517EA" w:rsidR="00CA1F00" w:rsidRPr="00CA1F00" w:rsidRDefault="00CA1F00" w:rsidP="00CA1F00">
            <w:pPr>
              <w:spacing w:before="0"/>
              <w:jc w:val="center"/>
              <w:rPr>
                <w:rFonts w:cs="Arial"/>
                <w:color w:val="000000"/>
                <w:sz w:val="18"/>
                <w:szCs w:val="18"/>
              </w:rPr>
            </w:pPr>
            <w:r w:rsidRPr="00CA1F00">
              <w:rPr>
                <w:rFonts w:cs="Arial"/>
                <w:sz w:val="18"/>
                <w:szCs w:val="18"/>
              </w:rPr>
              <w:t>0.4</w:t>
            </w:r>
          </w:p>
        </w:tc>
        <w:tc>
          <w:tcPr>
            <w:tcW w:w="1142" w:type="dxa"/>
            <w:tcBorders>
              <w:top w:val="nil"/>
              <w:left w:val="nil"/>
              <w:bottom w:val="single" w:sz="8" w:space="0" w:color="FFFFFF"/>
              <w:right w:val="single" w:sz="8" w:space="0" w:color="FFFFFF"/>
            </w:tcBorders>
            <w:shd w:val="clear" w:color="auto" w:fill="auto"/>
            <w:noWrap/>
            <w:vAlign w:val="center"/>
            <w:hideMark/>
          </w:tcPr>
          <w:p w14:paraId="28B134D1" w14:textId="50900F47" w:rsidR="00CA1F00" w:rsidRPr="00CA1F00" w:rsidRDefault="00CA1F00" w:rsidP="00CA1F00">
            <w:pPr>
              <w:spacing w:before="0"/>
              <w:jc w:val="center"/>
              <w:rPr>
                <w:rFonts w:cs="Arial"/>
                <w:color w:val="000000"/>
                <w:sz w:val="18"/>
                <w:szCs w:val="18"/>
              </w:rPr>
            </w:pPr>
            <w:r w:rsidRPr="00CA1F00">
              <w:rPr>
                <w:rFonts w:cs="Arial"/>
                <w:sz w:val="18"/>
                <w:szCs w:val="18"/>
              </w:rPr>
              <w:t>0.8</w:t>
            </w:r>
          </w:p>
        </w:tc>
        <w:tc>
          <w:tcPr>
            <w:tcW w:w="1141" w:type="dxa"/>
            <w:tcBorders>
              <w:top w:val="nil"/>
              <w:left w:val="nil"/>
              <w:bottom w:val="single" w:sz="8" w:space="0" w:color="FFFFFF"/>
              <w:right w:val="single" w:sz="8" w:space="0" w:color="FFFFFF"/>
            </w:tcBorders>
            <w:shd w:val="clear" w:color="auto" w:fill="auto"/>
            <w:noWrap/>
            <w:vAlign w:val="center"/>
            <w:hideMark/>
          </w:tcPr>
          <w:p w14:paraId="314401FB" w14:textId="3FEB202D" w:rsidR="00CA1F00" w:rsidRPr="00CA1F00" w:rsidRDefault="00CA1F00" w:rsidP="00CA1F00">
            <w:pPr>
              <w:spacing w:before="0"/>
              <w:jc w:val="center"/>
              <w:rPr>
                <w:rFonts w:cs="Arial"/>
                <w:color w:val="000000"/>
                <w:sz w:val="18"/>
                <w:szCs w:val="18"/>
              </w:rPr>
            </w:pPr>
            <w:r w:rsidRPr="00CA1F00">
              <w:rPr>
                <w:rFonts w:cs="Arial"/>
                <w:sz w:val="18"/>
                <w:szCs w:val="18"/>
              </w:rPr>
              <w:t>0.1</w:t>
            </w:r>
          </w:p>
        </w:tc>
        <w:tc>
          <w:tcPr>
            <w:tcW w:w="1142" w:type="dxa"/>
            <w:tcBorders>
              <w:top w:val="nil"/>
              <w:left w:val="nil"/>
              <w:bottom w:val="single" w:sz="8" w:space="0" w:color="FFFFFF"/>
              <w:right w:val="single" w:sz="8" w:space="0" w:color="FFFFFF"/>
            </w:tcBorders>
            <w:shd w:val="clear" w:color="auto" w:fill="auto"/>
            <w:vAlign w:val="center"/>
            <w:hideMark/>
          </w:tcPr>
          <w:p w14:paraId="190CBBAC" w14:textId="7CF63E06" w:rsidR="00CA1F00" w:rsidRPr="00CA1F00" w:rsidRDefault="00CA1F00" w:rsidP="00CA1F00">
            <w:pPr>
              <w:spacing w:before="0"/>
              <w:jc w:val="center"/>
              <w:rPr>
                <w:rFonts w:cs="Arial"/>
                <w:color w:val="000000"/>
                <w:sz w:val="18"/>
                <w:szCs w:val="18"/>
              </w:rPr>
            </w:pPr>
            <w:r w:rsidRPr="00CA1F00">
              <w:rPr>
                <w:rFonts w:cs="Arial"/>
                <w:sz w:val="18"/>
                <w:szCs w:val="18"/>
              </w:rPr>
              <w:t>0.1</w:t>
            </w:r>
          </w:p>
        </w:tc>
        <w:tc>
          <w:tcPr>
            <w:tcW w:w="1276" w:type="dxa"/>
            <w:tcBorders>
              <w:top w:val="nil"/>
              <w:left w:val="nil"/>
              <w:bottom w:val="single" w:sz="8" w:space="0" w:color="FFFFFF"/>
              <w:right w:val="single" w:sz="8" w:space="0" w:color="FFFFFF"/>
            </w:tcBorders>
            <w:shd w:val="clear" w:color="auto" w:fill="auto"/>
            <w:noWrap/>
            <w:vAlign w:val="center"/>
            <w:hideMark/>
          </w:tcPr>
          <w:p w14:paraId="188885E3" w14:textId="47E1F406" w:rsidR="00CA1F00" w:rsidRPr="00CA1F00" w:rsidRDefault="00CA1F00" w:rsidP="00CA1F00">
            <w:pPr>
              <w:spacing w:before="0"/>
              <w:jc w:val="center"/>
              <w:rPr>
                <w:rFonts w:cs="Arial"/>
                <w:b/>
                <w:bCs/>
                <w:sz w:val="18"/>
                <w:szCs w:val="18"/>
              </w:rPr>
            </w:pPr>
            <w:r w:rsidRPr="00CA1F00">
              <w:rPr>
                <w:rFonts w:cs="Arial"/>
                <w:b/>
                <w:bCs/>
                <w:sz w:val="18"/>
                <w:szCs w:val="18"/>
              </w:rPr>
              <w:t>1.7</w:t>
            </w:r>
          </w:p>
        </w:tc>
        <w:tc>
          <w:tcPr>
            <w:tcW w:w="1134" w:type="dxa"/>
            <w:tcBorders>
              <w:top w:val="nil"/>
              <w:left w:val="nil"/>
              <w:bottom w:val="single" w:sz="8" w:space="0" w:color="FFFFFF"/>
              <w:right w:val="single" w:sz="8" w:space="0" w:color="FFFFFF"/>
            </w:tcBorders>
            <w:shd w:val="clear" w:color="auto" w:fill="auto"/>
            <w:noWrap/>
            <w:vAlign w:val="center"/>
            <w:hideMark/>
          </w:tcPr>
          <w:p w14:paraId="4885051E" w14:textId="45023D8B" w:rsidR="00CA1F00" w:rsidRPr="00CA1F00" w:rsidRDefault="00CA1F00" w:rsidP="00CA1F00">
            <w:pPr>
              <w:spacing w:before="0"/>
              <w:jc w:val="center"/>
              <w:rPr>
                <w:rFonts w:cs="Arial"/>
                <w:sz w:val="18"/>
                <w:szCs w:val="18"/>
              </w:rPr>
            </w:pPr>
            <w:r w:rsidRPr="00CA1F00">
              <w:rPr>
                <w:rFonts w:cs="Arial"/>
                <w:sz w:val="18"/>
                <w:szCs w:val="18"/>
              </w:rPr>
              <w:t>0.0</w:t>
            </w:r>
          </w:p>
        </w:tc>
      </w:tr>
      <w:tr w:rsidR="00CA1F00" w:rsidRPr="00CA1F00" w14:paraId="1DB1E4B6"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66AA66AC" w14:textId="77777777" w:rsidR="00CA1F00" w:rsidRPr="00CA1F00" w:rsidRDefault="00CA1F00" w:rsidP="00CA1F00">
            <w:pPr>
              <w:spacing w:before="0"/>
              <w:jc w:val="left"/>
              <w:rPr>
                <w:rFonts w:cs="Arial"/>
                <w:color w:val="000000"/>
                <w:sz w:val="18"/>
                <w:szCs w:val="18"/>
              </w:rPr>
            </w:pPr>
            <w:r w:rsidRPr="00CA1F00">
              <w:rPr>
                <w:rFonts w:cs="Arial"/>
                <w:color w:val="000000"/>
                <w:sz w:val="18"/>
                <w:szCs w:val="18"/>
              </w:rPr>
              <w:t>Other administration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3231B5F8" w14:textId="0596C4D1" w:rsidR="00CA1F00" w:rsidRPr="00CA1F00" w:rsidRDefault="00CA1F00" w:rsidP="00CA1F00">
            <w:pPr>
              <w:spacing w:before="0"/>
              <w:jc w:val="center"/>
              <w:rPr>
                <w:rFonts w:cs="Arial"/>
                <w:sz w:val="18"/>
                <w:szCs w:val="18"/>
              </w:rPr>
            </w:pPr>
            <w:r w:rsidRPr="00CA1F00">
              <w:rPr>
                <w:rFonts w:cs="Arial"/>
                <w:sz w:val="18"/>
                <w:szCs w:val="18"/>
              </w:rPr>
              <w:t>0.7</w:t>
            </w:r>
          </w:p>
        </w:tc>
        <w:tc>
          <w:tcPr>
            <w:tcW w:w="1100" w:type="dxa"/>
            <w:tcBorders>
              <w:top w:val="nil"/>
              <w:left w:val="nil"/>
              <w:bottom w:val="single" w:sz="8" w:space="0" w:color="FFFFFF"/>
              <w:right w:val="single" w:sz="8" w:space="0" w:color="FFFFFF"/>
            </w:tcBorders>
            <w:shd w:val="clear" w:color="000000" w:fill="EFD3D2"/>
            <w:noWrap/>
            <w:vAlign w:val="center"/>
            <w:hideMark/>
          </w:tcPr>
          <w:p w14:paraId="381EAAA2" w14:textId="70705BA6" w:rsidR="00CA1F00" w:rsidRPr="00CA1F00" w:rsidRDefault="00CA1F00" w:rsidP="00CA1F00">
            <w:pPr>
              <w:spacing w:before="0"/>
              <w:jc w:val="center"/>
              <w:rPr>
                <w:rFonts w:cs="Arial"/>
                <w:color w:val="000000"/>
                <w:sz w:val="18"/>
                <w:szCs w:val="18"/>
              </w:rPr>
            </w:pPr>
            <w:r w:rsidRPr="00CA1F00">
              <w:rPr>
                <w:rFonts w:cs="Arial"/>
                <w:sz w:val="18"/>
                <w:szCs w:val="18"/>
              </w:rPr>
              <w:t>2.2</w:t>
            </w:r>
          </w:p>
        </w:tc>
        <w:tc>
          <w:tcPr>
            <w:tcW w:w="1099" w:type="dxa"/>
            <w:tcBorders>
              <w:top w:val="nil"/>
              <w:left w:val="nil"/>
              <w:bottom w:val="single" w:sz="8" w:space="0" w:color="FFFFFF"/>
              <w:right w:val="single" w:sz="8" w:space="0" w:color="FFFFFF"/>
            </w:tcBorders>
            <w:shd w:val="clear" w:color="000000" w:fill="EFD3D2"/>
            <w:noWrap/>
            <w:vAlign w:val="center"/>
            <w:hideMark/>
          </w:tcPr>
          <w:p w14:paraId="0B84E3E5" w14:textId="35475A0B" w:rsidR="00CA1F00" w:rsidRPr="00CA1F00" w:rsidRDefault="00CA1F00" w:rsidP="00CA1F00">
            <w:pPr>
              <w:spacing w:before="0"/>
              <w:jc w:val="center"/>
              <w:rPr>
                <w:rFonts w:cs="Arial"/>
                <w:color w:val="000000"/>
                <w:sz w:val="18"/>
                <w:szCs w:val="18"/>
              </w:rPr>
            </w:pPr>
            <w:r w:rsidRPr="00CA1F00">
              <w:rPr>
                <w:rFonts w:cs="Arial"/>
                <w:sz w:val="18"/>
                <w:szCs w:val="18"/>
              </w:rPr>
              <w:t>3.3</w:t>
            </w:r>
          </w:p>
        </w:tc>
        <w:tc>
          <w:tcPr>
            <w:tcW w:w="1100" w:type="dxa"/>
            <w:tcBorders>
              <w:top w:val="nil"/>
              <w:left w:val="nil"/>
              <w:bottom w:val="single" w:sz="8" w:space="0" w:color="FFFFFF"/>
              <w:right w:val="single" w:sz="8" w:space="0" w:color="FFFFFF"/>
            </w:tcBorders>
            <w:shd w:val="clear" w:color="000000" w:fill="EFD3D2"/>
            <w:vAlign w:val="center"/>
            <w:hideMark/>
          </w:tcPr>
          <w:p w14:paraId="04276FE8" w14:textId="3E6F542A" w:rsidR="00CA1F00" w:rsidRPr="00CA1F00" w:rsidRDefault="00CA1F00" w:rsidP="00CA1F00">
            <w:pPr>
              <w:spacing w:before="0"/>
              <w:jc w:val="center"/>
              <w:rPr>
                <w:rFonts w:cs="Arial"/>
                <w:color w:val="000000"/>
                <w:sz w:val="18"/>
                <w:szCs w:val="18"/>
              </w:rPr>
            </w:pPr>
            <w:r w:rsidRPr="00CA1F00">
              <w:rPr>
                <w:rFonts w:cs="Arial"/>
                <w:sz w:val="18"/>
                <w:szCs w:val="18"/>
              </w:rPr>
              <w:t>4.9</w:t>
            </w:r>
          </w:p>
        </w:tc>
        <w:tc>
          <w:tcPr>
            <w:tcW w:w="1100" w:type="dxa"/>
            <w:tcBorders>
              <w:top w:val="nil"/>
              <w:left w:val="nil"/>
              <w:bottom w:val="single" w:sz="8" w:space="0" w:color="FFFFFF"/>
              <w:right w:val="single" w:sz="8" w:space="0" w:color="FFFFFF"/>
            </w:tcBorders>
            <w:shd w:val="clear" w:color="000000" w:fill="EFD3D2"/>
            <w:vAlign w:val="center"/>
            <w:hideMark/>
          </w:tcPr>
          <w:p w14:paraId="77FCD518" w14:textId="2B884EE7" w:rsidR="00CA1F00" w:rsidRPr="00CA1F00" w:rsidRDefault="00CA1F00" w:rsidP="00CA1F00">
            <w:pPr>
              <w:spacing w:before="0"/>
              <w:jc w:val="center"/>
              <w:rPr>
                <w:rFonts w:cs="Arial"/>
                <w:color w:val="000000"/>
                <w:sz w:val="18"/>
                <w:szCs w:val="18"/>
              </w:rPr>
            </w:pPr>
            <w:r w:rsidRPr="00CA1F00">
              <w:rPr>
                <w:rFonts w:cs="Arial"/>
                <w:sz w:val="18"/>
                <w:szCs w:val="18"/>
              </w:rPr>
              <w:t>7.6</w:t>
            </w:r>
          </w:p>
        </w:tc>
        <w:tc>
          <w:tcPr>
            <w:tcW w:w="1141" w:type="dxa"/>
            <w:tcBorders>
              <w:top w:val="nil"/>
              <w:left w:val="nil"/>
              <w:bottom w:val="single" w:sz="8" w:space="0" w:color="FFFFFF"/>
              <w:right w:val="single" w:sz="8" w:space="0" w:color="FFFFFF"/>
            </w:tcBorders>
            <w:shd w:val="clear" w:color="000000" w:fill="EFD3D2"/>
            <w:noWrap/>
            <w:vAlign w:val="center"/>
            <w:hideMark/>
          </w:tcPr>
          <w:p w14:paraId="3987F44D" w14:textId="2A5D3DDE" w:rsidR="00CA1F00" w:rsidRPr="00CA1F00" w:rsidRDefault="00CA1F00" w:rsidP="00CA1F00">
            <w:pPr>
              <w:spacing w:before="0"/>
              <w:jc w:val="center"/>
              <w:rPr>
                <w:rFonts w:cs="Arial"/>
                <w:color w:val="000000"/>
                <w:sz w:val="18"/>
                <w:szCs w:val="18"/>
              </w:rPr>
            </w:pPr>
            <w:r w:rsidRPr="00CA1F00">
              <w:rPr>
                <w:rFonts w:cs="Arial"/>
                <w:sz w:val="18"/>
                <w:szCs w:val="18"/>
              </w:rPr>
              <w:t>0.8</w:t>
            </w:r>
          </w:p>
        </w:tc>
        <w:tc>
          <w:tcPr>
            <w:tcW w:w="1142" w:type="dxa"/>
            <w:tcBorders>
              <w:top w:val="nil"/>
              <w:left w:val="nil"/>
              <w:bottom w:val="single" w:sz="8" w:space="0" w:color="FFFFFF"/>
              <w:right w:val="single" w:sz="8" w:space="0" w:color="FFFFFF"/>
            </w:tcBorders>
            <w:shd w:val="clear" w:color="000000" w:fill="EFD3D2"/>
            <w:noWrap/>
            <w:vAlign w:val="center"/>
            <w:hideMark/>
          </w:tcPr>
          <w:p w14:paraId="2FB40E1B" w14:textId="6D451297" w:rsidR="00CA1F00" w:rsidRPr="00CA1F00" w:rsidRDefault="00CA1F00" w:rsidP="00CA1F00">
            <w:pPr>
              <w:spacing w:before="0"/>
              <w:jc w:val="center"/>
              <w:rPr>
                <w:rFonts w:cs="Arial"/>
                <w:color w:val="000000"/>
                <w:sz w:val="18"/>
                <w:szCs w:val="18"/>
              </w:rPr>
            </w:pPr>
            <w:r w:rsidRPr="00CA1F00">
              <w:rPr>
                <w:rFonts w:cs="Arial"/>
                <w:sz w:val="18"/>
                <w:szCs w:val="18"/>
              </w:rPr>
              <w:t>0.7</w:t>
            </w:r>
          </w:p>
        </w:tc>
        <w:tc>
          <w:tcPr>
            <w:tcW w:w="1141" w:type="dxa"/>
            <w:tcBorders>
              <w:top w:val="nil"/>
              <w:left w:val="nil"/>
              <w:bottom w:val="single" w:sz="8" w:space="0" w:color="FFFFFF"/>
              <w:right w:val="single" w:sz="8" w:space="0" w:color="FFFFFF"/>
            </w:tcBorders>
            <w:shd w:val="clear" w:color="000000" w:fill="EFD3D2"/>
            <w:noWrap/>
            <w:vAlign w:val="center"/>
            <w:hideMark/>
          </w:tcPr>
          <w:p w14:paraId="298DFD5F" w14:textId="787A0F79" w:rsidR="00CA1F00" w:rsidRPr="00CA1F00" w:rsidRDefault="00CA1F00" w:rsidP="00CA1F00">
            <w:pPr>
              <w:spacing w:before="0"/>
              <w:jc w:val="center"/>
              <w:rPr>
                <w:rFonts w:cs="Arial"/>
                <w:color w:val="000000"/>
                <w:sz w:val="18"/>
                <w:szCs w:val="18"/>
              </w:rPr>
            </w:pPr>
            <w:r w:rsidRPr="00CA1F00">
              <w:rPr>
                <w:rFonts w:cs="Arial"/>
                <w:sz w:val="18"/>
                <w:szCs w:val="18"/>
              </w:rPr>
              <w:t>1.1</w:t>
            </w:r>
          </w:p>
        </w:tc>
        <w:tc>
          <w:tcPr>
            <w:tcW w:w="1142" w:type="dxa"/>
            <w:tcBorders>
              <w:top w:val="nil"/>
              <w:left w:val="nil"/>
              <w:bottom w:val="single" w:sz="8" w:space="0" w:color="FFFFFF"/>
              <w:right w:val="single" w:sz="8" w:space="0" w:color="FFFFFF"/>
            </w:tcBorders>
            <w:shd w:val="clear" w:color="000000" w:fill="EFD3D2"/>
            <w:vAlign w:val="center"/>
            <w:hideMark/>
          </w:tcPr>
          <w:p w14:paraId="473DFE00" w14:textId="772F5C0E" w:rsidR="00CA1F00" w:rsidRPr="00CA1F00" w:rsidRDefault="00CA1F00" w:rsidP="00CA1F00">
            <w:pPr>
              <w:spacing w:before="0"/>
              <w:jc w:val="center"/>
              <w:rPr>
                <w:rFonts w:cs="Arial"/>
                <w:color w:val="000000"/>
                <w:sz w:val="18"/>
                <w:szCs w:val="18"/>
              </w:rPr>
            </w:pPr>
            <w:r w:rsidRPr="00CA1F00">
              <w:rPr>
                <w:rFonts w:cs="Arial"/>
                <w:sz w:val="18"/>
                <w:szCs w:val="18"/>
              </w:rPr>
              <w:t>6.8</w:t>
            </w:r>
          </w:p>
        </w:tc>
        <w:tc>
          <w:tcPr>
            <w:tcW w:w="1276" w:type="dxa"/>
            <w:tcBorders>
              <w:top w:val="nil"/>
              <w:left w:val="nil"/>
              <w:bottom w:val="single" w:sz="8" w:space="0" w:color="FFFFFF"/>
              <w:right w:val="single" w:sz="8" w:space="0" w:color="FFFFFF"/>
            </w:tcBorders>
            <w:shd w:val="clear" w:color="000000" w:fill="EFD3D2"/>
            <w:noWrap/>
            <w:vAlign w:val="center"/>
            <w:hideMark/>
          </w:tcPr>
          <w:p w14:paraId="304633B2" w14:textId="4EC6D1FC" w:rsidR="00CA1F00" w:rsidRPr="00CA1F00" w:rsidRDefault="00CA1F00" w:rsidP="00CA1F00">
            <w:pPr>
              <w:spacing w:before="0"/>
              <w:jc w:val="center"/>
              <w:rPr>
                <w:rFonts w:cs="Arial"/>
                <w:b/>
                <w:bCs/>
                <w:sz w:val="18"/>
                <w:szCs w:val="18"/>
              </w:rPr>
            </w:pPr>
            <w:r w:rsidRPr="00CA1F00">
              <w:rPr>
                <w:rFonts w:cs="Arial"/>
                <w:b/>
                <w:bCs/>
                <w:sz w:val="18"/>
                <w:szCs w:val="18"/>
              </w:rPr>
              <w:t>2.2</w:t>
            </w:r>
          </w:p>
        </w:tc>
        <w:tc>
          <w:tcPr>
            <w:tcW w:w="1134" w:type="dxa"/>
            <w:tcBorders>
              <w:top w:val="nil"/>
              <w:left w:val="nil"/>
              <w:bottom w:val="single" w:sz="8" w:space="0" w:color="FFFFFF"/>
              <w:right w:val="single" w:sz="8" w:space="0" w:color="FFFFFF"/>
            </w:tcBorders>
            <w:shd w:val="clear" w:color="000000" w:fill="EFD3D2"/>
            <w:noWrap/>
            <w:vAlign w:val="center"/>
            <w:hideMark/>
          </w:tcPr>
          <w:p w14:paraId="103A0A82" w14:textId="0F84B40B" w:rsidR="00CA1F00" w:rsidRPr="00CA1F00" w:rsidRDefault="00CA1F00" w:rsidP="00CA1F00">
            <w:pPr>
              <w:spacing w:before="0"/>
              <w:jc w:val="center"/>
              <w:rPr>
                <w:rFonts w:cs="Arial"/>
                <w:sz w:val="18"/>
                <w:szCs w:val="18"/>
              </w:rPr>
            </w:pPr>
            <w:r w:rsidRPr="00CA1F00">
              <w:rPr>
                <w:rFonts w:cs="Arial"/>
                <w:sz w:val="18"/>
                <w:szCs w:val="18"/>
              </w:rPr>
              <w:t>5.9</w:t>
            </w:r>
          </w:p>
        </w:tc>
      </w:tr>
      <w:tr w:rsidR="00CA1F00" w:rsidRPr="00CA1F00" w14:paraId="7D0693F3"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808080"/>
            <w:noWrap/>
            <w:vAlign w:val="center"/>
            <w:hideMark/>
          </w:tcPr>
          <w:p w14:paraId="4C9FD888" w14:textId="77777777" w:rsidR="00CA1F00" w:rsidRPr="00CA1F00" w:rsidRDefault="00CA1F00" w:rsidP="00CA1F00">
            <w:pPr>
              <w:spacing w:before="0"/>
              <w:jc w:val="left"/>
              <w:rPr>
                <w:rFonts w:cs="Arial"/>
                <w:b/>
                <w:bCs/>
                <w:color w:val="FFFFFF" w:themeColor="background1"/>
                <w:sz w:val="18"/>
                <w:szCs w:val="18"/>
              </w:rPr>
            </w:pPr>
            <w:r w:rsidRPr="00CA1F00">
              <w:rPr>
                <w:rFonts w:cs="Arial"/>
                <w:b/>
                <w:bCs/>
                <w:color w:val="FFFFFF" w:themeColor="background1"/>
                <w:sz w:val="18"/>
                <w:szCs w:val="18"/>
              </w:rPr>
              <w:t>Total</w:t>
            </w:r>
          </w:p>
        </w:tc>
        <w:tc>
          <w:tcPr>
            <w:tcW w:w="1099" w:type="dxa"/>
            <w:tcBorders>
              <w:top w:val="nil"/>
              <w:left w:val="nil"/>
              <w:bottom w:val="single" w:sz="8" w:space="0" w:color="FFFFFF"/>
              <w:right w:val="single" w:sz="8" w:space="0" w:color="FFFFFF"/>
            </w:tcBorders>
            <w:shd w:val="clear" w:color="000000" w:fill="808080"/>
            <w:noWrap/>
            <w:vAlign w:val="center"/>
            <w:hideMark/>
          </w:tcPr>
          <w:p w14:paraId="2B42BF03" w14:textId="049FABD7"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noWrap/>
            <w:vAlign w:val="center"/>
            <w:hideMark/>
          </w:tcPr>
          <w:p w14:paraId="3AA69541" w14:textId="3B9CB731"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099" w:type="dxa"/>
            <w:tcBorders>
              <w:top w:val="nil"/>
              <w:left w:val="nil"/>
              <w:bottom w:val="single" w:sz="8" w:space="0" w:color="FFFFFF"/>
              <w:right w:val="single" w:sz="8" w:space="0" w:color="FFFFFF"/>
            </w:tcBorders>
            <w:shd w:val="clear" w:color="000000" w:fill="808080"/>
            <w:noWrap/>
            <w:vAlign w:val="center"/>
            <w:hideMark/>
          </w:tcPr>
          <w:p w14:paraId="23B8BD2D" w14:textId="799A7040"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013E23AB" w14:textId="5884635B"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47EB1310" w14:textId="7EE85193"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204732A5" w14:textId="59BED826"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noWrap/>
            <w:vAlign w:val="center"/>
            <w:hideMark/>
          </w:tcPr>
          <w:p w14:paraId="666E9D1C" w14:textId="38D5FFF4"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3C8E2BB7" w14:textId="313C2C2A"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vAlign w:val="center"/>
            <w:hideMark/>
          </w:tcPr>
          <w:p w14:paraId="352FDE94" w14:textId="316B8BB0"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276" w:type="dxa"/>
            <w:tcBorders>
              <w:top w:val="nil"/>
              <w:left w:val="nil"/>
              <w:bottom w:val="single" w:sz="8" w:space="0" w:color="FFFFFF"/>
              <w:right w:val="single" w:sz="8" w:space="0" w:color="FFFFFF"/>
            </w:tcBorders>
            <w:shd w:val="clear" w:color="000000" w:fill="808080"/>
            <w:noWrap/>
            <w:vAlign w:val="center"/>
            <w:hideMark/>
          </w:tcPr>
          <w:p w14:paraId="087A981B" w14:textId="03DA458E"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34" w:type="dxa"/>
            <w:tcBorders>
              <w:top w:val="nil"/>
              <w:left w:val="nil"/>
              <w:bottom w:val="single" w:sz="8" w:space="0" w:color="FFFFFF"/>
              <w:right w:val="single" w:sz="8" w:space="0" w:color="FFFFFF"/>
            </w:tcBorders>
            <w:shd w:val="clear" w:color="000000" w:fill="808080"/>
            <w:noWrap/>
            <w:vAlign w:val="center"/>
            <w:hideMark/>
          </w:tcPr>
          <w:p w14:paraId="6229EA18" w14:textId="2A4AB8D8" w:rsidR="00CA1F00" w:rsidRPr="00CA1F00" w:rsidRDefault="00CA1F00" w:rsidP="00CA1F00">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r>
      <w:tr w:rsidR="00106011" w:rsidRPr="00CA1F00" w14:paraId="1AF9108D" w14:textId="77777777" w:rsidTr="00106011">
        <w:trPr>
          <w:cantSplit/>
          <w:trHeight w:val="454"/>
        </w:trPr>
        <w:tc>
          <w:tcPr>
            <w:tcW w:w="2000" w:type="dxa"/>
            <w:tcBorders>
              <w:top w:val="nil"/>
              <w:left w:val="single" w:sz="8" w:space="0" w:color="FFFFFF"/>
              <w:bottom w:val="single" w:sz="8" w:space="0" w:color="FFFFFF"/>
              <w:right w:val="nil"/>
            </w:tcBorders>
            <w:shd w:val="clear" w:color="000000" w:fill="E1AAA9"/>
            <w:noWrap/>
            <w:vAlign w:val="center"/>
            <w:hideMark/>
          </w:tcPr>
          <w:p w14:paraId="0066CD70" w14:textId="063A8DFB" w:rsidR="00106011" w:rsidRPr="00CA1F00" w:rsidRDefault="00106011" w:rsidP="00106011">
            <w:pPr>
              <w:spacing w:before="0"/>
              <w:jc w:val="left"/>
              <w:rPr>
                <w:rFonts w:cs="Arial"/>
                <w:b/>
                <w:bCs/>
                <w:color w:val="000000"/>
                <w:sz w:val="18"/>
                <w:szCs w:val="18"/>
              </w:rPr>
            </w:pPr>
            <w:r w:rsidRPr="00CA1F00">
              <w:rPr>
                <w:rFonts w:cs="Arial"/>
                <w:b/>
                <w:bCs/>
                <w:color w:val="000000"/>
                <w:sz w:val="18"/>
                <w:szCs w:val="18"/>
              </w:rPr>
              <w:t>201</w:t>
            </w:r>
            <w:r w:rsidR="00CA1F00">
              <w:rPr>
                <w:rFonts w:cs="Arial"/>
                <w:b/>
                <w:bCs/>
                <w:color w:val="000000"/>
                <w:sz w:val="18"/>
                <w:szCs w:val="18"/>
              </w:rPr>
              <w:t>9</w:t>
            </w:r>
            <w:r w:rsidRPr="00CA1F00">
              <w:rPr>
                <w:rFonts w:cs="Arial"/>
                <w:b/>
                <w:bCs/>
                <w:color w:val="000000"/>
                <w:sz w:val="18"/>
                <w:szCs w:val="18"/>
              </w:rPr>
              <w:t>–</w:t>
            </w:r>
            <w:r w:rsidR="00CA1F00">
              <w:rPr>
                <w:rFonts w:cs="Arial"/>
                <w:b/>
                <w:bCs/>
                <w:color w:val="000000"/>
                <w:sz w:val="18"/>
                <w:szCs w:val="18"/>
              </w:rPr>
              <w:t>20</w:t>
            </w:r>
          </w:p>
        </w:tc>
        <w:tc>
          <w:tcPr>
            <w:tcW w:w="1099" w:type="dxa"/>
            <w:tcBorders>
              <w:top w:val="nil"/>
              <w:left w:val="nil"/>
              <w:bottom w:val="single" w:sz="8" w:space="0" w:color="FFFFFF"/>
              <w:right w:val="nil"/>
            </w:tcBorders>
            <w:shd w:val="clear" w:color="000000" w:fill="E1AAA9"/>
            <w:noWrap/>
            <w:vAlign w:val="center"/>
            <w:hideMark/>
          </w:tcPr>
          <w:p w14:paraId="02E3F46B"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noWrap/>
            <w:vAlign w:val="center"/>
            <w:hideMark/>
          </w:tcPr>
          <w:p w14:paraId="7E245F39"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099" w:type="dxa"/>
            <w:tcBorders>
              <w:top w:val="nil"/>
              <w:left w:val="nil"/>
              <w:bottom w:val="single" w:sz="8" w:space="0" w:color="FFFFFF"/>
              <w:right w:val="nil"/>
            </w:tcBorders>
            <w:shd w:val="clear" w:color="000000" w:fill="E1AAA9"/>
            <w:noWrap/>
            <w:vAlign w:val="center"/>
            <w:hideMark/>
          </w:tcPr>
          <w:p w14:paraId="5465F851"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66F427B2"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00" w:type="dxa"/>
            <w:tcBorders>
              <w:top w:val="nil"/>
              <w:left w:val="nil"/>
              <w:bottom w:val="single" w:sz="8" w:space="0" w:color="FFFFFF"/>
              <w:right w:val="nil"/>
            </w:tcBorders>
            <w:shd w:val="clear" w:color="000000" w:fill="E1AAA9"/>
            <w:vAlign w:val="center"/>
            <w:hideMark/>
          </w:tcPr>
          <w:p w14:paraId="3FA3C390"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0892345F"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noWrap/>
            <w:vAlign w:val="center"/>
            <w:hideMark/>
          </w:tcPr>
          <w:p w14:paraId="6BEFD7CE"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1" w:type="dxa"/>
            <w:tcBorders>
              <w:top w:val="nil"/>
              <w:left w:val="nil"/>
              <w:bottom w:val="single" w:sz="8" w:space="0" w:color="FFFFFF"/>
              <w:right w:val="nil"/>
            </w:tcBorders>
            <w:shd w:val="clear" w:color="000000" w:fill="E1AAA9"/>
            <w:noWrap/>
            <w:vAlign w:val="center"/>
            <w:hideMark/>
          </w:tcPr>
          <w:p w14:paraId="6B36FBFC"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42" w:type="dxa"/>
            <w:tcBorders>
              <w:top w:val="nil"/>
              <w:left w:val="nil"/>
              <w:bottom w:val="single" w:sz="8" w:space="0" w:color="FFFFFF"/>
              <w:right w:val="nil"/>
            </w:tcBorders>
            <w:shd w:val="clear" w:color="000000" w:fill="E1AAA9"/>
            <w:vAlign w:val="center"/>
            <w:hideMark/>
          </w:tcPr>
          <w:p w14:paraId="376DE005" w14:textId="77777777" w:rsidR="00106011" w:rsidRPr="00CA1F00" w:rsidRDefault="00106011" w:rsidP="00106011">
            <w:pPr>
              <w:spacing w:before="0"/>
              <w:jc w:val="right"/>
              <w:rPr>
                <w:rFonts w:cs="Arial"/>
                <w:color w:val="000000"/>
                <w:sz w:val="18"/>
                <w:szCs w:val="18"/>
              </w:rPr>
            </w:pPr>
            <w:r w:rsidRPr="00CA1F00">
              <w:rPr>
                <w:rFonts w:cs="Arial"/>
                <w:color w:val="000000"/>
                <w:sz w:val="18"/>
                <w:szCs w:val="18"/>
              </w:rPr>
              <w:t> </w:t>
            </w:r>
          </w:p>
        </w:tc>
        <w:tc>
          <w:tcPr>
            <w:tcW w:w="1276" w:type="dxa"/>
            <w:tcBorders>
              <w:top w:val="nil"/>
              <w:left w:val="nil"/>
              <w:bottom w:val="single" w:sz="8" w:space="0" w:color="FFFFFF"/>
              <w:right w:val="nil"/>
            </w:tcBorders>
            <w:shd w:val="clear" w:color="000000" w:fill="E1AAA9"/>
            <w:noWrap/>
            <w:vAlign w:val="center"/>
            <w:hideMark/>
          </w:tcPr>
          <w:p w14:paraId="0D37E1D5"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c>
          <w:tcPr>
            <w:tcW w:w="1134" w:type="dxa"/>
            <w:tcBorders>
              <w:top w:val="nil"/>
              <w:left w:val="nil"/>
              <w:bottom w:val="single" w:sz="8" w:space="0" w:color="FFFFFF"/>
              <w:right w:val="single" w:sz="8" w:space="0" w:color="FFFFFF"/>
            </w:tcBorders>
            <w:shd w:val="clear" w:color="000000" w:fill="E1AAA9"/>
            <w:noWrap/>
            <w:vAlign w:val="center"/>
            <w:hideMark/>
          </w:tcPr>
          <w:p w14:paraId="33DF5CD4" w14:textId="77777777" w:rsidR="00106011" w:rsidRPr="00CA1F00" w:rsidRDefault="00106011" w:rsidP="00106011">
            <w:pPr>
              <w:spacing w:before="0"/>
              <w:jc w:val="left"/>
              <w:rPr>
                <w:rFonts w:ascii="Calibri" w:hAnsi="Calibri" w:cs="Calibri"/>
                <w:color w:val="000000"/>
                <w:sz w:val="18"/>
                <w:szCs w:val="18"/>
              </w:rPr>
            </w:pPr>
            <w:r w:rsidRPr="00CA1F00">
              <w:rPr>
                <w:rFonts w:ascii="Calibri" w:hAnsi="Calibri" w:cs="Calibri"/>
                <w:color w:val="000000"/>
                <w:sz w:val="18"/>
                <w:szCs w:val="18"/>
              </w:rPr>
              <w:t> </w:t>
            </w:r>
          </w:p>
        </w:tc>
      </w:tr>
      <w:tr w:rsidR="00CA5BFF" w:rsidRPr="00CA1F00" w14:paraId="7850A455"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5FFCBB66" w14:textId="77777777" w:rsidR="00CA5BFF" w:rsidRPr="00CA1F00" w:rsidRDefault="00CA5BFF" w:rsidP="00CA5BFF">
            <w:pPr>
              <w:spacing w:before="0"/>
              <w:jc w:val="left"/>
              <w:rPr>
                <w:rFonts w:cs="Arial"/>
                <w:color w:val="000000"/>
                <w:sz w:val="18"/>
                <w:szCs w:val="18"/>
              </w:rPr>
            </w:pPr>
            <w:r w:rsidRPr="00CA1F00">
              <w:rPr>
                <w:rFonts w:cs="Arial"/>
                <w:color w:val="000000"/>
                <w:sz w:val="18"/>
                <w:szCs w:val="18"/>
              </w:rPr>
              <w:t>Direct to claimant</w:t>
            </w:r>
          </w:p>
        </w:tc>
        <w:tc>
          <w:tcPr>
            <w:tcW w:w="1099" w:type="dxa"/>
            <w:tcBorders>
              <w:top w:val="nil"/>
              <w:left w:val="nil"/>
              <w:bottom w:val="single" w:sz="8" w:space="0" w:color="FFFFFF"/>
              <w:right w:val="single" w:sz="8" w:space="0" w:color="FFFFFF"/>
            </w:tcBorders>
            <w:shd w:val="clear" w:color="auto" w:fill="auto"/>
            <w:noWrap/>
            <w:vAlign w:val="center"/>
            <w:hideMark/>
          </w:tcPr>
          <w:p w14:paraId="7DAE3183" w14:textId="193E1023" w:rsidR="00CA5BFF" w:rsidRPr="00CA5BFF" w:rsidRDefault="00CA5BFF" w:rsidP="00CA5BFF">
            <w:pPr>
              <w:spacing w:before="0"/>
              <w:jc w:val="center"/>
              <w:rPr>
                <w:rFonts w:cs="Arial"/>
                <w:sz w:val="18"/>
                <w:szCs w:val="18"/>
              </w:rPr>
            </w:pPr>
            <w:r w:rsidRPr="00CA5BFF">
              <w:rPr>
                <w:rFonts w:cs="Arial"/>
                <w:sz w:val="18"/>
                <w:szCs w:val="18"/>
              </w:rPr>
              <w:t>49.3</w:t>
            </w:r>
          </w:p>
        </w:tc>
        <w:tc>
          <w:tcPr>
            <w:tcW w:w="1100" w:type="dxa"/>
            <w:tcBorders>
              <w:top w:val="nil"/>
              <w:left w:val="nil"/>
              <w:bottom w:val="single" w:sz="8" w:space="0" w:color="FFFFFF"/>
              <w:right w:val="single" w:sz="8" w:space="0" w:color="FFFFFF"/>
            </w:tcBorders>
            <w:shd w:val="clear" w:color="auto" w:fill="auto"/>
            <w:noWrap/>
            <w:vAlign w:val="center"/>
            <w:hideMark/>
          </w:tcPr>
          <w:p w14:paraId="1EAE594A" w14:textId="1CA462A1" w:rsidR="00CA5BFF" w:rsidRPr="00CA1F00" w:rsidRDefault="00CA5BFF" w:rsidP="00CA5BFF">
            <w:pPr>
              <w:spacing w:before="0"/>
              <w:jc w:val="center"/>
              <w:rPr>
                <w:rFonts w:cs="Arial"/>
                <w:color w:val="000000"/>
                <w:sz w:val="18"/>
                <w:szCs w:val="18"/>
              </w:rPr>
            </w:pPr>
            <w:r w:rsidRPr="00CA1F00">
              <w:rPr>
                <w:rFonts w:cs="Arial"/>
                <w:sz w:val="18"/>
                <w:szCs w:val="18"/>
              </w:rPr>
              <w:t>56.0</w:t>
            </w:r>
          </w:p>
        </w:tc>
        <w:tc>
          <w:tcPr>
            <w:tcW w:w="1099" w:type="dxa"/>
            <w:tcBorders>
              <w:top w:val="nil"/>
              <w:left w:val="nil"/>
              <w:bottom w:val="single" w:sz="8" w:space="0" w:color="FFFFFF"/>
              <w:right w:val="single" w:sz="8" w:space="0" w:color="FFFFFF"/>
            </w:tcBorders>
            <w:shd w:val="clear" w:color="auto" w:fill="auto"/>
            <w:noWrap/>
            <w:vAlign w:val="center"/>
            <w:hideMark/>
          </w:tcPr>
          <w:p w14:paraId="21A43889" w14:textId="65863774" w:rsidR="00CA5BFF" w:rsidRPr="00CA1F00" w:rsidRDefault="00CA5BFF" w:rsidP="00CA5BFF">
            <w:pPr>
              <w:spacing w:before="0"/>
              <w:jc w:val="center"/>
              <w:rPr>
                <w:rFonts w:cs="Arial"/>
                <w:color w:val="000000"/>
                <w:sz w:val="18"/>
                <w:szCs w:val="18"/>
              </w:rPr>
            </w:pPr>
            <w:r w:rsidRPr="00CA1F00">
              <w:rPr>
                <w:rFonts w:cs="Arial"/>
                <w:sz w:val="18"/>
                <w:szCs w:val="18"/>
              </w:rPr>
              <w:t>64.8</w:t>
            </w:r>
          </w:p>
        </w:tc>
        <w:tc>
          <w:tcPr>
            <w:tcW w:w="1100" w:type="dxa"/>
            <w:tcBorders>
              <w:top w:val="nil"/>
              <w:left w:val="nil"/>
              <w:bottom w:val="single" w:sz="8" w:space="0" w:color="FFFFFF"/>
              <w:right w:val="single" w:sz="8" w:space="0" w:color="FFFFFF"/>
            </w:tcBorders>
            <w:shd w:val="clear" w:color="auto" w:fill="auto"/>
            <w:vAlign w:val="center"/>
            <w:hideMark/>
          </w:tcPr>
          <w:p w14:paraId="3419B2A4" w14:textId="4AD76B3B" w:rsidR="00CA5BFF" w:rsidRPr="00CA1F00" w:rsidRDefault="00CA5BFF" w:rsidP="00CA5BFF">
            <w:pPr>
              <w:spacing w:before="0"/>
              <w:jc w:val="center"/>
              <w:rPr>
                <w:rFonts w:cs="Arial"/>
                <w:color w:val="000000"/>
                <w:sz w:val="18"/>
                <w:szCs w:val="18"/>
              </w:rPr>
            </w:pPr>
            <w:r w:rsidRPr="00CA1F00">
              <w:rPr>
                <w:rFonts w:cs="Arial"/>
                <w:sz w:val="18"/>
                <w:szCs w:val="18"/>
              </w:rPr>
              <w:t>48.0</w:t>
            </w:r>
          </w:p>
        </w:tc>
        <w:tc>
          <w:tcPr>
            <w:tcW w:w="1100" w:type="dxa"/>
            <w:tcBorders>
              <w:top w:val="nil"/>
              <w:left w:val="nil"/>
              <w:bottom w:val="single" w:sz="8" w:space="0" w:color="FFFFFF"/>
              <w:right w:val="single" w:sz="8" w:space="0" w:color="FFFFFF"/>
            </w:tcBorders>
            <w:shd w:val="clear" w:color="auto" w:fill="auto"/>
            <w:vAlign w:val="center"/>
            <w:hideMark/>
          </w:tcPr>
          <w:p w14:paraId="58E7135F" w14:textId="4CB6DB39" w:rsidR="00CA5BFF" w:rsidRPr="00CA1F00" w:rsidRDefault="00CA5BFF" w:rsidP="00CA5BFF">
            <w:pPr>
              <w:spacing w:before="0"/>
              <w:jc w:val="center"/>
              <w:rPr>
                <w:rFonts w:cs="Arial"/>
                <w:color w:val="000000"/>
                <w:sz w:val="18"/>
                <w:szCs w:val="18"/>
              </w:rPr>
            </w:pPr>
            <w:r w:rsidRPr="00CA1F00">
              <w:rPr>
                <w:rFonts w:cs="Arial"/>
                <w:sz w:val="18"/>
                <w:szCs w:val="18"/>
              </w:rPr>
              <w:t>51.3</w:t>
            </w:r>
          </w:p>
        </w:tc>
        <w:tc>
          <w:tcPr>
            <w:tcW w:w="1141" w:type="dxa"/>
            <w:tcBorders>
              <w:top w:val="nil"/>
              <w:left w:val="nil"/>
              <w:bottom w:val="single" w:sz="8" w:space="0" w:color="FFFFFF"/>
              <w:right w:val="single" w:sz="8" w:space="0" w:color="FFFFFF"/>
            </w:tcBorders>
            <w:shd w:val="clear" w:color="auto" w:fill="auto"/>
            <w:noWrap/>
            <w:vAlign w:val="center"/>
            <w:hideMark/>
          </w:tcPr>
          <w:p w14:paraId="33DEFC87" w14:textId="2217E477" w:rsidR="00CA5BFF" w:rsidRPr="00CA1F00" w:rsidRDefault="00CA5BFF" w:rsidP="00CA5BFF">
            <w:pPr>
              <w:spacing w:before="0"/>
              <w:jc w:val="center"/>
              <w:rPr>
                <w:rFonts w:cs="Arial"/>
                <w:color w:val="000000"/>
                <w:sz w:val="18"/>
                <w:szCs w:val="18"/>
              </w:rPr>
            </w:pPr>
            <w:r w:rsidRPr="00CA1F00">
              <w:rPr>
                <w:rFonts w:cs="Arial"/>
                <w:sz w:val="18"/>
                <w:szCs w:val="18"/>
              </w:rPr>
              <w:t>53.2</w:t>
            </w:r>
          </w:p>
        </w:tc>
        <w:tc>
          <w:tcPr>
            <w:tcW w:w="1142" w:type="dxa"/>
            <w:tcBorders>
              <w:top w:val="nil"/>
              <w:left w:val="nil"/>
              <w:bottom w:val="single" w:sz="8" w:space="0" w:color="FFFFFF"/>
              <w:right w:val="single" w:sz="8" w:space="0" w:color="FFFFFF"/>
            </w:tcBorders>
            <w:shd w:val="clear" w:color="auto" w:fill="auto"/>
            <w:noWrap/>
            <w:vAlign w:val="center"/>
            <w:hideMark/>
          </w:tcPr>
          <w:p w14:paraId="0C8A98CB" w14:textId="01CD3A32" w:rsidR="00CA5BFF" w:rsidRPr="00CA1F00" w:rsidRDefault="00CA5BFF" w:rsidP="00CA5BFF">
            <w:pPr>
              <w:spacing w:before="0"/>
              <w:jc w:val="center"/>
              <w:rPr>
                <w:rFonts w:cs="Arial"/>
                <w:color w:val="000000"/>
                <w:sz w:val="18"/>
                <w:szCs w:val="18"/>
              </w:rPr>
            </w:pPr>
            <w:r w:rsidRPr="00CA1F00">
              <w:rPr>
                <w:rFonts w:cs="Arial"/>
                <w:sz w:val="18"/>
                <w:szCs w:val="18"/>
              </w:rPr>
              <w:t>51.6</w:t>
            </w:r>
          </w:p>
        </w:tc>
        <w:tc>
          <w:tcPr>
            <w:tcW w:w="1141" w:type="dxa"/>
            <w:tcBorders>
              <w:top w:val="nil"/>
              <w:left w:val="nil"/>
              <w:bottom w:val="single" w:sz="8" w:space="0" w:color="FFFFFF"/>
              <w:right w:val="single" w:sz="8" w:space="0" w:color="FFFFFF"/>
            </w:tcBorders>
            <w:shd w:val="clear" w:color="auto" w:fill="auto"/>
            <w:noWrap/>
            <w:vAlign w:val="center"/>
            <w:hideMark/>
          </w:tcPr>
          <w:p w14:paraId="3C145DBE" w14:textId="1D7BF3E1" w:rsidR="00CA5BFF" w:rsidRPr="00CA1F00" w:rsidRDefault="00CA5BFF" w:rsidP="00CA5BFF">
            <w:pPr>
              <w:spacing w:before="0"/>
              <w:jc w:val="center"/>
              <w:rPr>
                <w:rFonts w:cs="Arial"/>
                <w:color w:val="000000"/>
                <w:sz w:val="18"/>
                <w:szCs w:val="18"/>
              </w:rPr>
            </w:pPr>
            <w:r w:rsidRPr="00CA1F00">
              <w:rPr>
                <w:rFonts w:cs="Arial"/>
                <w:sz w:val="18"/>
                <w:szCs w:val="18"/>
              </w:rPr>
              <w:t>47.</w:t>
            </w:r>
            <w:r>
              <w:rPr>
                <w:rFonts w:cs="Arial"/>
                <w:sz w:val="18"/>
                <w:szCs w:val="18"/>
              </w:rPr>
              <w:t>7</w:t>
            </w:r>
          </w:p>
        </w:tc>
        <w:tc>
          <w:tcPr>
            <w:tcW w:w="1142" w:type="dxa"/>
            <w:tcBorders>
              <w:top w:val="nil"/>
              <w:left w:val="nil"/>
              <w:bottom w:val="single" w:sz="8" w:space="0" w:color="FFFFFF"/>
              <w:right w:val="single" w:sz="8" w:space="0" w:color="FFFFFF"/>
            </w:tcBorders>
            <w:shd w:val="clear" w:color="auto" w:fill="auto"/>
            <w:vAlign w:val="center"/>
            <w:hideMark/>
          </w:tcPr>
          <w:p w14:paraId="745D0C20" w14:textId="0C0FB588" w:rsidR="00CA5BFF" w:rsidRPr="00CA1F00" w:rsidRDefault="00CA5BFF" w:rsidP="00CA5BFF">
            <w:pPr>
              <w:spacing w:before="0"/>
              <w:jc w:val="center"/>
              <w:rPr>
                <w:rFonts w:cs="Arial"/>
                <w:color w:val="000000"/>
                <w:sz w:val="18"/>
                <w:szCs w:val="18"/>
              </w:rPr>
            </w:pPr>
            <w:r w:rsidRPr="00CA1F00">
              <w:rPr>
                <w:rFonts w:cs="Arial"/>
                <w:sz w:val="18"/>
                <w:szCs w:val="18"/>
              </w:rPr>
              <w:t>64.9</w:t>
            </w:r>
          </w:p>
        </w:tc>
        <w:tc>
          <w:tcPr>
            <w:tcW w:w="1276" w:type="dxa"/>
            <w:tcBorders>
              <w:top w:val="nil"/>
              <w:left w:val="nil"/>
              <w:bottom w:val="single" w:sz="8" w:space="0" w:color="FFFFFF"/>
              <w:right w:val="single" w:sz="8" w:space="0" w:color="FFFFFF"/>
            </w:tcBorders>
            <w:shd w:val="clear" w:color="auto" w:fill="auto"/>
            <w:noWrap/>
            <w:vAlign w:val="center"/>
            <w:hideMark/>
          </w:tcPr>
          <w:p w14:paraId="30A71A1E" w14:textId="6248FA80" w:rsidR="00CA5BFF" w:rsidRPr="00D170E0" w:rsidRDefault="00CA5BFF" w:rsidP="00CA5BFF">
            <w:pPr>
              <w:spacing w:before="0"/>
              <w:jc w:val="center"/>
              <w:rPr>
                <w:rFonts w:cs="Arial"/>
                <w:b/>
                <w:bCs/>
                <w:sz w:val="18"/>
                <w:szCs w:val="18"/>
              </w:rPr>
            </w:pPr>
            <w:r w:rsidRPr="00D170E0">
              <w:rPr>
                <w:rFonts w:cs="Arial"/>
                <w:b/>
                <w:bCs/>
                <w:sz w:val="18"/>
                <w:szCs w:val="18"/>
              </w:rPr>
              <w:t>54.4</w:t>
            </w:r>
          </w:p>
        </w:tc>
        <w:tc>
          <w:tcPr>
            <w:tcW w:w="1134" w:type="dxa"/>
            <w:tcBorders>
              <w:top w:val="nil"/>
              <w:left w:val="nil"/>
              <w:bottom w:val="single" w:sz="8" w:space="0" w:color="FFFFFF"/>
              <w:right w:val="single" w:sz="8" w:space="0" w:color="FFFFFF"/>
            </w:tcBorders>
            <w:shd w:val="clear" w:color="auto" w:fill="auto"/>
            <w:noWrap/>
            <w:vAlign w:val="center"/>
            <w:hideMark/>
          </w:tcPr>
          <w:p w14:paraId="15A1B95B" w14:textId="3F55CD95" w:rsidR="00CA5BFF" w:rsidRPr="00CA1F00" w:rsidRDefault="00CA5BFF" w:rsidP="00CA5BFF">
            <w:pPr>
              <w:spacing w:before="0"/>
              <w:jc w:val="center"/>
              <w:rPr>
                <w:rFonts w:cs="Arial"/>
                <w:color w:val="000000"/>
                <w:sz w:val="18"/>
                <w:szCs w:val="18"/>
              </w:rPr>
            </w:pPr>
            <w:r w:rsidRPr="00CA1F00">
              <w:rPr>
                <w:rFonts w:cs="Arial"/>
                <w:b/>
                <w:bCs/>
                <w:sz w:val="18"/>
                <w:szCs w:val="18"/>
              </w:rPr>
              <w:t>52.3</w:t>
            </w:r>
          </w:p>
        </w:tc>
      </w:tr>
      <w:tr w:rsidR="00CA5BFF" w:rsidRPr="00CA1F00" w14:paraId="44B9A15E"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48BD4DA2" w14:textId="77777777" w:rsidR="00CA5BFF" w:rsidRPr="00CA1F00" w:rsidRDefault="00CA5BFF" w:rsidP="00CA5BFF">
            <w:pPr>
              <w:spacing w:before="0"/>
              <w:jc w:val="left"/>
              <w:rPr>
                <w:rFonts w:cs="Arial"/>
                <w:color w:val="000000"/>
                <w:sz w:val="18"/>
                <w:szCs w:val="18"/>
              </w:rPr>
            </w:pPr>
            <w:r w:rsidRPr="00CA1F00">
              <w:rPr>
                <w:rFonts w:cs="Arial"/>
                <w:color w:val="000000"/>
                <w:sz w:val="18"/>
                <w:szCs w:val="18"/>
              </w:rPr>
              <w:t>Services to claimant</w:t>
            </w:r>
          </w:p>
        </w:tc>
        <w:tc>
          <w:tcPr>
            <w:tcW w:w="1099" w:type="dxa"/>
            <w:tcBorders>
              <w:top w:val="nil"/>
              <w:left w:val="nil"/>
              <w:bottom w:val="single" w:sz="8" w:space="0" w:color="FFFFFF"/>
              <w:right w:val="single" w:sz="8" w:space="0" w:color="FFFFFF"/>
            </w:tcBorders>
            <w:shd w:val="clear" w:color="000000" w:fill="EFD3D2"/>
            <w:noWrap/>
            <w:vAlign w:val="center"/>
            <w:hideMark/>
          </w:tcPr>
          <w:p w14:paraId="21582A54" w14:textId="2F181793" w:rsidR="00CA5BFF" w:rsidRPr="00CA5BFF" w:rsidRDefault="00CA5BFF" w:rsidP="00CA5BFF">
            <w:pPr>
              <w:spacing w:before="0"/>
              <w:jc w:val="center"/>
              <w:rPr>
                <w:rFonts w:cs="Arial"/>
                <w:sz w:val="18"/>
                <w:szCs w:val="18"/>
              </w:rPr>
            </w:pPr>
            <w:r w:rsidRPr="00CA5BFF">
              <w:rPr>
                <w:rFonts w:cs="Arial"/>
                <w:sz w:val="18"/>
                <w:szCs w:val="18"/>
              </w:rPr>
              <w:t>28.2</w:t>
            </w:r>
          </w:p>
        </w:tc>
        <w:tc>
          <w:tcPr>
            <w:tcW w:w="1100" w:type="dxa"/>
            <w:tcBorders>
              <w:top w:val="nil"/>
              <w:left w:val="nil"/>
              <w:bottom w:val="single" w:sz="8" w:space="0" w:color="FFFFFF"/>
              <w:right w:val="single" w:sz="8" w:space="0" w:color="FFFFFF"/>
            </w:tcBorders>
            <w:shd w:val="clear" w:color="000000" w:fill="EFD3D2"/>
            <w:noWrap/>
            <w:vAlign w:val="center"/>
            <w:hideMark/>
          </w:tcPr>
          <w:p w14:paraId="4E5C9043" w14:textId="0B29C502" w:rsidR="00CA5BFF" w:rsidRPr="00CA1F00" w:rsidRDefault="00CA5BFF" w:rsidP="00CA5BFF">
            <w:pPr>
              <w:spacing w:before="0"/>
              <w:jc w:val="center"/>
              <w:rPr>
                <w:rFonts w:cs="Arial"/>
                <w:color w:val="000000"/>
                <w:sz w:val="18"/>
                <w:szCs w:val="18"/>
              </w:rPr>
            </w:pPr>
            <w:r w:rsidRPr="00CA1F00">
              <w:rPr>
                <w:rFonts w:cs="Arial"/>
                <w:sz w:val="18"/>
                <w:szCs w:val="18"/>
              </w:rPr>
              <w:t>20.5</w:t>
            </w:r>
          </w:p>
        </w:tc>
        <w:tc>
          <w:tcPr>
            <w:tcW w:w="1099" w:type="dxa"/>
            <w:tcBorders>
              <w:top w:val="nil"/>
              <w:left w:val="nil"/>
              <w:bottom w:val="single" w:sz="8" w:space="0" w:color="FFFFFF"/>
              <w:right w:val="single" w:sz="8" w:space="0" w:color="FFFFFF"/>
            </w:tcBorders>
            <w:shd w:val="clear" w:color="000000" w:fill="EFD3D2"/>
            <w:noWrap/>
            <w:vAlign w:val="center"/>
            <w:hideMark/>
          </w:tcPr>
          <w:p w14:paraId="50173993" w14:textId="7004E0D7" w:rsidR="00CA5BFF" w:rsidRPr="00CA1F00" w:rsidRDefault="00CA5BFF" w:rsidP="00CA5BFF">
            <w:pPr>
              <w:spacing w:before="0"/>
              <w:jc w:val="center"/>
              <w:rPr>
                <w:rFonts w:cs="Arial"/>
                <w:color w:val="000000"/>
                <w:sz w:val="18"/>
                <w:szCs w:val="18"/>
              </w:rPr>
            </w:pPr>
            <w:r w:rsidRPr="00CA1F00">
              <w:rPr>
                <w:rFonts w:cs="Arial"/>
                <w:sz w:val="18"/>
                <w:szCs w:val="18"/>
              </w:rPr>
              <w:t>23.6</w:t>
            </w:r>
          </w:p>
        </w:tc>
        <w:tc>
          <w:tcPr>
            <w:tcW w:w="1100" w:type="dxa"/>
            <w:tcBorders>
              <w:top w:val="nil"/>
              <w:left w:val="nil"/>
              <w:bottom w:val="single" w:sz="8" w:space="0" w:color="FFFFFF"/>
              <w:right w:val="single" w:sz="8" w:space="0" w:color="FFFFFF"/>
            </w:tcBorders>
            <w:shd w:val="clear" w:color="000000" w:fill="EFD3D2"/>
            <w:vAlign w:val="center"/>
            <w:hideMark/>
          </w:tcPr>
          <w:p w14:paraId="26089113" w14:textId="5A274D31" w:rsidR="00CA5BFF" w:rsidRPr="00CA1F00" w:rsidRDefault="00CA5BFF" w:rsidP="00CA5BFF">
            <w:pPr>
              <w:spacing w:before="0"/>
              <w:jc w:val="center"/>
              <w:rPr>
                <w:rFonts w:cs="Arial"/>
                <w:color w:val="000000"/>
                <w:sz w:val="18"/>
                <w:szCs w:val="18"/>
              </w:rPr>
            </w:pPr>
            <w:r w:rsidRPr="00CA1F00">
              <w:rPr>
                <w:rFonts w:cs="Arial"/>
                <w:sz w:val="18"/>
                <w:szCs w:val="18"/>
              </w:rPr>
              <w:t>26.0</w:t>
            </w:r>
          </w:p>
        </w:tc>
        <w:tc>
          <w:tcPr>
            <w:tcW w:w="1100" w:type="dxa"/>
            <w:tcBorders>
              <w:top w:val="nil"/>
              <w:left w:val="nil"/>
              <w:bottom w:val="single" w:sz="8" w:space="0" w:color="FFFFFF"/>
              <w:right w:val="single" w:sz="8" w:space="0" w:color="FFFFFF"/>
            </w:tcBorders>
            <w:shd w:val="clear" w:color="000000" w:fill="EFD3D2"/>
            <w:vAlign w:val="center"/>
            <w:hideMark/>
          </w:tcPr>
          <w:p w14:paraId="31B2431F" w14:textId="3266F0E1" w:rsidR="00CA5BFF" w:rsidRPr="00CA1F00" w:rsidRDefault="00CA5BFF" w:rsidP="00CA5BFF">
            <w:pPr>
              <w:spacing w:before="0"/>
              <w:jc w:val="center"/>
              <w:rPr>
                <w:rFonts w:cs="Arial"/>
                <w:color w:val="000000"/>
                <w:sz w:val="18"/>
                <w:szCs w:val="18"/>
              </w:rPr>
            </w:pPr>
            <w:r w:rsidRPr="00CA1F00">
              <w:rPr>
                <w:rFonts w:cs="Arial"/>
                <w:sz w:val="18"/>
                <w:szCs w:val="18"/>
              </w:rPr>
              <w:t>29.0</w:t>
            </w:r>
          </w:p>
        </w:tc>
        <w:tc>
          <w:tcPr>
            <w:tcW w:w="1141" w:type="dxa"/>
            <w:tcBorders>
              <w:top w:val="nil"/>
              <w:left w:val="nil"/>
              <w:bottom w:val="single" w:sz="8" w:space="0" w:color="FFFFFF"/>
              <w:right w:val="single" w:sz="8" w:space="0" w:color="FFFFFF"/>
            </w:tcBorders>
            <w:shd w:val="clear" w:color="000000" w:fill="EFD3D2"/>
            <w:noWrap/>
            <w:vAlign w:val="center"/>
            <w:hideMark/>
          </w:tcPr>
          <w:p w14:paraId="1EC5BF1A" w14:textId="7D93B494" w:rsidR="00CA5BFF" w:rsidRPr="00CA1F00" w:rsidRDefault="00CA5BFF" w:rsidP="00CA5BFF">
            <w:pPr>
              <w:spacing w:before="0"/>
              <w:jc w:val="center"/>
              <w:rPr>
                <w:rFonts w:cs="Arial"/>
                <w:color w:val="000000"/>
                <w:sz w:val="18"/>
                <w:szCs w:val="18"/>
              </w:rPr>
            </w:pPr>
            <w:r w:rsidRPr="00CA1F00">
              <w:rPr>
                <w:rFonts w:cs="Arial"/>
                <w:sz w:val="18"/>
                <w:szCs w:val="18"/>
              </w:rPr>
              <w:t>20.9</w:t>
            </w:r>
          </w:p>
        </w:tc>
        <w:tc>
          <w:tcPr>
            <w:tcW w:w="1142" w:type="dxa"/>
            <w:tcBorders>
              <w:top w:val="nil"/>
              <w:left w:val="nil"/>
              <w:bottom w:val="single" w:sz="8" w:space="0" w:color="FFFFFF"/>
              <w:right w:val="single" w:sz="8" w:space="0" w:color="FFFFFF"/>
            </w:tcBorders>
            <w:shd w:val="clear" w:color="000000" w:fill="EFD3D2"/>
            <w:noWrap/>
            <w:vAlign w:val="center"/>
            <w:hideMark/>
          </w:tcPr>
          <w:p w14:paraId="2340FCD3" w14:textId="1E0B454B" w:rsidR="00CA5BFF" w:rsidRPr="00CA1F00" w:rsidRDefault="00CA5BFF" w:rsidP="00CA5BFF">
            <w:pPr>
              <w:spacing w:before="0"/>
              <w:jc w:val="center"/>
              <w:rPr>
                <w:rFonts w:cs="Arial"/>
                <w:color w:val="000000"/>
                <w:sz w:val="18"/>
                <w:szCs w:val="18"/>
              </w:rPr>
            </w:pPr>
            <w:r w:rsidRPr="00CA1F00">
              <w:rPr>
                <w:rFonts w:cs="Arial"/>
                <w:sz w:val="18"/>
                <w:szCs w:val="18"/>
              </w:rPr>
              <w:t>21.7</w:t>
            </w:r>
          </w:p>
        </w:tc>
        <w:tc>
          <w:tcPr>
            <w:tcW w:w="1141" w:type="dxa"/>
            <w:tcBorders>
              <w:top w:val="nil"/>
              <w:left w:val="nil"/>
              <w:bottom w:val="single" w:sz="8" w:space="0" w:color="FFFFFF"/>
              <w:right w:val="single" w:sz="8" w:space="0" w:color="FFFFFF"/>
            </w:tcBorders>
            <w:shd w:val="clear" w:color="000000" w:fill="EFD3D2"/>
            <w:noWrap/>
            <w:vAlign w:val="center"/>
            <w:hideMark/>
          </w:tcPr>
          <w:p w14:paraId="0F2FDCDC" w14:textId="68E252B9" w:rsidR="00CA5BFF" w:rsidRPr="00CA1F00" w:rsidRDefault="00CA5BFF" w:rsidP="00CA5BFF">
            <w:pPr>
              <w:spacing w:before="0"/>
              <w:jc w:val="center"/>
              <w:rPr>
                <w:rFonts w:cs="Arial"/>
                <w:color w:val="000000"/>
                <w:sz w:val="18"/>
                <w:szCs w:val="18"/>
              </w:rPr>
            </w:pPr>
            <w:r w:rsidRPr="00CA1F00">
              <w:rPr>
                <w:rFonts w:cs="Arial"/>
                <w:sz w:val="18"/>
                <w:szCs w:val="18"/>
              </w:rPr>
              <w:t>25.3</w:t>
            </w:r>
          </w:p>
        </w:tc>
        <w:tc>
          <w:tcPr>
            <w:tcW w:w="1142" w:type="dxa"/>
            <w:tcBorders>
              <w:top w:val="nil"/>
              <w:left w:val="nil"/>
              <w:bottom w:val="single" w:sz="8" w:space="0" w:color="FFFFFF"/>
              <w:right w:val="single" w:sz="8" w:space="0" w:color="FFFFFF"/>
            </w:tcBorders>
            <w:shd w:val="clear" w:color="000000" w:fill="EFD3D2"/>
            <w:vAlign w:val="center"/>
            <w:hideMark/>
          </w:tcPr>
          <w:p w14:paraId="3A388BDC" w14:textId="21AB8F8D" w:rsidR="00CA5BFF" w:rsidRPr="00CA1F00" w:rsidRDefault="00CA5BFF" w:rsidP="00CA5BFF">
            <w:pPr>
              <w:spacing w:before="0"/>
              <w:jc w:val="center"/>
              <w:rPr>
                <w:rFonts w:cs="Arial"/>
                <w:color w:val="000000"/>
                <w:sz w:val="18"/>
                <w:szCs w:val="18"/>
              </w:rPr>
            </w:pPr>
            <w:r w:rsidRPr="00CA1F00">
              <w:rPr>
                <w:rFonts w:cs="Arial"/>
                <w:sz w:val="18"/>
                <w:szCs w:val="18"/>
              </w:rPr>
              <w:t>17.5</w:t>
            </w:r>
          </w:p>
        </w:tc>
        <w:tc>
          <w:tcPr>
            <w:tcW w:w="1276" w:type="dxa"/>
            <w:tcBorders>
              <w:top w:val="nil"/>
              <w:left w:val="nil"/>
              <w:bottom w:val="single" w:sz="8" w:space="0" w:color="FFFFFF"/>
              <w:right w:val="single" w:sz="8" w:space="0" w:color="FFFFFF"/>
            </w:tcBorders>
            <w:shd w:val="clear" w:color="000000" w:fill="EFD3D2"/>
            <w:noWrap/>
            <w:vAlign w:val="center"/>
            <w:hideMark/>
          </w:tcPr>
          <w:p w14:paraId="265A49A5" w14:textId="4B1572E5" w:rsidR="00CA5BFF" w:rsidRPr="00D170E0" w:rsidRDefault="00CA5BFF" w:rsidP="00CA5BFF">
            <w:pPr>
              <w:spacing w:before="0"/>
              <w:jc w:val="center"/>
              <w:rPr>
                <w:rFonts w:cs="Arial"/>
                <w:b/>
                <w:bCs/>
                <w:sz w:val="18"/>
                <w:szCs w:val="18"/>
              </w:rPr>
            </w:pPr>
            <w:r w:rsidRPr="00D170E0">
              <w:rPr>
                <w:rFonts w:cs="Arial"/>
                <w:b/>
                <w:bCs/>
                <w:sz w:val="18"/>
                <w:szCs w:val="18"/>
              </w:rPr>
              <w:t>24.1</w:t>
            </w:r>
          </w:p>
        </w:tc>
        <w:tc>
          <w:tcPr>
            <w:tcW w:w="1134" w:type="dxa"/>
            <w:tcBorders>
              <w:top w:val="nil"/>
              <w:left w:val="nil"/>
              <w:bottom w:val="single" w:sz="8" w:space="0" w:color="FFFFFF"/>
              <w:right w:val="single" w:sz="8" w:space="0" w:color="FFFFFF"/>
            </w:tcBorders>
            <w:shd w:val="clear" w:color="000000" w:fill="EFD3D2"/>
            <w:noWrap/>
            <w:vAlign w:val="center"/>
            <w:hideMark/>
          </w:tcPr>
          <w:p w14:paraId="70C806CC" w14:textId="220BB581" w:rsidR="00CA5BFF" w:rsidRPr="00CA1F00" w:rsidRDefault="00CA5BFF" w:rsidP="00CA5BFF">
            <w:pPr>
              <w:spacing w:before="0"/>
              <w:jc w:val="center"/>
              <w:rPr>
                <w:rFonts w:cs="Arial"/>
                <w:color w:val="000000"/>
                <w:sz w:val="18"/>
                <w:szCs w:val="18"/>
              </w:rPr>
            </w:pPr>
            <w:r w:rsidRPr="00CA1F00">
              <w:rPr>
                <w:rFonts w:cs="Arial"/>
                <w:b/>
                <w:bCs/>
                <w:sz w:val="18"/>
                <w:szCs w:val="18"/>
              </w:rPr>
              <w:t>30.9</w:t>
            </w:r>
          </w:p>
        </w:tc>
      </w:tr>
      <w:tr w:rsidR="00CA5BFF" w:rsidRPr="00CA1F00" w14:paraId="39EB15C8"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2070644C" w14:textId="77777777" w:rsidR="00CA5BFF" w:rsidRPr="00CA1F00" w:rsidRDefault="00CA5BFF" w:rsidP="00CA5BFF">
            <w:pPr>
              <w:spacing w:before="0"/>
              <w:jc w:val="left"/>
              <w:rPr>
                <w:rFonts w:cs="Arial"/>
                <w:color w:val="000000"/>
                <w:sz w:val="18"/>
                <w:szCs w:val="18"/>
              </w:rPr>
            </w:pPr>
            <w:r w:rsidRPr="00CA1F00">
              <w:rPr>
                <w:rFonts w:cs="Arial"/>
                <w:color w:val="000000"/>
                <w:sz w:val="18"/>
                <w:szCs w:val="18"/>
              </w:rPr>
              <w:t>Insurance operations</w:t>
            </w:r>
          </w:p>
        </w:tc>
        <w:tc>
          <w:tcPr>
            <w:tcW w:w="1099" w:type="dxa"/>
            <w:tcBorders>
              <w:top w:val="nil"/>
              <w:left w:val="nil"/>
              <w:bottom w:val="single" w:sz="8" w:space="0" w:color="FFFFFF"/>
              <w:right w:val="single" w:sz="8" w:space="0" w:color="FFFFFF"/>
            </w:tcBorders>
            <w:shd w:val="clear" w:color="auto" w:fill="auto"/>
            <w:noWrap/>
            <w:vAlign w:val="center"/>
            <w:hideMark/>
          </w:tcPr>
          <w:p w14:paraId="12C48696" w14:textId="10ADE0F5" w:rsidR="00CA5BFF" w:rsidRPr="00CA5BFF" w:rsidRDefault="00CA5BFF" w:rsidP="00CA5BFF">
            <w:pPr>
              <w:spacing w:before="0"/>
              <w:jc w:val="center"/>
              <w:rPr>
                <w:rFonts w:cs="Arial"/>
                <w:sz w:val="18"/>
                <w:szCs w:val="18"/>
              </w:rPr>
            </w:pPr>
            <w:r w:rsidRPr="00CA5BFF">
              <w:rPr>
                <w:rFonts w:cs="Arial"/>
                <w:sz w:val="18"/>
                <w:szCs w:val="18"/>
              </w:rPr>
              <w:t>13.0</w:t>
            </w:r>
          </w:p>
        </w:tc>
        <w:tc>
          <w:tcPr>
            <w:tcW w:w="1100" w:type="dxa"/>
            <w:tcBorders>
              <w:top w:val="nil"/>
              <w:left w:val="nil"/>
              <w:bottom w:val="single" w:sz="8" w:space="0" w:color="FFFFFF"/>
              <w:right w:val="single" w:sz="8" w:space="0" w:color="FFFFFF"/>
            </w:tcBorders>
            <w:shd w:val="clear" w:color="auto" w:fill="auto"/>
            <w:noWrap/>
            <w:vAlign w:val="center"/>
            <w:hideMark/>
          </w:tcPr>
          <w:p w14:paraId="186BED34" w14:textId="4F7C15A6" w:rsidR="00CA5BFF" w:rsidRPr="00CA1F00" w:rsidRDefault="00CA5BFF" w:rsidP="00CA5BFF">
            <w:pPr>
              <w:spacing w:before="0"/>
              <w:jc w:val="center"/>
              <w:rPr>
                <w:rFonts w:cs="Arial"/>
                <w:color w:val="000000"/>
                <w:sz w:val="18"/>
                <w:szCs w:val="18"/>
              </w:rPr>
            </w:pPr>
            <w:r w:rsidRPr="00CA1F00">
              <w:rPr>
                <w:rFonts w:cs="Arial"/>
                <w:sz w:val="18"/>
                <w:szCs w:val="18"/>
              </w:rPr>
              <w:t>17.9</w:t>
            </w:r>
          </w:p>
        </w:tc>
        <w:tc>
          <w:tcPr>
            <w:tcW w:w="1099" w:type="dxa"/>
            <w:tcBorders>
              <w:top w:val="nil"/>
              <w:left w:val="nil"/>
              <w:bottom w:val="single" w:sz="8" w:space="0" w:color="FFFFFF"/>
              <w:right w:val="single" w:sz="8" w:space="0" w:color="FFFFFF"/>
            </w:tcBorders>
            <w:shd w:val="clear" w:color="auto" w:fill="auto"/>
            <w:noWrap/>
            <w:vAlign w:val="center"/>
            <w:hideMark/>
          </w:tcPr>
          <w:p w14:paraId="7F77AD04" w14:textId="41A39CDA" w:rsidR="00CA5BFF" w:rsidRPr="00CA1F00" w:rsidRDefault="00CA5BFF" w:rsidP="00CA5BFF">
            <w:pPr>
              <w:spacing w:before="0"/>
              <w:jc w:val="center"/>
              <w:rPr>
                <w:rFonts w:cs="Arial"/>
                <w:color w:val="000000"/>
                <w:sz w:val="18"/>
                <w:szCs w:val="18"/>
              </w:rPr>
            </w:pPr>
            <w:r w:rsidRPr="00CA1F00">
              <w:rPr>
                <w:rFonts w:cs="Arial"/>
                <w:sz w:val="18"/>
                <w:szCs w:val="18"/>
              </w:rPr>
              <w:t>6.8</w:t>
            </w:r>
          </w:p>
        </w:tc>
        <w:tc>
          <w:tcPr>
            <w:tcW w:w="1100" w:type="dxa"/>
            <w:tcBorders>
              <w:top w:val="nil"/>
              <w:left w:val="nil"/>
              <w:bottom w:val="single" w:sz="8" w:space="0" w:color="FFFFFF"/>
              <w:right w:val="single" w:sz="8" w:space="0" w:color="FFFFFF"/>
            </w:tcBorders>
            <w:shd w:val="clear" w:color="auto" w:fill="auto"/>
            <w:vAlign w:val="center"/>
            <w:hideMark/>
          </w:tcPr>
          <w:p w14:paraId="2D357D72" w14:textId="75C2E33F" w:rsidR="00CA5BFF" w:rsidRPr="00CA1F00" w:rsidRDefault="00CA5BFF" w:rsidP="00CA5BFF">
            <w:pPr>
              <w:spacing w:before="0"/>
              <w:jc w:val="center"/>
              <w:rPr>
                <w:rFonts w:cs="Arial"/>
                <w:color w:val="000000"/>
                <w:sz w:val="18"/>
                <w:szCs w:val="18"/>
              </w:rPr>
            </w:pPr>
            <w:r w:rsidRPr="00CA1F00">
              <w:rPr>
                <w:rFonts w:cs="Arial"/>
                <w:sz w:val="18"/>
                <w:szCs w:val="18"/>
              </w:rPr>
              <w:t>17.9</w:t>
            </w:r>
          </w:p>
        </w:tc>
        <w:tc>
          <w:tcPr>
            <w:tcW w:w="1100" w:type="dxa"/>
            <w:tcBorders>
              <w:top w:val="nil"/>
              <w:left w:val="nil"/>
              <w:bottom w:val="single" w:sz="8" w:space="0" w:color="FFFFFF"/>
              <w:right w:val="single" w:sz="8" w:space="0" w:color="FFFFFF"/>
            </w:tcBorders>
            <w:shd w:val="clear" w:color="auto" w:fill="auto"/>
            <w:vAlign w:val="center"/>
            <w:hideMark/>
          </w:tcPr>
          <w:p w14:paraId="781A5627" w14:textId="7A73594A" w:rsidR="00CA5BFF" w:rsidRPr="00CA1F00" w:rsidRDefault="00CA5BFF" w:rsidP="00CA5BFF">
            <w:pPr>
              <w:spacing w:before="0"/>
              <w:jc w:val="center"/>
              <w:rPr>
                <w:rFonts w:cs="Arial"/>
                <w:color w:val="000000"/>
                <w:sz w:val="18"/>
                <w:szCs w:val="18"/>
              </w:rPr>
            </w:pPr>
            <w:r w:rsidRPr="00CA1F00">
              <w:rPr>
                <w:rFonts w:cs="Arial"/>
                <w:sz w:val="18"/>
                <w:szCs w:val="18"/>
              </w:rPr>
              <w:t>9.4</w:t>
            </w:r>
          </w:p>
        </w:tc>
        <w:tc>
          <w:tcPr>
            <w:tcW w:w="1141" w:type="dxa"/>
            <w:tcBorders>
              <w:top w:val="nil"/>
              <w:left w:val="nil"/>
              <w:bottom w:val="single" w:sz="8" w:space="0" w:color="FFFFFF"/>
              <w:right w:val="single" w:sz="8" w:space="0" w:color="FFFFFF"/>
            </w:tcBorders>
            <w:shd w:val="clear" w:color="auto" w:fill="auto"/>
            <w:noWrap/>
            <w:vAlign w:val="center"/>
            <w:hideMark/>
          </w:tcPr>
          <w:p w14:paraId="25680AE9" w14:textId="4A62D3D2" w:rsidR="00CA5BFF" w:rsidRPr="00CA1F00" w:rsidRDefault="00CA5BFF" w:rsidP="00CA5BFF">
            <w:pPr>
              <w:spacing w:before="0"/>
              <w:jc w:val="center"/>
              <w:rPr>
                <w:rFonts w:cs="Arial"/>
                <w:color w:val="000000"/>
                <w:sz w:val="18"/>
                <w:szCs w:val="18"/>
              </w:rPr>
            </w:pPr>
            <w:r w:rsidRPr="00CA1F00">
              <w:rPr>
                <w:rFonts w:cs="Arial"/>
                <w:sz w:val="18"/>
                <w:szCs w:val="18"/>
              </w:rPr>
              <w:t>24.3</w:t>
            </w:r>
          </w:p>
        </w:tc>
        <w:tc>
          <w:tcPr>
            <w:tcW w:w="1142" w:type="dxa"/>
            <w:tcBorders>
              <w:top w:val="nil"/>
              <w:left w:val="nil"/>
              <w:bottom w:val="single" w:sz="8" w:space="0" w:color="FFFFFF"/>
              <w:right w:val="single" w:sz="8" w:space="0" w:color="FFFFFF"/>
            </w:tcBorders>
            <w:shd w:val="clear" w:color="auto" w:fill="auto"/>
            <w:noWrap/>
            <w:vAlign w:val="center"/>
            <w:hideMark/>
          </w:tcPr>
          <w:p w14:paraId="2377401F" w14:textId="5A2907FA" w:rsidR="00CA5BFF" w:rsidRPr="00CA1F00" w:rsidRDefault="00CA5BFF" w:rsidP="00CA5BFF">
            <w:pPr>
              <w:spacing w:before="0"/>
              <w:jc w:val="center"/>
              <w:rPr>
                <w:rFonts w:cs="Arial"/>
                <w:color w:val="000000"/>
                <w:sz w:val="18"/>
                <w:szCs w:val="18"/>
              </w:rPr>
            </w:pPr>
            <w:r w:rsidRPr="00CA1F00">
              <w:rPr>
                <w:rFonts w:cs="Arial"/>
                <w:sz w:val="18"/>
                <w:szCs w:val="18"/>
              </w:rPr>
              <w:t>24.4</w:t>
            </w:r>
          </w:p>
        </w:tc>
        <w:tc>
          <w:tcPr>
            <w:tcW w:w="1141" w:type="dxa"/>
            <w:tcBorders>
              <w:top w:val="nil"/>
              <w:left w:val="nil"/>
              <w:bottom w:val="single" w:sz="8" w:space="0" w:color="FFFFFF"/>
              <w:right w:val="single" w:sz="8" w:space="0" w:color="FFFFFF"/>
            </w:tcBorders>
            <w:shd w:val="clear" w:color="auto" w:fill="auto"/>
            <w:noWrap/>
            <w:vAlign w:val="center"/>
            <w:hideMark/>
          </w:tcPr>
          <w:p w14:paraId="30E3B6EF" w14:textId="3747D1C2" w:rsidR="00CA5BFF" w:rsidRPr="00CA1F00" w:rsidRDefault="00CA5BFF" w:rsidP="00CA5BFF">
            <w:pPr>
              <w:spacing w:before="0"/>
              <w:jc w:val="center"/>
              <w:rPr>
                <w:rFonts w:cs="Arial"/>
                <w:color w:val="000000"/>
                <w:sz w:val="18"/>
                <w:szCs w:val="18"/>
              </w:rPr>
            </w:pPr>
            <w:r w:rsidRPr="00CA1F00">
              <w:rPr>
                <w:rFonts w:cs="Arial"/>
                <w:sz w:val="18"/>
                <w:szCs w:val="18"/>
              </w:rPr>
              <w:t>21.</w:t>
            </w:r>
            <w:r>
              <w:rPr>
                <w:rFonts w:cs="Arial"/>
                <w:sz w:val="18"/>
                <w:szCs w:val="18"/>
              </w:rPr>
              <w:t>6</w:t>
            </w:r>
          </w:p>
        </w:tc>
        <w:tc>
          <w:tcPr>
            <w:tcW w:w="1142" w:type="dxa"/>
            <w:tcBorders>
              <w:top w:val="nil"/>
              <w:left w:val="nil"/>
              <w:bottom w:val="single" w:sz="8" w:space="0" w:color="FFFFFF"/>
              <w:right w:val="single" w:sz="8" w:space="0" w:color="FFFFFF"/>
            </w:tcBorders>
            <w:shd w:val="clear" w:color="auto" w:fill="auto"/>
            <w:vAlign w:val="center"/>
            <w:hideMark/>
          </w:tcPr>
          <w:p w14:paraId="2AEDC837" w14:textId="6EC36B5B" w:rsidR="00CA5BFF" w:rsidRPr="00CA1F00" w:rsidRDefault="00CA5BFF" w:rsidP="00CA5BFF">
            <w:pPr>
              <w:spacing w:before="0"/>
              <w:jc w:val="center"/>
              <w:rPr>
                <w:rFonts w:cs="Arial"/>
                <w:color w:val="000000"/>
                <w:sz w:val="18"/>
                <w:szCs w:val="18"/>
              </w:rPr>
            </w:pPr>
            <w:r w:rsidRPr="00CA1F00">
              <w:rPr>
                <w:rFonts w:cs="Arial"/>
                <w:sz w:val="18"/>
                <w:szCs w:val="18"/>
              </w:rPr>
              <w:t>8.8</w:t>
            </w:r>
          </w:p>
        </w:tc>
        <w:tc>
          <w:tcPr>
            <w:tcW w:w="1276" w:type="dxa"/>
            <w:tcBorders>
              <w:top w:val="nil"/>
              <w:left w:val="nil"/>
              <w:bottom w:val="single" w:sz="8" w:space="0" w:color="FFFFFF"/>
              <w:right w:val="single" w:sz="8" w:space="0" w:color="FFFFFF"/>
            </w:tcBorders>
            <w:shd w:val="clear" w:color="auto" w:fill="auto"/>
            <w:noWrap/>
            <w:vAlign w:val="center"/>
            <w:hideMark/>
          </w:tcPr>
          <w:p w14:paraId="7F26B434" w14:textId="530060AA" w:rsidR="00CA5BFF" w:rsidRPr="00D170E0" w:rsidRDefault="00CA5BFF" w:rsidP="00CA5BFF">
            <w:pPr>
              <w:spacing w:before="0"/>
              <w:jc w:val="center"/>
              <w:rPr>
                <w:rFonts w:cs="Arial"/>
                <w:b/>
                <w:bCs/>
                <w:sz w:val="18"/>
                <w:szCs w:val="18"/>
              </w:rPr>
            </w:pPr>
            <w:r w:rsidRPr="00D170E0">
              <w:rPr>
                <w:rFonts w:cs="Arial"/>
                <w:b/>
                <w:bCs/>
                <w:sz w:val="18"/>
                <w:szCs w:val="18"/>
              </w:rPr>
              <w:t>15.2</w:t>
            </w:r>
          </w:p>
        </w:tc>
        <w:tc>
          <w:tcPr>
            <w:tcW w:w="1134" w:type="dxa"/>
            <w:tcBorders>
              <w:top w:val="nil"/>
              <w:left w:val="nil"/>
              <w:bottom w:val="single" w:sz="8" w:space="0" w:color="FFFFFF"/>
              <w:right w:val="single" w:sz="8" w:space="0" w:color="FFFFFF"/>
            </w:tcBorders>
            <w:shd w:val="clear" w:color="auto" w:fill="auto"/>
            <w:noWrap/>
            <w:vAlign w:val="center"/>
            <w:hideMark/>
          </w:tcPr>
          <w:p w14:paraId="0ADC2103" w14:textId="30A2405C" w:rsidR="00CA5BFF" w:rsidRPr="00CA1F00" w:rsidRDefault="00CA5BFF" w:rsidP="00CA5BFF">
            <w:pPr>
              <w:spacing w:before="0"/>
              <w:jc w:val="center"/>
              <w:rPr>
                <w:rFonts w:cs="Arial"/>
                <w:color w:val="000000"/>
                <w:sz w:val="18"/>
                <w:szCs w:val="18"/>
              </w:rPr>
            </w:pPr>
            <w:r w:rsidRPr="00CA1F00">
              <w:rPr>
                <w:rFonts w:cs="Arial"/>
                <w:b/>
                <w:bCs/>
                <w:sz w:val="18"/>
                <w:szCs w:val="18"/>
              </w:rPr>
              <w:t>7.7</w:t>
            </w:r>
          </w:p>
        </w:tc>
      </w:tr>
      <w:tr w:rsidR="00CA5BFF" w:rsidRPr="00CA1F00" w14:paraId="4C52F3C8"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0AAF5B26" w14:textId="77777777" w:rsidR="00CA5BFF" w:rsidRPr="00CA1F00" w:rsidRDefault="00CA5BFF" w:rsidP="00CA5BFF">
            <w:pPr>
              <w:spacing w:before="0"/>
              <w:jc w:val="left"/>
              <w:rPr>
                <w:rFonts w:cs="Arial"/>
                <w:color w:val="000000"/>
                <w:sz w:val="18"/>
                <w:szCs w:val="18"/>
              </w:rPr>
            </w:pPr>
            <w:r w:rsidRPr="00CA1F00">
              <w:rPr>
                <w:rFonts w:cs="Arial"/>
                <w:color w:val="000000"/>
                <w:sz w:val="18"/>
                <w:szCs w:val="18"/>
              </w:rPr>
              <w:t>Regulation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04486AD8" w14:textId="688B642A" w:rsidR="00CA5BFF" w:rsidRPr="00CA5BFF" w:rsidRDefault="00CA5BFF" w:rsidP="00CA5BFF">
            <w:pPr>
              <w:spacing w:before="0"/>
              <w:jc w:val="center"/>
              <w:rPr>
                <w:rFonts w:cs="Arial"/>
                <w:sz w:val="18"/>
                <w:szCs w:val="18"/>
              </w:rPr>
            </w:pPr>
            <w:r w:rsidRPr="00CA5BFF">
              <w:rPr>
                <w:rFonts w:cs="Arial"/>
                <w:sz w:val="18"/>
                <w:szCs w:val="18"/>
              </w:rPr>
              <w:t>1.1</w:t>
            </w:r>
          </w:p>
        </w:tc>
        <w:tc>
          <w:tcPr>
            <w:tcW w:w="1100" w:type="dxa"/>
            <w:tcBorders>
              <w:top w:val="nil"/>
              <w:left w:val="nil"/>
              <w:bottom w:val="single" w:sz="8" w:space="0" w:color="FFFFFF"/>
              <w:right w:val="single" w:sz="8" w:space="0" w:color="FFFFFF"/>
            </w:tcBorders>
            <w:shd w:val="clear" w:color="000000" w:fill="EFD3D2"/>
            <w:noWrap/>
            <w:vAlign w:val="center"/>
            <w:hideMark/>
          </w:tcPr>
          <w:p w14:paraId="6937901F" w14:textId="162BE536" w:rsidR="00CA5BFF" w:rsidRPr="00CA1F00" w:rsidRDefault="00CA5BFF" w:rsidP="00CA5BFF">
            <w:pPr>
              <w:spacing w:before="0"/>
              <w:jc w:val="center"/>
              <w:rPr>
                <w:rFonts w:cs="Arial"/>
                <w:color w:val="000000"/>
                <w:sz w:val="18"/>
                <w:szCs w:val="18"/>
              </w:rPr>
            </w:pPr>
            <w:r w:rsidRPr="00CA1F00">
              <w:rPr>
                <w:rFonts w:cs="Arial"/>
                <w:sz w:val="18"/>
                <w:szCs w:val="18"/>
              </w:rPr>
              <w:t>1.5</w:t>
            </w:r>
          </w:p>
        </w:tc>
        <w:tc>
          <w:tcPr>
            <w:tcW w:w="1099" w:type="dxa"/>
            <w:tcBorders>
              <w:top w:val="nil"/>
              <w:left w:val="nil"/>
              <w:bottom w:val="single" w:sz="8" w:space="0" w:color="FFFFFF"/>
              <w:right w:val="single" w:sz="8" w:space="0" w:color="FFFFFF"/>
            </w:tcBorders>
            <w:shd w:val="clear" w:color="000000" w:fill="EFD3D2"/>
            <w:noWrap/>
            <w:vAlign w:val="center"/>
            <w:hideMark/>
          </w:tcPr>
          <w:p w14:paraId="13A0E32F" w14:textId="371C2A4B" w:rsidR="00CA5BFF" w:rsidRPr="00CA1F00" w:rsidRDefault="00CA5BFF" w:rsidP="00CA5BFF">
            <w:pPr>
              <w:spacing w:before="0"/>
              <w:jc w:val="center"/>
              <w:rPr>
                <w:rFonts w:cs="Arial"/>
                <w:color w:val="000000"/>
                <w:sz w:val="18"/>
                <w:szCs w:val="18"/>
              </w:rPr>
            </w:pPr>
            <w:r w:rsidRPr="00CA1F00">
              <w:rPr>
                <w:rFonts w:cs="Arial"/>
                <w:sz w:val="18"/>
                <w:szCs w:val="18"/>
              </w:rPr>
              <w:t>0.7</w:t>
            </w:r>
          </w:p>
        </w:tc>
        <w:tc>
          <w:tcPr>
            <w:tcW w:w="1100" w:type="dxa"/>
            <w:tcBorders>
              <w:top w:val="nil"/>
              <w:left w:val="nil"/>
              <w:bottom w:val="single" w:sz="8" w:space="0" w:color="FFFFFF"/>
              <w:right w:val="single" w:sz="8" w:space="0" w:color="FFFFFF"/>
            </w:tcBorders>
            <w:shd w:val="clear" w:color="000000" w:fill="EFD3D2"/>
            <w:vAlign w:val="center"/>
            <w:hideMark/>
          </w:tcPr>
          <w:p w14:paraId="1E384776" w14:textId="68A7BD36" w:rsidR="00CA5BFF" w:rsidRPr="00CA1F00" w:rsidRDefault="00CA5BFF" w:rsidP="00CA5BFF">
            <w:pPr>
              <w:spacing w:before="0"/>
              <w:jc w:val="center"/>
              <w:rPr>
                <w:rFonts w:cs="Arial"/>
                <w:color w:val="000000"/>
                <w:sz w:val="18"/>
                <w:szCs w:val="18"/>
              </w:rPr>
            </w:pPr>
            <w:r w:rsidRPr="00CA1F00">
              <w:rPr>
                <w:rFonts w:cs="Arial"/>
                <w:sz w:val="18"/>
                <w:szCs w:val="18"/>
              </w:rPr>
              <w:t>0.9</w:t>
            </w:r>
          </w:p>
        </w:tc>
        <w:tc>
          <w:tcPr>
            <w:tcW w:w="1100" w:type="dxa"/>
            <w:tcBorders>
              <w:top w:val="nil"/>
              <w:left w:val="nil"/>
              <w:bottom w:val="single" w:sz="8" w:space="0" w:color="FFFFFF"/>
              <w:right w:val="single" w:sz="8" w:space="0" w:color="FFFFFF"/>
            </w:tcBorders>
            <w:shd w:val="clear" w:color="000000" w:fill="EFD3D2"/>
            <w:vAlign w:val="center"/>
            <w:hideMark/>
          </w:tcPr>
          <w:p w14:paraId="701A34FC" w14:textId="14A21653" w:rsidR="00CA5BFF" w:rsidRPr="00CA1F00" w:rsidRDefault="00CA5BFF" w:rsidP="00CA5BFF">
            <w:pPr>
              <w:spacing w:before="0"/>
              <w:jc w:val="center"/>
              <w:rPr>
                <w:rFonts w:cs="Arial"/>
                <w:color w:val="000000"/>
                <w:sz w:val="18"/>
                <w:szCs w:val="18"/>
              </w:rPr>
            </w:pPr>
            <w:r w:rsidRPr="00CA1F00">
              <w:rPr>
                <w:rFonts w:cs="Arial"/>
                <w:sz w:val="18"/>
                <w:szCs w:val="18"/>
              </w:rPr>
              <w:t>0.3</w:t>
            </w:r>
          </w:p>
        </w:tc>
        <w:tc>
          <w:tcPr>
            <w:tcW w:w="1141" w:type="dxa"/>
            <w:tcBorders>
              <w:top w:val="nil"/>
              <w:left w:val="nil"/>
              <w:bottom w:val="single" w:sz="8" w:space="0" w:color="FFFFFF"/>
              <w:right w:val="single" w:sz="8" w:space="0" w:color="FFFFFF"/>
            </w:tcBorders>
            <w:shd w:val="clear" w:color="000000" w:fill="EFD3D2"/>
            <w:noWrap/>
            <w:vAlign w:val="center"/>
            <w:hideMark/>
          </w:tcPr>
          <w:p w14:paraId="386F8D73" w14:textId="76CC3F78" w:rsidR="00CA5BFF" w:rsidRPr="00CA1F00" w:rsidRDefault="00CA5BFF" w:rsidP="00CA5BFF">
            <w:pPr>
              <w:spacing w:before="0"/>
              <w:jc w:val="center"/>
              <w:rPr>
                <w:rFonts w:cs="Arial"/>
                <w:color w:val="000000"/>
                <w:sz w:val="18"/>
                <w:szCs w:val="18"/>
              </w:rPr>
            </w:pPr>
            <w:r w:rsidRPr="00CA1F00">
              <w:rPr>
                <w:rFonts w:cs="Arial"/>
                <w:sz w:val="18"/>
                <w:szCs w:val="18"/>
              </w:rPr>
              <w:t>0.4</w:t>
            </w:r>
          </w:p>
        </w:tc>
        <w:tc>
          <w:tcPr>
            <w:tcW w:w="1142" w:type="dxa"/>
            <w:tcBorders>
              <w:top w:val="nil"/>
              <w:left w:val="nil"/>
              <w:bottom w:val="single" w:sz="8" w:space="0" w:color="FFFFFF"/>
              <w:right w:val="single" w:sz="8" w:space="0" w:color="FFFFFF"/>
            </w:tcBorders>
            <w:shd w:val="clear" w:color="000000" w:fill="EFD3D2"/>
            <w:noWrap/>
            <w:vAlign w:val="center"/>
            <w:hideMark/>
          </w:tcPr>
          <w:p w14:paraId="2A924FD1" w14:textId="1DF14811" w:rsidR="00CA5BFF" w:rsidRPr="00CA1F00" w:rsidRDefault="00CA5BFF" w:rsidP="00CA5BFF">
            <w:pPr>
              <w:spacing w:before="0"/>
              <w:jc w:val="center"/>
              <w:rPr>
                <w:rFonts w:cs="Arial"/>
                <w:color w:val="000000"/>
                <w:sz w:val="18"/>
                <w:szCs w:val="18"/>
              </w:rPr>
            </w:pPr>
            <w:r w:rsidRPr="00CA1F00">
              <w:rPr>
                <w:rFonts w:cs="Arial"/>
                <w:sz w:val="18"/>
                <w:szCs w:val="18"/>
              </w:rPr>
              <w:t>0.7</w:t>
            </w:r>
          </w:p>
        </w:tc>
        <w:tc>
          <w:tcPr>
            <w:tcW w:w="1141" w:type="dxa"/>
            <w:tcBorders>
              <w:top w:val="nil"/>
              <w:left w:val="nil"/>
              <w:bottom w:val="single" w:sz="8" w:space="0" w:color="FFFFFF"/>
              <w:right w:val="single" w:sz="8" w:space="0" w:color="FFFFFF"/>
            </w:tcBorders>
            <w:shd w:val="clear" w:color="000000" w:fill="EFD3D2"/>
            <w:noWrap/>
            <w:vAlign w:val="center"/>
            <w:hideMark/>
          </w:tcPr>
          <w:p w14:paraId="4A0CD300" w14:textId="5946E334" w:rsidR="00CA5BFF" w:rsidRPr="00CA1F00" w:rsidRDefault="00CA5BFF" w:rsidP="00CA5BFF">
            <w:pPr>
              <w:spacing w:before="0"/>
              <w:jc w:val="center"/>
              <w:rPr>
                <w:rFonts w:cs="Arial"/>
                <w:color w:val="000000"/>
                <w:sz w:val="18"/>
                <w:szCs w:val="18"/>
              </w:rPr>
            </w:pPr>
            <w:r>
              <w:rPr>
                <w:rFonts w:cs="Arial"/>
                <w:sz w:val="18"/>
                <w:szCs w:val="18"/>
              </w:rPr>
              <w:t>u/a</w:t>
            </w:r>
          </w:p>
        </w:tc>
        <w:tc>
          <w:tcPr>
            <w:tcW w:w="1142" w:type="dxa"/>
            <w:tcBorders>
              <w:top w:val="nil"/>
              <w:left w:val="nil"/>
              <w:bottom w:val="single" w:sz="8" w:space="0" w:color="FFFFFF"/>
              <w:right w:val="single" w:sz="8" w:space="0" w:color="FFFFFF"/>
            </w:tcBorders>
            <w:shd w:val="clear" w:color="000000" w:fill="EFD3D2"/>
            <w:vAlign w:val="center"/>
            <w:hideMark/>
          </w:tcPr>
          <w:p w14:paraId="69078B2D" w14:textId="1AEDD167" w:rsidR="00CA5BFF" w:rsidRPr="00CA1F00" w:rsidRDefault="00CA5BFF" w:rsidP="00CA5BFF">
            <w:pPr>
              <w:spacing w:before="0"/>
              <w:jc w:val="center"/>
              <w:rPr>
                <w:rFonts w:cs="Arial"/>
                <w:color w:val="000000"/>
                <w:sz w:val="18"/>
                <w:szCs w:val="18"/>
              </w:rPr>
            </w:pPr>
            <w:r w:rsidRPr="00CA1F00">
              <w:rPr>
                <w:rFonts w:cs="Arial"/>
                <w:sz w:val="18"/>
                <w:szCs w:val="18"/>
              </w:rPr>
              <w:t>0.0</w:t>
            </w:r>
          </w:p>
        </w:tc>
        <w:tc>
          <w:tcPr>
            <w:tcW w:w="1276" w:type="dxa"/>
            <w:tcBorders>
              <w:top w:val="nil"/>
              <w:left w:val="nil"/>
              <w:bottom w:val="single" w:sz="8" w:space="0" w:color="FFFFFF"/>
              <w:right w:val="single" w:sz="8" w:space="0" w:color="FFFFFF"/>
            </w:tcBorders>
            <w:shd w:val="clear" w:color="000000" w:fill="EFD3D2"/>
            <w:noWrap/>
            <w:vAlign w:val="center"/>
            <w:hideMark/>
          </w:tcPr>
          <w:p w14:paraId="617337EE" w14:textId="3A034C76" w:rsidR="00CA5BFF" w:rsidRPr="00D170E0" w:rsidRDefault="00CA5BFF" w:rsidP="00CA5BFF">
            <w:pPr>
              <w:spacing w:before="0"/>
              <w:jc w:val="center"/>
              <w:rPr>
                <w:rFonts w:cs="Arial"/>
                <w:b/>
                <w:bCs/>
                <w:sz w:val="18"/>
                <w:szCs w:val="18"/>
              </w:rPr>
            </w:pPr>
            <w:r w:rsidRPr="00D170E0">
              <w:rPr>
                <w:rFonts w:cs="Arial"/>
                <w:b/>
                <w:bCs/>
                <w:sz w:val="18"/>
                <w:szCs w:val="18"/>
              </w:rPr>
              <w:t>1.0</w:t>
            </w:r>
          </w:p>
        </w:tc>
        <w:tc>
          <w:tcPr>
            <w:tcW w:w="1134" w:type="dxa"/>
            <w:tcBorders>
              <w:top w:val="nil"/>
              <w:left w:val="nil"/>
              <w:bottom w:val="single" w:sz="8" w:space="0" w:color="FFFFFF"/>
              <w:right w:val="single" w:sz="8" w:space="0" w:color="FFFFFF"/>
            </w:tcBorders>
            <w:shd w:val="clear" w:color="000000" w:fill="EFD3D2"/>
            <w:noWrap/>
            <w:vAlign w:val="center"/>
            <w:hideMark/>
          </w:tcPr>
          <w:p w14:paraId="1C358599" w14:textId="6C1FB489" w:rsidR="00CA5BFF" w:rsidRPr="00CA1F00" w:rsidRDefault="00CA5BFF" w:rsidP="00CA5BFF">
            <w:pPr>
              <w:spacing w:before="0"/>
              <w:jc w:val="center"/>
              <w:rPr>
                <w:rFonts w:cs="Arial"/>
                <w:color w:val="000000"/>
                <w:sz w:val="18"/>
                <w:szCs w:val="18"/>
              </w:rPr>
            </w:pPr>
            <w:r w:rsidRPr="00CA1F00">
              <w:rPr>
                <w:rFonts w:cs="Arial"/>
                <w:b/>
                <w:bCs/>
                <w:sz w:val="18"/>
                <w:szCs w:val="18"/>
              </w:rPr>
              <w:t>2.3</w:t>
            </w:r>
          </w:p>
        </w:tc>
      </w:tr>
      <w:tr w:rsidR="00CA5BFF" w:rsidRPr="00CA1F00" w14:paraId="39E853D5"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auto" w:fill="auto"/>
            <w:noWrap/>
            <w:vAlign w:val="center"/>
            <w:hideMark/>
          </w:tcPr>
          <w:p w14:paraId="255F1826" w14:textId="77777777" w:rsidR="00CA5BFF" w:rsidRPr="00CA1F00" w:rsidRDefault="00CA5BFF" w:rsidP="00CA5BFF">
            <w:pPr>
              <w:spacing w:before="0"/>
              <w:jc w:val="left"/>
              <w:rPr>
                <w:rFonts w:cs="Arial"/>
                <w:color w:val="000000"/>
                <w:sz w:val="18"/>
                <w:szCs w:val="18"/>
              </w:rPr>
            </w:pPr>
            <w:r w:rsidRPr="00CA1F00">
              <w:rPr>
                <w:rFonts w:cs="Arial"/>
                <w:color w:val="000000"/>
                <w:sz w:val="18"/>
                <w:szCs w:val="18"/>
              </w:rPr>
              <w:t>Dispute resolution</w:t>
            </w:r>
          </w:p>
        </w:tc>
        <w:tc>
          <w:tcPr>
            <w:tcW w:w="1099" w:type="dxa"/>
            <w:tcBorders>
              <w:top w:val="nil"/>
              <w:left w:val="nil"/>
              <w:bottom w:val="single" w:sz="8" w:space="0" w:color="FFFFFF"/>
              <w:right w:val="single" w:sz="8" w:space="0" w:color="FFFFFF"/>
            </w:tcBorders>
            <w:shd w:val="clear" w:color="auto" w:fill="auto"/>
            <w:noWrap/>
            <w:vAlign w:val="center"/>
            <w:hideMark/>
          </w:tcPr>
          <w:p w14:paraId="4C2E3123" w14:textId="659CE529" w:rsidR="00CA5BFF" w:rsidRPr="00CA5BFF" w:rsidRDefault="00CA5BFF" w:rsidP="00CA5BFF">
            <w:pPr>
              <w:spacing w:before="0"/>
              <w:jc w:val="center"/>
              <w:rPr>
                <w:rFonts w:cs="Arial"/>
                <w:sz w:val="18"/>
                <w:szCs w:val="18"/>
              </w:rPr>
            </w:pPr>
            <w:r w:rsidRPr="00CA5BFF">
              <w:rPr>
                <w:rFonts w:cs="Arial"/>
                <w:sz w:val="18"/>
                <w:szCs w:val="18"/>
              </w:rPr>
              <w:t>3.1</w:t>
            </w:r>
          </w:p>
        </w:tc>
        <w:tc>
          <w:tcPr>
            <w:tcW w:w="1100" w:type="dxa"/>
            <w:tcBorders>
              <w:top w:val="nil"/>
              <w:left w:val="nil"/>
              <w:bottom w:val="single" w:sz="8" w:space="0" w:color="FFFFFF"/>
              <w:right w:val="single" w:sz="8" w:space="0" w:color="FFFFFF"/>
            </w:tcBorders>
            <w:shd w:val="clear" w:color="auto" w:fill="auto"/>
            <w:noWrap/>
            <w:vAlign w:val="center"/>
            <w:hideMark/>
          </w:tcPr>
          <w:p w14:paraId="231FE28F" w14:textId="220B0A83" w:rsidR="00CA5BFF" w:rsidRPr="00CA1F00" w:rsidRDefault="00CA5BFF" w:rsidP="00CA5BFF">
            <w:pPr>
              <w:spacing w:before="0"/>
              <w:jc w:val="center"/>
              <w:rPr>
                <w:rFonts w:cs="Arial"/>
                <w:color w:val="000000"/>
                <w:sz w:val="18"/>
                <w:szCs w:val="18"/>
              </w:rPr>
            </w:pPr>
            <w:r w:rsidRPr="00CA1F00">
              <w:rPr>
                <w:rFonts w:cs="Arial"/>
                <w:sz w:val="18"/>
                <w:szCs w:val="18"/>
              </w:rPr>
              <w:t>1.4</w:t>
            </w:r>
          </w:p>
        </w:tc>
        <w:tc>
          <w:tcPr>
            <w:tcW w:w="1099" w:type="dxa"/>
            <w:tcBorders>
              <w:top w:val="nil"/>
              <w:left w:val="nil"/>
              <w:bottom w:val="single" w:sz="8" w:space="0" w:color="FFFFFF"/>
              <w:right w:val="single" w:sz="8" w:space="0" w:color="FFFFFF"/>
            </w:tcBorders>
            <w:shd w:val="clear" w:color="auto" w:fill="auto"/>
            <w:noWrap/>
            <w:vAlign w:val="center"/>
            <w:hideMark/>
          </w:tcPr>
          <w:p w14:paraId="19434F6F" w14:textId="1BFCFBE2" w:rsidR="00CA5BFF" w:rsidRPr="00CA1F00" w:rsidRDefault="00CA5BFF" w:rsidP="00CA5BFF">
            <w:pPr>
              <w:spacing w:before="0"/>
              <w:jc w:val="center"/>
              <w:rPr>
                <w:rFonts w:cs="Arial"/>
                <w:color w:val="000000"/>
                <w:sz w:val="18"/>
                <w:szCs w:val="18"/>
              </w:rPr>
            </w:pPr>
            <w:r w:rsidRPr="00CA1F00">
              <w:rPr>
                <w:rFonts w:cs="Arial"/>
                <w:sz w:val="18"/>
                <w:szCs w:val="18"/>
              </w:rPr>
              <w:t>0.9</w:t>
            </w:r>
          </w:p>
        </w:tc>
        <w:tc>
          <w:tcPr>
            <w:tcW w:w="1100" w:type="dxa"/>
            <w:tcBorders>
              <w:top w:val="nil"/>
              <w:left w:val="nil"/>
              <w:bottom w:val="single" w:sz="8" w:space="0" w:color="FFFFFF"/>
              <w:right w:val="single" w:sz="8" w:space="0" w:color="FFFFFF"/>
            </w:tcBorders>
            <w:shd w:val="clear" w:color="auto" w:fill="auto"/>
            <w:vAlign w:val="center"/>
            <w:hideMark/>
          </w:tcPr>
          <w:p w14:paraId="464B13BD" w14:textId="6816845A" w:rsidR="00CA5BFF" w:rsidRPr="00CA1F00" w:rsidRDefault="00CA5BFF" w:rsidP="00CA5BFF">
            <w:pPr>
              <w:spacing w:before="0"/>
              <w:jc w:val="center"/>
              <w:rPr>
                <w:rFonts w:cs="Arial"/>
                <w:color w:val="000000"/>
                <w:sz w:val="18"/>
                <w:szCs w:val="18"/>
              </w:rPr>
            </w:pPr>
            <w:r w:rsidRPr="00CA1F00">
              <w:rPr>
                <w:rFonts w:cs="Arial"/>
                <w:sz w:val="18"/>
                <w:szCs w:val="18"/>
              </w:rPr>
              <w:t>1.2</w:t>
            </w:r>
          </w:p>
        </w:tc>
        <w:tc>
          <w:tcPr>
            <w:tcW w:w="1100" w:type="dxa"/>
            <w:tcBorders>
              <w:top w:val="nil"/>
              <w:left w:val="nil"/>
              <w:bottom w:val="single" w:sz="8" w:space="0" w:color="FFFFFF"/>
              <w:right w:val="single" w:sz="8" w:space="0" w:color="FFFFFF"/>
            </w:tcBorders>
            <w:shd w:val="clear" w:color="auto" w:fill="auto"/>
            <w:vAlign w:val="center"/>
            <w:hideMark/>
          </w:tcPr>
          <w:p w14:paraId="49411F43" w14:textId="31FFB6C9" w:rsidR="00CA5BFF" w:rsidRPr="00CA1F00" w:rsidRDefault="00CA5BFF" w:rsidP="00CA5BFF">
            <w:pPr>
              <w:spacing w:before="0"/>
              <w:jc w:val="center"/>
              <w:rPr>
                <w:rFonts w:cs="Arial"/>
                <w:color w:val="000000"/>
                <w:sz w:val="18"/>
                <w:szCs w:val="18"/>
              </w:rPr>
            </w:pPr>
            <w:r w:rsidRPr="00CA1F00">
              <w:rPr>
                <w:rFonts w:cs="Arial"/>
                <w:sz w:val="18"/>
                <w:szCs w:val="18"/>
              </w:rPr>
              <w:t>0.1</w:t>
            </w:r>
          </w:p>
        </w:tc>
        <w:tc>
          <w:tcPr>
            <w:tcW w:w="1141" w:type="dxa"/>
            <w:tcBorders>
              <w:top w:val="nil"/>
              <w:left w:val="nil"/>
              <w:bottom w:val="single" w:sz="8" w:space="0" w:color="FFFFFF"/>
              <w:right w:val="single" w:sz="8" w:space="0" w:color="FFFFFF"/>
            </w:tcBorders>
            <w:shd w:val="clear" w:color="auto" w:fill="auto"/>
            <w:noWrap/>
            <w:vAlign w:val="center"/>
            <w:hideMark/>
          </w:tcPr>
          <w:p w14:paraId="625932DE" w14:textId="4CAF855E" w:rsidR="00CA5BFF" w:rsidRPr="00CA1F00" w:rsidRDefault="00CA5BFF" w:rsidP="00CA5BFF">
            <w:pPr>
              <w:spacing w:before="0"/>
              <w:jc w:val="center"/>
              <w:rPr>
                <w:rFonts w:cs="Arial"/>
                <w:color w:val="000000"/>
                <w:sz w:val="18"/>
                <w:szCs w:val="18"/>
              </w:rPr>
            </w:pPr>
            <w:r w:rsidRPr="00CA1F00">
              <w:rPr>
                <w:rFonts w:cs="Arial"/>
                <w:sz w:val="18"/>
                <w:szCs w:val="18"/>
              </w:rPr>
              <w:t>0.4</w:t>
            </w:r>
          </w:p>
        </w:tc>
        <w:tc>
          <w:tcPr>
            <w:tcW w:w="1142" w:type="dxa"/>
            <w:tcBorders>
              <w:top w:val="nil"/>
              <w:left w:val="nil"/>
              <w:bottom w:val="single" w:sz="8" w:space="0" w:color="FFFFFF"/>
              <w:right w:val="single" w:sz="8" w:space="0" w:color="FFFFFF"/>
            </w:tcBorders>
            <w:shd w:val="clear" w:color="auto" w:fill="auto"/>
            <w:noWrap/>
            <w:vAlign w:val="center"/>
            <w:hideMark/>
          </w:tcPr>
          <w:p w14:paraId="13014D36" w14:textId="77C3EF1B" w:rsidR="00CA5BFF" w:rsidRPr="00CA1F00" w:rsidRDefault="00CA5BFF" w:rsidP="00CA5BFF">
            <w:pPr>
              <w:spacing w:before="0"/>
              <w:jc w:val="center"/>
              <w:rPr>
                <w:rFonts w:cs="Arial"/>
                <w:color w:val="000000"/>
                <w:sz w:val="18"/>
                <w:szCs w:val="18"/>
              </w:rPr>
            </w:pPr>
            <w:r w:rsidRPr="00CA1F00">
              <w:rPr>
                <w:rFonts w:cs="Arial"/>
                <w:sz w:val="18"/>
                <w:szCs w:val="18"/>
              </w:rPr>
              <w:t>0.7</w:t>
            </w:r>
          </w:p>
        </w:tc>
        <w:tc>
          <w:tcPr>
            <w:tcW w:w="1141" w:type="dxa"/>
            <w:tcBorders>
              <w:top w:val="nil"/>
              <w:left w:val="nil"/>
              <w:bottom w:val="single" w:sz="8" w:space="0" w:color="FFFFFF"/>
              <w:right w:val="single" w:sz="8" w:space="0" w:color="FFFFFF"/>
            </w:tcBorders>
            <w:shd w:val="clear" w:color="auto" w:fill="auto"/>
            <w:noWrap/>
            <w:vAlign w:val="center"/>
            <w:hideMark/>
          </w:tcPr>
          <w:p w14:paraId="33FBCCEF" w14:textId="7A83DA12" w:rsidR="00CA5BFF" w:rsidRPr="00CA1F00" w:rsidRDefault="00CA5BFF" w:rsidP="00CA5BFF">
            <w:pPr>
              <w:spacing w:before="0"/>
              <w:jc w:val="center"/>
              <w:rPr>
                <w:rFonts w:cs="Arial"/>
                <w:color w:val="000000"/>
                <w:sz w:val="18"/>
                <w:szCs w:val="18"/>
              </w:rPr>
            </w:pPr>
            <w:r w:rsidRPr="00CA1F00">
              <w:rPr>
                <w:rFonts w:cs="Arial"/>
                <w:sz w:val="18"/>
                <w:szCs w:val="18"/>
              </w:rPr>
              <w:t>0.6</w:t>
            </w:r>
          </w:p>
        </w:tc>
        <w:tc>
          <w:tcPr>
            <w:tcW w:w="1142" w:type="dxa"/>
            <w:tcBorders>
              <w:top w:val="nil"/>
              <w:left w:val="nil"/>
              <w:bottom w:val="single" w:sz="8" w:space="0" w:color="FFFFFF"/>
              <w:right w:val="single" w:sz="8" w:space="0" w:color="FFFFFF"/>
            </w:tcBorders>
            <w:shd w:val="clear" w:color="auto" w:fill="auto"/>
            <w:vAlign w:val="center"/>
            <w:hideMark/>
          </w:tcPr>
          <w:p w14:paraId="5DF1CF21" w14:textId="72EF4848" w:rsidR="00CA5BFF" w:rsidRPr="00CA1F00" w:rsidRDefault="00CA5BFF" w:rsidP="00CA5BFF">
            <w:pPr>
              <w:spacing w:before="0"/>
              <w:jc w:val="center"/>
              <w:rPr>
                <w:rFonts w:cs="Arial"/>
                <w:color w:val="000000"/>
                <w:sz w:val="18"/>
                <w:szCs w:val="18"/>
              </w:rPr>
            </w:pPr>
            <w:r w:rsidRPr="00CA1F00">
              <w:rPr>
                <w:rFonts w:cs="Arial"/>
                <w:sz w:val="18"/>
                <w:szCs w:val="18"/>
              </w:rPr>
              <w:t>0.0</w:t>
            </w:r>
          </w:p>
        </w:tc>
        <w:tc>
          <w:tcPr>
            <w:tcW w:w="1276" w:type="dxa"/>
            <w:tcBorders>
              <w:top w:val="nil"/>
              <w:left w:val="nil"/>
              <w:bottom w:val="single" w:sz="8" w:space="0" w:color="FFFFFF"/>
              <w:right w:val="single" w:sz="8" w:space="0" w:color="FFFFFF"/>
            </w:tcBorders>
            <w:shd w:val="clear" w:color="auto" w:fill="auto"/>
            <w:noWrap/>
            <w:vAlign w:val="center"/>
            <w:hideMark/>
          </w:tcPr>
          <w:p w14:paraId="20A40AD1" w14:textId="2DF6BBDB" w:rsidR="00CA5BFF" w:rsidRPr="00D170E0" w:rsidRDefault="00CA5BFF" w:rsidP="00CA5BFF">
            <w:pPr>
              <w:spacing w:before="0"/>
              <w:jc w:val="center"/>
              <w:rPr>
                <w:rFonts w:cs="Arial"/>
                <w:b/>
                <w:bCs/>
                <w:sz w:val="18"/>
                <w:szCs w:val="18"/>
              </w:rPr>
            </w:pPr>
            <w:r w:rsidRPr="00D170E0">
              <w:rPr>
                <w:rFonts w:cs="Arial"/>
                <w:b/>
                <w:bCs/>
                <w:sz w:val="18"/>
                <w:szCs w:val="18"/>
              </w:rPr>
              <w:t>1.7</w:t>
            </w:r>
          </w:p>
        </w:tc>
        <w:tc>
          <w:tcPr>
            <w:tcW w:w="1134" w:type="dxa"/>
            <w:tcBorders>
              <w:top w:val="nil"/>
              <w:left w:val="nil"/>
              <w:bottom w:val="single" w:sz="8" w:space="0" w:color="FFFFFF"/>
              <w:right w:val="single" w:sz="8" w:space="0" w:color="FFFFFF"/>
            </w:tcBorders>
            <w:shd w:val="clear" w:color="auto" w:fill="auto"/>
            <w:noWrap/>
            <w:vAlign w:val="center"/>
            <w:hideMark/>
          </w:tcPr>
          <w:p w14:paraId="503FC7FF" w14:textId="5D574C7C" w:rsidR="00CA5BFF" w:rsidRPr="00CA1F00" w:rsidRDefault="00CA5BFF" w:rsidP="00CA5BFF">
            <w:pPr>
              <w:spacing w:before="0"/>
              <w:jc w:val="center"/>
              <w:rPr>
                <w:rFonts w:cs="Arial"/>
                <w:color w:val="000000"/>
                <w:sz w:val="18"/>
                <w:szCs w:val="18"/>
              </w:rPr>
            </w:pPr>
            <w:r w:rsidRPr="00CA1F00">
              <w:rPr>
                <w:rFonts w:cs="Arial"/>
                <w:b/>
                <w:bCs/>
                <w:sz w:val="18"/>
                <w:szCs w:val="18"/>
              </w:rPr>
              <w:t>0.0</w:t>
            </w:r>
          </w:p>
        </w:tc>
      </w:tr>
      <w:tr w:rsidR="00CA5BFF" w:rsidRPr="00CA1F00" w14:paraId="73531870"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EFD3D2"/>
            <w:noWrap/>
            <w:vAlign w:val="center"/>
            <w:hideMark/>
          </w:tcPr>
          <w:p w14:paraId="20E4F630" w14:textId="77777777" w:rsidR="00CA5BFF" w:rsidRPr="00CA1F00" w:rsidRDefault="00CA5BFF" w:rsidP="00CA5BFF">
            <w:pPr>
              <w:spacing w:before="0"/>
              <w:jc w:val="left"/>
              <w:rPr>
                <w:rFonts w:cs="Arial"/>
                <w:color w:val="000000"/>
                <w:sz w:val="18"/>
                <w:szCs w:val="18"/>
              </w:rPr>
            </w:pPr>
            <w:r w:rsidRPr="00CA1F00">
              <w:rPr>
                <w:rFonts w:cs="Arial"/>
                <w:color w:val="000000"/>
                <w:sz w:val="18"/>
                <w:szCs w:val="18"/>
              </w:rPr>
              <w:t>Other administration</w:t>
            </w:r>
          </w:p>
        </w:tc>
        <w:tc>
          <w:tcPr>
            <w:tcW w:w="1099" w:type="dxa"/>
            <w:tcBorders>
              <w:top w:val="nil"/>
              <w:left w:val="nil"/>
              <w:bottom w:val="single" w:sz="8" w:space="0" w:color="FFFFFF"/>
              <w:right w:val="single" w:sz="8" w:space="0" w:color="FFFFFF"/>
            </w:tcBorders>
            <w:shd w:val="clear" w:color="000000" w:fill="EFD3D2"/>
            <w:noWrap/>
            <w:vAlign w:val="center"/>
            <w:hideMark/>
          </w:tcPr>
          <w:p w14:paraId="0AC540D2" w14:textId="404B1430" w:rsidR="00CA5BFF" w:rsidRPr="00CA5BFF" w:rsidRDefault="00CA5BFF" w:rsidP="00CA5BFF">
            <w:pPr>
              <w:spacing w:before="0"/>
              <w:jc w:val="center"/>
              <w:rPr>
                <w:rFonts w:cs="Arial"/>
                <w:sz w:val="18"/>
                <w:szCs w:val="18"/>
              </w:rPr>
            </w:pPr>
            <w:r w:rsidRPr="00CA5BFF">
              <w:rPr>
                <w:rFonts w:cs="Arial"/>
                <w:sz w:val="18"/>
                <w:szCs w:val="18"/>
              </w:rPr>
              <w:t>5.2</w:t>
            </w:r>
          </w:p>
        </w:tc>
        <w:tc>
          <w:tcPr>
            <w:tcW w:w="1100" w:type="dxa"/>
            <w:tcBorders>
              <w:top w:val="nil"/>
              <w:left w:val="nil"/>
              <w:bottom w:val="single" w:sz="8" w:space="0" w:color="FFFFFF"/>
              <w:right w:val="single" w:sz="8" w:space="0" w:color="FFFFFF"/>
            </w:tcBorders>
            <w:shd w:val="clear" w:color="000000" w:fill="EFD3D2"/>
            <w:noWrap/>
            <w:vAlign w:val="center"/>
            <w:hideMark/>
          </w:tcPr>
          <w:p w14:paraId="4C54604D" w14:textId="1E3CFA79" w:rsidR="00CA5BFF" w:rsidRPr="00CA1F00" w:rsidRDefault="00CA5BFF" w:rsidP="00CA5BFF">
            <w:pPr>
              <w:spacing w:before="0"/>
              <w:jc w:val="center"/>
              <w:rPr>
                <w:rFonts w:cs="Arial"/>
                <w:color w:val="000000"/>
                <w:sz w:val="18"/>
                <w:szCs w:val="18"/>
              </w:rPr>
            </w:pPr>
            <w:r w:rsidRPr="00CA1F00">
              <w:rPr>
                <w:rFonts w:cs="Arial"/>
                <w:sz w:val="18"/>
                <w:szCs w:val="18"/>
              </w:rPr>
              <w:t>2.7</w:t>
            </w:r>
          </w:p>
        </w:tc>
        <w:tc>
          <w:tcPr>
            <w:tcW w:w="1099" w:type="dxa"/>
            <w:tcBorders>
              <w:top w:val="nil"/>
              <w:left w:val="nil"/>
              <w:bottom w:val="single" w:sz="8" w:space="0" w:color="FFFFFF"/>
              <w:right w:val="single" w:sz="8" w:space="0" w:color="FFFFFF"/>
            </w:tcBorders>
            <w:shd w:val="clear" w:color="000000" w:fill="EFD3D2"/>
            <w:noWrap/>
            <w:vAlign w:val="center"/>
            <w:hideMark/>
          </w:tcPr>
          <w:p w14:paraId="5BFF43A9" w14:textId="510AE2E0" w:rsidR="00CA5BFF" w:rsidRPr="00CA1F00" w:rsidRDefault="00CA5BFF" w:rsidP="00CA5BFF">
            <w:pPr>
              <w:spacing w:before="0"/>
              <w:jc w:val="center"/>
              <w:rPr>
                <w:rFonts w:cs="Arial"/>
                <w:color w:val="000000"/>
                <w:sz w:val="18"/>
                <w:szCs w:val="18"/>
              </w:rPr>
            </w:pPr>
            <w:r w:rsidRPr="00CA1F00">
              <w:rPr>
                <w:rFonts w:cs="Arial"/>
                <w:sz w:val="18"/>
                <w:szCs w:val="18"/>
              </w:rPr>
              <w:t>3.2</w:t>
            </w:r>
          </w:p>
        </w:tc>
        <w:tc>
          <w:tcPr>
            <w:tcW w:w="1100" w:type="dxa"/>
            <w:tcBorders>
              <w:top w:val="nil"/>
              <w:left w:val="nil"/>
              <w:bottom w:val="single" w:sz="8" w:space="0" w:color="FFFFFF"/>
              <w:right w:val="single" w:sz="8" w:space="0" w:color="FFFFFF"/>
            </w:tcBorders>
            <w:shd w:val="clear" w:color="000000" w:fill="EFD3D2"/>
            <w:vAlign w:val="center"/>
            <w:hideMark/>
          </w:tcPr>
          <w:p w14:paraId="6AD3947E" w14:textId="286FD2B0" w:rsidR="00CA5BFF" w:rsidRPr="00CA1F00" w:rsidRDefault="00CA5BFF" w:rsidP="00CA5BFF">
            <w:pPr>
              <w:spacing w:before="0"/>
              <w:jc w:val="center"/>
              <w:rPr>
                <w:rFonts w:cs="Arial"/>
                <w:color w:val="000000"/>
                <w:sz w:val="18"/>
                <w:szCs w:val="18"/>
              </w:rPr>
            </w:pPr>
            <w:r w:rsidRPr="00CA1F00">
              <w:rPr>
                <w:rFonts w:cs="Arial"/>
                <w:sz w:val="18"/>
                <w:szCs w:val="18"/>
              </w:rPr>
              <w:t>5.9</w:t>
            </w:r>
          </w:p>
        </w:tc>
        <w:tc>
          <w:tcPr>
            <w:tcW w:w="1100" w:type="dxa"/>
            <w:tcBorders>
              <w:top w:val="nil"/>
              <w:left w:val="nil"/>
              <w:bottom w:val="single" w:sz="8" w:space="0" w:color="FFFFFF"/>
              <w:right w:val="single" w:sz="8" w:space="0" w:color="FFFFFF"/>
            </w:tcBorders>
            <w:shd w:val="clear" w:color="000000" w:fill="EFD3D2"/>
            <w:vAlign w:val="center"/>
            <w:hideMark/>
          </w:tcPr>
          <w:p w14:paraId="51F48767" w14:textId="432FA393" w:rsidR="00CA5BFF" w:rsidRPr="00CA1F00" w:rsidRDefault="00CA5BFF" w:rsidP="00CA5BFF">
            <w:pPr>
              <w:spacing w:before="0"/>
              <w:jc w:val="center"/>
              <w:rPr>
                <w:rFonts w:cs="Arial"/>
                <w:color w:val="000000"/>
                <w:sz w:val="18"/>
                <w:szCs w:val="18"/>
              </w:rPr>
            </w:pPr>
            <w:r w:rsidRPr="00CA1F00">
              <w:rPr>
                <w:rFonts w:cs="Arial"/>
                <w:sz w:val="18"/>
                <w:szCs w:val="18"/>
              </w:rPr>
              <w:t>9.9</w:t>
            </w:r>
          </w:p>
        </w:tc>
        <w:tc>
          <w:tcPr>
            <w:tcW w:w="1141" w:type="dxa"/>
            <w:tcBorders>
              <w:top w:val="nil"/>
              <w:left w:val="nil"/>
              <w:bottom w:val="single" w:sz="8" w:space="0" w:color="FFFFFF"/>
              <w:right w:val="single" w:sz="8" w:space="0" w:color="FFFFFF"/>
            </w:tcBorders>
            <w:shd w:val="clear" w:color="000000" w:fill="EFD3D2"/>
            <w:noWrap/>
            <w:vAlign w:val="center"/>
            <w:hideMark/>
          </w:tcPr>
          <w:p w14:paraId="2CFB6E55" w14:textId="19DF1871" w:rsidR="00CA5BFF" w:rsidRPr="00CA1F00" w:rsidRDefault="00CA5BFF" w:rsidP="00CA5BFF">
            <w:pPr>
              <w:spacing w:before="0"/>
              <w:jc w:val="center"/>
              <w:rPr>
                <w:rFonts w:cs="Arial"/>
                <w:color w:val="000000"/>
                <w:sz w:val="18"/>
                <w:szCs w:val="18"/>
              </w:rPr>
            </w:pPr>
            <w:r w:rsidRPr="00CA1F00">
              <w:rPr>
                <w:rFonts w:cs="Arial"/>
                <w:sz w:val="18"/>
                <w:szCs w:val="18"/>
              </w:rPr>
              <w:t>0.7</w:t>
            </w:r>
          </w:p>
        </w:tc>
        <w:tc>
          <w:tcPr>
            <w:tcW w:w="1142" w:type="dxa"/>
            <w:tcBorders>
              <w:top w:val="nil"/>
              <w:left w:val="nil"/>
              <w:bottom w:val="single" w:sz="8" w:space="0" w:color="FFFFFF"/>
              <w:right w:val="single" w:sz="8" w:space="0" w:color="FFFFFF"/>
            </w:tcBorders>
            <w:shd w:val="clear" w:color="000000" w:fill="EFD3D2"/>
            <w:noWrap/>
            <w:vAlign w:val="center"/>
            <w:hideMark/>
          </w:tcPr>
          <w:p w14:paraId="44C48CA5" w14:textId="4BF1AF40" w:rsidR="00CA5BFF" w:rsidRPr="00CA1F00" w:rsidRDefault="00CA5BFF" w:rsidP="00CA5BFF">
            <w:pPr>
              <w:spacing w:before="0"/>
              <w:jc w:val="center"/>
              <w:rPr>
                <w:rFonts w:cs="Arial"/>
                <w:color w:val="000000"/>
                <w:sz w:val="18"/>
                <w:szCs w:val="18"/>
              </w:rPr>
            </w:pPr>
            <w:r w:rsidRPr="00CA1F00">
              <w:rPr>
                <w:rFonts w:cs="Arial"/>
                <w:sz w:val="18"/>
                <w:szCs w:val="18"/>
              </w:rPr>
              <w:t>0.9</w:t>
            </w:r>
          </w:p>
        </w:tc>
        <w:tc>
          <w:tcPr>
            <w:tcW w:w="1141" w:type="dxa"/>
            <w:tcBorders>
              <w:top w:val="nil"/>
              <w:left w:val="nil"/>
              <w:bottom w:val="single" w:sz="8" w:space="0" w:color="FFFFFF"/>
              <w:right w:val="single" w:sz="8" w:space="0" w:color="FFFFFF"/>
            </w:tcBorders>
            <w:shd w:val="clear" w:color="000000" w:fill="EFD3D2"/>
            <w:noWrap/>
            <w:vAlign w:val="center"/>
            <w:hideMark/>
          </w:tcPr>
          <w:p w14:paraId="435460A5" w14:textId="6A3172A6" w:rsidR="00CA5BFF" w:rsidRPr="00CA1F00" w:rsidRDefault="00CA5BFF" w:rsidP="00CA5BFF">
            <w:pPr>
              <w:spacing w:before="0"/>
              <w:jc w:val="center"/>
              <w:rPr>
                <w:rFonts w:cs="Arial"/>
                <w:color w:val="000000"/>
                <w:sz w:val="18"/>
                <w:szCs w:val="18"/>
              </w:rPr>
            </w:pPr>
            <w:r w:rsidRPr="00CA1F00">
              <w:rPr>
                <w:rFonts w:cs="Arial"/>
                <w:sz w:val="18"/>
                <w:szCs w:val="18"/>
              </w:rPr>
              <w:t>4.7</w:t>
            </w:r>
          </w:p>
        </w:tc>
        <w:tc>
          <w:tcPr>
            <w:tcW w:w="1142" w:type="dxa"/>
            <w:tcBorders>
              <w:top w:val="nil"/>
              <w:left w:val="nil"/>
              <w:bottom w:val="single" w:sz="8" w:space="0" w:color="FFFFFF"/>
              <w:right w:val="single" w:sz="8" w:space="0" w:color="FFFFFF"/>
            </w:tcBorders>
            <w:shd w:val="clear" w:color="000000" w:fill="EFD3D2"/>
            <w:vAlign w:val="center"/>
            <w:hideMark/>
          </w:tcPr>
          <w:p w14:paraId="170C7774" w14:textId="06CBD2A7" w:rsidR="00CA5BFF" w:rsidRPr="00CA1F00" w:rsidRDefault="00CA5BFF" w:rsidP="00CA5BFF">
            <w:pPr>
              <w:spacing w:before="0"/>
              <w:jc w:val="center"/>
              <w:rPr>
                <w:rFonts w:cs="Arial"/>
                <w:color w:val="000000"/>
                <w:sz w:val="18"/>
                <w:szCs w:val="18"/>
              </w:rPr>
            </w:pPr>
            <w:r w:rsidRPr="00CA1F00">
              <w:rPr>
                <w:rFonts w:cs="Arial"/>
                <w:sz w:val="18"/>
                <w:szCs w:val="18"/>
              </w:rPr>
              <w:t>8.7</w:t>
            </w:r>
          </w:p>
        </w:tc>
        <w:tc>
          <w:tcPr>
            <w:tcW w:w="1276" w:type="dxa"/>
            <w:tcBorders>
              <w:top w:val="nil"/>
              <w:left w:val="nil"/>
              <w:bottom w:val="single" w:sz="8" w:space="0" w:color="FFFFFF"/>
              <w:right w:val="single" w:sz="8" w:space="0" w:color="FFFFFF"/>
            </w:tcBorders>
            <w:shd w:val="clear" w:color="000000" w:fill="EFD3D2"/>
            <w:noWrap/>
            <w:vAlign w:val="center"/>
            <w:hideMark/>
          </w:tcPr>
          <w:p w14:paraId="544F6AFD" w14:textId="06168A25" w:rsidR="00CA5BFF" w:rsidRPr="00D170E0" w:rsidRDefault="00CA5BFF" w:rsidP="00CA5BFF">
            <w:pPr>
              <w:spacing w:before="0"/>
              <w:jc w:val="center"/>
              <w:rPr>
                <w:rFonts w:cs="Arial"/>
                <w:b/>
                <w:bCs/>
                <w:sz w:val="18"/>
                <w:szCs w:val="18"/>
              </w:rPr>
            </w:pPr>
            <w:r w:rsidRPr="00D170E0">
              <w:rPr>
                <w:rFonts w:cs="Arial"/>
                <w:b/>
                <w:bCs/>
                <w:sz w:val="18"/>
                <w:szCs w:val="18"/>
              </w:rPr>
              <w:t>3.7</w:t>
            </w:r>
          </w:p>
        </w:tc>
        <w:tc>
          <w:tcPr>
            <w:tcW w:w="1134" w:type="dxa"/>
            <w:tcBorders>
              <w:top w:val="nil"/>
              <w:left w:val="nil"/>
              <w:bottom w:val="single" w:sz="8" w:space="0" w:color="FFFFFF"/>
              <w:right w:val="single" w:sz="8" w:space="0" w:color="FFFFFF"/>
            </w:tcBorders>
            <w:shd w:val="clear" w:color="000000" w:fill="EFD3D2"/>
            <w:noWrap/>
            <w:vAlign w:val="center"/>
            <w:hideMark/>
          </w:tcPr>
          <w:p w14:paraId="05C8618D" w14:textId="4F02A113" w:rsidR="00CA5BFF" w:rsidRPr="00CA1F00" w:rsidRDefault="00CA5BFF" w:rsidP="00CA5BFF">
            <w:pPr>
              <w:spacing w:before="0"/>
              <w:jc w:val="center"/>
              <w:rPr>
                <w:rFonts w:cs="Arial"/>
                <w:color w:val="000000"/>
                <w:sz w:val="18"/>
                <w:szCs w:val="18"/>
              </w:rPr>
            </w:pPr>
            <w:r w:rsidRPr="00CA1F00">
              <w:rPr>
                <w:rFonts w:cs="Arial"/>
                <w:b/>
                <w:bCs/>
                <w:sz w:val="18"/>
                <w:szCs w:val="18"/>
              </w:rPr>
              <w:t>6.8</w:t>
            </w:r>
          </w:p>
        </w:tc>
      </w:tr>
      <w:tr w:rsidR="00CA5BFF" w:rsidRPr="00CA1F00" w14:paraId="06EE9715" w14:textId="77777777" w:rsidTr="00106011">
        <w:trPr>
          <w:cantSplit/>
          <w:trHeight w:val="454"/>
        </w:trPr>
        <w:tc>
          <w:tcPr>
            <w:tcW w:w="2000" w:type="dxa"/>
            <w:tcBorders>
              <w:top w:val="nil"/>
              <w:left w:val="single" w:sz="8" w:space="0" w:color="FFFFFF"/>
              <w:bottom w:val="single" w:sz="8" w:space="0" w:color="FFFFFF"/>
              <w:right w:val="single" w:sz="8" w:space="0" w:color="FFFFFF"/>
            </w:tcBorders>
            <w:shd w:val="clear" w:color="000000" w:fill="808080"/>
            <w:noWrap/>
            <w:vAlign w:val="center"/>
            <w:hideMark/>
          </w:tcPr>
          <w:p w14:paraId="55DD860F" w14:textId="77777777" w:rsidR="00CA5BFF" w:rsidRPr="00CA1F00" w:rsidRDefault="00CA5BFF" w:rsidP="00CA5BFF">
            <w:pPr>
              <w:spacing w:before="0"/>
              <w:jc w:val="left"/>
              <w:rPr>
                <w:rFonts w:cs="Arial"/>
                <w:b/>
                <w:bCs/>
                <w:color w:val="FFFFFF" w:themeColor="background1"/>
                <w:sz w:val="18"/>
                <w:szCs w:val="18"/>
              </w:rPr>
            </w:pPr>
            <w:r w:rsidRPr="00CA1F00">
              <w:rPr>
                <w:rFonts w:cs="Arial"/>
                <w:b/>
                <w:bCs/>
                <w:color w:val="FFFFFF" w:themeColor="background1"/>
                <w:sz w:val="18"/>
                <w:szCs w:val="18"/>
              </w:rPr>
              <w:t>Total</w:t>
            </w:r>
          </w:p>
        </w:tc>
        <w:tc>
          <w:tcPr>
            <w:tcW w:w="1099" w:type="dxa"/>
            <w:tcBorders>
              <w:top w:val="nil"/>
              <w:left w:val="nil"/>
              <w:bottom w:val="single" w:sz="8" w:space="0" w:color="FFFFFF"/>
              <w:right w:val="single" w:sz="8" w:space="0" w:color="FFFFFF"/>
            </w:tcBorders>
            <w:shd w:val="clear" w:color="000000" w:fill="808080"/>
            <w:noWrap/>
            <w:vAlign w:val="center"/>
            <w:hideMark/>
          </w:tcPr>
          <w:p w14:paraId="2E6CD394" w14:textId="3CD84993" w:rsidR="00CA5BFF" w:rsidRPr="00CA5BFF" w:rsidRDefault="00CA5BFF" w:rsidP="00CA5BFF">
            <w:pPr>
              <w:spacing w:before="0"/>
              <w:jc w:val="center"/>
              <w:rPr>
                <w:rFonts w:cs="Arial"/>
                <w:b/>
                <w:bCs/>
                <w:color w:val="FFFFFF" w:themeColor="background1"/>
                <w:sz w:val="18"/>
                <w:szCs w:val="18"/>
              </w:rPr>
            </w:pPr>
            <w:r w:rsidRPr="00CA5BFF">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noWrap/>
            <w:vAlign w:val="center"/>
            <w:hideMark/>
          </w:tcPr>
          <w:p w14:paraId="1FFD9E59" w14:textId="357A079D"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099" w:type="dxa"/>
            <w:tcBorders>
              <w:top w:val="nil"/>
              <w:left w:val="nil"/>
              <w:bottom w:val="single" w:sz="8" w:space="0" w:color="FFFFFF"/>
              <w:right w:val="single" w:sz="8" w:space="0" w:color="FFFFFF"/>
            </w:tcBorders>
            <w:shd w:val="clear" w:color="000000" w:fill="808080"/>
            <w:noWrap/>
            <w:vAlign w:val="center"/>
            <w:hideMark/>
          </w:tcPr>
          <w:p w14:paraId="5FB07E0B" w14:textId="29C55757"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10E0514D" w14:textId="311050D6"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00" w:type="dxa"/>
            <w:tcBorders>
              <w:top w:val="nil"/>
              <w:left w:val="nil"/>
              <w:bottom w:val="single" w:sz="8" w:space="0" w:color="FFFFFF"/>
              <w:right w:val="single" w:sz="8" w:space="0" w:color="FFFFFF"/>
            </w:tcBorders>
            <w:shd w:val="clear" w:color="000000" w:fill="808080"/>
            <w:vAlign w:val="center"/>
            <w:hideMark/>
          </w:tcPr>
          <w:p w14:paraId="089BC0A2" w14:textId="66CDADF2"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5A39A92B" w14:textId="100D2A43"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noWrap/>
            <w:vAlign w:val="center"/>
            <w:hideMark/>
          </w:tcPr>
          <w:p w14:paraId="711BB7CD" w14:textId="7C86D311"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1" w:type="dxa"/>
            <w:tcBorders>
              <w:top w:val="nil"/>
              <w:left w:val="nil"/>
              <w:bottom w:val="single" w:sz="8" w:space="0" w:color="FFFFFF"/>
              <w:right w:val="single" w:sz="8" w:space="0" w:color="FFFFFF"/>
            </w:tcBorders>
            <w:shd w:val="clear" w:color="000000" w:fill="808080"/>
            <w:noWrap/>
            <w:vAlign w:val="center"/>
            <w:hideMark/>
          </w:tcPr>
          <w:p w14:paraId="4F6723DD" w14:textId="79D5D14C"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142" w:type="dxa"/>
            <w:tcBorders>
              <w:top w:val="nil"/>
              <w:left w:val="nil"/>
              <w:bottom w:val="single" w:sz="8" w:space="0" w:color="FFFFFF"/>
              <w:right w:val="single" w:sz="8" w:space="0" w:color="FFFFFF"/>
            </w:tcBorders>
            <w:shd w:val="clear" w:color="000000" w:fill="808080"/>
            <w:vAlign w:val="center"/>
            <w:hideMark/>
          </w:tcPr>
          <w:p w14:paraId="42D7C0CF" w14:textId="0397BC85"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c>
          <w:tcPr>
            <w:tcW w:w="1276" w:type="dxa"/>
            <w:tcBorders>
              <w:top w:val="nil"/>
              <w:left w:val="nil"/>
              <w:bottom w:val="single" w:sz="8" w:space="0" w:color="FFFFFF"/>
              <w:right w:val="single" w:sz="8" w:space="0" w:color="FFFFFF"/>
            </w:tcBorders>
            <w:shd w:val="clear" w:color="000000" w:fill="808080"/>
            <w:noWrap/>
            <w:vAlign w:val="center"/>
            <w:hideMark/>
          </w:tcPr>
          <w:p w14:paraId="6A0C91C6" w14:textId="06B2F365" w:rsidR="00CA5BFF" w:rsidRPr="00CA5BFF" w:rsidRDefault="00CA5BFF" w:rsidP="00CA5BFF">
            <w:pPr>
              <w:spacing w:before="0"/>
              <w:jc w:val="center"/>
              <w:rPr>
                <w:rFonts w:cs="Arial"/>
                <w:b/>
                <w:bCs/>
                <w:color w:val="FFFFFF" w:themeColor="background1"/>
                <w:sz w:val="18"/>
                <w:szCs w:val="18"/>
              </w:rPr>
            </w:pPr>
            <w:r w:rsidRPr="00CA5BFF">
              <w:rPr>
                <w:rFonts w:cs="Arial"/>
                <w:b/>
                <w:bCs/>
                <w:color w:val="FFFFFF" w:themeColor="background1"/>
                <w:sz w:val="18"/>
                <w:szCs w:val="18"/>
              </w:rPr>
              <w:t>100.0</w:t>
            </w:r>
          </w:p>
        </w:tc>
        <w:tc>
          <w:tcPr>
            <w:tcW w:w="1134" w:type="dxa"/>
            <w:tcBorders>
              <w:top w:val="nil"/>
              <w:left w:val="nil"/>
              <w:bottom w:val="single" w:sz="8" w:space="0" w:color="FFFFFF"/>
              <w:right w:val="single" w:sz="8" w:space="0" w:color="FFFFFF"/>
            </w:tcBorders>
            <w:shd w:val="clear" w:color="000000" w:fill="808080"/>
            <w:noWrap/>
            <w:vAlign w:val="center"/>
            <w:hideMark/>
          </w:tcPr>
          <w:p w14:paraId="7F414B31" w14:textId="0E2779F2" w:rsidR="00CA5BFF" w:rsidRPr="00CA1F00" w:rsidRDefault="00CA5BFF" w:rsidP="00CA5BFF">
            <w:pPr>
              <w:spacing w:before="0"/>
              <w:jc w:val="center"/>
              <w:rPr>
                <w:rFonts w:cs="Arial"/>
                <w:b/>
                <w:bCs/>
                <w:color w:val="FFFFFF" w:themeColor="background1"/>
                <w:sz w:val="18"/>
                <w:szCs w:val="18"/>
              </w:rPr>
            </w:pPr>
            <w:r w:rsidRPr="00CA1F00">
              <w:rPr>
                <w:rFonts w:cs="Arial"/>
                <w:b/>
                <w:bCs/>
                <w:color w:val="FFFFFF" w:themeColor="background1"/>
                <w:sz w:val="18"/>
                <w:szCs w:val="18"/>
              </w:rPr>
              <w:t>100.0</w:t>
            </w:r>
          </w:p>
        </w:tc>
      </w:tr>
    </w:tbl>
    <w:p w14:paraId="0A26B2E9" w14:textId="77777777" w:rsidR="00106011" w:rsidRDefault="00106011" w:rsidP="00106011">
      <w:pPr>
        <w:rPr>
          <w:b/>
        </w:rPr>
        <w:sectPr w:rsidR="00106011" w:rsidSect="00106011">
          <w:headerReference w:type="default" r:id="rId26"/>
          <w:footerReference w:type="default" r:id="rId27"/>
          <w:pgSz w:w="16838" w:h="11906" w:orient="landscape"/>
          <w:pgMar w:top="1134" w:right="1134" w:bottom="1134" w:left="1418" w:header="720" w:footer="720" w:gutter="0"/>
          <w:cols w:space="720"/>
          <w:noEndnote/>
          <w:docGrid w:linePitch="299"/>
        </w:sectPr>
      </w:pPr>
    </w:p>
    <w:p w14:paraId="7230D02B" w14:textId="580B04F6" w:rsidR="00B80675" w:rsidRPr="00B80675" w:rsidRDefault="00B80675" w:rsidP="002903E1">
      <w:pPr>
        <w:pStyle w:val="SWASectionnumberingheading"/>
        <w:numPr>
          <w:ilvl w:val="0"/>
          <w:numId w:val="0"/>
        </w:numPr>
        <w:spacing w:before="0"/>
        <w:rPr>
          <w:sz w:val="20"/>
          <w:szCs w:val="20"/>
        </w:rPr>
      </w:pPr>
      <w:bookmarkStart w:id="25" w:name="_Toc79766469"/>
      <w:bookmarkStart w:id="26" w:name="_Toc80975735"/>
      <w:r w:rsidRPr="00B80675">
        <w:rPr>
          <w:sz w:val="20"/>
          <w:szCs w:val="20"/>
        </w:rPr>
        <w:lastRenderedPageBreak/>
        <w:t>Direct compensation payments</w:t>
      </w:r>
      <w:bookmarkEnd w:id="25"/>
      <w:bookmarkEnd w:id="26"/>
    </w:p>
    <w:p w14:paraId="09AA438E" w14:textId="439552F2" w:rsidR="00106011" w:rsidRPr="00A36F98" w:rsidRDefault="00106011" w:rsidP="00B34D49">
      <w:pPr>
        <w:pStyle w:val="BodyJustified"/>
      </w:pPr>
      <w:r w:rsidRPr="00BD2C17">
        <w:t xml:space="preserve">Indicator </w:t>
      </w:r>
      <w:r w:rsidRPr="00BD2C17">
        <w:rPr>
          <w:noProof/>
        </w:rPr>
        <w:t>20</w:t>
      </w:r>
      <w:r w:rsidRPr="00BD2C17">
        <w:t xml:space="preserve"> shows the distribution of direct payments into weekly benefits and lump sums. The payment of</w:t>
      </w:r>
      <w:r>
        <w:t xml:space="preserve"> long-</w:t>
      </w:r>
      <w:r w:rsidRPr="00A36F98">
        <w:t xml:space="preserve">term weekly benefits results in higher administration costs. This indicator shows that in </w:t>
      </w:r>
      <w:r>
        <w:t>201</w:t>
      </w:r>
      <w:r w:rsidR="00BD2C17">
        <w:t>9</w:t>
      </w:r>
      <w:r>
        <w:t>–</w:t>
      </w:r>
      <w:r w:rsidR="00BD2C17">
        <w:t>20</w:t>
      </w:r>
      <w:r>
        <w:t>,</w:t>
      </w:r>
      <w:r w:rsidRPr="00A36F98">
        <w:t xml:space="preserve"> </w:t>
      </w:r>
      <w:r>
        <w:t xml:space="preserve">all but </w:t>
      </w:r>
      <w:r w:rsidR="00BD2C17">
        <w:t>two</w:t>
      </w:r>
      <w:r>
        <w:t xml:space="preserve"> </w:t>
      </w:r>
      <w:r w:rsidRPr="00A36F98">
        <w:t xml:space="preserve">Australian schemes </w:t>
      </w:r>
      <w:r w:rsidR="00BD2C17">
        <w:t xml:space="preserve">(Queensland and Tasmania) </w:t>
      </w:r>
      <w:r w:rsidRPr="00A36F98">
        <w:t xml:space="preserve">paid out more as weekly benefits than lump sum benefits. </w:t>
      </w:r>
      <w:r>
        <w:t>T</w:t>
      </w:r>
      <w:r w:rsidRPr="00A36F98">
        <w:t>he New Zealand scheme has little provision for lump sum payments.</w:t>
      </w:r>
      <w:r>
        <w:t xml:space="preserve"> </w:t>
      </w:r>
    </w:p>
    <w:p w14:paraId="63EE46D2" w14:textId="7E20A903" w:rsidR="00106011" w:rsidRPr="00986D99" w:rsidRDefault="00106011" w:rsidP="002903E1">
      <w:pPr>
        <w:pStyle w:val="SWASectionnumberingheading"/>
        <w:numPr>
          <w:ilvl w:val="0"/>
          <w:numId w:val="0"/>
        </w:numPr>
        <w:spacing w:before="240"/>
        <w:rPr>
          <w:sz w:val="20"/>
          <w:szCs w:val="20"/>
        </w:rPr>
      </w:pPr>
      <w:bookmarkStart w:id="27" w:name="_Ref464211500"/>
      <w:bookmarkStart w:id="28" w:name="_Toc80975736"/>
      <w:r w:rsidRPr="00986D99">
        <w:rPr>
          <w:sz w:val="20"/>
          <w:szCs w:val="20"/>
        </w:rPr>
        <w:t xml:space="preserve">Indicator </w:t>
      </w:r>
      <w:bookmarkEnd w:id="27"/>
      <w:r w:rsidRPr="00986D99">
        <w:rPr>
          <w:noProof/>
          <w:sz w:val="20"/>
          <w:szCs w:val="20"/>
        </w:rPr>
        <w:t>20</w:t>
      </w:r>
      <w:r w:rsidRPr="00986D99">
        <w:rPr>
          <w:sz w:val="20"/>
          <w:szCs w:val="20"/>
        </w:rPr>
        <w:t xml:space="preserve"> – Direct compensation payments by type and jurisdiction, 201</w:t>
      </w:r>
      <w:r w:rsidR="00BD2C17">
        <w:rPr>
          <w:sz w:val="20"/>
          <w:szCs w:val="20"/>
        </w:rPr>
        <w:t>9</w:t>
      </w:r>
      <w:r w:rsidRPr="00986D99">
        <w:rPr>
          <w:sz w:val="20"/>
          <w:szCs w:val="20"/>
        </w:rPr>
        <w:t>–</w:t>
      </w:r>
      <w:r w:rsidR="00BD2C17">
        <w:rPr>
          <w:sz w:val="20"/>
          <w:szCs w:val="20"/>
        </w:rPr>
        <w:t>20</w:t>
      </w:r>
      <w:bookmarkEnd w:id="28"/>
    </w:p>
    <w:p w14:paraId="471FD4E2" w14:textId="7D919DCB" w:rsidR="00106011" w:rsidRDefault="00BD2C17" w:rsidP="00106011">
      <w:pPr>
        <w:jc w:val="center"/>
        <w:rPr>
          <w:b/>
        </w:rPr>
      </w:pPr>
      <w:r>
        <w:rPr>
          <w:b/>
          <w:noProof/>
        </w:rPr>
        <w:drawing>
          <wp:inline distT="0" distB="0" distL="0" distR="0" wp14:anchorId="7BF4F980" wp14:editId="2A26F42A">
            <wp:extent cx="5718810" cy="2889885"/>
            <wp:effectExtent l="0" t="0" r="0" b="5715"/>
            <wp:docPr id="8" name="Picture 8" descr="This bar graph shows direct compensation payments by type (weekly benefits and lump sums) and jurisdiction in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bar graph shows direct compensation payments by type (weekly benefits and lump sums) and jurisdiction in 2019–20. Please refer to body text for more informati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8810" cy="2889885"/>
                    </a:xfrm>
                    <a:prstGeom prst="rect">
                      <a:avLst/>
                    </a:prstGeom>
                    <a:noFill/>
                  </pic:spPr>
                </pic:pic>
              </a:graphicData>
            </a:graphic>
          </wp:inline>
        </w:drawing>
      </w:r>
    </w:p>
    <w:bookmarkEnd w:id="19"/>
    <w:p w14:paraId="59154560" w14:textId="3F1EBCCC" w:rsidR="00C200CA" w:rsidRDefault="00C200CA">
      <w:pPr>
        <w:spacing w:before="0" w:after="160" w:line="259" w:lineRule="auto"/>
        <w:jc w:val="left"/>
        <w:rPr>
          <w:rFonts w:eastAsiaTheme="majorEastAsia" w:cs="Arial"/>
          <w:b/>
          <w:color w:val="AF1E2D"/>
          <w:sz w:val="32"/>
          <w:szCs w:val="22"/>
        </w:rPr>
      </w:pPr>
      <w:r>
        <w:br w:type="page"/>
      </w:r>
    </w:p>
    <w:p w14:paraId="486093CD" w14:textId="37003026" w:rsidR="00EE3284" w:rsidRDefault="00C200CA" w:rsidP="002903E1">
      <w:pPr>
        <w:pStyle w:val="SWASectionnumberingheading"/>
        <w:numPr>
          <w:ilvl w:val="0"/>
          <w:numId w:val="0"/>
        </w:numPr>
        <w:spacing w:before="0"/>
      </w:pPr>
      <w:bookmarkStart w:id="29" w:name="_Toc80975737"/>
      <w:r>
        <w:lastRenderedPageBreak/>
        <w:t>Appendix 1</w:t>
      </w:r>
      <w:r w:rsidR="00106011">
        <w:t xml:space="preserve"> –</w:t>
      </w:r>
      <w:r>
        <w:t xml:space="preserve"> </w:t>
      </w:r>
      <w:r w:rsidR="00EE3284">
        <w:t xml:space="preserve">Assets to liabilities ratio (funding ratio) </w:t>
      </w:r>
      <w:bookmarkEnd w:id="20"/>
      <w:bookmarkEnd w:id="21"/>
      <w:r>
        <w:t>definitions</w:t>
      </w:r>
      <w:bookmarkEnd w:id="29"/>
    </w:p>
    <w:p w14:paraId="3C12F68A" w14:textId="77777777" w:rsidR="00EE3284" w:rsidRDefault="00EE3284" w:rsidP="00B34D49">
      <w:pPr>
        <w:pStyle w:val="BodyJustified"/>
      </w:pPr>
      <w:r>
        <w:t xml:space="preserve">Different measures of assets to liabilities can arise from different economic and actuarial assumptions in valuing liabilities as well as differences in the definitions of: </w:t>
      </w:r>
    </w:p>
    <w:p w14:paraId="3E88E885" w14:textId="77777777" w:rsidR="00EE3284" w:rsidRDefault="00EE3284" w:rsidP="00EE3284">
      <w:pPr>
        <w:pStyle w:val="SWABullets"/>
      </w:pPr>
      <w:r>
        <w:t>assets and net assets, and</w:t>
      </w:r>
    </w:p>
    <w:p w14:paraId="254D0EBC" w14:textId="77777777" w:rsidR="00EE3284" w:rsidRDefault="00EE3284" w:rsidP="00EE3284">
      <w:pPr>
        <w:pStyle w:val="SWABullets"/>
      </w:pPr>
      <w:r>
        <w:t>liabilities, such as allowance in some schemes for prudential margins, and allowance for different levels of claim handling expenses.</w:t>
      </w:r>
    </w:p>
    <w:p w14:paraId="183B02AA" w14:textId="77777777" w:rsidR="00EE3284" w:rsidRDefault="00EE3284" w:rsidP="00B34D49">
      <w:pPr>
        <w:pStyle w:val="BodyJustified"/>
      </w:pPr>
      <w:r>
        <w:t xml:space="preserve">Different definitions of net assets have been addressed in this publication by applying a consistent definition. For centrally funded schemes, net assets are equal to the total current and non-current assets of the scheme minus the outstanding claim recoveries as at the end of the reference financial year. For privately underwritten schemes, assets </w:t>
      </w:r>
      <w:proofErr w:type="gramStart"/>
      <w:r>
        <w:t>are considered to be</w:t>
      </w:r>
      <w:proofErr w:type="gramEnd"/>
      <w:r>
        <w:t xml:space="preserve"> the insurers’ overall balance sheet claims provisions.</w:t>
      </w:r>
    </w:p>
    <w:p w14:paraId="2AE1E85C" w14:textId="77777777" w:rsidR="00EE3284" w:rsidRDefault="00EE3284" w:rsidP="00B34D49">
      <w:pPr>
        <w:pStyle w:val="BodyJustified"/>
      </w:pPr>
      <w:r>
        <w:t xml:space="preserve">A consistent definition of net outstanding claim liabilities has also been adopted, but there are still some differences between jurisdictions in the measurement of net outstanding claim liabilities. These relate to the different assumptions for claim handling expenses by jurisdictions for which adjustments have not been applied. </w:t>
      </w:r>
    </w:p>
    <w:p w14:paraId="379BD888" w14:textId="77777777" w:rsidR="00EE3284" w:rsidRDefault="00EE3284" w:rsidP="00B34D49">
      <w:pPr>
        <w:pStyle w:val="BodyJustified"/>
      </w:pPr>
      <w:r>
        <w:t xml:space="preserve">Net outstanding claim liabilities for centrally funded schemes are equal to the total current and non-current liabilities of the scheme minus outstanding claim recoveries as at the end of the reference financial year. For privately underwritten schemes, liabilities are taken as the central estimate of outstanding claims for the scheme (excluding the self-insured sector) as at the end of the reference financial year. </w:t>
      </w:r>
    </w:p>
    <w:p w14:paraId="70CE9B57" w14:textId="77777777" w:rsidR="00EE3284" w:rsidRDefault="00EE3284" w:rsidP="00B34D49">
      <w:pPr>
        <w:pStyle w:val="BodyJustified"/>
      </w:pPr>
      <w:r>
        <w:t>For jurisdictions with a separate fund dedicated to workers’ compensation (centrally funded schemes), the assets set aside for future liabilities can be easily identified from their annual reports. Centrally funded schemes operate in Victoria, Queensland, South Australia, the Australian Government and New Zealand.</w:t>
      </w:r>
    </w:p>
    <w:p w14:paraId="412A52D0" w14:textId="384496A3" w:rsidR="00EE3284" w:rsidRDefault="00EE3284" w:rsidP="00B34D49">
      <w:pPr>
        <w:pStyle w:val="BodyJustified"/>
      </w:pPr>
      <w:r>
        <w:t xml:space="preserve">For jurisdictions where workers’ compensation is underwritten by insurance companies (privately underwritten schemes), assets are set aside to meet all insurance </w:t>
      </w:r>
      <w:r w:rsidR="003379CF">
        <w:t>liabilities,</w:t>
      </w:r>
      <w:r>
        <w:t xml:space="preserve"> but the insurance companies do not identify reserves specifically for workers’ compensation liabilities. For these schemes net assets </w:t>
      </w:r>
      <w:proofErr w:type="gramStart"/>
      <w:r>
        <w:t>are considered to be</w:t>
      </w:r>
      <w:proofErr w:type="gramEnd"/>
      <w:r>
        <w:t xml:space="preserve"> the balance sheet provisions made by the insurers at the end of each financial year. Privately underwritten schemes operate in Western Australia, Tasmania, the Northern Territory, the Australian Capital Territory and Seacare.</w:t>
      </w:r>
    </w:p>
    <w:p w14:paraId="79AAD396" w14:textId="5A2A5D88" w:rsidR="005F7CAF" w:rsidRDefault="00EE3284" w:rsidP="0031497C">
      <w:pPr>
        <w:pStyle w:val="BodyJustified"/>
        <w:rPr>
          <w:rFonts w:eastAsiaTheme="majorEastAsia"/>
          <w:color w:val="AF1E2D"/>
        </w:rPr>
      </w:pPr>
      <w:r>
        <w:t xml:space="preserve">The New South Wales scheme is a managed fund, combining some of the features of centrally funded schemes and privately underwritten schemes. </w:t>
      </w:r>
      <w:bookmarkStart w:id="30" w:name="_Toc79766472"/>
      <w:bookmarkStart w:id="31" w:name="_Hlk79766903"/>
    </w:p>
    <w:p w14:paraId="1B17E305" w14:textId="5E18D4DC" w:rsidR="00EE3284" w:rsidRPr="00BD2C17" w:rsidRDefault="00EE3284" w:rsidP="002903E1">
      <w:pPr>
        <w:pStyle w:val="SWASectionnumberingheading"/>
        <w:numPr>
          <w:ilvl w:val="0"/>
          <w:numId w:val="0"/>
        </w:numPr>
        <w:spacing w:before="240"/>
        <w:rPr>
          <w:sz w:val="20"/>
          <w:szCs w:val="20"/>
        </w:rPr>
      </w:pPr>
      <w:bookmarkStart w:id="32" w:name="_Toc80975738"/>
      <w:r w:rsidRPr="00BD2C17">
        <w:rPr>
          <w:sz w:val="20"/>
          <w:szCs w:val="20"/>
        </w:rPr>
        <w:t>Prudential margins</w:t>
      </w:r>
      <w:bookmarkEnd w:id="30"/>
      <w:bookmarkEnd w:id="32"/>
      <w:r w:rsidRPr="00BD2C17">
        <w:rPr>
          <w:sz w:val="20"/>
          <w:szCs w:val="20"/>
        </w:rPr>
        <w:t xml:space="preserve"> </w:t>
      </w:r>
    </w:p>
    <w:p w14:paraId="7E6D094F" w14:textId="77777777" w:rsidR="00EE3284" w:rsidRDefault="00EE3284" w:rsidP="00B34D49">
      <w:pPr>
        <w:pStyle w:val="BodyJustified"/>
      </w:pPr>
      <w:r>
        <w:t xml:space="preserve">Many jurisdictions add prudential margins to their estimates of outstanding claims liabilities to increase the probability of maintaining sufficient assets to meet the liabilities estimate. This is done in recognition that there are inherent uncertainties in the actuarial assumptions underlying the value of outstanding liabilities. The addition of a prudential margin will lower the assets to liabilities ratio for that jurisdiction. As some jurisdictions do not have prudential margins, these margins have been removed from the estimates to enhance comparability. For jurisdictions that use prudential margins in determining their liabilities there will be a greater discrepancy between the ratios shown in this report and those shown in their annual reports. The margins that have been removed are: </w:t>
      </w:r>
    </w:p>
    <w:p w14:paraId="380B1B61" w14:textId="2D76D72E" w:rsidR="00EE3284" w:rsidRPr="005F7CAF" w:rsidRDefault="00EE3284" w:rsidP="00EE3284">
      <w:pPr>
        <w:pStyle w:val="SWABullets"/>
        <w:jc w:val="left"/>
      </w:pPr>
      <w:bookmarkStart w:id="33" w:name="_Hlk79766837"/>
      <w:bookmarkEnd w:id="31"/>
      <w:r w:rsidRPr="005F7CAF">
        <w:t xml:space="preserve">New South Wales — a risk margin of </w:t>
      </w:r>
      <w:r w:rsidR="008C5BE2">
        <w:t>15.6</w:t>
      </w:r>
      <w:r w:rsidRPr="005F7CAF">
        <w:t>% for 2015–16 and 2016–17, and 1</w:t>
      </w:r>
      <w:r w:rsidR="008C5BE2">
        <w:t>5.1</w:t>
      </w:r>
      <w:r w:rsidRPr="005F7CAF">
        <w:t xml:space="preserve">% for 2017–18 and 2018–19 at </w:t>
      </w:r>
      <w:r w:rsidR="008C5BE2">
        <w:t>80</w:t>
      </w:r>
      <w:r w:rsidRPr="005F7CAF">
        <w:t>% probability of adequacy.</w:t>
      </w:r>
      <w:r w:rsidR="008C5BE2">
        <w:t xml:space="preserve"> For 2019</w:t>
      </w:r>
      <w:r w:rsidR="008C5BE2" w:rsidRPr="005F7CAF">
        <w:t>–</w:t>
      </w:r>
      <w:r w:rsidR="008C5BE2">
        <w:t>20 the risk margin was 12.2% with 75%</w:t>
      </w:r>
      <w:r w:rsidR="008D7DEA">
        <w:t> </w:t>
      </w:r>
      <w:r w:rsidR="008C5BE2">
        <w:t>probability of adequacy.</w:t>
      </w:r>
    </w:p>
    <w:bookmarkEnd w:id="33"/>
    <w:p w14:paraId="1D261F7F" w14:textId="6E89F484" w:rsidR="00EE3284" w:rsidRPr="00BA50C9" w:rsidRDefault="00EE3284" w:rsidP="00EE3284">
      <w:pPr>
        <w:pStyle w:val="SWABullets"/>
        <w:jc w:val="left"/>
      </w:pPr>
      <w:r w:rsidRPr="00BA50C9">
        <w:lastRenderedPageBreak/>
        <w:t>Victoria — a risk margin of 8.0% for</w:t>
      </w:r>
      <w:r w:rsidR="00BA50C9" w:rsidRPr="00BA50C9">
        <w:t xml:space="preserve"> </w:t>
      </w:r>
      <w:r w:rsidRPr="00BA50C9">
        <w:t>2015–16, 2016–17, 2017–18</w:t>
      </w:r>
      <w:r w:rsidR="006A0367">
        <w:t xml:space="preserve"> </w:t>
      </w:r>
      <w:r w:rsidR="006A0367" w:rsidRPr="00BA50C9">
        <w:t>and</w:t>
      </w:r>
      <w:r w:rsidR="00BA50C9" w:rsidRPr="00BA50C9">
        <w:t xml:space="preserve"> 2018–19</w:t>
      </w:r>
      <w:r w:rsidRPr="00BA50C9">
        <w:t xml:space="preserve"> </w:t>
      </w:r>
      <w:r w:rsidR="006A0367">
        <w:t xml:space="preserve">and 9.5% for </w:t>
      </w:r>
      <w:r w:rsidRPr="00BA50C9">
        <w:t>201</w:t>
      </w:r>
      <w:r w:rsidR="00BA50C9" w:rsidRPr="00BA50C9">
        <w:t>9</w:t>
      </w:r>
      <w:r w:rsidRPr="00BA50C9">
        <w:t>–</w:t>
      </w:r>
      <w:r w:rsidR="00BA50C9" w:rsidRPr="00BA50C9">
        <w:t>20</w:t>
      </w:r>
      <w:r w:rsidRPr="00BA50C9">
        <w:t>. The risk margin for the Insurers’ Guarantee Fund and the Uninsured Employers and Indemnity Funds is 40% for the period 201</w:t>
      </w:r>
      <w:r w:rsidR="00BA50C9" w:rsidRPr="00BA50C9">
        <w:t>5</w:t>
      </w:r>
      <w:r w:rsidRPr="00BA50C9">
        <w:t>–1</w:t>
      </w:r>
      <w:r w:rsidR="00BA50C9" w:rsidRPr="00BA50C9">
        <w:t>6</w:t>
      </w:r>
      <w:r w:rsidRPr="00BA50C9">
        <w:t xml:space="preserve"> to 201</w:t>
      </w:r>
      <w:r w:rsidR="00BA50C9" w:rsidRPr="00BA50C9">
        <w:t>9</w:t>
      </w:r>
      <w:r w:rsidRPr="00BA50C9">
        <w:t>–</w:t>
      </w:r>
      <w:r w:rsidR="00BA50C9" w:rsidRPr="00BA50C9">
        <w:t>20</w:t>
      </w:r>
      <w:r w:rsidRPr="00BA50C9">
        <w:t xml:space="preserve">. </w:t>
      </w:r>
    </w:p>
    <w:p w14:paraId="5A931B02" w14:textId="33AEF462" w:rsidR="00EE3284" w:rsidRPr="00C200CA" w:rsidRDefault="00EE3284" w:rsidP="00C200CA">
      <w:pPr>
        <w:pStyle w:val="SWABullets"/>
        <w:jc w:val="left"/>
      </w:pPr>
      <w:r w:rsidRPr="00C200CA">
        <w:t>Queensland — a prudential margin 9.8% from 2015–16 and 2016–17</w:t>
      </w:r>
      <w:r w:rsidR="00C200CA" w:rsidRPr="00C200CA">
        <w:t>,</w:t>
      </w:r>
      <w:r w:rsidRPr="00C200CA">
        <w:t xml:space="preserve"> 9.6% from 2017–18</w:t>
      </w:r>
      <w:r w:rsidR="00C200CA" w:rsidRPr="00C200CA">
        <w:t>,</w:t>
      </w:r>
      <w:r w:rsidRPr="00C200CA">
        <w:t xml:space="preserve"> 9.0%</w:t>
      </w:r>
      <w:r w:rsidR="008D7DEA">
        <w:t> </w:t>
      </w:r>
      <w:r w:rsidRPr="00C200CA">
        <w:t>from 2018–19</w:t>
      </w:r>
      <w:r w:rsidR="00C200CA" w:rsidRPr="00C200CA">
        <w:t xml:space="preserve"> and 10.0% from 2019–20</w:t>
      </w:r>
      <w:r w:rsidRPr="00C200CA">
        <w:t>.</w:t>
      </w:r>
    </w:p>
    <w:p w14:paraId="58800DB1" w14:textId="17B129E1" w:rsidR="00EE3284" w:rsidRPr="00BA50C9" w:rsidRDefault="00EE3284" w:rsidP="00EE3284">
      <w:pPr>
        <w:pStyle w:val="SWABullets"/>
        <w:jc w:val="left"/>
      </w:pPr>
      <w:r w:rsidRPr="00BA50C9">
        <w:t>South Australia — a prudential margin of 6.8</w:t>
      </w:r>
      <w:r w:rsidR="00BA50C9" w:rsidRPr="00BA50C9">
        <w:t>%</w:t>
      </w:r>
      <w:r w:rsidRPr="00BA50C9">
        <w:t xml:space="preserve"> from 2015–16, 12.9% from 2016–17</w:t>
      </w:r>
      <w:r w:rsidR="00BA50C9" w:rsidRPr="00BA50C9">
        <w:t>,</w:t>
      </w:r>
      <w:r w:rsidRPr="00BA50C9">
        <w:t xml:space="preserve"> 13.3% from 2017–18</w:t>
      </w:r>
      <w:r w:rsidR="00BA50C9" w:rsidRPr="00BA50C9">
        <w:t xml:space="preserve">, </w:t>
      </w:r>
      <w:bookmarkStart w:id="34" w:name="_Hlk79766021"/>
      <w:r w:rsidR="00BA50C9" w:rsidRPr="00BA50C9">
        <w:t xml:space="preserve">12.6% from </w:t>
      </w:r>
      <w:r w:rsidRPr="00BA50C9">
        <w:t>2018–19</w:t>
      </w:r>
      <w:bookmarkEnd w:id="34"/>
      <w:r w:rsidR="00BA50C9" w:rsidRPr="00BA50C9">
        <w:t xml:space="preserve"> and 12.7% from 2019–20</w:t>
      </w:r>
      <w:r w:rsidRPr="00BA50C9">
        <w:t>.</w:t>
      </w:r>
    </w:p>
    <w:p w14:paraId="439A23B4" w14:textId="77777777" w:rsidR="00EE3284" w:rsidRPr="00C200CA" w:rsidRDefault="00EE3284" w:rsidP="00EE3284">
      <w:pPr>
        <w:pStyle w:val="SWABullets"/>
        <w:jc w:val="left"/>
      </w:pPr>
      <w:r w:rsidRPr="00C200CA">
        <w:t>Northern Territory — a prudential margin of 15% for all years.</w:t>
      </w:r>
    </w:p>
    <w:p w14:paraId="02B8920A" w14:textId="09807280" w:rsidR="00106011" w:rsidRDefault="00106011">
      <w:pPr>
        <w:spacing w:before="0" w:after="160" w:line="259" w:lineRule="auto"/>
        <w:jc w:val="left"/>
      </w:pPr>
      <w:r>
        <w:br w:type="page"/>
      </w:r>
    </w:p>
    <w:p w14:paraId="419E426C" w14:textId="6CAB7600" w:rsidR="00106011" w:rsidRDefault="00106011" w:rsidP="002903E1">
      <w:pPr>
        <w:pStyle w:val="SWASectionnumberingheading"/>
        <w:numPr>
          <w:ilvl w:val="0"/>
          <w:numId w:val="0"/>
        </w:numPr>
        <w:spacing w:before="0"/>
      </w:pPr>
      <w:bookmarkStart w:id="35" w:name="_Toc79584104"/>
      <w:bookmarkStart w:id="36" w:name="_Toc80975739"/>
      <w:r>
        <w:lastRenderedPageBreak/>
        <w:t xml:space="preserve">Appendix </w:t>
      </w:r>
      <w:r w:rsidR="00941CD8">
        <w:t>2</w:t>
      </w:r>
      <w:r>
        <w:t xml:space="preserve"> – Jurisdictional contact information</w:t>
      </w:r>
      <w:bookmarkEnd w:id="35"/>
      <w:bookmarkEnd w:id="36"/>
      <w:r>
        <w:t xml:space="preserve"> </w:t>
      </w:r>
    </w:p>
    <w:tbl>
      <w:tblPr>
        <w:tblStyle w:val="LightShading-Accent2"/>
        <w:tblW w:w="5079"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848"/>
        <w:gridCol w:w="3526"/>
        <w:gridCol w:w="3120"/>
      </w:tblGrid>
      <w:tr w:rsidR="00006277" w:rsidRPr="001928BE" w14:paraId="2C191057" w14:textId="77777777" w:rsidTr="0000627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pct"/>
          </w:tcPr>
          <w:p w14:paraId="4E073405" w14:textId="77777777" w:rsidR="001D63F5" w:rsidRPr="001928BE" w:rsidRDefault="001D63F5" w:rsidP="007977FA">
            <w:pPr>
              <w:spacing w:before="40" w:after="40"/>
              <w:ind w:left="113"/>
              <w:jc w:val="center"/>
              <w:rPr>
                <w:rFonts w:cs="Arial"/>
                <w:szCs w:val="20"/>
              </w:rPr>
            </w:pPr>
            <w:r w:rsidRPr="001928BE">
              <w:rPr>
                <w:rFonts w:cs="Arial"/>
                <w:szCs w:val="20"/>
              </w:rPr>
              <w:t>Jurisdiction</w:t>
            </w:r>
          </w:p>
        </w:tc>
        <w:tc>
          <w:tcPr>
            <w:tcW w:w="1857" w:type="pct"/>
          </w:tcPr>
          <w:p w14:paraId="05639077" w14:textId="77777777" w:rsidR="001D63F5" w:rsidRPr="001928BE" w:rsidRDefault="001D63F5" w:rsidP="007977FA">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43" w:type="pct"/>
          </w:tcPr>
          <w:p w14:paraId="57A9E73E" w14:textId="77777777" w:rsidR="001D63F5" w:rsidRPr="001928BE" w:rsidRDefault="001D63F5" w:rsidP="007977FA">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B708E3" w:rsidRPr="001928BE" w14:paraId="43BE370D" w14:textId="77777777" w:rsidTr="00006277">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500" w:type="pct"/>
          </w:tcPr>
          <w:p w14:paraId="589492C6" w14:textId="77777777" w:rsidR="00B708E3" w:rsidRPr="001928BE" w:rsidRDefault="00B708E3" w:rsidP="00B708E3">
            <w:pPr>
              <w:spacing w:before="40" w:after="40"/>
              <w:jc w:val="left"/>
              <w:rPr>
                <w:rFonts w:cs="Arial"/>
                <w:szCs w:val="20"/>
              </w:rPr>
            </w:pPr>
            <w:r w:rsidRPr="001928BE">
              <w:rPr>
                <w:rFonts w:cs="Arial"/>
                <w:szCs w:val="20"/>
              </w:rPr>
              <w:t>New South Wales</w:t>
            </w:r>
          </w:p>
          <w:p w14:paraId="56CFA679" w14:textId="77777777" w:rsidR="00B708E3" w:rsidRPr="001928BE" w:rsidRDefault="00B708E3" w:rsidP="00B708E3">
            <w:pPr>
              <w:spacing w:before="40" w:after="40"/>
              <w:jc w:val="left"/>
              <w:rPr>
                <w:rFonts w:cs="Arial"/>
                <w:szCs w:val="20"/>
              </w:rPr>
            </w:pPr>
          </w:p>
          <w:p w14:paraId="7732430D" w14:textId="77777777" w:rsidR="00B708E3" w:rsidRPr="001928BE" w:rsidRDefault="00B708E3" w:rsidP="00B708E3">
            <w:pPr>
              <w:spacing w:before="40" w:after="40"/>
              <w:jc w:val="left"/>
              <w:rPr>
                <w:rFonts w:cs="Arial"/>
                <w:szCs w:val="20"/>
              </w:rPr>
            </w:pPr>
          </w:p>
        </w:tc>
        <w:tc>
          <w:tcPr>
            <w:tcW w:w="1857" w:type="pct"/>
          </w:tcPr>
          <w:p w14:paraId="5E43346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533EDFE3"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2E1FDA56"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1707EB0A"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25D09149"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4D626F44"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453640F"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1E3283E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12FB9A80"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962E8F4"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icare</w:t>
            </w:r>
            <w:proofErr w:type="spellEnd"/>
            <w:r w:rsidRPr="001928BE">
              <w:rPr>
                <w:rFonts w:cs="Arial"/>
                <w:szCs w:val="20"/>
              </w:rPr>
              <w:t xml:space="preserve"> NSW</w:t>
            </w:r>
          </w:p>
        </w:tc>
        <w:tc>
          <w:tcPr>
            <w:tcW w:w="1643" w:type="pct"/>
          </w:tcPr>
          <w:p w14:paraId="1A5D85E1"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10E5BB78" w14:textId="77777777" w:rsidR="00B708E3" w:rsidRPr="001928BE" w:rsidRDefault="00F9249A"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9" w:history="1">
              <w:r w:rsidR="00B708E3" w:rsidRPr="001928BE">
                <w:rPr>
                  <w:rStyle w:val="Hyperlink"/>
                  <w:rFonts w:eastAsiaTheme="majorEastAsia" w:cs="Arial"/>
                  <w:color w:val="000000" w:themeColor="text1"/>
                  <w:szCs w:val="20"/>
                </w:rPr>
                <w:t>contact@sira.nsw.gov.au</w:t>
              </w:r>
            </w:hyperlink>
          </w:p>
          <w:p w14:paraId="58559CF2" w14:textId="77777777" w:rsidR="00B708E3" w:rsidRPr="001928BE" w:rsidRDefault="00F9249A"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0" w:tooltip="Link to State Insurance Regulatory Authority NSW website" w:history="1">
              <w:r w:rsidR="00B708E3" w:rsidRPr="001928BE">
                <w:rPr>
                  <w:rStyle w:val="Hyperlink"/>
                  <w:rFonts w:eastAsiaTheme="majorEastAsia" w:cs="Arial"/>
                  <w:color w:val="000000" w:themeColor="text1"/>
                  <w:szCs w:val="20"/>
                </w:rPr>
                <w:t>www.sira.nsw.gov.au</w:t>
              </w:r>
            </w:hyperlink>
          </w:p>
          <w:p w14:paraId="6772CC26" w14:textId="77777777" w:rsidR="00B708E3" w:rsidRPr="003D6109" w:rsidRDefault="00B708E3"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3A0EBEA6"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62B4AEE9" w14:textId="77777777"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1" w:tooltip="SafeWork NSW website" w:history="1">
              <w:r w:rsidR="00B708E3" w:rsidRPr="001928BE">
                <w:rPr>
                  <w:rStyle w:val="Hyperlink"/>
                  <w:rFonts w:eastAsiaTheme="majorEastAsia" w:cs="Arial"/>
                  <w:color w:val="000000" w:themeColor="text1"/>
                  <w:szCs w:val="20"/>
                </w:rPr>
                <w:t>www.safework.nsw.gov.au</w:t>
              </w:r>
            </w:hyperlink>
          </w:p>
          <w:p w14:paraId="48A6FADC"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48F29812"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1DC0D5B0" w14:textId="77777777"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2" w:history="1">
              <w:r w:rsidR="00B708E3" w:rsidRPr="001928BE">
                <w:rPr>
                  <w:rStyle w:val="Hyperlink"/>
                  <w:rFonts w:eastAsiaTheme="majorEastAsia" w:cs="Arial"/>
                  <w:color w:val="000000" w:themeColor="text1"/>
                  <w:szCs w:val="20"/>
                </w:rPr>
                <w:t>www.pi.nsw.gov.au</w:t>
              </w:r>
            </w:hyperlink>
          </w:p>
          <w:p w14:paraId="09D2910A"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C0B2CB0" w14:textId="6E12E6C6"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3" w:history="1">
              <w:r w:rsidR="00B708E3" w:rsidRPr="001928BE">
                <w:rPr>
                  <w:rStyle w:val="Hyperlink"/>
                  <w:rFonts w:eastAsiaTheme="majorEastAsia" w:cs="Arial"/>
                  <w:color w:val="000000" w:themeColor="text1"/>
                  <w:szCs w:val="20"/>
                </w:rPr>
                <w:t>www.icare.nsw.gov.au</w:t>
              </w:r>
            </w:hyperlink>
          </w:p>
        </w:tc>
      </w:tr>
      <w:tr w:rsidR="00B708E3" w:rsidRPr="001928BE" w14:paraId="0C745BB7" w14:textId="77777777" w:rsidTr="00006277">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00" w:type="pct"/>
          </w:tcPr>
          <w:p w14:paraId="7352C2C3" w14:textId="77777777" w:rsidR="00B708E3" w:rsidRPr="001928BE" w:rsidRDefault="00B708E3" w:rsidP="00B708E3">
            <w:pPr>
              <w:spacing w:before="40" w:after="40"/>
              <w:jc w:val="left"/>
              <w:rPr>
                <w:rFonts w:cs="Arial"/>
                <w:szCs w:val="20"/>
              </w:rPr>
            </w:pPr>
            <w:r w:rsidRPr="001928BE">
              <w:rPr>
                <w:rFonts w:cs="Arial"/>
                <w:szCs w:val="20"/>
              </w:rPr>
              <w:t>Victoria</w:t>
            </w:r>
          </w:p>
        </w:tc>
        <w:tc>
          <w:tcPr>
            <w:tcW w:w="1857" w:type="pct"/>
          </w:tcPr>
          <w:p w14:paraId="4906B943"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43" w:type="pct"/>
          </w:tcPr>
          <w:p w14:paraId="4979FF34"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68403E10" w14:textId="77777777" w:rsidR="00B708E3" w:rsidRPr="001928BE" w:rsidRDefault="00F9249A"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4" w:history="1">
              <w:r w:rsidR="00B708E3" w:rsidRPr="001928BE">
                <w:rPr>
                  <w:rStyle w:val="Hyperlink"/>
                  <w:rFonts w:eastAsiaTheme="majorEastAsia" w:cs="Arial"/>
                  <w:color w:val="000000" w:themeColor="text1"/>
                  <w:szCs w:val="20"/>
                </w:rPr>
                <w:t>info@worksafe.vic.gov.au</w:t>
              </w:r>
            </w:hyperlink>
          </w:p>
          <w:p w14:paraId="038B276E" w14:textId="0399D34B" w:rsidR="00B708E3" w:rsidRPr="001928BE" w:rsidRDefault="00F9249A"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35" w:tooltip="Link to WorkSafe Victoria website" w:history="1">
              <w:r w:rsidR="00B708E3" w:rsidRPr="001928BE">
                <w:rPr>
                  <w:rStyle w:val="Hyperlink"/>
                  <w:rFonts w:eastAsiaTheme="majorEastAsia" w:cs="Arial"/>
                  <w:color w:val="000000" w:themeColor="text1"/>
                  <w:szCs w:val="20"/>
                </w:rPr>
                <w:t>www.worksafe.vic.gov.au</w:t>
              </w:r>
            </w:hyperlink>
          </w:p>
        </w:tc>
      </w:tr>
      <w:tr w:rsidR="00B708E3" w:rsidRPr="001928BE" w14:paraId="0E686E7E" w14:textId="77777777" w:rsidTr="00006277">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00" w:type="pct"/>
          </w:tcPr>
          <w:p w14:paraId="66EF2A29" w14:textId="77777777" w:rsidR="00B708E3" w:rsidRPr="001928BE" w:rsidRDefault="00B708E3" w:rsidP="00B708E3">
            <w:pPr>
              <w:spacing w:before="40" w:after="40"/>
              <w:jc w:val="left"/>
              <w:rPr>
                <w:rFonts w:cs="Arial"/>
                <w:szCs w:val="20"/>
              </w:rPr>
            </w:pPr>
            <w:r w:rsidRPr="001928BE">
              <w:rPr>
                <w:rFonts w:cs="Arial"/>
                <w:szCs w:val="20"/>
              </w:rPr>
              <w:t>Queensland</w:t>
            </w:r>
          </w:p>
        </w:tc>
        <w:tc>
          <w:tcPr>
            <w:tcW w:w="1857" w:type="pct"/>
          </w:tcPr>
          <w:p w14:paraId="003146F5"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43" w:type="pct"/>
          </w:tcPr>
          <w:p w14:paraId="51255018"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1263816A" w14:textId="1F7E94C5"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36" w:history="1">
              <w:r w:rsidR="00B708E3" w:rsidRPr="001928BE">
                <w:rPr>
                  <w:rStyle w:val="Hyperlink"/>
                  <w:rFonts w:eastAsiaTheme="majorEastAsia" w:cs="Arial"/>
                  <w:color w:val="000000" w:themeColor="text1"/>
                  <w:szCs w:val="20"/>
                </w:rPr>
                <w:t>www.worksafe.qld.gov.au</w:t>
              </w:r>
            </w:hyperlink>
          </w:p>
        </w:tc>
      </w:tr>
      <w:tr w:rsidR="00B708E3" w:rsidRPr="001928BE" w14:paraId="653656BC" w14:textId="77777777" w:rsidTr="00006277">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500" w:type="pct"/>
          </w:tcPr>
          <w:p w14:paraId="576386FA" w14:textId="77777777" w:rsidR="00B708E3" w:rsidRPr="001928BE" w:rsidRDefault="00B708E3" w:rsidP="00B708E3">
            <w:pPr>
              <w:spacing w:before="40" w:after="40"/>
              <w:jc w:val="left"/>
              <w:rPr>
                <w:rFonts w:cs="Arial"/>
                <w:szCs w:val="20"/>
              </w:rPr>
            </w:pPr>
            <w:r w:rsidRPr="001928BE">
              <w:rPr>
                <w:rFonts w:cs="Arial"/>
                <w:szCs w:val="20"/>
              </w:rPr>
              <w:t>Western Australia</w:t>
            </w:r>
          </w:p>
        </w:tc>
        <w:tc>
          <w:tcPr>
            <w:tcW w:w="1857" w:type="pct"/>
          </w:tcPr>
          <w:p w14:paraId="203E0F4C"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roofErr w:type="spellStart"/>
            <w:r w:rsidRPr="001928BE">
              <w:rPr>
                <w:rFonts w:cs="Arial"/>
                <w:szCs w:val="20"/>
              </w:rPr>
              <w:t>WorkCover</w:t>
            </w:r>
            <w:proofErr w:type="spellEnd"/>
            <w:r w:rsidRPr="001928BE">
              <w:rPr>
                <w:rFonts w:cs="Arial"/>
                <w:szCs w:val="20"/>
              </w:rPr>
              <w:t xml:space="preserve"> WA</w:t>
            </w:r>
          </w:p>
          <w:p w14:paraId="07DD8E5C" w14:textId="77777777" w:rsidR="00B708E3"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59AB184B" w14:textId="77777777" w:rsidR="00B708E3" w:rsidRPr="003D6109"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13CFC9EB"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43" w:type="pct"/>
          </w:tcPr>
          <w:p w14:paraId="57142595"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3AF2A1AA" w14:textId="77777777" w:rsidR="00B708E3" w:rsidRDefault="00F9249A"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37" w:tooltip="Link to WorkCover WA website" w:history="1">
              <w:r w:rsidR="00B708E3" w:rsidRPr="001928BE">
                <w:rPr>
                  <w:rStyle w:val="Hyperlink"/>
                  <w:rFonts w:eastAsiaTheme="majorEastAsia" w:cs="Arial"/>
                  <w:color w:val="000000" w:themeColor="text1"/>
                  <w:szCs w:val="20"/>
                </w:rPr>
                <w:t>www.workcover.wa.gov.au</w:t>
              </w:r>
            </w:hyperlink>
          </w:p>
          <w:p w14:paraId="0930DD1D" w14:textId="77777777" w:rsidR="00B708E3" w:rsidRPr="003D6109" w:rsidRDefault="00B708E3"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329F59A8"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2436CBD4" w14:textId="263F5DBF" w:rsidR="00B708E3" w:rsidRPr="001928BE" w:rsidRDefault="00F9249A" w:rsidP="00B708E3">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38" w:tooltip="Link to Department of Mines, Industry Regulation and Safety– WorkSafe website" w:history="1">
              <w:r w:rsidR="00B708E3" w:rsidRPr="001928BE">
                <w:rPr>
                  <w:rStyle w:val="Hyperlink"/>
                  <w:rFonts w:eastAsiaTheme="majorEastAsia" w:cs="Arial"/>
                  <w:color w:val="000000" w:themeColor="text1"/>
                  <w:szCs w:val="20"/>
                </w:rPr>
                <w:t>www.dmirs.wa.gov.au</w:t>
              </w:r>
            </w:hyperlink>
          </w:p>
        </w:tc>
      </w:tr>
      <w:tr w:rsidR="00B708E3" w:rsidRPr="001928BE" w14:paraId="0236D376" w14:textId="77777777" w:rsidTr="00006277">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500" w:type="pct"/>
          </w:tcPr>
          <w:p w14:paraId="70AA5884" w14:textId="77777777" w:rsidR="00B708E3" w:rsidRPr="001928BE" w:rsidRDefault="00B708E3" w:rsidP="00B708E3">
            <w:pPr>
              <w:spacing w:before="40" w:after="40"/>
              <w:jc w:val="left"/>
              <w:rPr>
                <w:rFonts w:cs="Arial"/>
                <w:szCs w:val="20"/>
              </w:rPr>
            </w:pPr>
            <w:r w:rsidRPr="001928BE">
              <w:rPr>
                <w:rFonts w:cs="Arial"/>
                <w:szCs w:val="20"/>
              </w:rPr>
              <w:t>South Australia</w:t>
            </w:r>
          </w:p>
        </w:tc>
        <w:tc>
          <w:tcPr>
            <w:tcW w:w="1857" w:type="pct"/>
          </w:tcPr>
          <w:p w14:paraId="5212A136"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2FBF65C4" w14:textId="77777777" w:rsidR="00B708E3"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CAFDF2D"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6211AC6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43" w:type="pct"/>
          </w:tcPr>
          <w:p w14:paraId="4FA8A93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14711407" w14:textId="77777777" w:rsidR="00B708E3" w:rsidRDefault="00F9249A"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9" w:tooltip="Link to Return to Work SA website" w:history="1">
              <w:r w:rsidR="00B708E3" w:rsidRPr="001928BE">
                <w:rPr>
                  <w:rStyle w:val="Hyperlink"/>
                  <w:rFonts w:eastAsiaTheme="majorEastAsia" w:cs="Arial"/>
                  <w:color w:val="000000" w:themeColor="text1"/>
                  <w:szCs w:val="20"/>
                </w:rPr>
                <w:t>www.rtwsa.com</w:t>
              </w:r>
            </w:hyperlink>
          </w:p>
          <w:p w14:paraId="511A10FB" w14:textId="77777777" w:rsidR="00B708E3" w:rsidRPr="003D6109" w:rsidRDefault="00B708E3"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700A4F1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4C1FFCEC" w14:textId="5689F4E2"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0" w:tooltip="Link to SafeWork SA website" w:history="1">
              <w:r w:rsidR="00B708E3" w:rsidRPr="001928BE">
                <w:rPr>
                  <w:rStyle w:val="Hyperlink"/>
                  <w:rFonts w:eastAsiaTheme="majorEastAsia" w:cs="Arial"/>
                  <w:color w:val="000000" w:themeColor="text1"/>
                  <w:szCs w:val="20"/>
                </w:rPr>
                <w:t>www.safework.sa.gov.au</w:t>
              </w:r>
            </w:hyperlink>
          </w:p>
        </w:tc>
      </w:tr>
      <w:tr w:rsidR="00B708E3" w:rsidRPr="001928BE" w14:paraId="7427FD41" w14:textId="77777777" w:rsidTr="00006277">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500" w:type="pct"/>
          </w:tcPr>
          <w:p w14:paraId="0C5B14A9" w14:textId="77777777" w:rsidR="00B708E3" w:rsidRPr="001928BE" w:rsidRDefault="00B708E3" w:rsidP="00B708E3">
            <w:pPr>
              <w:spacing w:before="40" w:after="40"/>
              <w:jc w:val="left"/>
              <w:rPr>
                <w:rFonts w:cs="Arial"/>
                <w:szCs w:val="20"/>
              </w:rPr>
            </w:pPr>
            <w:r w:rsidRPr="001928BE">
              <w:rPr>
                <w:rFonts w:cs="Arial"/>
                <w:szCs w:val="20"/>
              </w:rPr>
              <w:t>Tasmania</w:t>
            </w:r>
          </w:p>
        </w:tc>
        <w:tc>
          <w:tcPr>
            <w:tcW w:w="1857" w:type="pct"/>
          </w:tcPr>
          <w:p w14:paraId="1D34531E"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43" w:type="pct"/>
          </w:tcPr>
          <w:p w14:paraId="4406E45C"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5773643A"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00D8F7DD" w14:textId="77777777" w:rsidR="00B708E3" w:rsidRPr="001928BE" w:rsidRDefault="00F9249A" w:rsidP="00B708E3">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41" w:history="1">
              <w:r w:rsidR="00B708E3" w:rsidRPr="001928BE">
                <w:rPr>
                  <w:rStyle w:val="Hyperlink"/>
                  <w:rFonts w:eastAsiaTheme="majorEastAsia" w:cs="Arial"/>
                  <w:color w:val="000000" w:themeColor="text1"/>
                  <w:szCs w:val="20"/>
                </w:rPr>
                <w:t>wstinfo@justice.tas.gov.au</w:t>
              </w:r>
            </w:hyperlink>
          </w:p>
          <w:p w14:paraId="408973B0" w14:textId="1EA99741" w:rsidR="00B708E3" w:rsidRPr="001928BE" w:rsidRDefault="00F9249A"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42" w:tooltip="Link to WorkSafe Tasmania website" w:history="1">
              <w:r w:rsidR="00B708E3" w:rsidRPr="001928BE">
                <w:rPr>
                  <w:rStyle w:val="Hyperlink"/>
                  <w:rFonts w:eastAsiaTheme="majorEastAsia" w:cs="Arial"/>
                  <w:color w:val="000000" w:themeColor="text1"/>
                  <w:szCs w:val="20"/>
                </w:rPr>
                <w:t>www.worksafe.tas.gov.au</w:t>
              </w:r>
            </w:hyperlink>
          </w:p>
        </w:tc>
      </w:tr>
      <w:tr w:rsidR="00B708E3" w:rsidRPr="001928BE" w14:paraId="6D915BC9" w14:textId="77777777" w:rsidTr="00006277">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500" w:type="pct"/>
          </w:tcPr>
          <w:p w14:paraId="3D2B8A0B" w14:textId="77777777" w:rsidR="00B708E3" w:rsidRPr="001928BE" w:rsidRDefault="00B708E3" w:rsidP="00B708E3">
            <w:pPr>
              <w:spacing w:before="40" w:after="40"/>
              <w:jc w:val="left"/>
              <w:rPr>
                <w:rFonts w:cs="Arial"/>
                <w:szCs w:val="20"/>
              </w:rPr>
            </w:pPr>
            <w:r w:rsidRPr="001928BE">
              <w:rPr>
                <w:rFonts w:cs="Arial"/>
                <w:szCs w:val="20"/>
              </w:rPr>
              <w:t>Northern Territory</w:t>
            </w:r>
          </w:p>
        </w:tc>
        <w:tc>
          <w:tcPr>
            <w:tcW w:w="1857" w:type="pct"/>
          </w:tcPr>
          <w:p w14:paraId="4A5BA355"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43" w:type="pct"/>
          </w:tcPr>
          <w:p w14:paraId="38DEFD2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5DA36C0E" w14:textId="77777777" w:rsidR="00B708E3" w:rsidRPr="001928BE" w:rsidRDefault="00F9249A"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3" w:history="1">
              <w:r w:rsidR="00B708E3" w:rsidRPr="001928BE">
                <w:rPr>
                  <w:rStyle w:val="Hyperlink"/>
                  <w:rFonts w:eastAsiaTheme="majorEastAsia" w:cs="Arial"/>
                  <w:color w:val="000000" w:themeColor="text1"/>
                  <w:szCs w:val="20"/>
                </w:rPr>
                <w:t>ntworksafe@nt.gov.au</w:t>
              </w:r>
            </w:hyperlink>
          </w:p>
          <w:p w14:paraId="0DBED8D7" w14:textId="61754494"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44" w:history="1">
              <w:r w:rsidR="00B708E3" w:rsidRPr="001928BE">
                <w:rPr>
                  <w:rStyle w:val="Hyperlink"/>
                  <w:rFonts w:eastAsiaTheme="majorEastAsia" w:cs="Arial"/>
                  <w:color w:val="000000" w:themeColor="text1"/>
                  <w:szCs w:val="20"/>
                </w:rPr>
                <w:t>www.worksafe.nt.gov.au</w:t>
              </w:r>
            </w:hyperlink>
          </w:p>
        </w:tc>
      </w:tr>
      <w:tr w:rsidR="00B708E3" w:rsidRPr="001928BE" w14:paraId="21B06DF9" w14:textId="77777777" w:rsidTr="00006277">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00" w:type="pct"/>
          </w:tcPr>
          <w:p w14:paraId="7C7B2A3F" w14:textId="77777777" w:rsidR="00B708E3" w:rsidRPr="001928BE" w:rsidRDefault="00B708E3" w:rsidP="00B708E3">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57" w:type="pct"/>
          </w:tcPr>
          <w:p w14:paraId="1C10B963" w14:textId="77777777" w:rsidR="00B708E3" w:rsidRPr="001928BE" w:rsidRDefault="00B708E3" w:rsidP="00B708E3">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43" w:type="pct"/>
          </w:tcPr>
          <w:p w14:paraId="7FCBE85B"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736FC39E" w14:textId="4C9DD8FA" w:rsidR="00B708E3" w:rsidRPr="001928BE" w:rsidRDefault="00F9249A" w:rsidP="00B708E3">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5" w:history="1">
              <w:r w:rsidR="00B708E3" w:rsidRPr="001928BE">
                <w:rPr>
                  <w:rStyle w:val="Hyperlink"/>
                  <w:rFonts w:eastAsiaTheme="majorEastAsia" w:cs="Arial"/>
                  <w:color w:val="000000" w:themeColor="text1"/>
                  <w:szCs w:val="20"/>
                </w:rPr>
                <w:t>www.worksafe.act.gov.au</w:t>
              </w:r>
            </w:hyperlink>
          </w:p>
        </w:tc>
      </w:tr>
      <w:tr w:rsidR="00B708E3" w:rsidRPr="001928BE" w14:paraId="0203F94F" w14:textId="77777777" w:rsidTr="0000627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00" w:type="pct"/>
          </w:tcPr>
          <w:p w14:paraId="0877C0C1" w14:textId="77777777" w:rsidR="00B708E3" w:rsidRPr="001928BE" w:rsidRDefault="00B708E3" w:rsidP="00B708E3">
            <w:pPr>
              <w:spacing w:before="40" w:after="40"/>
              <w:jc w:val="left"/>
              <w:rPr>
                <w:rFonts w:cs="Arial"/>
                <w:szCs w:val="20"/>
              </w:rPr>
            </w:pPr>
            <w:r w:rsidRPr="001928BE">
              <w:rPr>
                <w:rFonts w:cs="Arial"/>
                <w:szCs w:val="20"/>
              </w:rPr>
              <w:t>Seacare</w:t>
            </w:r>
          </w:p>
        </w:tc>
        <w:tc>
          <w:tcPr>
            <w:tcW w:w="1857" w:type="pct"/>
          </w:tcPr>
          <w:p w14:paraId="752A50A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43" w:type="pct"/>
          </w:tcPr>
          <w:p w14:paraId="4F65AE07"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0AD22454" w14:textId="77777777" w:rsidR="00B708E3" w:rsidRPr="001928BE" w:rsidRDefault="00F9249A" w:rsidP="00B708E3">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6" w:history="1">
              <w:r w:rsidR="00B708E3" w:rsidRPr="001928BE">
                <w:rPr>
                  <w:rStyle w:val="Hyperlink"/>
                  <w:rFonts w:eastAsiaTheme="majorEastAsia" w:cs="Arial"/>
                  <w:color w:val="000000" w:themeColor="text1"/>
                  <w:szCs w:val="20"/>
                </w:rPr>
                <w:t>seacare@comcare.gov.au</w:t>
              </w:r>
            </w:hyperlink>
          </w:p>
          <w:p w14:paraId="07D49926" w14:textId="3AC85F91"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7" w:tooltip="Link to Seacare Authority website" w:history="1">
              <w:r w:rsidR="00B708E3" w:rsidRPr="001928BE">
                <w:rPr>
                  <w:rStyle w:val="Hyperlink"/>
                  <w:rFonts w:eastAsiaTheme="majorEastAsia" w:cs="Arial"/>
                  <w:color w:val="000000" w:themeColor="text1"/>
                  <w:szCs w:val="20"/>
                </w:rPr>
                <w:t>www.seacare.gov.au</w:t>
              </w:r>
            </w:hyperlink>
          </w:p>
        </w:tc>
      </w:tr>
      <w:tr w:rsidR="00B708E3" w:rsidRPr="001928BE" w14:paraId="0B4D8A5B" w14:textId="77777777" w:rsidTr="00006277">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00" w:type="pct"/>
          </w:tcPr>
          <w:p w14:paraId="6D800F82" w14:textId="77777777" w:rsidR="00B708E3" w:rsidRPr="001928BE" w:rsidRDefault="00B708E3" w:rsidP="00B708E3">
            <w:pPr>
              <w:spacing w:before="40" w:after="40"/>
              <w:jc w:val="left"/>
              <w:rPr>
                <w:rFonts w:cs="Arial"/>
                <w:szCs w:val="20"/>
              </w:rPr>
            </w:pPr>
            <w:r w:rsidRPr="001928BE">
              <w:rPr>
                <w:rFonts w:cs="Arial"/>
                <w:szCs w:val="20"/>
              </w:rPr>
              <w:t>Australian Government</w:t>
            </w:r>
          </w:p>
        </w:tc>
        <w:tc>
          <w:tcPr>
            <w:tcW w:w="1857" w:type="pct"/>
          </w:tcPr>
          <w:p w14:paraId="64DFD6D4"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43" w:type="pct"/>
          </w:tcPr>
          <w:p w14:paraId="0CD38F03" w14:textId="77777777" w:rsidR="00B708E3" w:rsidRPr="001928BE" w:rsidRDefault="00B708E3" w:rsidP="00B708E3">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399103DA" w14:textId="2B2215D2" w:rsidR="00B708E3" w:rsidRPr="001928BE" w:rsidRDefault="00F9249A" w:rsidP="00B708E3">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8" w:tooltip="Link to Comcare website" w:history="1">
              <w:r w:rsidR="00B708E3" w:rsidRPr="001928BE">
                <w:rPr>
                  <w:rStyle w:val="Hyperlink"/>
                  <w:rFonts w:eastAsiaTheme="majorEastAsia" w:cs="Arial"/>
                  <w:color w:val="000000" w:themeColor="text1"/>
                  <w:szCs w:val="20"/>
                </w:rPr>
                <w:t>www.comcare.gov.au</w:t>
              </w:r>
            </w:hyperlink>
          </w:p>
        </w:tc>
      </w:tr>
      <w:tr w:rsidR="00B708E3" w:rsidRPr="001928BE" w14:paraId="09275C26" w14:textId="77777777" w:rsidTr="00006277">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500" w:type="pct"/>
          </w:tcPr>
          <w:p w14:paraId="38C17577" w14:textId="77777777" w:rsidR="00B708E3" w:rsidRPr="001928BE" w:rsidRDefault="00B708E3" w:rsidP="00B708E3">
            <w:pPr>
              <w:spacing w:before="40" w:after="40"/>
              <w:jc w:val="left"/>
              <w:rPr>
                <w:rFonts w:cs="Arial"/>
                <w:szCs w:val="20"/>
              </w:rPr>
            </w:pPr>
            <w:r w:rsidRPr="001928BE">
              <w:rPr>
                <w:rFonts w:cs="Arial"/>
                <w:szCs w:val="20"/>
              </w:rPr>
              <w:t>New Zealand</w:t>
            </w:r>
          </w:p>
        </w:tc>
        <w:tc>
          <w:tcPr>
            <w:tcW w:w="1857" w:type="pct"/>
          </w:tcPr>
          <w:p w14:paraId="70C416BE"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2DA95FED"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5D1C5F6"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6BA4576A" w14:textId="77777777" w:rsidR="00B708E3" w:rsidRPr="001928BE" w:rsidRDefault="00B708E3" w:rsidP="00B708E3">
            <w:pPr>
              <w:tabs>
                <w:tab w:val="left" w:pos="2445"/>
              </w:tabs>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43" w:type="pct"/>
          </w:tcPr>
          <w:p w14:paraId="3EE8FE30"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0B6C594C" w14:textId="77777777"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9" w:tooltip="Accident Compensation Corporation website" w:history="1">
              <w:r w:rsidR="00B708E3" w:rsidRPr="001928BE">
                <w:rPr>
                  <w:rStyle w:val="Hyperlinks"/>
                  <w:rFonts w:eastAsiaTheme="majorEastAsia" w:cs="Arial"/>
                  <w:color w:val="000000" w:themeColor="text1"/>
                  <w:szCs w:val="20"/>
                </w:rPr>
                <w:t>www.acc.co.nz</w:t>
              </w:r>
            </w:hyperlink>
          </w:p>
          <w:p w14:paraId="56AA74A0" w14:textId="77777777" w:rsidR="00B708E3" w:rsidRPr="003D6109"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 w:val="10"/>
                <w:szCs w:val="10"/>
              </w:rPr>
            </w:pPr>
          </w:p>
          <w:p w14:paraId="64490AEB" w14:textId="77777777" w:rsidR="00B708E3" w:rsidRPr="001928BE" w:rsidRDefault="00B708E3" w:rsidP="00B708E3">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1EE31849" w14:textId="6134CFAE" w:rsidR="00B708E3" w:rsidRPr="001928BE" w:rsidRDefault="00F9249A" w:rsidP="00B708E3">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0" w:history="1">
              <w:r w:rsidR="00B708E3" w:rsidRPr="001928BE">
                <w:rPr>
                  <w:rStyle w:val="Hyperlinks"/>
                  <w:rFonts w:eastAsiaTheme="majorEastAsia" w:cs="Arial"/>
                  <w:color w:val="000000" w:themeColor="text1"/>
                  <w:szCs w:val="20"/>
                </w:rPr>
                <w:t>www.worksafe.govt.nz</w:t>
              </w:r>
            </w:hyperlink>
          </w:p>
        </w:tc>
      </w:tr>
    </w:tbl>
    <w:p w14:paraId="1FB5502D" w14:textId="77777777" w:rsidR="00EE3284" w:rsidRPr="00106011" w:rsidRDefault="00EE3284">
      <w:pPr>
        <w:rPr>
          <w:sz w:val="2"/>
          <w:szCs w:val="2"/>
        </w:rPr>
      </w:pPr>
    </w:p>
    <w:sectPr w:rsidR="00EE3284" w:rsidRPr="00106011" w:rsidSect="00006277">
      <w:headerReference w:type="first" r:id="rId51"/>
      <w:pgSz w:w="11906" w:h="16838"/>
      <w:pgMar w:top="1440" w:right="1274"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C64AC" w14:textId="77777777" w:rsidR="004A6F97" w:rsidRDefault="004A6F97">
      <w:pPr>
        <w:spacing w:before="0"/>
      </w:pPr>
      <w:r>
        <w:separator/>
      </w:r>
    </w:p>
  </w:endnote>
  <w:endnote w:type="continuationSeparator" w:id="0">
    <w:p w14:paraId="6BB5DB7A" w14:textId="77777777" w:rsidR="004A6F97" w:rsidRDefault="004A6F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824724"/>
      <w:docPartObj>
        <w:docPartGallery w:val="Page Numbers (Bottom of Page)"/>
        <w:docPartUnique/>
      </w:docPartObj>
    </w:sdtPr>
    <w:sdtEndPr>
      <w:rPr>
        <w:noProof/>
      </w:rPr>
    </w:sdtEndPr>
    <w:sdtContent>
      <w:p w14:paraId="0671E645" w14:textId="77777777" w:rsidR="008C5BE2" w:rsidRDefault="008C5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B90AC" w14:textId="77777777" w:rsidR="008C5BE2" w:rsidRDefault="008C5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526014"/>
      <w:docPartObj>
        <w:docPartGallery w:val="Page Numbers (Bottom of Page)"/>
        <w:docPartUnique/>
      </w:docPartObj>
    </w:sdtPr>
    <w:sdtEndPr>
      <w:rPr>
        <w:noProof/>
      </w:rPr>
    </w:sdtEndPr>
    <w:sdtContent>
      <w:p w14:paraId="5AA36F6F" w14:textId="77777777" w:rsidR="008C5BE2" w:rsidRPr="00510E89" w:rsidRDefault="008C5BE2" w:rsidP="00106011">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A080" w14:textId="77777777" w:rsidR="008C5BE2" w:rsidRPr="00FF48E0" w:rsidRDefault="008C5BE2" w:rsidP="00106011">
    <w:pPr>
      <w:pStyle w:val="Footer"/>
    </w:pPr>
    <w:r w:rsidRPr="00FF48E0">
      <w:tab/>
    </w:r>
    <w:r w:rsidRPr="00FF48E0">
      <w:tab/>
    </w:r>
    <w:sdt>
      <w:sdtPr>
        <w:id w:val="-286992"/>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21</w:t>
        </w:r>
        <w:r w:rsidRPr="00FF48E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74ED" w14:textId="77777777" w:rsidR="008C5BE2" w:rsidRPr="00483E56" w:rsidRDefault="008C5BE2" w:rsidP="00106011">
    <w:pPr>
      <w:pStyle w:val="Footer"/>
    </w:pPr>
    <w:r>
      <w:tab/>
    </w:r>
    <w:r w:rsidRPr="00FF48E0">
      <w:tab/>
    </w:r>
    <w:sdt>
      <w:sdtPr>
        <w:id w:val="-1214419406"/>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11</w:t>
        </w:r>
        <w:r w:rsidRPr="00FF48E0">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309713"/>
      <w:docPartObj>
        <w:docPartGallery w:val="Page Numbers (Bottom of Page)"/>
        <w:docPartUnique/>
      </w:docPartObj>
    </w:sdtPr>
    <w:sdtEndPr>
      <w:rPr>
        <w:noProof/>
      </w:rPr>
    </w:sdtEndPr>
    <w:sdtContent>
      <w:p w14:paraId="17551409" w14:textId="77777777" w:rsidR="008C5BE2" w:rsidRPr="002148A2" w:rsidRDefault="008C5BE2" w:rsidP="00106011">
        <w:pPr>
          <w:pStyle w:val="Footer"/>
        </w:pPr>
        <w:r w:rsidRPr="00FF48E0">
          <w:t>Comparative Performance Monitoring 18</w:t>
        </w:r>
        <w:r w:rsidRPr="00FF48E0">
          <w:rPr>
            <w:vertAlign w:val="superscript"/>
          </w:rPr>
          <w:t>th</w:t>
        </w:r>
        <w:r w:rsidRPr="00FF48E0">
          <w:t xml:space="preserve"> Edition</w:t>
        </w:r>
        <w:r>
          <w:t xml:space="preserve"> (revised July 2017)</w:t>
        </w:r>
        <w:r>
          <w:tab/>
        </w:r>
        <w:r>
          <w:tab/>
        </w:r>
        <w:r>
          <w:tab/>
        </w:r>
        <w:r>
          <w:tab/>
        </w:r>
        <w:r>
          <w:tab/>
        </w:r>
        <w:r>
          <w:tab/>
        </w:r>
        <w:r>
          <w:tab/>
        </w:r>
        <w:r>
          <w:tab/>
        </w:r>
        <w:r>
          <w:fldChar w:fldCharType="begin"/>
        </w:r>
        <w:r>
          <w:instrText xml:space="preserve"> PAGE   \* MERGEFORMAT </w:instrText>
        </w:r>
        <w:r>
          <w:fldChar w:fldCharType="separate"/>
        </w:r>
        <w:r>
          <w:rPr>
            <w:noProof/>
          </w:rPr>
          <w:t>28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A036" w14:textId="77777777" w:rsidR="008C5BE2" w:rsidRPr="00FF48E0" w:rsidRDefault="008C5BE2" w:rsidP="00106011">
    <w:pPr>
      <w:pStyle w:val="Footer"/>
      <w:tabs>
        <w:tab w:val="clear" w:pos="9026"/>
        <w:tab w:val="right" w:pos="14034"/>
      </w:tabs>
    </w:pPr>
    <w:r w:rsidRPr="00FF48E0">
      <w:tab/>
    </w:r>
    <w:r w:rsidRPr="00FF48E0">
      <w:tab/>
    </w:r>
    <w:sdt>
      <w:sdtPr>
        <w:id w:val="-2096854475"/>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30</w:t>
        </w:r>
        <w:r w:rsidRPr="00FF48E0">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7312" w14:textId="77777777" w:rsidR="008C5BE2" w:rsidRPr="00782503" w:rsidRDefault="008C5BE2" w:rsidP="00106011">
    <w:pPr>
      <w:pStyle w:val="Footer"/>
      <w:tabs>
        <w:tab w:val="clear" w:pos="9026"/>
        <w:tab w:val="left" w:pos="8447"/>
        <w:tab w:val="right" w:pos="14034"/>
      </w:tabs>
    </w:pPr>
    <w:r>
      <w:tab/>
    </w:r>
    <w:r>
      <w:tab/>
    </w:r>
    <w:r>
      <w:tab/>
    </w:r>
    <w:sdt>
      <w:sdtPr>
        <w:id w:val="19246787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1352E" w14:textId="77777777" w:rsidR="004A6F97" w:rsidRDefault="004A6F97">
      <w:pPr>
        <w:spacing w:before="0"/>
      </w:pPr>
      <w:r>
        <w:separator/>
      </w:r>
    </w:p>
  </w:footnote>
  <w:footnote w:type="continuationSeparator" w:id="0">
    <w:p w14:paraId="3ECFEAF5" w14:textId="77777777" w:rsidR="004A6F97" w:rsidRDefault="004A6F9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827E" w14:textId="77777777" w:rsidR="008C5BE2" w:rsidRDefault="008C5BE2" w:rsidP="00106011">
    <w:pPr>
      <w:pStyle w:val="Heade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C3CF" w14:textId="77777777" w:rsidR="008C5BE2" w:rsidRPr="00FF48E0" w:rsidRDefault="008C5BE2" w:rsidP="00106011">
    <w:pPr>
      <w:pStyle w:val="Header"/>
    </w:pPr>
    <w:r w:rsidRPr="00FF48E0">
      <w:t>Workers’ compensation scheme performance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9AD5" w14:textId="77777777" w:rsidR="008C5BE2" w:rsidRPr="002148A2" w:rsidRDefault="008C5BE2" w:rsidP="001060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DA33A" w14:textId="77777777" w:rsidR="008C5BE2" w:rsidRDefault="008C5BE2" w:rsidP="00106011">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669A"/>
    <w:multiLevelType w:val="hybridMultilevel"/>
    <w:tmpl w:val="40EC0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2C852EFE"/>
    <w:multiLevelType w:val="hybridMultilevel"/>
    <w:tmpl w:val="0E38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980426"/>
    <w:multiLevelType w:val="hybridMultilevel"/>
    <w:tmpl w:val="B682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360EFB"/>
    <w:multiLevelType w:val="hybridMultilevel"/>
    <w:tmpl w:val="60122FDE"/>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137DFE"/>
    <w:multiLevelType w:val="multilevel"/>
    <w:tmpl w:val="4BDA3DC4"/>
    <w:numStyleLink w:val="SecNumb"/>
  </w:abstractNum>
  <w:abstractNum w:abstractNumId="7" w15:restartNumberingAfterBreak="0">
    <w:nsid w:val="73C64EF8"/>
    <w:multiLevelType w:val="hybridMultilevel"/>
    <w:tmpl w:val="8E8E4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7A264D88"/>
    <w:multiLevelType w:val="hybridMultilevel"/>
    <w:tmpl w:val="04D6DDC4"/>
    <w:lvl w:ilvl="0" w:tplc="AE34B2A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E40D07"/>
    <w:multiLevelType w:val="hybridMultilevel"/>
    <w:tmpl w:val="D4AC89FA"/>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9"/>
  </w:num>
  <w:num w:numId="6">
    <w:abstractNumId w:val="6"/>
  </w:num>
  <w:num w:numId="7">
    <w:abstractNumId w:val="6"/>
  </w:num>
  <w:num w:numId="8">
    <w:abstractNumId w:val="7"/>
  </w:num>
  <w:num w:numId="9">
    <w:abstractNumId w:val="5"/>
  </w:num>
  <w:num w:numId="10">
    <w:abstractNumId w:val="10"/>
  </w:num>
  <w:num w:numId="11">
    <w:abstractNumId w:val="1"/>
  </w:num>
  <w:num w:numId="12">
    <w:abstractNumId w:val="6"/>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4"/>
    <w:rsid w:val="000032FC"/>
    <w:rsid w:val="00006277"/>
    <w:rsid w:val="00024EDB"/>
    <w:rsid w:val="00037F17"/>
    <w:rsid w:val="000458A4"/>
    <w:rsid w:val="00052A84"/>
    <w:rsid w:val="00055D80"/>
    <w:rsid w:val="000700F1"/>
    <w:rsid w:val="0007673D"/>
    <w:rsid w:val="00090F26"/>
    <w:rsid w:val="00095185"/>
    <w:rsid w:val="000A0793"/>
    <w:rsid w:val="000A18BF"/>
    <w:rsid w:val="000C41CD"/>
    <w:rsid w:val="000D2850"/>
    <w:rsid w:val="00106011"/>
    <w:rsid w:val="00111FD7"/>
    <w:rsid w:val="00142795"/>
    <w:rsid w:val="001469A7"/>
    <w:rsid w:val="00151F50"/>
    <w:rsid w:val="0015434A"/>
    <w:rsid w:val="001622AB"/>
    <w:rsid w:val="00176C37"/>
    <w:rsid w:val="00183BDC"/>
    <w:rsid w:val="0018556F"/>
    <w:rsid w:val="00187E26"/>
    <w:rsid w:val="001D63F5"/>
    <w:rsid w:val="001E0956"/>
    <w:rsid w:val="001E7E38"/>
    <w:rsid w:val="002037FB"/>
    <w:rsid w:val="00205DD6"/>
    <w:rsid w:val="002131AF"/>
    <w:rsid w:val="00216E7A"/>
    <w:rsid w:val="002171A0"/>
    <w:rsid w:val="002245FF"/>
    <w:rsid w:val="00225E29"/>
    <w:rsid w:val="00236664"/>
    <w:rsid w:val="00251CFD"/>
    <w:rsid w:val="00282995"/>
    <w:rsid w:val="002903E1"/>
    <w:rsid w:val="002B4617"/>
    <w:rsid w:val="002D3051"/>
    <w:rsid w:val="002E79A6"/>
    <w:rsid w:val="00304D1F"/>
    <w:rsid w:val="0031497C"/>
    <w:rsid w:val="0031625E"/>
    <w:rsid w:val="00316D05"/>
    <w:rsid w:val="003379CF"/>
    <w:rsid w:val="00347734"/>
    <w:rsid w:val="0035492B"/>
    <w:rsid w:val="00356D02"/>
    <w:rsid w:val="003643C7"/>
    <w:rsid w:val="00366682"/>
    <w:rsid w:val="00386BE2"/>
    <w:rsid w:val="0039064B"/>
    <w:rsid w:val="003A4177"/>
    <w:rsid w:val="003C5EFB"/>
    <w:rsid w:val="003C6B58"/>
    <w:rsid w:val="003D33A7"/>
    <w:rsid w:val="003D656F"/>
    <w:rsid w:val="003E496D"/>
    <w:rsid w:val="003F7957"/>
    <w:rsid w:val="00405544"/>
    <w:rsid w:val="004135B6"/>
    <w:rsid w:val="004210D1"/>
    <w:rsid w:val="00422EC6"/>
    <w:rsid w:val="00422F6A"/>
    <w:rsid w:val="00444D96"/>
    <w:rsid w:val="0045242A"/>
    <w:rsid w:val="004532BE"/>
    <w:rsid w:val="00463BA3"/>
    <w:rsid w:val="0046633F"/>
    <w:rsid w:val="00477BE4"/>
    <w:rsid w:val="00495AF1"/>
    <w:rsid w:val="004A6F97"/>
    <w:rsid w:val="004B4475"/>
    <w:rsid w:val="004D0F09"/>
    <w:rsid w:val="004E2742"/>
    <w:rsid w:val="00512215"/>
    <w:rsid w:val="00513F1C"/>
    <w:rsid w:val="00520717"/>
    <w:rsid w:val="00532366"/>
    <w:rsid w:val="00532C61"/>
    <w:rsid w:val="0056170C"/>
    <w:rsid w:val="00577002"/>
    <w:rsid w:val="00584EE4"/>
    <w:rsid w:val="00594A1D"/>
    <w:rsid w:val="0059704D"/>
    <w:rsid w:val="005A00FC"/>
    <w:rsid w:val="005A31B0"/>
    <w:rsid w:val="005A5735"/>
    <w:rsid w:val="005B7FDC"/>
    <w:rsid w:val="005C3EB9"/>
    <w:rsid w:val="005E47F8"/>
    <w:rsid w:val="005E5930"/>
    <w:rsid w:val="005E5B95"/>
    <w:rsid w:val="005F1FB9"/>
    <w:rsid w:val="005F7CAF"/>
    <w:rsid w:val="006021AF"/>
    <w:rsid w:val="006260AB"/>
    <w:rsid w:val="00634D19"/>
    <w:rsid w:val="006445AF"/>
    <w:rsid w:val="00654840"/>
    <w:rsid w:val="00673C0F"/>
    <w:rsid w:val="006A0367"/>
    <w:rsid w:val="006A42BD"/>
    <w:rsid w:val="006C40BE"/>
    <w:rsid w:val="006C641C"/>
    <w:rsid w:val="006D219A"/>
    <w:rsid w:val="00715BF6"/>
    <w:rsid w:val="007224AB"/>
    <w:rsid w:val="00724102"/>
    <w:rsid w:val="0073092F"/>
    <w:rsid w:val="00744327"/>
    <w:rsid w:val="00755CDF"/>
    <w:rsid w:val="00757FE0"/>
    <w:rsid w:val="00764220"/>
    <w:rsid w:val="00765CCB"/>
    <w:rsid w:val="00775559"/>
    <w:rsid w:val="00780219"/>
    <w:rsid w:val="00782811"/>
    <w:rsid w:val="00783D6B"/>
    <w:rsid w:val="0078675E"/>
    <w:rsid w:val="007902E4"/>
    <w:rsid w:val="0079190B"/>
    <w:rsid w:val="007C74F9"/>
    <w:rsid w:val="007D1594"/>
    <w:rsid w:val="007D648C"/>
    <w:rsid w:val="007F07C8"/>
    <w:rsid w:val="00812728"/>
    <w:rsid w:val="00821930"/>
    <w:rsid w:val="00824B5C"/>
    <w:rsid w:val="0082587E"/>
    <w:rsid w:val="008454F5"/>
    <w:rsid w:val="0085091F"/>
    <w:rsid w:val="00861489"/>
    <w:rsid w:val="00865FE1"/>
    <w:rsid w:val="00885682"/>
    <w:rsid w:val="008A1406"/>
    <w:rsid w:val="008B2225"/>
    <w:rsid w:val="008C5BE2"/>
    <w:rsid w:val="008D0F4F"/>
    <w:rsid w:val="008D7DEA"/>
    <w:rsid w:val="008F3B0D"/>
    <w:rsid w:val="00901E2C"/>
    <w:rsid w:val="00910E8B"/>
    <w:rsid w:val="00932A90"/>
    <w:rsid w:val="00941CD8"/>
    <w:rsid w:val="0094778C"/>
    <w:rsid w:val="00951721"/>
    <w:rsid w:val="00956006"/>
    <w:rsid w:val="009671F9"/>
    <w:rsid w:val="00971844"/>
    <w:rsid w:val="00975253"/>
    <w:rsid w:val="00975F8A"/>
    <w:rsid w:val="0098654C"/>
    <w:rsid w:val="00986D99"/>
    <w:rsid w:val="009906C7"/>
    <w:rsid w:val="009B1A78"/>
    <w:rsid w:val="009D40D8"/>
    <w:rsid w:val="009D6CBA"/>
    <w:rsid w:val="009F4522"/>
    <w:rsid w:val="00A075BC"/>
    <w:rsid w:val="00A206C9"/>
    <w:rsid w:val="00A21C64"/>
    <w:rsid w:val="00A23F8A"/>
    <w:rsid w:val="00A25760"/>
    <w:rsid w:val="00A2738A"/>
    <w:rsid w:val="00A31AEC"/>
    <w:rsid w:val="00A32AF3"/>
    <w:rsid w:val="00A331B6"/>
    <w:rsid w:val="00A654E4"/>
    <w:rsid w:val="00A76C9A"/>
    <w:rsid w:val="00AA7C33"/>
    <w:rsid w:val="00AC602E"/>
    <w:rsid w:val="00AE04E0"/>
    <w:rsid w:val="00AE0D76"/>
    <w:rsid w:val="00B02FFB"/>
    <w:rsid w:val="00B04BB5"/>
    <w:rsid w:val="00B04CC9"/>
    <w:rsid w:val="00B04F64"/>
    <w:rsid w:val="00B07B1F"/>
    <w:rsid w:val="00B17615"/>
    <w:rsid w:val="00B32323"/>
    <w:rsid w:val="00B33D5A"/>
    <w:rsid w:val="00B34D49"/>
    <w:rsid w:val="00B45016"/>
    <w:rsid w:val="00B53BEE"/>
    <w:rsid w:val="00B55605"/>
    <w:rsid w:val="00B5751C"/>
    <w:rsid w:val="00B62017"/>
    <w:rsid w:val="00B624BE"/>
    <w:rsid w:val="00B708E3"/>
    <w:rsid w:val="00B73213"/>
    <w:rsid w:val="00B739E2"/>
    <w:rsid w:val="00B8024A"/>
    <w:rsid w:val="00B80675"/>
    <w:rsid w:val="00B87EC8"/>
    <w:rsid w:val="00B95CE2"/>
    <w:rsid w:val="00BA50C9"/>
    <w:rsid w:val="00BD2C17"/>
    <w:rsid w:val="00C04B3A"/>
    <w:rsid w:val="00C200CA"/>
    <w:rsid w:val="00C274C6"/>
    <w:rsid w:val="00C312EE"/>
    <w:rsid w:val="00C33643"/>
    <w:rsid w:val="00C539F7"/>
    <w:rsid w:val="00C65591"/>
    <w:rsid w:val="00C846DE"/>
    <w:rsid w:val="00C94160"/>
    <w:rsid w:val="00C96071"/>
    <w:rsid w:val="00CA1F00"/>
    <w:rsid w:val="00CA5BFF"/>
    <w:rsid w:val="00D03D06"/>
    <w:rsid w:val="00D0515A"/>
    <w:rsid w:val="00D104A3"/>
    <w:rsid w:val="00D12D53"/>
    <w:rsid w:val="00D170E0"/>
    <w:rsid w:val="00D23BAA"/>
    <w:rsid w:val="00D30AFD"/>
    <w:rsid w:val="00D620A9"/>
    <w:rsid w:val="00D62C2B"/>
    <w:rsid w:val="00D639A0"/>
    <w:rsid w:val="00D861FF"/>
    <w:rsid w:val="00D97930"/>
    <w:rsid w:val="00DB1688"/>
    <w:rsid w:val="00DC5DA9"/>
    <w:rsid w:val="00E06498"/>
    <w:rsid w:val="00E06D84"/>
    <w:rsid w:val="00E14AAB"/>
    <w:rsid w:val="00E150B9"/>
    <w:rsid w:val="00E30DD0"/>
    <w:rsid w:val="00E336F9"/>
    <w:rsid w:val="00E73AB1"/>
    <w:rsid w:val="00E81262"/>
    <w:rsid w:val="00EB429A"/>
    <w:rsid w:val="00ED7E30"/>
    <w:rsid w:val="00EE3284"/>
    <w:rsid w:val="00EF0E67"/>
    <w:rsid w:val="00EF13F2"/>
    <w:rsid w:val="00F062A5"/>
    <w:rsid w:val="00F11FA7"/>
    <w:rsid w:val="00F1570B"/>
    <w:rsid w:val="00F2001A"/>
    <w:rsid w:val="00F61923"/>
    <w:rsid w:val="00F75A5C"/>
    <w:rsid w:val="00F91980"/>
    <w:rsid w:val="00F9249A"/>
    <w:rsid w:val="00F929FE"/>
    <w:rsid w:val="00F95449"/>
    <w:rsid w:val="00FA63E2"/>
    <w:rsid w:val="00FA75C4"/>
    <w:rsid w:val="00FC6396"/>
    <w:rsid w:val="00FD1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BEA7"/>
  <w15:chartTrackingRefBased/>
  <w15:docId w15:val="{82FAA708-BAD9-4007-94CB-08951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E3284"/>
    <w:pPr>
      <w:spacing w:before="200" w:after="0" w:line="240" w:lineRule="auto"/>
      <w:jc w:val="both"/>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EE32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ink">
    <w:name w:val="SWA Link"/>
    <w:basedOn w:val="Normal"/>
    <w:link w:val="SWALinkChar"/>
    <w:qFormat/>
    <w:rsid w:val="00EE3284"/>
    <w:rPr>
      <w:u w:val="single"/>
    </w:rPr>
  </w:style>
  <w:style w:type="character" w:customStyle="1" w:styleId="SWALinkChar">
    <w:name w:val="SWA Link Char"/>
    <w:basedOn w:val="DefaultParagraphFont"/>
    <w:link w:val="SWALink"/>
    <w:rsid w:val="00EE3284"/>
    <w:rPr>
      <w:rFonts w:ascii="Arial" w:eastAsia="Times New Roman" w:hAnsi="Arial" w:cs="Times New Roman"/>
      <w:sz w:val="20"/>
      <w:szCs w:val="24"/>
      <w:u w:val="single"/>
      <w:lang w:eastAsia="en-AU"/>
    </w:rPr>
  </w:style>
  <w:style w:type="paragraph" w:customStyle="1" w:styleId="SWATableheader">
    <w:name w:val="SWA Table header"/>
    <w:link w:val="SWATableheaderChar"/>
    <w:qFormat/>
    <w:rsid w:val="00EE3284"/>
    <w:pPr>
      <w:keepNext/>
      <w:spacing w:before="200" w:after="200" w:line="276" w:lineRule="auto"/>
    </w:pPr>
    <w:rPr>
      <w:rFonts w:ascii="Arial" w:eastAsiaTheme="majorEastAsia" w:hAnsi="Arial" w:cstheme="majorBidi"/>
      <w:b/>
      <w:color w:val="AF1E2D"/>
      <w:spacing w:val="-3"/>
      <w:sz w:val="20"/>
    </w:rPr>
  </w:style>
  <w:style w:type="character" w:customStyle="1" w:styleId="SWATableheaderChar">
    <w:name w:val="SWA Table header Char"/>
    <w:basedOn w:val="DefaultParagraphFont"/>
    <w:link w:val="SWATableheader"/>
    <w:rsid w:val="00EE3284"/>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EE3284"/>
    <w:pPr>
      <w:numPr>
        <w:numId w:val="2"/>
      </w:numPr>
      <w:tabs>
        <w:tab w:val="num" w:pos="426"/>
      </w:tabs>
      <w:spacing w:before="360" w:after="240"/>
      <w:jc w:val="left"/>
    </w:pPr>
    <w:rPr>
      <w:rFonts w:ascii="Arial" w:hAnsi="Arial" w:cs="Arial"/>
      <w:b/>
      <w:color w:val="AF1E2D"/>
      <w:sz w:val="34"/>
      <w:szCs w:val="22"/>
    </w:rPr>
  </w:style>
  <w:style w:type="paragraph" w:customStyle="1" w:styleId="BodyJustified">
    <w:name w:val="Body Justified"/>
    <w:basedOn w:val="Normal"/>
    <w:next w:val="Normal"/>
    <w:autoRedefine/>
    <w:qFormat/>
    <w:rsid w:val="00B34D49"/>
    <w:pPr>
      <w:suppressAutoHyphens/>
      <w:spacing w:before="120" w:after="120" w:line="276" w:lineRule="auto"/>
      <w:textboxTightWrap w:val="firstLineOnly"/>
    </w:pPr>
    <w:rPr>
      <w:rFonts w:eastAsiaTheme="minorHAnsi" w:cs="Arial"/>
      <w:szCs w:val="22"/>
      <w:lang w:val="en-US" w:eastAsia="en-US"/>
    </w:rPr>
  </w:style>
  <w:style w:type="paragraph" w:customStyle="1" w:styleId="SWASectionnum2">
    <w:name w:val="SWA Section num 2"/>
    <w:basedOn w:val="SWASectionnumberingheading"/>
    <w:qFormat/>
    <w:rsid w:val="00EE3284"/>
    <w:pPr>
      <w:numPr>
        <w:ilvl w:val="1"/>
      </w:numPr>
      <w:tabs>
        <w:tab w:val="num" w:pos="360"/>
        <w:tab w:val="num" w:pos="426"/>
      </w:tabs>
    </w:pPr>
    <w:rPr>
      <w:sz w:val="32"/>
    </w:rPr>
  </w:style>
  <w:style w:type="numbering" w:customStyle="1" w:styleId="SecNumb">
    <w:name w:val="SecNumb"/>
    <w:uiPriority w:val="99"/>
    <w:rsid w:val="00EE3284"/>
    <w:pPr>
      <w:numPr>
        <w:numId w:val="1"/>
      </w:numPr>
    </w:pPr>
  </w:style>
  <w:style w:type="paragraph" w:customStyle="1" w:styleId="SWASectionnum3">
    <w:name w:val="SWA Section num 3"/>
    <w:basedOn w:val="SWASectionnum2"/>
    <w:qFormat/>
    <w:rsid w:val="00EE3284"/>
    <w:pPr>
      <w:numPr>
        <w:ilvl w:val="2"/>
      </w:numPr>
      <w:tabs>
        <w:tab w:val="num" w:pos="360"/>
        <w:tab w:val="num" w:pos="426"/>
      </w:tabs>
    </w:pPr>
  </w:style>
  <w:style w:type="character" w:customStyle="1" w:styleId="Heading1Char">
    <w:name w:val="Heading 1 Char"/>
    <w:basedOn w:val="DefaultParagraphFont"/>
    <w:link w:val="Heading1"/>
    <w:uiPriority w:val="9"/>
    <w:rsid w:val="00EE328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EE3284"/>
    <w:rPr>
      <w:rFonts w:asciiTheme="majorHAnsi" w:eastAsiaTheme="majorEastAsia" w:hAnsiTheme="majorHAnsi" w:cstheme="majorBidi"/>
      <w:color w:val="2F5496" w:themeColor="accent1" w:themeShade="BF"/>
      <w:sz w:val="26"/>
      <w:szCs w:val="26"/>
      <w:lang w:eastAsia="en-AU"/>
    </w:rPr>
  </w:style>
  <w:style w:type="paragraph" w:customStyle="1" w:styleId="SWABullets">
    <w:name w:val="SWA Bullets"/>
    <w:basedOn w:val="ListParagraph"/>
    <w:link w:val="SWABulletsChar"/>
    <w:qFormat/>
    <w:rsid w:val="00EE3284"/>
    <w:pPr>
      <w:numPr>
        <w:numId w:val="3"/>
      </w:numPr>
      <w:overflowPunct w:val="0"/>
      <w:autoSpaceDE w:val="0"/>
      <w:autoSpaceDN w:val="0"/>
      <w:adjustRightInd w:val="0"/>
      <w:contextualSpacing w:val="0"/>
      <w:textAlignment w:val="baseline"/>
    </w:pPr>
    <w:rPr>
      <w:szCs w:val="20"/>
    </w:rPr>
  </w:style>
  <w:style w:type="character" w:customStyle="1" w:styleId="SWABulletsChar">
    <w:name w:val="SWA Bullets Char"/>
    <w:basedOn w:val="DefaultParagraphFont"/>
    <w:link w:val="SWABullets"/>
    <w:rsid w:val="00EE3284"/>
    <w:rPr>
      <w:rFonts w:ascii="Arial" w:eastAsia="Times New Roman" w:hAnsi="Arial" w:cs="Times New Roman"/>
      <w:sz w:val="20"/>
      <w:szCs w:val="20"/>
      <w:lang w:eastAsia="en-AU"/>
    </w:rPr>
  </w:style>
  <w:style w:type="paragraph" w:styleId="ListParagraph">
    <w:name w:val="List Paragraph"/>
    <w:aliases w:val="SWA List Paragraph,Indent"/>
    <w:basedOn w:val="Normal"/>
    <w:link w:val="ListParagraphChar"/>
    <w:uiPriority w:val="34"/>
    <w:qFormat/>
    <w:rsid w:val="00EE3284"/>
    <w:pPr>
      <w:ind w:left="720"/>
      <w:contextualSpacing/>
    </w:pPr>
  </w:style>
  <w:style w:type="paragraph" w:styleId="Title">
    <w:name w:val="Title"/>
    <w:aliases w:val="SWA Title"/>
    <w:basedOn w:val="Normal"/>
    <w:link w:val="TitleChar"/>
    <w:uiPriority w:val="10"/>
    <w:qFormat/>
    <w:rsid w:val="00AA7C33"/>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AA7C33"/>
    <w:rPr>
      <w:rFonts w:ascii="Arial Bold" w:eastAsiaTheme="majorEastAsia" w:hAnsi="Arial Bold" w:cs="Arial"/>
      <w:b/>
      <w:bCs/>
      <w:color w:val="C00000"/>
      <w:kern w:val="28"/>
      <w:sz w:val="36"/>
      <w:szCs w:val="32"/>
    </w:rPr>
  </w:style>
  <w:style w:type="character" w:styleId="Hyperlink">
    <w:name w:val="Hyperlink"/>
    <w:basedOn w:val="DefaultParagraphFont"/>
    <w:uiPriority w:val="99"/>
    <w:rsid w:val="00AA7C33"/>
    <w:rPr>
      <w:color w:val="0563C1" w:themeColor="hyperlink"/>
      <w:u w:val="single"/>
    </w:rPr>
  </w:style>
  <w:style w:type="paragraph" w:styleId="Header">
    <w:name w:val="header"/>
    <w:basedOn w:val="Normal"/>
    <w:link w:val="HeaderChar"/>
    <w:uiPriority w:val="99"/>
    <w:unhideWhenUsed/>
    <w:rsid w:val="00AA7C33"/>
    <w:pPr>
      <w:tabs>
        <w:tab w:val="center" w:pos="4513"/>
        <w:tab w:val="right" w:pos="9026"/>
      </w:tabs>
    </w:pPr>
  </w:style>
  <w:style w:type="character" w:customStyle="1" w:styleId="HeaderChar">
    <w:name w:val="Header Char"/>
    <w:basedOn w:val="DefaultParagraphFont"/>
    <w:link w:val="Header"/>
    <w:uiPriority w:val="99"/>
    <w:rsid w:val="00AA7C33"/>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A7C33"/>
    <w:pPr>
      <w:tabs>
        <w:tab w:val="center" w:pos="4513"/>
        <w:tab w:val="right" w:pos="9026"/>
      </w:tabs>
    </w:pPr>
  </w:style>
  <w:style w:type="character" w:customStyle="1" w:styleId="FooterChar">
    <w:name w:val="Footer Char"/>
    <w:basedOn w:val="DefaultParagraphFont"/>
    <w:link w:val="Footer"/>
    <w:uiPriority w:val="99"/>
    <w:rsid w:val="00AA7C33"/>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7C33"/>
    <w:rPr>
      <w:rFonts w:ascii="Arial" w:eastAsia="Times New Roman" w:hAnsi="Arial" w:cs="Times New Roman"/>
      <w:sz w:val="20"/>
      <w:szCs w:val="24"/>
      <w:lang w:eastAsia="en-AU"/>
    </w:rPr>
  </w:style>
  <w:style w:type="paragraph" w:styleId="TOCHeading">
    <w:name w:val="TOC Heading"/>
    <w:basedOn w:val="Heading1"/>
    <w:next w:val="Normal"/>
    <w:uiPriority w:val="39"/>
    <w:unhideWhenUsed/>
    <w:qFormat/>
    <w:rsid w:val="00AA7C33"/>
    <w:pPr>
      <w:spacing w:before="480" w:line="276" w:lineRule="auto"/>
      <w:outlineLvl w:val="9"/>
    </w:pPr>
    <w:rPr>
      <w:rFonts w:ascii="Arial" w:hAnsi="Arial"/>
      <w:b/>
      <w:bCs/>
      <w:color w:val="C10A27"/>
      <w:sz w:val="28"/>
      <w:szCs w:val="28"/>
      <w:lang w:val="en-US" w:eastAsia="ja-JP"/>
    </w:rPr>
  </w:style>
  <w:style w:type="paragraph" w:styleId="TOC1">
    <w:name w:val="toc 1"/>
    <w:basedOn w:val="Normal"/>
    <w:next w:val="Normal"/>
    <w:autoRedefine/>
    <w:uiPriority w:val="39"/>
    <w:unhideWhenUsed/>
    <w:rsid w:val="00AA7C33"/>
    <w:pPr>
      <w:tabs>
        <w:tab w:val="left" w:pos="284"/>
        <w:tab w:val="right" w:leader="dot" w:pos="8820"/>
      </w:tabs>
      <w:spacing w:after="100"/>
    </w:pPr>
    <w:rPr>
      <w:noProof/>
    </w:rPr>
  </w:style>
  <w:style w:type="paragraph" w:styleId="TOC2">
    <w:name w:val="toc 2"/>
    <w:basedOn w:val="Normal"/>
    <w:next w:val="Normal"/>
    <w:autoRedefine/>
    <w:uiPriority w:val="39"/>
    <w:unhideWhenUsed/>
    <w:rsid w:val="00AA7C33"/>
    <w:pPr>
      <w:tabs>
        <w:tab w:val="left" w:pos="709"/>
        <w:tab w:val="right" w:leader="dot" w:pos="8820"/>
      </w:tabs>
      <w:spacing w:after="100"/>
      <w:ind w:left="200"/>
    </w:pPr>
  </w:style>
  <w:style w:type="paragraph" w:customStyle="1" w:styleId="SWADisclaimerheading">
    <w:name w:val="SWA Disclaimer heading"/>
    <w:basedOn w:val="SWATableheader"/>
    <w:link w:val="SWADisclaimerheadingChar"/>
    <w:qFormat/>
    <w:rsid w:val="00AA7C33"/>
    <w:pPr>
      <w:spacing w:after="120"/>
    </w:pPr>
    <w:rPr>
      <w:sz w:val="14"/>
      <w:szCs w:val="14"/>
    </w:rPr>
  </w:style>
  <w:style w:type="paragraph" w:customStyle="1" w:styleId="SWADisclaimerbodytext">
    <w:name w:val="SWA Disclaimer body text"/>
    <w:basedOn w:val="Normal"/>
    <w:link w:val="SWADisclaimerbodytextChar"/>
    <w:uiPriority w:val="2"/>
    <w:qFormat/>
    <w:rsid w:val="00AA7C33"/>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AA7C33"/>
    <w:rPr>
      <w:rFonts w:ascii="Arial" w:eastAsiaTheme="majorEastAsia" w:hAnsi="Arial" w:cstheme="majorBidi"/>
      <w:b/>
      <w:color w:val="AF1E2D"/>
      <w:spacing w:val="-3"/>
      <w:sz w:val="14"/>
      <w:szCs w:val="14"/>
    </w:rPr>
  </w:style>
  <w:style w:type="character" w:customStyle="1" w:styleId="SWADisclaimerbodytextChar">
    <w:name w:val="SWA Disclaimer body text Char"/>
    <w:basedOn w:val="DefaultParagraphFont"/>
    <w:link w:val="SWADisclaimerbodytext"/>
    <w:uiPriority w:val="2"/>
    <w:rsid w:val="00AA7C33"/>
    <w:rPr>
      <w:rFonts w:ascii="Arial" w:eastAsia="Times New Roman" w:hAnsi="Arial" w:cs="Times New Roman"/>
      <w:sz w:val="14"/>
      <w:szCs w:val="14"/>
      <w:lang w:eastAsia="en-AU"/>
    </w:rPr>
  </w:style>
  <w:style w:type="character" w:styleId="CommentReference">
    <w:name w:val="annotation reference"/>
    <w:basedOn w:val="DefaultParagraphFont"/>
    <w:uiPriority w:val="99"/>
    <w:semiHidden/>
    <w:unhideWhenUsed/>
    <w:rsid w:val="00584EE4"/>
    <w:rPr>
      <w:sz w:val="16"/>
      <w:szCs w:val="16"/>
    </w:rPr>
  </w:style>
  <w:style w:type="paragraph" w:styleId="CommentText">
    <w:name w:val="annotation text"/>
    <w:basedOn w:val="Normal"/>
    <w:link w:val="CommentTextChar"/>
    <w:uiPriority w:val="99"/>
    <w:unhideWhenUsed/>
    <w:rsid w:val="00584EE4"/>
    <w:rPr>
      <w:szCs w:val="20"/>
    </w:rPr>
  </w:style>
  <w:style w:type="character" w:customStyle="1" w:styleId="CommentTextChar">
    <w:name w:val="Comment Text Char"/>
    <w:basedOn w:val="DefaultParagraphFont"/>
    <w:link w:val="CommentText"/>
    <w:uiPriority w:val="99"/>
    <w:rsid w:val="00584E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4EE4"/>
    <w:rPr>
      <w:b/>
      <w:bCs/>
    </w:rPr>
  </w:style>
  <w:style w:type="character" w:customStyle="1" w:styleId="CommentSubjectChar">
    <w:name w:val="Comment Subject Char"/>
    <w:basedOn w:val="CommentTextChar"/>
    <w:link w:val="CommentSubject"/>
    <w:uiPriority w:val="99"/>
    <w:semiHidden/>
    <w:rsid w:val="00584EE4"/>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84E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E4"/>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584EE4"/>
    <w:rPr>
      <w:color w:val="605E5C"/>
      <w:shd w:val="clear" w:color="auto" w:fill="E1DFDD"/>
    </w:rPr>
  </w:style>
  <w:style w:type="paragraph" w:styleId="BodyText">
    <w:name w:val="Body Text"/>
    <w:basedOn w:val="Normal"/>
    <w:link w:val="BodyTextChar"/>
    <w:uiPriority w:val="99"/>
    <w:unhideWhenUsed/>
    <w:rsid w:val="00106011"/>
    <w:pPr>
      <w:spacing w:after="120"/>
    </w:pPr>
  </w:style>
  <w:style w:type="character" w:customStyle="1" w:styleId="BodyTextChar">
    <w:name w:val="Body Text Char"/>
    <w:basedOn w:val="DefaultParagraphFont"/>
    <w:link w:val="BodyText"/>
    <w:uiPriority w:val="99"/>
    <w:rsid w:val="00106011"/>
    <w:rPr>
      <w:rFonts w:ascii="Arial" w:eastAsia="Times New Roman" w:hAnsi="Arial" w:cs="Times New Roman"/>
      <w:sz w:val="20"/>
      <w:szCs w:val="24"/>
      <w:lang w:eastAsia="en-AU"/>
    </w:rPr>
  </w:style>
  <w:style w:type="paragraph" w:customStyle="1" w:styleId="ForTable">
    <w:name w:val="For Table"/>
    <w:basedOn w:val="Normal"/>
    <w:qFormat/>
    <w:rsid w:val="00106011"/>
    <w:pPr>
      <w:spacing w:before="0"/>
      <w:jc w:val="left"/>
    </w:pPr>
    <w:rPr>
      <w:bCs/>
      <w:sz w:val="16"/>
      <w:szCs w:val="16"/>
    </w:rPr>
  </w:style>
  <w:style w:type="character" w:customStyle="1" w:styleId="Colouredsection">
    <w:name w:val="Coloured section"/>
    <w:uiPriority w:val="99"/>
    <w:rsid w:val="00106011"/>
    <w:rPr>
      <w:rFonts w:ascii="Arial" w:hAnsi="Arial" w:cs="Arial"/>
      <w:color w:val="009EA0"/>
      <w:sz w:val="22"/>
      <w:szCs w:val="22"/>
    </w:rPr>
  </w:style>
  <w:style w:type="paragraph" w:customStyle="1" w:styleId="HeaderChapterStart">
    <w:name w:val="Header Chapter Start"/>
    <w:basedOn w:val="Header"/>
    <w:qFormat/>
    <w:rsid w:val="00106011"/>
    <w:pPr>
      <w:spacing w:before="0"/>
      <w:jc w:val="left"/>
    </w:pPr>
    <w:rPr>
      <w:rFonts w:eastAsiaTheme="minorHAnsi" w:cs="Arial"/>
      <w:i/>
      <w:color w:val="145B85"/>
      <w:szCs w:val="22"/>
      <w:lang w:eastAsia="en-US"/>
    </w:rPr>
  </w:style>
  <w:style w:type="table" w:styleId="LightShading-Accent2">
    <w:name w:val="Light Shading Accent 2"/>
    <w:aliases w:val="SWA Table Style"/>
    <w:basedOn w:val="TableNormal"/>
    <w:uiPriority w:val="60"/>
    <w:rsid w:val="00106011"/>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ADECB"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Hyperlinks">
    <w:name w:val="Hyperlinks"/>
    <w:uiPriority w:val="99"/>
    <w:rsid w:val="00106011"/>
    <w:rPr>
      <w:color w:val="004266"/>
      <w:u w:val="single"/>
    </w:rPr>
  </w:style>
  <w:style w:type="paragraph" w:customStyle="1" w:styleId="NoParagraphStyle">
    <w:name w:val="[No Paragraph Style]"/>
    <w:rsid w:val="00106011"/>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7224AB"/>
    <w:rPr>
      <w:color w:val="954F72" w:themeColor="followedHyperlink"/>
      <w:u w:val="single"/>
    </w:rPr>
  </w:style>
  <w:style w:type="paragraph" w:styleId="Revision">
    <w:name w:val="Revision"/>
    <w:hidden/>
    <w:uiPriority w:val="99"/>
    <w:semiHidden/>
    <w:rsid w:val="00520717"/>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7073">
      <w:bodyDiv w:val="1"/>
      <w:marLeft w:val="0"/>
      <w:marRight w:val="0"/>
      <w:marTop w:val="0"/>
      <w:marBottom w:val="0"/>
      <w:divBdr>
        <w:top w:val="none" w:sz="0" w:space="0" w:color="auto"/>
        <w:left w:val="none" w:sz="0" w:space="0" w:color="auto"/>
        <w:bottom w:val="none" w:sz="0" w:space="0" w:color="auto"/>
        <w:right w:val="none" w:sz="0" w:space="0" w:color="auto"/>
      </w:divBdr>
    </w:div>
    <w:div w:id="1076710993">
      <w:bodyDiv w:val="1"/>
      <w:marLeft w:val="0"/>
      <w:marRight w:val="0"/>
      <w:marTop w:val="0"/>
      <w:marBottom w:val="0"/>
      <w:divBdr>
        <w:top w:val="none" w:sz="0" w:space="0" w:color="auto"/>
        <w:left w:val="none" w:sz="0" w:space="0" w:color="auto"/>
        <w:bottom w:val="none" w:sz="0" w:space="0" w:color="auto"/>
        <w:right w:val="none" w:sz="0" w:space="0" w:color="auto"/>
      </w:divBdr>
    </w:div>
    <w:div w:id="1346010335">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australia.gov.au/resources-and-publications/statistical-reports/comparative-performance-monitoring-report-22nd-edition-part-3" TargetMode="External"/><Relationship Id="rId18" Type="http://schemas.openxmlformats.org/officeDocument/2006/relationships/footer" Target="footer2.xml"/><Relationship Id="rId26" Type="http://schemas.openxmlformats.org/officeDocument/2006/relationships/header" Target="header3.xml"/><Relationship Id="rId39" Type="http://schemas.openxmlformats.org/officeDocument/2006/relationships/hyperlink" Target="http://www.rtwsa.com/" TargetMode="External"/><Relationship Id="rId21" Type="http://schemas.openxmlformats.org/officeDocument/2006/relationships/footer" Target="footer3.xml"/><Relationship Id="rId34" Type="http://schemas.openxmlformats.org/officeDocument/2006/relationships/hyperlink" Target="mailto:info@worksafe.vic.gov.au" TargetMode="External"/><Relationship Id="rId42" Type="http://schemas.openxmlformats.org/officeDocument/2006/relationships/hyperlink" Target="http://www.worksafe.tas.gov.au/" TargetMode="External"/><Relationship Id="rId47" Type="http://schemas.openxmlformats.org/officeDocument/2006/relationships/hyperlink" Target="http://www.seacare.gov.au/" TargetMode="External"/><Relationship Id="rId50" Type="http://schemas.openxmlformats.org/officeDocument/2006/relationships/hyperlink" Target="http://www.worksafe.govt.n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resources-and-publications/statistical-reports/covid-19-and-safe-work-australia-data" TargetMode="External"/><Relationship Id="rId29" Type="http://schemas.openxmlformats.org/officeDocument/2006/relationships/hyperlink" Target="mailto:contact@sira.nsw.gov.au" TargetMode="External"/><Relationship Id="rId11" Type="http://schemas.openxmlformats.org/officeDocument/2006/relationships/hyperlink" Target="http://www.swa.gov.au" TargetMode="External"/><Relationship Id="rId24" Type="http://schemas.openxmlformats.org/officeDocument/2006/relationships/footer" Target="footer5.xml"/><Relationship Id="rId32" Type="http://schemas.openxmlformats.org/officeDocument/2006/relationships/hyperlink" Target="http://pi.nsw.gov.au/" TargetMode="External"/><Relationship Id="rId37" Type="http://schemas.openxmlformats.org/officeDocument/2006/relationships/hyperlink" Target="http://www.workcover.wa.gov.au/" TargetMode="External"/><Relationship Id="rId40" Type="http://schemas.openxmlformats.org/officeDocument/2006/relationships/hyperlink" Target="http://www.safework.sa.gov.au/" TargetMode="External"/><Relationship Id="rId45" Type="http://schemas.openxmlformats.org/officeDocument/2006/relationships/hyperlink" Target="https://www.worksafe.act.gov.a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info@swa.gov.au" TargetMode="External"/><Relationship Id="rId19" Type="http://schemas.openxmlformats.org/officeDocument/2006/relationships/image" Target="media/image3.png"/><Relationship Id="rId31" Type="http://schemas.openxmlformats.org/officeDocument/2006/relationships/hyperlink" Target="http://www.safework.nsw.gov.au/" TargetMode="External"/><Relationship Id="rId44" Type="http://schemas.openxmlformats.org/officeDocument/2006/relationships/hyperlink" Target="http://www.worksafe.nt.gov.au/Pages/default.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feworkaustralia.gov.au/collection/national-return-work-survey-2018"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http://www.sira.nsw.gov.au/" TargetMode="External"/><Relationship Id="rId35" Type="http://schemas.openxmlformats.org/officeDocument/2006/relationships/hyperlink" Target="http://www.worksafe.vic.gov.au/" TargetMode="External"/><Relationship Id="rId43" Type="http://schemas.openxmlformats.org/officeDocument/2006/relationships/hyperlink" Target="mailto:ntworksafe@nt.gov.au" TargetMode="External"/><Relationship Id="rId48" Type="http://schemas.openxmlformats.org/officeDocument/2006/relationships/hyperlink" Target="http://www.comcare.gov.au/" TargetMode="Externa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hyperlink" Target="http://www.icare.nsw.gov.au" TargetMode="External"/><Relationship Id="rId38" Type="http://schemas.openxmlformats.org/officeDocument/2006/relationships/hyperlink" Target="http://www.dmirs.wa.gov.au/" TargetMode="External"/><Relationship Id="rId46" Type="http://schemas.openxmlformats.org/officeDocument/2006/relationships/hyperlink" Target="mailto:seacare@comcare.gov.au" TargetMode="External"/><Relationship Id="rId20" Type="http://schemas.openxmlformats.org/officeDocument/2006/relationships/image" Target="media/image4.png"/><Relationship Id="rId41" Type="http://schemas.openxmlformats.org/officeDocument/2006/relationships/hyperlink" Target="mailto:wstinfo@justice.tas.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afeworkaustralia.gov.au/workers-compensation/comparing-workers-compensation-australia" TargetMode="External"/><Relationship Id="rId23" Type="http://schemas.openxmlformats.org/officeDocument/2006/relationships/header" Target="header2.xml"/><Relationship Id="rId28" Type="http://schemas.openxmlformats.org/officeDocument/2006/relationships/image" Target="media/image5.png"/><Relationship Id="rId36" Type="http://schemas.openxmlformats.org/officeDocument/2006/relationships/hyperlink" Target="https://www.worksafe.qld.gov.au/" TargetMode="External"/><Relationship Id="rId49" Type="http://schemas.openxmlformats.org/officeDocument/2006/relationships/hyperlink" Target="http://www.ac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0B28-560C-4C41-9F20-8DDAF7CB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15</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YEE,Taralyn</dc:creator>
  <cp:keywords/>
  <dc:description/>
  <cp:lastModifiedBy>Taralyn</cp:lastModifiedBy>
  <cp:revision>214</cp:revision>
  <dcterms:created xsi:type="dcterms:W3CDTF">2021-08-10T06:56:00Z</dcterms:created>
  <dcterms:modified xsi:type="dcterms:W3CDTF">2021-11-12T03:06:00Z</dcterms:modified>
</cp:coreProperties>
</file>